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75B" w:rsidRDefault="007E475B">
      <w:pPr>
        <w:ind w:right="209"/>
        <w:jc w:val="center"/>
      </w:pPr>
    </w:p>
    <w:p w:rsidR="00890FEB" w:rsidRDefault="00890FEB">
      <w:pPr>
        <w:ind w:right="209"/>
        <w:jc w:val="center"/>
      </w:pPr>
    </w:p>
    <w:p w:rsidR="007E475B" w:rsidRDefault="007E475B">
      <w:pPr>
        <w:spacing w:after="240"/>
        <w:jc w:val="center"/>
        <w:rPr>
          <w:b/>
          <w:sz w:val="32"/>
        </w:rPr>
      </w:pPr>
      <w:r>
        <w:rPr>
          <w:b/>
          <w:sz w:val="32"/>
        </w:rPr>
        <w:t>MONTREAL PROTOCOL</w:t>
      </w:r>
    </w:p>
    <w:p w:rsidR="007E475B" w:rsidRDefault="007E475B">
      <w:pPr>
        <w:spacing w:after="240"/>
        <w:jc w:val="center"/>
        <w:rPr>
          <w:b/>
          <w:sz w:val="32"/>
        </w:rPr>
      </w:pPr>
      <w:r>
        <w:rPr>
          <w:b/>
          <w:sz w:val="32"/>
        </w:rPr>
        <w:t>ON SUBSTANCES THAT DEPLETE</w:t>
      </w:r>
    </w:p>
    <w:p w:rsidR="007E475B" w:rsidRDefault="007E475B">
      <w:pPr>
        <w:spacing w:after="480"/>
        <w:jc w:val="center"/>
        <w:rPr>
          <w:b/>
          <w:sz w:val="32"/>
        </w:rPr>
      </w:pPr>
      <w:r>
        <w:rPr>
          <w:b/>
          <w:sz w:val="32"/>
        </w:rPr>
        <w:t>THE OZONE LAYER</w:t>
      </w:r>
    </w:p>
    <w:p w:rsidR="007E475B" w:rsidRDefault="00F712FD">
      <w:pPr>
        <w:spacing w:after="240"/>
        <w:jc w:val="center"/>
        <w:rPr>
          <w:sz w:val="176"/>
        </w:rPr>
      </w:pPr>
      <w:r>
        <w:rPr>
          <w:noProof/>
          <w:lang w:val="en-US" w:eastAsia="en-US"/>
        </w:rPr>
        <w:drawing>
          <wp:inline distT="0" distB="0" distL="0" distR="0">
            <wp:extent cx="2913380" cy="2480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380" cy="2480945"/>
                    </a:xfrm>
                    <a:prstGeom prst="rect">
                      <a:avLst/>
                    </a:prstGeom>
                    <a:noFill/>
                    <a:ln>
                      <a:noFill/>
                    </a:ln>
                  </pic:spPr>
                </pic:pic>
              </a:graphicData>
            </a:graphic>
          </wp:inline>
        </w:drawing>
      </w:r>
    </w:p>
    <w:p w:rsidR="007E475B" w:rsidRDefault="007E475B">
      <w:pPr>
        <w:spacing w:after="240"/>
        <w:jc w:val="center"/>
        <w:rPr>
          <w:sz w:val="176"/>
        </w:rPr>
      </w:pPr>
      <w:r>
        <w:rPr>
          <w:sz w:val="176"/>
        </w:rPr>
        <w:t>UNEP</w:t>
      </w:r>
    </w:p>
    <w:p w:rsidR="008B3BBE" w:rsidRDefault="008B3BBE" w:rsidP="00050BFD">
      <w:pPr>
        <w:ind w:left="720" w:hanging="720"/>
        <w:jc w:val="center"/>
        <w:rPr>
          <w:b/>
          <w:smallCaps/>
          <w:sz w:val="32"/>
        </w:rPr>
      </w:pPr>
    </w:p>
    <w:p w:rsidR="00043D80" w:rsidRDefault="00043D80" w:rsidP="00043D80">
      <w:pPr>
        <w:ind w:left="720" w:hanging="720"/>
        <w:jc w:val="center"/>
        <w:rPr>
          <w:b/>
          <w:smallCaps/>
          <w:sz w:val="32"/>
        </w:rPr>
      </w:pPr>
      <w:r>
        <w:rPr>
          <w:b/>
          <w:smallCaps/>
          <w:sz w:val="32"/>
        </w:rPr>
        <w:t>Report Of The</w:t>
      </w:r>
    </w:p>
    <w:p w:rsidR="00043D80" w:rsidRDefault="00043D80" w:rsidP="00043D80">
      <w:pPr>
        <w:ind w:left="720" w:hanging="720"/>
        <w:jc w:val="center"/>
        <w:rPr>
          <w:b/>
          <w:smallCaps/>
          <w:sz w:val="32"/>
        </w:rPr>
      </w:pPr>
      <w:r>
        <w:rPr>
          <w:b/>
          <w:smallCaps/>
          <w:sz w:val="32"/>
        </w:rPr>
        <w:t>Technology and Economic Assessment Panel</w:t>
      </w:r>
    </w:p>
    <w:p w:rsidR="00043D80" w:rsidRDefault="00043D80" w:rsidP="00043D80">
      <w:pPr>
        <w:ind w:left="720" w:hanging="720"/>
        <w:jc w:val="center"/>
        <w:rPr>
          <w:b/>
          <w:smallCaps/>
          <w:sz w:val="32"/>
        </w:rPr>
      </w:pPr>
    </w:p>
    <w:p w:rsidR="00043D80" w:rsidRDefault="003455AC" w:rsidP="00043D80">
      <w:pPr>
        <w:ind w:left="720" w:hanging="720"/>
        <w:jc w:val="center"/>
        <w:rPr>
          <w:b/>
          <w:smallCaps/>
          <w:sz w:val="32"/>
        </w:rPr>
      </w:pPr>
      <w:r>
        <w:rPr>
          <w:b/>
          <w:smallCaps/>
          <w:sz w:val="32"/>
        </w:rPr>
        <w:t xml:space="preserve">June </w:t>
      </w:r>
      <w:r w:rsidR="002F69D5">
        <w:rPr>
          <w:b/>
          <w:smallCaps/>
          <w:sz w:val="32"/>
        </w:rPr>
        <w:t>2016</w:t>
      </w:r>
    </w:p>
    <w:p w:rsidR="00043D80" w:rsidRDefault="00043D80" w:rsidP="00043D80">
      <w:pPr>
        <w:ind w:left="720" w:hanging="720"/>
        <w:jc w:val="center"/>
        <w:rPr>
          <w:b/>
          <w:smallCaps/>
          <w:sz w:val="32"/>
        </w:rPr>
      </w:pPr>
    </w:p>
    <w:p w:rsidR="00043D80" w:rsidRDefault="00043D80" w:rsidP="00043D80">
      <w:pPr>
        <w:ind w:left="720" w:hanging="720"/>
        <w:jc w:val="center"/>
        <w:rPr>
          <w:b/>
          <w:smallCaps/>
          <w:sz w:val="32"/>
        </w:rPr>
      </w:pPr>
    </w:p>
    <w:p w:rsidR="00043D80" w:rsidRDefault="00043D80" w:rsidP="00043D80">
      <w:pPr>
        <w:ind w:left="720" w:hanging="720"/>
        <w:jc w:val="center"/>
        <w:rPr>
          <w:b/>
          <w:smallCaps/>
          <w:sz w:val="32"/>
        </w:rPr>
      </w:pPr>
    </w:p>
    <w:p w:rsidR="00043D80" w:rsidRDefault="00043D80" w:rsidP="00043D80">
      <w:pPr>
        <w:ind w:left="720" w:hanging="720"/>
        <w:jc w:val="center"/>
        <w:rPr>
          <w:b/>
          <w:smallCaps/>
          <w:sz w:val="32"/>
        </w:rPr>
      </w:pPr>
      <w:r>
        <w:rPr>
          <w:b/>
          <w:smallCaps/>
          <w:sz w:val="32"/>
        </w:rPr>
        <w:t>Decision XXVI</w:t>
      </w:r>
      <w:r w:rsidR="002F69D5">
        <w:rPr>
          <w:b/>
          <w:smallCaps/>
          <w:sz w:val="32"/>
        </w:rPr>
        <w:t>I</w:t>
      </w:r>
      <w:r>
        <w:rPr>
          <w:b/>
          <w:smallCaps/>
          <w:sz w:val="32"/>
        </w:rPr>
        <w:t>/</w:t>
      </w:r>
      <w:r w:rsidR="002F69D5">
        <w:rPr>
          <w:b/>
          <w:smallCaps/>
          <w:sz w:val="32"/>
        </w:rPr>
        <w:t>4</w:t>
      </w:r>
      <w:r>
        <w:rPr>
          <w:b/>
          <w:smallCaps/>
          <w:sz w:val="32"/>
        </w:rPr>
        <w:t xml:space="preserve"> Task Force Report</w:t>
      </w:r>
    </w:p>
    <w:p w:rsidR="00CE42E3" w:rsidRDefault="00530E40" w:rsidP="00043D80">
      <w:pPr>
        <w:ind w:left="436" w:hanging="720"/>
        <w:jc w:val="center"/>
        <w:rPr>
          <w:b/>
          <w:smallCaps/>
          <w:sz w:val="32"/>
        </w:rPr>
      </w:pPr>
      <w:r>
        <w:rPr>
          <w:b/>
          <w:smallCaps/>
          <w:sz w:val="32"/>
        </w:rPr>
        <w:t xml:space="preserve">Further </w:t>
      </w:r>
      <w:r w:rsidR="00043D80">
        <w:rPr>
          <w:b/>
          <w:smallCaps/>
          <w:sz w:val="32"/>
        </w:rPr>
        <w:t xml:space="preserve">Information on Alternatives to </w:t>
      </w:r>
    </w:p>
    <w:p w:rsidR="00043D80" w:rsidRDefault="00043D80" w:rsidP="00043D80">
      <w:pPr>
        <w:ind w:left="436" w:hanging="720"/>
        <w:jc w:val="center"/>
        <w:rPr>
          <w:b/>
          <w:smallCaps/>
          <w:sz w:val="32"/>
        </w:rPr>
      </w:pPr>
      <w:r>
        <w:rPr>
          <w:b/>
          <w:smallCaps/>
          <w:sz w:val="32"/>
        </w:rPr>
        <w:t>Ozone-Depleting Substances</w:t>
      </w:r>
    </w:p>
    <w:p w:rsidR="008B3BBE" w:rsidRDefault="008B3BBE" w:rsidP="00050BFD">
      <w:pPr>
        <w:ind w:left="720" w:hanging="720"/>
        <w:jc w:val="center"/>
        <w:rPr>
          <w:b/>
          <w:smallCaps/>
          <w:sz w:val="32"/>
        </w:rPr>
      </w:pPr>
    </w:p>
    <w:p w:rsidR="007E475B" w:rsidRDefault="007E475B" w:rsidP="00050BFD">
      <w:pPr>
        <w:ind w:left="720" w:hanging="720"/>
        <w:jc w:val="center"/>
        <w:rPr>
          <w:b/>
          <w:smallCaps/>
          <w:sz w:val="32"/>
        </w:rPr>
      </w:pPr>
    </w:p>
    <w:p w:rsidR="007E475B" w:rsidRDefault="007E475B" w:rsidP="00050BFD">
      <w:pPr>
        <w:ind w:left="720" w:hanging="720"/>
        <w:jc w:val="center"/>
        <w:rPr>
          <w:b/>
          <w:smallCaps/>
          <w:sz w:val="30"/>
        </w:rPr>
        <w:sectPr w:rsidR="007E475B">
          <w:footerReference w:type="even" r:id="rId14"/>
          <w:footerReference w:type="default" r:id="rId15"/>
          <w:type w:val="continuous"/>
          <w:pgSz w:w="11907" w:h="16839" w:code="9"/>
          <w:pgMar w:top="1440" w:right="1440" w:bottom="1440" w:left="1440" w:header="720" w:footer="720" w:gutter="0"/>
          <w:pgNumType w:fmt="lowerRoman"/>
          <w:cols w:space="708"/>
          <w:titlePg/>
          <w:docGrid w:linePitch="326"/>
        </w:sectPr>
      </w:pPr>
    </w:p>
    <w:p w:rsidR="00043D80" w:rsidRDefault="00043D80" w:rsidP="00043D80">
      <w:pPr>
        <w:ind w:hanging="720"/>
        <w:jc w:val="right"/>
        <w:rPr>
          <w:b/>
          <w:smallCaps/>
          <w:sz w:val="30"/>
        </w:rPr>
      </w:pPr>
      <w:r>
        <w:rPr>
          <w:b/>
          <w:smallCaps/>
          <w:sz w:val="30"/>
        </w:rPr>
        <w:lastRenderedPageBreak/>
        <w:t>UNEP</w:t>
      </w:r>
    </w:p>
    <w:p w:rsidR="00043D80" w:rsidRDefault="00AB3587" w:rsidP="00043D80">
      <w:pPr>
        <w:ind w:left="720" w:hanging="720"/>
        <w:jc w:val="right"/>
        <w:rPr>
          <w:b/>
          <w:smallCaps/>
          <w:sz w:val="30"/>
        </w:rPr>
      </w:pPr>
      <w:r>
        <w:rPr>
          <w:b/>
          <w:smallCaps/>
          <w:sz w:val="30"/>
        </w:rPr>
        <w:t>June</w:t>
      </w:r>
      <w:r w:rsidR="00CE42E3">
        <w:rPr>
          <w:b/>
          <w:smallCaps/>
          <w:sz w:val="30"/>
        </w:rPr>
        <w:t xml:space="preserve"> </w:t>
      </w:r>
      <w:r w:rsidR="00043D80">
        <w:rPr>
          <w:b/>
          <w:smallCaps/>
          <w:sz w:val="30"/>
        </w:rPr>
        <w:t>201</w:t>
      </w:r>
      <w:r w:rsidR="00CE42E3">
        <w:rPr>
          <w:b/>
          <w:smallCaps/>
          <w:sz w:val="30"/>
        </w:rPr>
        <w:t>6</w:t>
      </w:r>
      <w:r w:rsidR="00043D80">
        <w:rPr>
          <w:b/>
          <w:smallCaps/>
          <w:sz w:val="30"/>
        </w:rPr>
        <w:t xml:space="preserve"> Report of the</w:t>
      </w:r>
    </w:p>
    <w:p w:rsidR="00043D80" w:rsidRDefault="00043D80" w:rsidP="00043D80">
      <w:pPr>
        <w:ind w:left="720" w:hanging="720"/>
        <w:jc w:val="right"/>
        <w:rPr>
          <w:b/>
          <w:smallCaps/>
          <w:sz w:val="30"/>
        </w:rPr>
      </w:pPr>
      <w:r>
        <w:rPr>
          <w:b/>
          <w:smallCaps/>
          <w:sz w:val="30"/>
        </w:rPr>
        <w:t>Technology and Economic</w:t>
      </w:r>
    </w:p>
    <w:p w:rsidR="00043D80" w:rsidRDefault="00043D80" w:rsidP="00043D80">
      <w:pPr>
        <w:ind w:left="720" w:hanging="720"/>
        <w:jc w:val="right"/>
        <w:rPr>
          <w:b/>
          <w:smallCaps/>
          <w:sz w:val="30"/>
        </w:rPr>
      </w:pPr>
      <w:r>
        <w:rPr>
          <w:b/>
          <w:smallCaps/>
          <w:sz w:val="30"/>
        </w:rPr>
        <w:t>Assessment Panel</w:t>
      </w:r>
    </w:p>
    <w:p w:rsidR="00043D80" w:rsidRDefault="00043D80" w:rsidP="00043D80">
      <w:pPr>
        <w:ind w:left="720" w:hanging="720"/>
        <w:jc w:val="right"/>
        <w:rPr>
          <w:b/>
          <w:smallCaps/>
          <w:sz w:val="30"/>
        </w:rPr>
      </w:pPr>
    </w:p>
    <w:p w:rsidR="00043D80" w:rsidRDefault="00043D80" w:rsidP="00043D80">
      <w:pPr>
        <w:ind w:left="720" w:hanging="720"/>
        <w:jc w:val="right"/>
        <w:rPr>
          <w:b/>
          <w:smallCaps/>
          <w:sz w:val="30"/>
        </w:rPr>
      </w:pPr>
    </w:p>
    <w:p w:rsidR="00043D80" w:rsidRDefault="00043D80" w:rsidP="00043D80">
      <w:pPr>
        <w:ind w:left="720" w:hanging="720"/>
        <w:jc w:val="right"/>
        <w:rPr>
          <w:b/>
          <w:smallCaps/>
          <w:sz w:val="30"/>
        </w:rPr>
      </w:pPr>
      <w:r>
        <w:rPr>
          <w:b/>
          <w:smallCaps/>
          <w:sz w:val="30"/>
        </w:rPr>
        <w:t xml:space="preserve"> Decision XXVI</w:t>
      </w:r>
      <w:r w:rsidR="00CE42E3">
        <w:rPr>
          <w:b/>
          <w:smallCaps/>
          <w:sz w:val="30"/>
        </w:rPr>
        <w:t>I</w:t>
      </w:r>
      <w:r>
        <w:rPr>
          <w:b/>
          <w:smallCaps/>
          <w:sz w:val="30"/>
        </w:rPr>
        <w:t>/</w:t>
      </w:r>
      <w:r w:rsidR="00CE42E3">
        <w:rPr>
          <w:b/>
          <w:smallCaps/>
          <w:sz w:val="30"/>
        </w:rPr>
        <w:t>4</w:t>
      </w:r>
      <w:r>
        <w:rPr>
          <w:b/>
          <w:smallCaps/>
          <w:sz w:val="30"/>
        </w:rPr>
        <w:t xml:space="preserve"> Task Force Report </w:t>
      </w:r>
    </w:p>
    <w:p w:rsidR="00043D80" w:rsidRDefault="00530E40" w:rsidP="00043D80">
      <w:pPr>
        <w:ind w:left="720" w:hanging="720"/>
        <w:jc w:val="right"/>
        <w:rPr>
          <w:b/>
          <w:smallCaps/>
          <w:sz w:val="30"/>
        </w:rPr>
      </w:pPr>
      <w:r>
        <w:rPr>
          <w:b/>
          <w:smallCaps/>
          <w:sz w:val="30"/>
        </w:rPr>
        <w:t xml:space="preserve">Further </w:t>
      </w:r>
      <w:r w:rsidR="00043D80">
        <w:rPr>
          <w:b/>
          <w:smallCaps/>
          <w:sz w:val="30"/>
        </w:rPr>
        <w:t>Information on Alternatives</w:t>
      </w:r>
    </w:p>
    <w:p w:rsidR="00043D80" w:rsidRDefault="00043D80" w:rsidP="00043D80">
      <w:pPr>
        <w:ind w:left="720" w:hanging="720"/>
        <w:jc w:val="right"/>
        <w:rPr>
          <w:b/>
          <w:smallCaps/>
          <w:sz w:val="30"/>
        </w:rPr>
      </w:pPr>
      <w:r>
        <w:rPr>
          <w:b/>
          <w:smallCaps/>
          <w:sz w:val="30"/>
        </w:rPr>
        <w:t>to Ozone-Depleting Substances</w:t>
      </w:r>
    </w:p>
    <w:p w:rsidR="00043D80" w:rsidRDefault="00043D80" w:rsidP="00043D80">
      <w:pPr>
        <w:ind w:left="720" w:hanging="720"/>
        <w:jc w:val="right"/>
        <w:rPr>
          <w:b/>
          <w:smallCaps/>
          <w:sz w:val="30"/>
        </w:rPr>
      </w:pPr>
    </w:p>
    <w:p w:rsidR="007E475B" w:rsidRDefault="007E475B">
      <w:pPr>
        <w:ind w:left="720" w:hanging="720"/>
        <w:jc w:val="right"/>
        <w:rPr>
          <w:smallCaps/>
          <w:sz w:val="30"/>
        </w:rPr>
      </w:pPr>
    </w:p>
    <w:p w:rsidR="007E475B" w:rsidRDefault="007E475B">
      <w:pPr>
        <w:rPr>
          <w:b/>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tabs>
          <w:tab w:val="left" w:pos="3090"/>
        </w:tabs>
        <w:rPr>
          <w:sz w:val="36"/>
        </w:rPr>
      </w:pPr>
      <w:r>
        <w:rPr>
          <w:sz w:val="36"/>
        </w:rPr>
        <w:tab/>
      </w:r>
    </w:p>
    <w:p w:rsidR="007E475B" w:rsidRDefault="007E475B">
      <w:pPr>
        <w:rPr>
          <w:sz w:val="36"/>
        </w:rPr>
      </w:pPr>
    </w:p>
    <w:p w:rsidR="007E475B" w:rsidRDefault="007E475B">
      <w:pPr>
        <w:rPr>
          <w:sz w:val="36"/>
        </w:rPr>
      </w:pPr>
    </w:p>
    <w:p w:rsidR="007E475B" w:rsidRDefault="007E475B">
      <w:pPr>
        <w:rPr>
          <w:sz w:val="36"/>
        </w:rPr>
      </w:pPr>
    </w:p>
    <w:p w:rsidR="007E475B" w:rsidRDefault="007E475B">
      <w:pPr>
        <w:rPr>
          <w:sz w:val="36"/>
        </w:rPr>
      </w:pPr>
    </w:p>
    <w:p w:rsidR="007E475B" w:rsidRDefault="007E475B">
      <w:pPr>
        <w:rPr>
          <w:b/>
        </w:rPr>
      </w:pPr>
      <w:r>
        <w:rPr>
          <w:sz w:val="36"/>
        </w:rPr>
        <w:br w:type="page"/>
      </w:r>
      <w:r>
        <w:rPr>
          <w:b/>
        </w:rPr>
        <w:lastRenderedPageBreak/>
        <w:t>Montreal Protocol</w:t>
      </w:r>
    </w:p>
    <w:p w:rsidR="007E475B" w:rsidRDefault="007E475B">
      <w:pPr>
        <w:spacing w:after="240"/>
        <w:rPr>
          <w:b/>
        </w:rPr>
      </w:pPr>
      <w:r>
        <w:rPr>
          <w:b/>
        </w:rPr>
        <w:t>On Substances that Deplete the Ozone Layer</w:t>
      </w:r>
    </w:p>
    <w:p w:rsidR="00043D80" w:rsidRDefault="00043D80" w:rsidP="00043D80">
      <w:pPr>
        <w:spacing w:after="120"/>
        <w:rPr>
          <w:sz w:val="28"/>
        </w:rPr>
      </w:pPr>
      <w:r>
        <w:rPr>
          <w:sz w:val="28"/>
        </w:rPr>
        <w:t>Report of the</w:t>
      </w:r>
    </w:p>
    <w:p w:rsidR="00043D80" w:rsidRDefault="00043D80" w:rsidP="00043D80">
      <w:pPr>
        <w:spacing w:after="120"/>
        <w:rPr>
          <w:sz w:val="28"/>
        </w:rPr>
      </w:pPr>
      <w:r>
        <w:rPr>
          <w:sz w:val="28"/>
        </w:rPr>
        <w:t>UNEP Technology and Economic Assessment Panel</w:t>
      </w:r>
    </w:p>
    <w:p w:rsidR="00043D80" w:rsidRDefault="00043D80" w:rsidP="00043D80">
      <w:pPr>
        <w:spacing w:after="120"/>
        <w:rPr>
          <w:sz w:val="28"/>
        </w:rPr>
      </w:pPr>
    </w:p>
    <w:p w:rsidR="00043D80" w:rsidRDefault="00AB3587" w:rsidP="00043D80">
      <w:pPr>
        <w:spacing w:after="120"/>
        <w:rPr>
          <w:sz w:val="28"/>
        </w:rPr>
      </w:pPr>
      <w:r>
        <w:rPr>
          <w:sz w:val="28"/>
        </w:rPr>
        <w:t xml:space="preserve">June </w:t>
      </w:r>
      <w:r w:rsidR="00043D80">
        <w:rPr>
          <w:sz w:val="28"/>
        </w:rPr>
        <w:t>201</w:t>
      </w:r>
      <w:r w:rsidR="002F69D5">
        <w:rPr>
          <w:sz w:val="28"/>
        </w:rPr>
        <w:t>6</w:t>
      </w:r>
    </w:p>
    <w:p w:rsidR="007E475B" w:rsidRDefault="007E475B" w:rsidP="007F6DCD">
      <w:pPr>
        <w:spacing w:after="120"/>
        <w:rPr>
          <w:b/>
          <w:smallCaps/>
          <w:sz w:val="28"/>
        </w:rPr>
      </w:pPr>
    </w:p>
    <w:p w:rsidR="007E475B" w:rsidRDefault="007E475B" w:rsidP="007F6DCD">
      <w:pPr>
        <w:spacing w:after="120"/>
        <w:rPr>
          <w:b/>
          <w:smallCaps/>
        </w:rPr>
      </w:pPr>
      <w:r>
        <w:rPr>
          <w:b/>
          <w:smallCaps/>
        </w:rPr>
        <w:t>Decision XXV</w:t>
      </w:r>
      <w:r w:rsidR="00DB2797">
        <w:rPr>
          <w:b/>
          <w:smallCaps/>
        </w:rPr>
        <w:t>I</w:t>
      </w:r>
      <w:r w:rsidR="002F69D5">
        <w:rPr>
          <w:b/>
          <w:smallCaps/>
        </w:rPr>
        <w:t>I</w:t>
      </w:r>
      <w:r>
        <w:rPr>
          <w:b/>
          <w:smallCaps/>
        </w:rPr>
        <w:t>/</w:t>
      </w:r>
      <w:r w:rsidR="002F69D5">
        <w:rPr>
          <w:b/>
          <w:smallCaps/>
        </w:rPr>
        <w:t>4</w:t>
      </w:r>
      <w:r>
        <w:rPr>
          <w:b/>
          <w:smallCaps/>
        </w:rPr>
        <w:t xml:space="preserve"> Task Force</w:t>
      </w:r>
      <w:r w:rsidR="00C16A3E">
        <w:rPr>
          <w:b/>
          <w:smallCaps/>
        </w:rPr>
        <w:t xml:space="preserve"> </w:t>
      </w:r>
      <w:r w:rsidR="003A0B5E">
        <w:rPr>
          <w:b/>
          <w:smallCaps/>
        </w:rPr>
        <w:t>Report</w:t>
      </w:r>
      <w:r>
        <w:rPr>
          <w:b/>
          <w:smallCaps/>
        </w:rPr>
        <w:t>:</w:t>
      </w:r>
    </w:p>
    <w:p w:rsidR="007E475B" w:rsidRDefault="00530E40">
      <w:pPr>
        <w:spacing w:after="240"/>
        <w:rPr>
          <w:b/>
          <w:smallCaps/>
        </w:rPr>
      </w:pPr>
      <w:r>
        <w:rPr>
          <w:b/>
          <w:smallCaps/>
        </w:rPr>
        <w:t xml:space="preserve">Further </w:t>
      </w:r>
      <w:r w:rsidR="007E475B">
        <w:rPr>
          <w:b/>
          <w:smallCaps/>
        </w:rPr>
        <w:t>Information on Alternatives to O</w:t>
      </w:r>
      <w:r w:rsidR="00CE42E3">
        <w:rPr>
          <w:b/>
          <w:smallCaps/>
        </w:rPr>
        <w:t>zone Depleting Substances</w:t>
      </w:r>
    </w:p>
    <w:p w:rsidR="007E475B" w:rsidRDefault="007E475B" w:rsidP="006F48F1">
      <w:pPr>
        <w:spacing w:after="240"/>
      </w:pPr>
      <w:r>
        <w:t>The text of this report is composed in Times New Roman.</w:t>
      </w:r>
    </w:p>
    <w:p w:rsidR="007E475B" w:rsidRDefault="007E475B" w:rsidP="006F48F1">
      <w:pPr>
        <w:tabs>
          <w:tab w:val="left" w:pos="2880"/>
        </w:tabs>
        <w:spacing w:after="240"/>
      </w:pPr>
      <w:r>
        <w:t>Co-ordination:</w:t>
      </w:r>
      <w:r>
        <w:tab/>
      </w:r>
      <w:r w:rsidR="00043D80" w:rsidRPr="00043D80">
        <w:rPr>
          <w:b/>
        </w:rPr>
        <w:t xml:space="preserve">TEAP and its </w:t>
      </w:r>
      <w:r w:rsidRPr="00043D80">
        <w:rPr>
          <w:b/>
        </w:rPr>
        <w:t>XXV</w:t>
      </w:r>
      <w:r w:rsidR="00DB2797" w:rsidRPr="00043D80">
        <w:rPr>
          <w:b/>
        </w:rPr>
        <w:t>I</w:t>
      </w:r>
      <w:r w:rsidR="002F69D5">
        <w:rPr>
          <w:b/>
        </w:rPr>
        <w:t>I</w:t>
      </w:r>
      <w:r w:rsidRPr="00043D80">
        <w:rPr>
          <w:b/>
        </w:rPr>
        <w:t>/</w:t>
      </w:r>
      <w:r w:rsidR="002F69D5">
        <w:rPr>
          <w:b/>
        </w:rPr>
        <w:t>4</w:t>
      </w:r>
      <w:r w:rsidRPr="00043D80">
        <w:rPr>
          <w:b/>
        </w:rPr>
        <w:t xml:space="preserve"> Task</w:t>
      </w:r>
      <w:r>
        <w:rPr>
          <w:b/>
        </w:rPr>
        <w:t xml:space="preserve"> Force</w:t>
      </w:r>
      <w:r w:rsidR="004063A1">
        <w:rPr>
          <w:b/>
        </w:rPr>
        <w:t xml:space="preserve"> </w:t>
      </w:r>
    </w:p>
    <w:p w:rsidR="007E475B" w:rsidRDefault="007E475B" w:rsidP="006F48F1">
      <w:pPr>
        <w:tabs>
          <w:tab w:val="left" w:pos="2880"/>
        </w:tabs>
        <w:spacing w:after="240"/>
      </w:pPr>
      <w:r>
        <w:t>Composition and layout:</w:t>
      </w:r>
      <w:r>
        <w:tab/>
      </w:r>
      <w:r w:rsidR="00482188">
        <w:t xml:space="preserve">XXVII/4 Task Force co-chairs </w:t>
      </w:r>
    </w:p>
    <w:p w:rsidR="007E475B" w:rsidRDefault="007E475B" w:rsidP="006F48F1">
      <w:pPr>
        <w:tabs>
          <w:tab w:val="left" w:pos="2880"/>
        </w:tabs>
        <w:spacing w:after="240"/>
      </w:pPr>
      <w:r>
        <w:t>Final</w:t>
      </w:r>
      <w:r w:rsidR="006F48F1">
        <w:t xml:space="preserve"> formatting:</w:t>
      </w:r>
      <w:r w:rsidR="006F48F1">
        <w:tab/>
        <w:t>Ozone Secretariat</w:t>
      </w:r>
      <w:r w:rsidR="00F1281A">
        <w:t xml:space="preserve"> and Lambert Kuijpers</w:t>
      </w:r>
    </w:p>
    <w:p w:rsidR="007E475B" w:rsidRPr="009F77DC" w:rsidRDefault="007E475B" w:rsidP="006F48F1">
      <w:pPr>
        <w:tabs>
          <w:tab w:val="left" w:pos="2880"/>
        </w:tabs>
        <w:spacing w:after="240"/>
        <w:rPr>
          <w:lang w:val="fr-CA"/>
        </w:rPr>
      </w:pPr>
      <w:r w:rsidRPr="009F77DC">
        <w:rPr>
          <w:lang w:val="fr-CA"/>
        </w:rPr>
        <w:t>Reproduction:</w:t>
      </w:r>
      <w:r w:rsidRPr="009F77DC">
        <w:rPr>
          <w:lang w:val="fr-CA"/>
        </w:rPr>
        <w:tab/>
        <w:t>UNON Nairobi</w:t>
      </w:r>
    </w:p>
    <w:p w:rsidR="007E475B" w:rsidRPr="009F77DC" w:rsidRDefault="007E475B" w:rsidP="006F48F1">
      <w:pPr>
        <w:tabs>
          <w:tab w:val="left" w:pos="2880"/>
        </w:tabs>
        <w:spacing w:after="240"/>
        <w:rPr>
          <w:lang w:val="fr-CA"/>
        </w:rPr>
      </w:pPr>
      <w:r w:rsidRPr="009F77DC">
        <w:rPr>
          <w:lang w:val="fr-CA"/>
        </w:rPr>
        <w:t>Date:</w:t>
      </w:r>
      <w:r w:rsidRPr="009F77DC">
        <w:rPr>
          <w:lang w:val="fr-CA"/>
        </w:rPr>
        <w:tab/>
      </w:r>
      <w:r w:rsidR="00AB3587">
        <w:t xml:space="preserve">June </w:t>
      </w:r>
      <w:r w:rsidR="00DB2797" w:rsidRPr="009F77DC">
        <w:rPr>
          <w:lang w:val="fr-CA"/>
        </w:rPr>
        <w:t>201</w:t>
      </w:r>
      <w:r w:rsidR="002F69D5">
        <w:rPr>
          <w:lang w:val="fr-CA"/>
        </w:rPr>
        <w:t>6</w:t>
      </w:r>
    </w:p>
    <w:p w:rsidR="007E475B" w:rsidRDefault="007E475B">
      <w:pPr>
        <w:spacing w:line="240" w:lineRule="atLeast"/>
      </w:pPr>
      <w:r>
        <w:t>Under certain conditions, printed copies of this report are available from:</w:t>
      </w:r>
    </w:p>
    <w:p w:rsidR="007E475B" w:rsidRDefault="007E475B">
      <w:pPr>
        <w:spacing w:line="240" w:lineRule="atLeast"/>
      </w:pPr>
    </w:p>
    <w:p w:rsidR="007E475B" w:rsidRDefault="007E475B">
      <w:pPr>
        <w:spacing w:line="240" w:lineRule="atLeast"/>
      </w:pPr>
      <w:r>
        <w:t>UNITED NATIONS ENVIRONMENT PROGRAMME</w:t>
      </w:r>
      <w:r>
        <w:br/>
        <w:t>Ozone Secretariat, P.O. Box 30552, Nairobi, Kenya</w:t>
      </w:r>
    </w:p>
    <w:p w:rsidR="007E475B" w:rsidRDefault="007E475B"/>
    <w:p w:rsidR="007E475B" w:rsidRPr="00420B64" w:rsidRDefault="007E475B" w:rsidP="00AB4704">
      <w:r>
        <w:t xml:space="preserve">This document is also available in </w:t>
      </w:r>
      <w:r w:rsidR="00630A33">
        <w:t>electronic form</w:t>
      </w:r>
      <w:r>
        <w:t xml:space="preserve"> from</w:t>
      </w:r>
      <w:r w:rsidR="00420B64">
        <w:t xml:space="preserve"> </w:t>
      </w:r>
      <w:r w:rsidR="00EF25D8" w:rsidRPr="00EF25D8">
        <w:t>http://</w:t>
      </w:r>
      <w:r w:rsidR="008B0183" w:rsidRPr="008B0183">
        <w:t xml:space="preserve"> ozone.unep.org/en/assessment-panels/technology-and-economic-assessment-panel</w:t>
      </w:r>
    </w:p>
    <w:p w:rsidR="007E475B" w:rsidRDefault="007E475B">
      <w:pPr>
        <w:spacing w:line="240" w:lineRule="atLeast"/>
      </w:pPr>
    </w:p>
    <w:p w:rsidR="007E475B" w:rsidRDefault="007E475B">
      <w:pPr>
        <w:spacing w:line="240" w:lineRule="atLeast"/>
        <w:rPr>
          <w:b/>
        </w:rPr>
      </w:pPr>
      <w:r>
        <w:t>No copyright involved. This publication may be freely copied, abst</w:t>
      </w:r>
      <w:r w:rsidR="00F1281A">
        <w:t xml:space="preserve">racted </w:t>
      </w:r>
      <w:r>
        <w:t>and cited, with acknowledgement of the source of the material.</w:t>
      </w:r>
    </w:p>
    <w:p w:rsidR="007E475B" w:rsidRDefault="007E475B">
      <w:pPr>
        <w:spacing w:after="240"/>
      </w:pPr>
    </w:p>
    <w:p w:rsidR="007E475B" w:rsidRDefault="007E475B">
      <w:pPr>
        <w:spacing w:after="240"/>
      </w:pPr>
    </w:p>
    <w:p w:rsidR="00420B64" w:rsidRPr="00630A33" w:rsidRDefault="00630A33">
      <w:pPr>
        <w:spacing w:after="240"/>
        <w:rPr>
          <w:b/>
        </w:rPr>
      </w:pPr>
      <w:r w:rsidRPr="00630A33">
        <w:rPr>
          <w:b/>
        </w:rPr>
        <w:t xml:space="preserve">ISBN: </w:t>
      </w:r>
      <w:r w:rsidR="006664DD" w:rsidRPr="006664DD">
        <w:rPr>
          <w:b/>
          <w:szCs w:val="22"/>
        </w:rPr>
        <w:t>978-9966-076-18-2</w:t>
      </w:r>
      <w:r w:rsidR="006664DD" w:rsidRPr="0010499C">
        <w:rPr>
          <w:szCs w:val="22"/>
        </w:rPr>
        <w:t> </w:t>
      </w:r>
    </w:p>
    <w:p w:rsidR="007E475B" w:rsidRDefault="007E475B">
      <w:pPr>
        <w:ind w:right="209"/>
      </w:pPr>
      <w:r>
        <w:br w:type="page"/>
      </w:r>
    </w:p>
    <w:p w:rsidR="00043D80" w:rsidRDefault="00043D80" w:rsidP="00043D80">
      <w:pPr>
        <w:ind w:left="720" w:hanging="720"/>
        <w:jc w:val="right"/>
        <w:rPr>
          <w:b/>
          <w:smallCaps/>
        </w:rPr>
      </w:pPr>
      <w:r>
        <w:rPr>
          <w:b/>
          <w:smallCaps/>
        </w:rPr>
        <w:lastRenderedPageBreak/>
        <w:t>UNEP</w:t>
      </w:r>
    </w:p>
    <w:p w:rsidR="00043D80" w:rsidRDefault="00AB3587" w:rsidP="00043D80">
      <w:pPr>
        <w:ind w:left="720" w:hanging="720"/>
        <w:jc w:val="right"/>
        <w:rPr>
          <w:b/>
          <w:smallCaps/>
        </w:rPr>
      </w:pPr>
      <w:r>
        <w:rPr>
          <w:b/>
          <w:smallCaps/>
        </w:rPr>
        <w:t>June</w:t>
      </w:r>
      <w:r w:rsidR="00CE42E3">
        <w:rPr>
          <w:b/>
          <w:smallCaps/>
        </w:rPr>
        <w:t xml:space="preserve"> </w:t>
      </w:r>
      <w:r w:rsidR="00043D80">
        <w:rPr>
          <w:b/>
          <w:smallCaps/>
        </w:rPr>
        <w:t>201</w:t>
      </w:r>
      <w:r w:rsidR="00CE42E3">
        <w:rPr>
          <w:b/>
          <w:smallCaps/>
        </w:rPr>
        <w:t>6</w:t>
      </w:r>
      <w:r w:rsidR="00043D80">
        <w:rPr>
          <w:b/>
          <w:smallCaps/>
        </w:rPr>
        <w:t xml:space="preserve"> Report of the</w:t>
      </w:r>
    </w:p>
    <w:p w:rsidR="00043D80" w:rsidRDefault="00043D80" w:rsidP="00043D80">
      <w:pPr>
        <w:ind w:left="720" w:hanging="720"/>
        <w:jc w:val="right"/>
        <w:rPr>
          <w:b/>
          <w:smallCaps/>
        </w:rPr>
      </w:pPr>
      <w:r>
        <w:rPr>
          <w:b/>
          <w:smallCaps/>
        </w:rPr>
        <w:t>Technology and Economic</w:t>
      </w:r>
    </w:p>
    <w:p w:rsidR="00043D80" w:rsidRDefault="00043D80" w:rsidP="00043D80">
      <w:pPr>
        <w:ind w:left="720" w:hanging="720"/>
        <w:jc w:val="right"/>
        <w:rPr>
          <w:b/>
          <w:smallCaps/>
        </w:rPr>
      </w:pPr>
      <w:r>
        <w:rPr>
          <w:b/>
          <w:smallCaps/>
        </w:rPr>
        <w:t>Assessment Panel</w:t>
      </w:r>
    </w:p>
    <w:p w:rsidR="00043D80" w:rsidRDefault="00043D80" w:rsidP="00043D80">
      <w:pPr>
        <w:ind w:left="720" w:hanging="720"/>
        <w:jc w:val="right"/>
        <w:rPr>
          <w:b/>
          <w:smallCaps/>
        </w:rPr>
      </w:pPr>
    </w:p>
    <w:p w:rsidR="00043D80" w:rsidRDefault="00043D80" w:rsidP="00043D80">
      <w:pPr>
        <w:ind w:left="720" w:hanging="720"/>
        <w:jc w:val="right"/>
        <w:rPr>
          <w:b/>
          <w:smallCaps/>
        </w:rPr>
      </w:pPr>
    </w:p>
    <w:p w:rsidR="00043D80" w:rsidRDefault="00043D80" w:rsidP="00043D80">
      <w:pPr>
        <w:ind w:left="720" w:hanging="720"/>
        <w:jc w:val="right"/>
        <w:rPr>
          <w:b/>
          <w:smallCaps/>
        </w:rPr>
      </w:pPr>
    </w:p>
    <w:p w:rsidR="00043D80" w:rsidRDefault="00043D80" w:rsidP="00043D80">
      <w:pPr>
        <w:ind w:left="720" w:hanging="720"/>
        <w:jc w:val="right"/>
        <w:rPr>
          <w:b/>
          <w:smallCaps/>
        </w:rPr>
      </w:pPr>
      <w:r>
        <w:rPr>
          <w:b/>
          <w:smallCaps/>
        </w:rPr>
        <w:t xml:space="preserve"> Decision XXVI</w:t>
      </w:r>
      <w:r w:rsidR="002F69D5">
        <w:rPr>
          <w:b/>
          <w:smallCaps/>
        </w:rPr>
        <w:t>I</w:t>
      </w:r>
      <w:r>
        <w:rPr>
          <w:b/>
          <w:smallCaps/>
        </w:rPr>
        <w:t>/</w:t>
      </w:r>
      <w:r w:rsidR="002F69D5">
        <w:rPr>
          <w:b/>
          <w:smallCaps/>
        </w:rPr>
        <w:t>4</w:t>
      </w:r>
      <w:r>
        <w:rPr>
          <w:b/>
          <w:smallCaps/>
        </w:rPr>
        <w:t xml:space="preserve"> </w:t>
      </w:r>
      <w:r w:rsidR="00C16A3E">
        <w:rPr>
          <w:b/>
          <w:smallCaps/>
        </w:rPr>
        <w:t>T</w:t>
      </w:r>
      <w:r>
        <w:rPr>
          <w:b/>
          <w:smallCaps/>
        </w:rPr>
        <w:t xml:space="preserve">ask Force Report </w:t>
      </w:r>
    </w:p>
    <w:p w:rsidR="00043D80" w:rsidRDefault="00530E40" w:rsidP="00043D80">
      <w:pPr>
        <w:ind w:left="720" w:hanging="720"/>
        <w:jc w:val="right"/>
        <w:rPr>
          <w:b/>
          <w:smallCaps/>
        </w:rPr>
      </w:pPr>
      <w:r>
        <w:rPr>
          <w:b/>
          <w:smallCaps/>
        </w:rPr>
        <w:t xml:space="preserve">Further </w:t>
      </w:r>
      <w:r w:rsidR="00043D80">
        <w:rPr>
          <w:b/>
          <w:smallCaps/>
        </w:rPr>
        <w:t xml:space="preserve">Information on Alternatives </w:t>
      </w:r>
    </w:p>
    <w:p w:rsidR="00303267" w:rsidRDefault="00043D80" w:rsidP="00043D80">
      <w:pPr>
        <w:ind w:left="720" w:hanging="720"/>
        <w:jc w:val="right"/>
        <w:rPr>
          <w:b/>
          <w:smallCaps/>
        </w:rPr>
      </w:pPr>
      <w:r>
        <w:rPr>
          <w:b/>
          <w:smallCaps/>
        </w:rPr>
        <w:t>to Ozone-Depleting Substances</w:t>
      </w:r>
    </w:p>
    <w:p w:rsidR="007E475B" w:rsidRDefault="007E475B">
      <w:pPr>
        <w:ind w:left="720" w:hanging="720"/>
        <w:jc w:val="right"/>
        <w:rPr>
          <w:smallCaps/>
        </w:rPr>
      </w:pPr>
    </w:p>
    <w:p w:rsidR="007E475B" w:rsidRDefault="007E475B" w:rsidP="006A5ABF">
      <w:pPr>
        <w:spacing w:after="240"/>
        <w:rPr>
          <w:b/>
        </w:rPr>
      </w:pPr>
      <w:r>
        <w:rPr>
          <w:b/>
        </w:rPr>
        <w:br w:type="page"/>
      </w:r>
      <w:r>
        <w:rPr>
          <w:b/>
        </w:rPr>
        <w:lastRenderedPageBreak/>
        <w:t>DISCLAIMER</w:t>
      </w:r>
    </w:p>
    <w:p w:rsidR="007E475B" w:rsidRDefault="007E475B">
      <w:pPr>
        <w:spacing w:after="240"/>
        <w:ind w:right="249"/>
        <w:rPr>
          <w:sz w:val="20"/>
        </w:rPr>
      </w:pPr>
      <w:r>
        <w:rPr>
          <w:sz w:val="20"/>
        </w:rPr>
        <w:t>The United Nations Environment Programme (UNEP), the Technology and Economic Assessment Panel (TEAP) co-chairs and members, the Technical Options Committee, chairs, co-chairs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rsidR="007E475B" w:rsidRDefault="007E475B">
      <w:pPr>
        <w:spacing w:after="240"/>
        <w:ind w:right="249"/>
        <w:rPr>
          <w:sz w:val="20"/>
        </w:rPr>
      </w:pPr>
      <w:r>
        <w:rPr>
          <w:sz w:val="20"/>
        </w:rPr>
        <w:t>UNEP, the TEAP co-chairs and members, the Technical Options Committee, chairs, co-chairs and members, and the Technology and Economic Assessment Panel Task Forces co-chairs and members, in furnishing or distributing the information that follows, do not make any warranty or representation, either express or implied, with respect to the accu</w:t>
      </w:r>
      <w:r w:rsidR="006217CF">
        <w:rPr>
          <w:sz w:val="20"/>
        </w:rPr>
        <w:t>racy</w:t>
      </w:r>
      <w:r>
        <w:rPr>
          <w:sz w:val="20"/>
        </w:rPr>
        <w:t>, completeness, or utility; nor do they assume any liability of any kind whatsoever resulting from the use or reliance upon any information, material, or procedure contained herein.</w:t>
      </w:r>
    </w:p>
    <w:p w:rsidR="006217CF" w:rsidRPr="00690B35" w:rsidRDefault="00690B35" w:rsidP="006217CF">
      <w:pPr>
        <w:suppressAutoHyphens/>
        <w:spacing w:after="240"/>
        <w:ind w:right="209"/>
        <w:rPr>
          <w:b/>
          <w:sz w:val="20"/>
          <w:szCs w:val="20"/>
        </w:rPr>
      </w:pPr>
      <w:r w:rsidRPr="00690B35">
        <w:rPr>
          <w:sz w:val="20"/>
          <w:szCs w:val="20"/>
        </w:rPr>
        <w:t xml:space="preserve">Although all statements and information contained in this </w:t>
      </w:r>
      <w:r>
        <w:rPr>
          <w:sz w:val="20"/>
          <w:szCs w:val="20"/>
        </w:rPr>
        <w:t>XXVI</w:t>
      </w:r>
      <w:r w:rsidR="00CE42E3">
        <w:rPr>
          <w:sz w:val="20"/>
          <w:szCs w:val="20"/>
        </w:rPr>
        <w:t>I</w:t>
      </w:r>
      <w:r>
        <w:rPr>
          <w:sz w:val="20"/>
          <w:szCs w:val="20"/>
        </w:rPr>
        <w:t>/</w:t>
      </w:r>
      <w:r w:rsidR="00CE42E3">
        <w:rPr>
          <w:sz w:val="20"/>
          <w:szCs w:val="20"/>
        </w:rPr>
        <w:t>4</w:t>
      </w:r>
      <w:r>
        <w:rPr>
          <w:sz w:val="20"/>
          <w:szCs w:val="20"/>
        </w:rPr>
        <w:t xml:space="preserve"> </w:t>
      </w:r>
      <w:r w:rsidRPr="00690B35">
        <w:rPr>
          <w:sz w:val="20"/>
          <w:szCs w:val="20"/>
        </w:rPr>
        <w:t>report are believed to be accurate and reliable, they are presented without guarantee or warranty of any kind, expressed or implied. Information provided herein does not relieve the reader from the responsibility of carrying out its own tests and experiments, and the reader assumes all responsibility for use of the information and results obtained. Statements or suggestions concerning the use of materials and processes are made without representation or warranty that any such use is free of patent infringement and are not recommendations to infringe on any patents. The user should not assume that all toxicity data and safety measures are indicated herein or that other measures may not be required.</w:t>
      </w: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p>
    <w:p w:rsidR="006217CF" w:rsidRDefault="006217CF" w:rsidP="006217CF">
      <w:pPr>
        <w:suppressAutoHyphens/>
        <w:spacing w:after="240"/>
        <w:ind w:right="209"/>
        <w:rPr>
          <w:b/>
        </w:rPr>
      </w:pPr>
      <w:r>
        <w:rPr>
          <w:b/>
        </w:rPr>
        <w:t>ACKNOWLEDGEMENT</w:t>
      </w:r>
    </w:p>
    <w:p w:rsidR="006217CF" w:rsidRDefault="006217CF" w:rsidP="006217CF">
      <w:pPr>
        <w:pStyle w:val="BlockText"/>
        <w:spacing w:after="240"/>
        <w:rPr>
          <w:sz w:val="20"/>
        </w:rPr>
      </w:pPr>
      <w:r>
        <w:rPr>
          <w:sz w:val="20"/>
        </w:rPr>
        <w:t>The UNEP Technology and Economic Assessment Panel and the XXV</w:t>
      </w:r>
      <w:r w:rsidR="00CE42E3">
        <w:rPr>
          <w:sz w:val="20"/>
        </w:rPr>
        <w:t>II</w:t>
      </w:r>
      <w:r>
        <w:rPr>
          <w:sz w:val="20"/>
        </w:rPr>
        <w:t>/</w:t>
      </w:r>
      <w:r w:rsidR="00CE42E3">
        <w:rPr>
          <w:sz w:val="20"/>
        </w:rPr>
        <w:t>4</w:t>
      </w:r>
      <w:r>
        <w:rPr>
          <w:sz w:val="20"/>
        </w:rPr>
        <w:t xml:space="preserve"> Task Force co-chairs and members wish to express thanks to all who contributed from governments, both Article 5 and non-Article 5, furthermore in particular to the Ozone </w:t>
      </w:r>
      <w:r w:rsidR="00690B35">
        <w:rPr>
          <w:sz w:val="20"/>
        </w:rPr>
        <w:t xml:space="preserve">Secretariat </w:t>
      </w:r>
      <w:r>
        <w:rPr>
          <w:sz w:val="20"/>
        </w:rPr>
        <w:t xml:space="preserve">and the Multilateral Fund Secretariat, as well as to a large number of individuals involved in Protocol issues, without whose involvement this </w:t>
      </w:r>
      <w:r w:rsidR="00F54754">
        <w:rPr>
          <w:sz w:val="20"/>
        </w:rPr>
        <w:t xml:space="preserve">Update </w:t>
      </w:r>
      <w:r w:rsidR="00690B35">
        <w:rPr>
          <w:sz w:val="20"/>
        </w:rPr>
        <w:t xml:space="preserve">Task Force report </w:t>
      </w:r>
      <w:r>
        <w:rPr>
          <w:sz w:val="20"/>
        </w:rPr>
        <w:t>would not have been possible.</w:t>
      </w:r>
    </w:p>
    <w:p w:rsidR="006217CF" w:rsidRDefault="006217CF" w:rsidP="006217CF">
      <w:pPr>
        <w:pStyle w:val="BlockText"/>
        <w:suppressAutoHyphens w:val="0"/>
        <w:rPr>
          <w:sz w:val="20"/>
        </w:rPr>
      </w:pPr>
      <w:r>
        <w:rPr>
          <w:sz w:val="20"/>
        </w:rPr>
        <w:t>The opinions expressed are those of the Panel and its Task Force and do not necessarily reflect the reviews of any sponsoring or supporting organisation.</w:t>
      </w:r>
    </w:p>
    <w:p w:rsidR="007E475B" w:rsidRDefault="007E475B">
      <w:pPr>
        <w:suppressAutoHyphens/>
        <w:spacing w:after="240"/>
        <w:ind w:right="209"/>
        <w:rPr>
          <w:b/>
        </w:rPr>
      </w:pPr>
    </w:p>
    <w:p w:rsidR="00043D80" w:rsidRDefault="007E475B" w:rsidP="0082071D">
      <w:pPr>
        <w:pStyle w:val="Heading1"/>
        <w:spacing w:after="240"/>
      </w:pPr>
      <w:r>
        <w:rPr>
          <w:sz w:val="20"/>
        </w:rPr>
        <w:br w:type="page"/>
      </w:r>
      <w:bookmarkStart w:id="1" w:name="_Toc388648326"/>
      <w:bookmarkStart w:id="2" w:name="_Toc295138992"/>
      <w:bookmarkStart w:id="3" w:name="_Toc452653342"/>
      <w:r w:rsidR="00CF7B6F">
        <w:lastRenderedPageBreak/>
        <w:t>Preface</w:t>
      </w:r>
      <w:bookmarkEnd w:id="1"/>
      <w:bookmarkEnd w:id="2"/>
      <w:bookmarkEnd w:id="3"/>
    </w:p>
    <w:p w:rsidR="00043D80" w:rsidRDefault="00043D80" w:rsidP="00043D80">
      <w:pPr>
        <w:pStyle w:val="refs"/>
        <w:rPr>
          <w:i w:val="0"/>
          <w:iCs/>
          <w:sz w:val="22"/>
          <w:szCs w:val="22"/>
        </w:rPr>
      </w:pPr>
      <w:r w:rsidRPr="004D3AFF">
        <w:rPr>
          <w:i w:val="0"/>
          <w:iCs/>
          <w:sz w:val="22"/>
          <w:szCs w:val="22"/>
        </w:rPr>
        <w:t>Th</w:t>
      </w:r>
      <w:r w:rsidR="009D5BB7">
        <w:rPr>
          <w:i w:val="0"/>
          <w:iCs/>
          <w:sz w:val="22"/>
          <w:szCs w:val="22"/>
        </w:rPr>
        <w:t xml:space="preserve">is </w:t>
      </w:r>
      <w:r w:rsidR="0082071D">
        <w:rPr>
          <w:i w:val="0"/>
          <w:iCs/>
          <w:sz w:val="22"/>
          <w:szCs w:val="22"/>
        </w:rPr>
        <w:t xml:space="preserve">report </w:t>
      </w:r>
      <w:r w:rsidR="009D5BB7">
        <w:rPr>
          <w:i w:val="0"/>
          <w:iCs/>
          <w:sz w:val="22"/>
          <w:szCs w:val="22"/>
        </w:rPr>
        <w:t>is a</w:t>
      </w:r>
      <w:r w:rsidR="002F69D5">
        <w:rPr>
          <w:i w:val="0"/>
          <w:iCs/>
          <w:sz w:val="22"/>
          <w:szCs w:val="22"/>
        </w:rPr>
        <w:t xml:space="preserve"> follow up to the </w:t>
      </w:r>
      <w:r w:rsidR="00AB3587">
        <w:rPr>
          <w:i w:val="0"/>
          <w:iCs/>
          <w:sz w:val="22"/>
          <w:szCs w:val="22"/>
        </w:rPr>
        <w:t xml:space="preserve">March 2016 </w:t>
      </w:r>
      <w:r w:rsidRPr="004D3AFF">
        <w:rPr>
          <w:i w:val="0"/>
          <w:iCs/>
          <w:sz w:val="22"/>
          <w:szCs w:val="22"/>
        </w:rPr>
        <w:t xml:space="preserve">TEAP </w:t>
      </w:r>
      <w:r w:rsidR="009D5BB7">
        <w:rPr>
          <w:i w:val="0"/>
          <w:iCs/>
          <w:sz w:val="22"/>
          <w:szCs w:val="22"/>
        </w:rPr>
        <w:t>XXVI</w:t>
      </w:r>
      <w:r w:rsidR="00AB3587">
        <w:rPr>
          <w:i w:val="0"/>
          <w:iCs/>
          <w:sz w:val="22"/>
          <w:szCs w:val="22"/>
        </w:rPr>
        <w:t>I</w:t>
      </w:r>
      <w:r w:rsidR="009D5BB7">
        <w:rPr>
          <w:i w:val="0"/>
          <w:iCs/>
          <w:sz w:val="22"/>
          <w:szCs w:val="22"/>
        </w:rPr>
        <w:t>/</w:t>
      </w:r>
      <w:r w:rsidR="00AB3587">
        <w:rPr>
          <w:i w:val="0"/>
          <w:iCs/>
          <w:sz w:val="22"/>
          <w:szCs w:val="22"/>
        </w:rPr>
        <w:t>4</w:t>
      </w:r>
      <w:r w:rsidR="009D5BB7">
        <w:rPr>
          <w:i w:val="0"/>
          <w:iCs/>
          <w:sz w:val="22"/>
          <w:szCs w:val="22"/>
        </w:rPr>
        <w:t xml:space="preserve"> Task Force </w:t>
      </w:r>
      <w:r w:rsidRPr="004D3AFF">
        <w:rPr>
          <w:i w:val="0"/>
          <w:iCs/>
          <w:sz w:val="22"/>
          <w:szCs w:val="22"/>
        </w:rPr>
        <w:t>Report</w:t>
      </w:r>
      <w:r w:rsidR="002F69D5">
        <w:rPr>
          <w:i w:val="0"/>
          <w:iCs/>
          <w:sz w:val="22"/>
          <w:szCs w:val="22"/>
        </w:rPr>
        <w:t xml:space="preserve">, submitted to the </w:t>
      </w:r>
      <w:r w:rsidR="00AB3587">
        <w:rPr>
          <w:i w:val="0"/>
          <w:iCs/>
          <w:sz w:val="22"/>
          <w:szCs w:val="22"/>
        </w:rPr>
        <w:t xml:space="preserve">OEWG-37 </w:t>
      </w:r>
      <w:r w:rsidR="002F69D5">
        <w:rPr>
          <w:i w:val="0"/>
          <w:iCs/>
          <w:sz w:val="22"/>
          <w:szCs w:val="22"/>
        </w:rPr>
        <w:t xml:space="preserve">Meeting of the Parties in </w:t>
      </w:r>
      <w:r w:rsidR="00AB3587">
        <w:rPr>
          <w:i w:val="0"/>
          <w:iCs/>
          <w:sz w:val="22"/>
          <w:szCs w:val="22"/>
        </w:rPr>
        <w:t>Geneva</w:t>
      </w:r>
      <w:r w:rsidR="002F69D5">
        <w:rPr>
          <w:i w:val="0"/>
          <w:iCs/>
          <w:sz w:val="22"/>
          <w:szCs w:val="22"/>
        </w:rPr>
        <w:t xml:space="preserve">, </w:t>
      </w:r>
      <w:r w:rsidR="00AB3587">
        <w:rPr>
          <w:i w:val="0"/>
          <w:iCs/>
          <w:sz w:val="22"/>
          <w:szCs w:val="22"/>
        </w:rPr>
        <w:t>April 2016</w:t>
      </w:r>
      <w:r w:rsidR="009D5BB7">
        <w:rPr>
          <w:i w:val="0"/>
          <w:iCs/>
          <w:sz w:val="22"/>
          <w:szCs w:val="22"/>
        </w:rPr>
        <w:t>.</w:t>
      </w:r>
    </w:p>
    <w:p w:rsidR="009D5BB7" w:rsidRDefault="009D5BB7" w:rsidP="00043D80">
      <w:pPr>
        <w:pStyle w:val="refs"/>
        <w:rPr>
          <w:i w:val="0"/>
          <w:iCs/>
          <w:sz w:val="22"/>
          <w:szCs w:val="22"/>
        </w:rPr>
      </w:pPr>
      <w:r>
        <w:rPr>
          <w:i w:val="0"/>
          <w:iCs/>
          <w:sz w:val="22"/>
          <w:szCs w:val="22"/>
        </w:rPr>
        <w:t xml:space="preserve">This </w:t>
      </w:r>
      <w:r w:rsidR="00AB3587">
        <w:rPr>
          <w:i w:val="0"/>
          <w:iCs/>
          <w:sz w:val="22"/>
          <w:szCs w:val="22"/>
        </w:rPr>
        <w:t xml:space="preserve">June </w:t>
      </w:r>
      <w:r>
        <w:rPr>
          <w:i w:val="0"/>
          <w:iCs/>
          <w:sz w:val="22"/>
          <w:szCs w:val="22"/>
        </w:rPr>
        <w:t>201</w:t>
      </w:r>
      <w:r w:rsidR="002F69D5">
        <w:rPr>
          <w:i w:val="0"/>
          <w:iCs/>
          <w:sz w:val="22"/>
          <w:szCs w:val="22"/>
        </w:rPr>
        <w:t>6</w:t>
      </w:r>
      <w:r>
        <w:rPr>
          <w:i w:val="0"/>
          <w:iCs/>
          <w:sz w:val="22"/>
          <w:szCs w:val="22"/>
        </w:rPr>
        <w:t xml:space="preserve"> TEAP XXVI</w:t>
      </w:r>
      <w:r w:rsidR="002F69D5">
        <w:rPr>
          <w:i w:val="0"/>
          <w:iCs/>
          <w:sz w:val="22"/>
          <w:szCs w:val="22"/>
        </w:rPr>
        <w:t>I</w:t>
      </w:r>
      <w:r>
        <w:rPr>
          <w:i w:val="0"/>
          <w:iCs/>
          <w:sz w:val="22"/>
          <w:szCs w:val="22"/>
        </w:rPr>
        <w:t>/</w:t>
      </w:r>
      <w:r w:rsidR="002F69D5">
        <w:rPr>
          <w:i w:val="0"/>
          <w:iCs/>
          <w:sz w:val="22"/>
          <w:szCs w:val="22"/>
        </w:rPr>
        <w:t>4</w:t>
      </w:r>
      <w:r>
        <w:rPr>
          <w:i w:val="0"/>
          <w:iCs/>
          <w:sz w:val="22"/>
          <w:szCs w:val="22"/>
        </w:rPr>
        <w:t xml:space="preserve"> Task Force report is being submitted by the TEAP to the </w:t>
      </w:r>
      <w:r w:rsidR="002F69D5">
        <w:rPr>
          <w:i w:val="0"/>
          <w:iCs/>
          <w:sz w:val="22"/>
          <w:szCs w:val="22"/>
        </w:rPr>
        <w:t>3</w:t>
      </w:r>
      <w:r w:rsidR="00AB3587">
        <w:rPr>
          <w:i w:val="0"/>
          <w:iCs/>
          <w:sz w:val="22"/>
          <w:szCs w:val="22"/>
        </w:rPr>
        <w:t>8</w:t>
      </w:r>
      <w:r>
        <w:rPr>
          <w:i w:val="0"/>
          <w:iCs/>
          <w:sz w:val="22"/>
          <w:szCs w:val="22"/>
        </w:rPr>
        <w:t xml:space="preserve">th Meeting of the </w:t>
      </w:r>
      <w:r w:rsidR="002F69D5">
        <w:rPr>
          <w:i w:val="0"/>
          <w:iCs/>
          <w:sz w:val="22"/>
          <w:szCs w:val="22"/>
        </w:rPr>
        <w:t xml:space="preserve">Open-ended Working Group of the Parties to the Montreal Protocol, </w:t>
      </w:r>
      <w:r w:rsidR="00AB3587">
        <w:rPr>
          <w:i w:val="0"/>
          <w:iCs/>
          <w:sz w:val="22"/>
          <w:szCs w:val="22"/>
        </w:rPr>
        <w:t>Vienna</w:t>
      </w:r>
      <w:r w:rsidR="002F69D5">
        <w:rPr>
          <w:i w:val="0"/>
          <w:iCs/>
          <w:sz w:val="22"/>
          <w:szCs w:val="22"/>
        </w:rPr>
        <w:t>,</w:t>
      </w:r>
      <w:r w:rsidR="00AB3587">
        <w:rPr>
          <w:i w:val="0"/>
          <w:iCs/>
          <w:sz w:val="22"/>
          <w:szCs w:val="22"/>
        </w:rPr>
        <w:t xml:space="preserve"> July</w:t>
      </w:r>
      <w:r w:rsidR="002F69D5">
        <w:rPr>
          <w:i w:val="0"/>
          <w:iCs/>
          <w:sz w:val="22"/>
          <w:szCs w:val="22"/>
        </w:rPr>
        <w:t xml:space="preserve"> </w:t>
      </w:r>
      <w:r>
        <w:rPr>
          <w:i w:val="0"/>
          <w:iCs/>
          <w:sz w:val="22"/>
          <w:szCs w:val="22"/>
        </w:rPr>
        <w:t>201</w:t>
      </w:r>
      <w:r w:rsidR="002F69D5">
        <w:rPr>
          <w:i w:val="0"/>
          <w:iCs/>
          <w:sz w:val="22"/>
          <w:szCs w:val="22"/>
        </w:rPr>
        <w:t>6</w:t>
      </w:r>
      <w:r>
        <w:rPr>
          <w:i w:val="0"/>
          <w:iCs/>
          <w:sz w:val="22"/>
          <w:szCs w:val="22"/>
        </w:rPr>
        <w:t xml:space="preserve">. </w:t>
      </w:r>
    </w:p>
    <w:p w:rsidR="00043D80" w:rsidRDefault="00043D80" w:rsidP="00043D80">
      <w:pPr>
        <w:pStyle w:val="BodyText"/>
        <w:spacing w:line="240" w:lineRule="auto"/>
        <w:ind w:left="360"/>
      </w:pPr>
    </w:p>
    <w:p w:rsidR="00043D80" w:rsidRDefault="00043D80" w:rsidP="00043D80">
      <w:r>
        <w:t xml:space="preserve"> The UNEP Technology and Economic Assessment Panel (TEAP):</w:t>
      </w:r>
    </w:p>
    <w:p w:rsidR="00043D80" w:rsidRDefault="00043D80">
      <w:pPr>
        <w:pStyle w:val="BodyText"/>
        <w:tabs>
          <w:tab w:val="left" w:pos="1418"/>
        </w:tabs>
        <w:spacing w:line="240" w:lineRule="auto"/>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851"/>
        <w:gridCol w:w="2977"/>
        <w:gridCol w:w="1214"/>
      </w:tblGrid>
      <w:tr w:rsidR="002376F3" w:rsidTr="00DF1E74">
        <w:tc>
          <w:tcPr>
            <w:tcW w:w="3260" w:type="dxa"/>
            <w:shd w:val="clear" w:color="auto" w:fill="auto"/>
          </w:tcPr>
          <w:p w:rsidR="002376F3" w:rsidRDefault="002376F3" w:rsidP="002376F3">
            <w:pPr>
              <w:pStyle w:val="BodyText"/>
              <w:tabs>
                <w:tab w:val="left" w:pos="1418"/>
              </w:tabs>
              <w:spacing w:before="20" w:line="240" w:lineRule="auto"/>
            </w:pPr>
            <w:r>
              <w:t>Bella Maranion, co-chair</w:t>
            </w:r>
          </w:p>
        </w:tc>
        <w:tc>
          <w:tcPr>
            <w:tcW w:w="851" w:type="dxa"/>
            <w:shd w:val="clear" w:color="auto" w:fill="auto"/>
          </w:tcPr>
          <w:p w:rsidR="002376F3" w:rsidRDefault="002376F3" w:rsidP="002376F3">
            <w:pPr>
              <w:pStyle w:val="BodyText"/>
              <w:tabs>
                <w:tab w:val="left" w:pos="1418"/>
              </w:tabs>
              <w:spacing w:before="20" w:line="240" w:lineRule="auto"/>
              <w:jc w:val="center"/>
            </w:pPr>
            <w:r>
              <w:t>USA</w:t>
            </w:r>
          </w:p>
        </w:tc>
        <w:tc>
          <w:tcPr>
            <w:tcW w:w="2977" w:type="dxa"/>
            <w:shd w:val="clear" w:color="auto" w:fill="auto"/>
          </w:tcPr>
          <w:p w:rsidR="002376F3" w:rsidRDefault="002376F3" w:rsidP="00F712FD">
            <w:pPr>
              <w:pStyle w:val="BodyText"/>
              <w:tabs>
                <w:tab w:val="left" w:pos="1418"/>
              </w:tabs>
              <w:spacing w:before="20" w:line="240" w:lineRule="auto"/>
            </w:pPr>
            <w:r>
              <w:t>Keiichi Ohnishi</w:t>
            </w:r>
          </w:p>
        </w:tc>
        <w:tc>
          <w:tcPr>
            <w:tcW w:w="1214" w:type="dxa"/>
            <w:shd w:val="clear" w:color="auto" w:fill="auto"/>
          </w:tcPr>
          <w:p w:rsidR="002376F3" w:rsidRDefault="002376F3" w:rsidP="002376F3">
            <w:pPr>
              <w:pStyle w:val="BodyText"/>
              <w:tabs>
                <w:tab w:val="left" w:pos="1418"/>
              </w:tabs>
              <w:spacing w:before="20" w:line="240" w:lineRule="auto"/>
              <w:jc w:val="center"/>
            </w:pPr>
            <w:r>
              <w:t>J</w:t>
            </w:r>
          </w:p>
        </w:tc>
      </w:tr>
      <w:tr w:rsidR="002376F3" w:rsidTr="00DF1E74">
        <w:tc>
          <w:tcPr>
            <w:tcW w:w="3260" w:type="dxa"/>
            <w:shd w:val="clear" w:color="auto" w:fill="auto"/>
          </w:tcPr>
          <w:p w:rsidR="002376F3" w:rsidRDefault="002376F3" w:rsidP="002376F3">
            <w:pPr>
              <w:pStyle w:val="BodyText"/>
              <w:tabs>
                <w:tab w:val="left" w:pos="1418"/>
              </w:tabs>
              <w:spacing w:before="20" w:line="240" w:lineRule="auto"/>
            </w:pPr>
            <w:r>
              <w:t>Marta Pizano, co-chair</w:t>
            </w:r>
          </w:p>
        </w:tc>
        <w:tc>
          <w:tcPr>
            <w:tcW w:w="851" w:type="dxa"/>
            <w:shd w:val="clear" w:color="auto" w:fill="auto"/>
          </w:tcPr>
          <w:p w:rsidR="002376F3" w:rsidRDefault="002376F3" w:rsidP="002376F3">
            <w:pPr>
              <w:pStyle w:val="BodyText"/>
              <w:tabs>
                <w:tab w:val="left" w:pos="1418"/>
              </w:tabs>
              <w:spacing w:before="20" w:line="240" w:lineRule="auto"/>
              <w:jc w:val="center"/>
            </w:pPr>
            <w:r>
              <w:t>COL</w:t>
            </w:r>
          </w:p>
        </w:tc>
        <w:tc>
          <w:tcPr>
            <w:tcW w:w="2977" w:type="dxa"/>
            <w:shd w:val="clear" w:color="auto" w:fill="auto"/>
          </w:tcPr>
          <w:p w:rsidR="002376F3" w:rsidRDefault="002376F3" w:rsidP="00F712FD">
            <w:pPr>
              <w:pStyle w:val="BodyText"/>
              <w:tabs>
                <w:tab w:val="left" w:pos="1418"/>
              </w:tabs>
              <w:spacing w:before="20" w:line="240" w:lineRule="auto"/>
            </w:pPr>
            <w:r>
              <w:t>Fabio Polonara</w:t>
            </w:r>
          </w:p>
        </w:tc>
        <w:tc>
          <w:tcPr>
            <w:tcW w:w="1214" w:type="dxa"/>
            <w:shd w:val="clear" w:color="auto" w:fill="auto"/>
          </w:tcPr>
          <w:p w:rsidR="002376F3" w:rsidRDefault="002376F3" w:rsidP="002376F3">
            <w:pPr>
              <w:pStyle w:val="BodyText"/>
              <w:tabs>
                <w:tab w:val="left" w:pos="1418"/>
              </w:tabs>
              <w:spacing w:before="20" w:line="240" w:lineRule="auto"/>
              <w:jc w:val="center"/>
            </w:pPr>
            <w:r>
              <w:t>I</w:t>
            </w:r>
          </w:p>
        </w:tc>
      </w:tr>
      <w:tr w:rsidR="002376F3" w:rsidTr="008A52E4">
        <w:tc>
          <w:tcPr>
            <w:tcW w:w="3260" w:type="dxa"/>
            <w:shd w:val="clear" w:color="auto" w:fill="auto"/>
          </w:tcPr>
          <w:p w:rsidR="002376F3" w:rsidRDefault="002376F3" w:rsidP="002376F3">
            <w:pPr>
              <w:pStyle w:val="BodyText"/>
              <w:tabs>
                <w:tab w:val="left" w:pos="1418"/>
              </w:tabs>
              <w:spacing w:before="20" w:line="240" w:lineRule="auto"/>
            </w:pPr>
            <w:r>
              <w:t>Ashley Woodcock, co-chair</w:t>
            </w:r>
          </w:p>
        </w:tc>
        <w:tc>
          <w:tcPr>
            <w:tcW w:w="851" w:type="dxa"/>
            <w:shd w:val="clear" w:color="auto" w:fill="auto"/>
          </w:tcPr>
          <w:p w:rsidR="002376F3" w:rsidRDefault="002376F3" w:rsidP="002376F3">
            <w:pPr>
              <w:pStyle w:val="BodyText"/>
              <w:tabs>
                <w:tab w:val="left" w:pos="1418"/>
              </w:tabs>
              <w:spacing w:before="20" w:line="240" w:lineRule="auto"/>
              <w:jc w:val="center"/>
            </w:pPr>
            <w:r>
              <w:t>UK</w:t>
            </w:r>
          </w:p>
        </w:tc>
        <w:tc>
          <w:tcPr>
            <w:tcW w:w="2977" w:type="dxa"/>
            <w:shd w:val="clear" w:color="auto" w:fill="auto"/>
            <w:vAlign w:val="center"/>
          </w:tcPr>
          <w:p w:rsidR="002376F3" w:rsidRPr="00FE2216" w:rsidRDefault="002376F3" w:rsidP="00F712FD">
            <w:pPr>
              <w:pStyle w:val="BodyText"/>
              <w:spacing w:before="20" w:line="240" w:lineRule="auto"/>
            </w:pPr>
            <w:r w:rsidRPr="00FE2216">
              <w:t>Roberto Pe</w:t>
            </w:r>
            <w:r w:rsidR="00F712FD">
              <w:t>ixoto</w:t>
            </w:r>
          </w:p>
        </w:tc>
        <w:tc>
          <w:tcPr>
            <w:tcW w:w="1214" w:type="dxa"/>
            <w:shd w:val="clear" w:color="auto" w:fill="auto"/>
            <w:vAlign w:val="center"/>
          </w:tcPr>
          <w:p w:rsidR="002376F3" w:rsidRPr="00FE2216" w:rsidRDefault="002376F3" w:rsidP="002376F3">
            <w:pPr>
              <w:pStyle w:val="BodyText"/>
              <w:spacing w:before="20" w:line="240" w:lineRule="auto"/>
              <w:ind w:left="72" w:right="33"/>
              <w:jc w:val="center"/>
            </w:pPr>
            <w:r w:rsidRPr="00FE2216">
              <w:t>BRA</w:t>
            </w:r>
          </w:p>
        </w:tc>
      </w:tr>
      <w:tr w:rsidR="002376F3" w:rsidTr="00DF1E74">
        <w:tc>
          <w:tcPr>
            <w:tcW w:w="3260" w:type="dxa"/>
            <w:shd w:val="clear" w:color="auto" w:fill="auto"/>
            <w:vAlign w:val="center"/>
          </w:tcPr>
          <w:p w:rsidR="002376F3" w:rsidRDefault="002376F3" w:rsidP="002376F3">
            <w:pPr>
              <w:pStyle w:val="BodyText"/>
              <w:spacing w:before="20" w:line="240" w:lineRule="auto"/>
            </w:pPr>
            <w:r>
              <w:t>Mohamed Besri</w:t>
            </w:r>
          </w:p>
        </w:tc>
        <w:tc>
          <w:tcPr>
            <w:tcW w:w="851" w:type="dxa"/>
            <w:shd w:val="clear" w:color="auto" w:fill="auto"/>
          </w:tcPr>
          <w:p w:rsidR="002376F3" w:rsidRDefault="002376F3" w:rsidP="002376F3">
            <w:pPr>
              <w:pStyle w:val="BodyText"/>
              <w:tabs>
                <w:tab w:val="left" w:pos="1418"/>
              </w:tabs>
              <w:spacing w:before="20" w:line="240" w:lineRule="auto"/>
              <w:jc w:val="center"/>
            </w:pPr>
            <w:r>
              <w:t>MOR</w:t>
            </w:r>
          </w:p>
        </w:tc>
        <w:tc>
          <w:tcPr>
            <w:tcW w:w="2977" w:type="dxa"/>
            <w:shd w:val="clear" w:color="auto" w:fill="auto"/>
            <w:vAlign w:val="center"/>
          </w:tcPr>
          <w:p w:rsidR="002376F3" w:rsidRPr="00FE2216" w:rsidRDefault="002376F3" w:rsidP="00F712FD">
            <w:pPr>
              <w:pStyle w:val="BodyText"/>
              <w:spacing w:before="20" w:line="240" w:lineRule="auto"/>
            </w:pPr>
            <w:r w:rsidRPr="00FE2216">
              <w:t>Ian Porter</w:t>
            </w:r>
          </w:p>
        </w:tc>
        <w:tc>
          <w:tcPr>
            <w:tcW w:w="1214" w:type="dxa"/>
            <w:shd w:val="clear" w:color="auto" w:fill="auto"/>
            <w:vAlign w:val="center"/>
          </w:tcPr>
          <w:p w:rsidR="002376F3" w:rsidRPr="00FE2216" w:rsidRDefault="002376F3" w:rsidP="002376F3">
            <w:pPr>
              <w:pStyle w:val="BodyText"/>
              <w:spacing w:before="20" w:line="240" w:lineRule="auto"/>
              <w:ind w:left="72" w:right="33"/>
              <w:jc w:val="center"/>
            </w:pPr>
            <w:r w:rsidRPr="00FE2216">
              <w:t>AUS</w:t>
            </w:r>
          </w:p>
        </w:tc>
      </w:tr>
      <w:tr w:rsidR="002376F3" w:rsidTr="00DF1E74">
        <w:tc>
          <w:tcPr>
            <w:tcW w:w="3260" w:type="dxa"/>
            <w:shd w:val="clear" w:color="auto" w:fill="auto"/>
            <w:vAlign w:val="center"/>
          </w:tcPr>
          <w:p w:rsidR="002376F3" w:rsidRDefault="002376F3" w:rsidP="002376F3">
            <w:pPr>
              <w:pStyle w:val="BodyText"/>
              <w:spacing w:before="20" w:line="240" w:lineRule="auto"/>
            </w:pPr>
            <w:r>
              <w:t>Suely Carvalho</w:t>
            </w:r>
          </w:p>
        </w:tc>
        <w:tc>
          <w:tcPr>
            <w:tcW w:w="851" w:type="dxa"/>
            <w:shd w:val="clear" w:color="auto" w:fill="auto"/>
          </w:tcPr>
          <w:p w:rsidR="002376F3" w:rsidRDefault="002376F3" w:rsidP="002376F3">
            <w:pPr>
              <w:pStyle w:val="BodyText"/>
              <w:tabs>
                <w:tab w:val="left" w:pos="1418"/>
              </w:tabs>
              <w:spacing w:before="20" w:line="240" w:lineRule="auto"/>
              <w:jc w:val="center"/>
            </w:pPr>
            <w:r>
              <w:t>BRA</w:t>
            </w:r>
          </w:p>
        </w:tc>
        <w:tc>
          <w:tcPr>
            <w:tcW w:w="2977" w:type="dxa"/>
            <w:shd w:val="clear" w:color="auto" w:fill="auto"/>
            <w:vAlign w:val="center"/>
          </w:tcPr>
          <w:p w:rsidR="002376F3" w:rsidRPr="00FE2216" w:rsidRDefault="002376F3" w:rsidP="00F712FD">
            <w:pPr>
              <w:pStyle w:val="BodyText"/>
              <w:spacing w:before="20" w:line="240" w:lineRule="auto"/>
            </w:pPr>
            <w:r>
              <w:t>Helen Tope</w:t>
            </w:r>
          </w:p>
        </w:tc>
        <w:tc>
          <w:tcPr>
            <w:tcW w:w="1214" w:type="dxa"/>
            <w:shd w:val="clear" w:color="auto" w:fill="auto"/>
            <w:vAlign w:val="center"/>
          </w:tcPr>
          <w:p w:rsidR="002376F3" w:rsidRPr="00FE2216" w:rsidRDefault="002376F3" w:rsidP="002376F3">
            <w:pPr>
              <w:pStyle w:val="BodyText"/>
              <w:spacing w:before="20" w:line="240" w:lineRule="auto"/>
              <w:ind w:left="72" w:right="33"/>
              <w:jc w:val="center"/>
            </w:pPr>
            <w:r w:rsidRPr="00FE2216">
              <w:t>AUS</w:t>
            </w:r>
          </w:p>
        </w:tc>
      </w:tr>
      <w:tr w:rsidR="002376F3" w:rsidTr="00DF1E74">
        <w:tc>
          <w:tcPr>
            <w:tcW w:w="3260" w:type="dxa"/>
            <w:shd w:val="clear" w:color="auto" w:fill="auto"/>
            <w:vAlign w:val="center"/>
          </w:tcPr>
          <w:p w:rsidR="002376F3" w:rsidRDefault="002376F3" w:rsidP="002376F3">
            <w:pPr>
              <w:pStyle w:val="BodyText"/>
              <w:spacing w:before="20" w:line="240" w:lineRule="auto"/>
            </w:pPr>
            <w:r>
              <w:t>David Catchpole</w:t>
            </w:r>
          </w:p>
        </w:tc>
        <w:tc>
          <w:tcPr>
            <w:tcW w:w="851" w:type="dxa"/>
            <w:shd w:val="clear" w:color="auto" w:fill="auto"/>
          </w:tcPr>
          <w:p w:rsidR="002376F3" w:rsidRDefault="002376F3" w:rsidP="002376F3">
            <w:pPr>
              <w:pStyle w:val="BodyText"/>
              <w:tabs>
                <w:tab w:val="left" w:pos="1418"/>
              </w:tabs>
              <w:spacing w:before="20" w:line="240" w:lineRule="auto"/>
              <w:jc w:val="center"/>
            </w:pPr>
            <w:r>
              <w:t>UK</w:t>
            </w:r>
          </w:p>
        </w:tc>
        <w:tc>
          <w:tcPr>
            <w:tcW w:w="2977" w:type="dxa"/>
            <w:shd w:val="clear" w:color="auto" w:fill="auto"/>
            <w:vAlign w:val="center"/>
          </w:tcPr>
          <w:p w:rsidR="002376F3" w:rsidRPr="00FE2216" w:rsidRDefault="002376F3" w:rsidP="00F712FD">
            <w:pPr>
              <w:pStyle w:val="BodyText"/>
              <w:spacing w:before="20" w:line="240" w:lineRule="auto"/>
            </w:pPr>
            <w:r w:rsidRPr="00FE2216">
              <w:t>Dan Verdonik</w:t>
            </w:r>
          </w:p>
        </w:tc>
        <w:tc>
          <w:tcPr>
            <w:tcW w:w="1214" w:type="dxa"/>
            <w:shd w:val="clear" w:color="auto" w:fill="auto"/>
            <w:vAlign w:val="center"/>
          </w:tcPr>
          <w:p w:rsidR="002376F3" w:rsidRPr="00FE2216" w:rsidRDefault="002376F3" w:rsidP="002376F3">
            <w:pPr>
              <w:pStyle w:val="BodyText"/>
              <w:spacing w:before="20" w:line="240" w:lineRule="auto"/>
              <w:ind w:left="72" w:right="33"/>
              <w:jc w:val="center"/>
            </w:pPr>
            <w:r w:rsidRPr="00FE2216">
              <w:t>USA</w:t>
            </w:r>
          </w:p>
        </w:tc>
      </w:tr>
      <w:tr w:rsidR="002376F3" w:rsidTr="00DF1E74">
        <w:tc>
          <w:tcPr>
            <w:tcW w:w="3260" w:type="dxa"/>
            <w:shd w:val="clear" w:color="auto" w:fill="auto"/>
            <w:vAlign w:val="center"/>
          </w:tcPr>
          <w:p w:rsidR="002376F3" w:rsidRDefault="002376F3" w:rsidP="002376F3">
            <w:pPr>
              <w:pStyle w:val="BodyText"/>
              <w:spacing w:before="20" w:line="240" w:lineRule="auto"/>
            </w:pPr>
            <w:r>
              <w:t>Marco Gonzalez</w:t>
            </w:r>
          </w:p>
        </w:tc>
        <w:tc>
          <w:tcPr>
            <w:tcW w:w="851" w:type="dxa"/>
            <w:shd w:val="clear" w:color="auto" w:fill="auto"/>
          </w:tcPr>
          <w:p w:rsidR="002376F3" w:rsidRDefault="002376F3" w:rsidP="002376F3">
            <w:pPr>
              <w:pStyle w:val="BodyText"/>
              <w:tabs>
                <w:tab w:val="left" w:pos="1418"/>
              </w:tabs>
              <w:spacing w:before="20" w:line="240" w:lineRule="auto"/>
              <w:jc w:val="center"/>
            </w:pPr>
            <w:r>
              <w:t>CR</w:t>
            </w:r>
          </w:p>
        </w:tc>
        <w:tc>
          <w:tcPr>
            <w:tcW w:w="2977" w:type="dxa"/>
            <w:shd w:val="clear" w:color="auto" w:fill="auto"/>
            <w:vAlign w:val="center"/>
          </w:tcPr>
          <w:p w:rsidR="002376F3" w:rsidRPr="00FE2216" w:rsidRDefault="002376F3" w:rsidP="00F712FD">
            <w:pPr>
              <w:pStyle w:val="BodyText"/>
              <w:spacing w:before="20" w:line="240" w:lineRule="auto"/>
            </w:pPr>
            <w:r>
              <w:t>Shiqiu Zhang</w:t>
            </w:r>
          </w:p>
        </w:tc>
        <w:tc>
          <w:tcPr>
            <w:tcW w:w="1214" w:type="dxa"/>
            <w:shd w:val="clear" w:color="auto" w:fill="auto"/>
            <w:vAlign w:val="center"/>
          </w:tcPr>
          <w:p w:rsidR="002376F3" w:rsidRPr="00FE2216" w:rsidRDefault="002376F3" w:rsidP="002376F3">
            <w:pPr>
              <w:pStyle w:val="BodyText"/>
              <w:spacing w:before="20" w:line="240" w:lineRule="auto"/>
              <w:ind w:left="72" w:right="33"/>
              <w:jc w:val="center"/>
            </w:pPr>
            <w:r>
              <w:t>PRC</w:t>
            </w:r>
          </w:p>
        </w:tc>
      </w:tr>
      <w:tr w:rsidR="002376F3" w:rsidTr="00DF1E74">
        <w:tc>
          <w:tcPr>
            <w:tcW w:w="3260" w:type="dxa"/>
            <w:shd w:val="clear" w:color="auto" w:fill="auto"/>
            <w:vAlign w:val="center"/>
          </w:tcPr>
          <w:p w:rsidR="002376F3" w:rsidRDefault="002376F3" w:rsidP="002376F3">
            <w:pPr>
              <w:pStyle w:val="BodyText"/>
              <w:spacing w:before="20" w:line="240" w:lineRule="auto"/>
            </w:pPr>
            <w:r>
              <w:t>Sergey Kopylov</w:t>
            </w:r>
          </w:p>
        </w:tc>
        <w:tc>
          <w:tcPr>
            <w:tcW w:w="851" w:type="dxa"/>
            <w:shd w:val="clear" w:color="auto" w:fill="auto"/>
          </w:tcPr>
          <w:p w:rsidR="002376F3" w:rsidRDefault="002376F3" w:rsidP="002376F3">
            <w:pPr>
              <w:pStyle w:val="BodyText"/>
              <w:tabs>
                <w:tab w:val="left" w:pos="1418"/>
              </w:tabs>
              <w:spacing w:before="20" w:line="240" w:lineRule="auto"/>
              <w:jc w:val="center"/>
            </w:pPr>
            <w:r>
              <w:t>RF</w:t>
            </w:r>
          </w:p>
        </w:tc>
        <w:tc>
          <w:tcPr>
            <w:tcW w:w="2977" w:type="dxa"/>
            <w:shd w:val="clear" w:color="auto" w:fill="auto"/>
            <w:vAlign w:val="center"/>
          </w:tcPr>
          <w:p w:rsidR="002376F3" w:rsidRDefault="002376F3" w:rsidP="00F712FD">
            <w:pPr>
              <w:pStyle w:val="BodyText"/>
              <w:spacing w:before="20" w:line="240" w:lineRule="auto"/>
            </w:pPr>
            <w:r>
              <w:t>Jianjun Zhang</w:t>
            </w:r>
          </w:p>
        </w:tc>
        <w:tc>
          <w:tcPr>
            <w:tcW w:w="1214" w:type="dxa"/>
            <w:shd w:val="clear" w:color="auto" w:fill="auto"/>
            <w:vAlign w:val="center"/>
          </w:tcPr>
          <w:p w:rsidR="002376F3" w:rsidRDefault="002376F3" w:rsidP="002376F3">
            <w:pPr>
              <w:pStyle w:val="BodyText"/>
              <w:spacing w:before="20" w:line="240" w:lineRule="auto"/>
              <w:ind w:left="72" w:right="33"/>
              <w:jc w:val="center"/>
            </w:pPr>
            <w:r>
              <w:t>PRC</w:t>
            </w:r>
          </w:p>
        </w:tc>
      </w:tr>
      <w:tr w:rsidR="007579F8" w:rsidTr="00A573CC">
        <w:tc>
          <w:tcPr>
            <w:tcW w:w="3260" w:type="dxa"/>
            <w:shd w:val="clear" w:color="auto" w:fill="auto"/>
            <w:vAlign w:val="center"/>
          </w:tcPr>
          <w:p w:rsidR="007579F8" w:rsidRDefault="007579F8" w:rsidP="002376F3">
            <w:pPr>
              <w:pStyle w:val="BodyText"/>
              <w:spacing w:before="20" w:line="240" w:lineRule="auto"/>
            </w:pPr>
            <w:r>
              <w:t>Lambert Kuijpers</w:t>
            </w:r>
          </w:p>
        </w:tc>
        <w:tc>
          <w:tcPr>
            <w:tcW w:w="851" w:type="dxa"/>
            <w:shd w:val="clear" w:color="auto" w:fill="auto"/>
          </w:tcPr>
          <w:p w:rsidR="007579F8" w:rsidRDefault="007579F8" w:rsidP="002376F3">
            <w:pPr>
              <w:pStyle w:val="BodyText"/>
              <w:tabs>
                <w:tab w:val="left" w:pos="1418"/>
              </w:tabs>
              <w:spacing w:before="20" w:line="240" w:lineRule="auto"/>
              <w:jc w:val="center"/>
            </w:pPr>
            <w:r>
              <w:t>NL</w:t>
            </w:r>
          </w:p>
        </w:tc>
        <w:tc>
          <w:tcPr>
            <w:tcW w:w="4191" w:type="dxa"/>
            <w:gridSpan w:val="2"/>
            <w:shd w:val="clear" w:color="auto" w:fill="auto"/>
            <w:vAlign w:val="center"/>
          </w:tcPr>
          <w:p w:rsidR="007579F8" w:rsidRDefault="007579F8" w:rsidP="002376F3">
            <w:pPr>
              <w:pStyle w:val="BodyText"/>
              <w:spacing w:before="20" w:line="240" w:lineRule="auto"/>
              <w:ind w:left="72" w:right="33"/>
              <w:jc w:val="center"/>
            </w:pPr>
          </w:p>
        </w:tc>
      </w:tr>
    </w:tbl>
    <w:p w:rsidR="00043D80" w:rsidRDefault="00043D80">
      <w:pPr>
        <w:pStyle w:val="BodyText"/>
        <w:tabs>
          <w:tab w:val="left" w:pos="1418"/>
        </w:tabs>
        <w:spacing w:line="240" w:lineRule="auto"/>
      </w:pPr>
    </w:p>
    <w:p w:rsidR="00043D80" w:rsidRDefault="00043D80">
      <w:pPr>
        <w:pStyle w:val="BodyText"/>
        <w:tabs>
          <w:tab w:val="left" w:pos="1418"/>
        </w:tabs>
        <w:spacing w:line="240" w:lineRule="auto"/>
      </w:pPr>
    </w:p>
    <w:p w:rsidR="00E06D29" w:rsidRDefault="00E06D29">
      <w:pPr>
        <w:pStyle w:val="BodyText"/>
        <w:tabs>
          <w:tab w:val="left" w:pos="1418"/>
        </w:tabs>
        <w:spacing w:line="240" w:lineRule="auto"/>
      </w:pPr>
    </w:p>
    <w:p w:rsidR="00E06D29" w:rsidRDefault="00E06D29" w:rsidP="00E06D29">
      <w:pPr>
        <w:ind w:left="720" w:hanging="720"/>
        <w:jc w:val="right"/>
        <w:rPr>
          <w:b/>
          <w:smallCaps/>
        </w:rPr>
      </w:pPr>
    </w:p>
    <w:p w:rsidR="00E06D29" w:rsidRDefault="00E06D29" w:rsidP="00E06D29">
      <w:pPr>
        <w:ind w:left="720" w:hanging="720"/>
        <w:jc w:val="right"/>
        <w:rPr>
          <w:b/>
          <w:smallCaps/>
        </w:rPr>
        <w:sectPr w:rsidR="00E06D29" w:rsidSect="00F67B36">
          <w:headerReference w:type="even" r:id="rId16"/>
          <w:headerReference w:type="default" r:id="rId17"/>
          <w:headerReference w:type="first" r:id="rId18"/>
          <w:footerReference w:type="first" r:id="rId19"/>
          <w:type w:val="oddPage"/>
          <w:pgSz w:w="11907" w:h="16839" w:code="9"/>
          <w:pgMar w:top="1440" w:right="1440" w:bottom="1440" w:left="1440" w:header="706" w:footer="706" w:gutter="0"/>
          <w:pgNumType w:fmt="lowerRoman"/>
          <w:cols w:space="708"/>
          <w:docGrid w:linePitch="299"/>
        </w:sectPr>
      </w:pPr>
    </w:p>
    <w:p w:rsidR="00043D80" w:rsidRDefault="00043D80" w:rsidP="00043D80">
      <w:pPr>
        <w:ind w:left="720" w:hanging="720"/>
        <w:jc w:val="right"/>
        <w:rPr>
          <w:b/>
          <w:smallCaps/>
        </w:rPr>
      </w:pPr>
      <w:r>
        <w:rPr>
          <w:b/>
          <w:smallCaps/>
        </w:rPr>
        <w:lastRenderedPageBreak/>
        <w:t>UNEP</w:t>
      </w:r>
    </w:p>
    <w:p w:rsidR="00043D80" w:rsidRDefault="00AB3587" w:rsidP="00043D80">
      <w:pPr>
        <w:ind w:left="720" w:hanging="720"/>
        <w:jc w:val="right"/>
        <w:rPr>
          <w:b/>
          <w:smallCaps/>
        </w:rPr>
      </w:pPr>
      <w:r>
        <w:rPr>
          <w:b/>
          <w:smallCaps/>
        </w:rPr>
        <w:t>June</w:t>
      </w:r>
      <w:r w:rsidR="007C0AE3">
        <w:rPr>
          <w:b/>
          <w:smallCaps/>
        </w:rPr>
        <w:t xml:space="preserve"> 2016 </w:t>
      </w:r>
      <w:r w:rsidR="00043D80">
        <w:rPr>
          <w:b/>
          <w:smallCaps/>
        </w:rPr>
        <w:t>Report of the</w:t>
      </w:r>
    </w:p>
    <w:p w:rsidR="00043D80" w:rsidRDefault="00043D80" w:rsidP="00043D80">
      <w:pPr>
        <w:ind w:left="720" w:hanging="720"/>
        <w:jc w:val="right"/>
        <w:rPr>
          <w:b/>
          <w:smallCaps/>
        </w:rPr>
      </w:pPr>
      <w:r>
        <w:rPr>
          <w:b/>
          <w:smallCaps/>
        </w:rPr>
        <w:t>Technology and Economic Assessment Panel</w:t>
      </w:r>
    </w:p>
    <w:p w:rsidR="00043D80" w:rsidRDefault="00043D80" w:rsidP="00043D80">
      <w:pPr>
        <w:ind w:left="720" w:hanging="720"/>
        <w:jc w:val="right"/>
        <w:rPr>
          <w:b/>
          <w:smallCaps/>
        </w:rPr>
      </w:pPr>
    </w:p>
    <w:p w:rsidR="00043D80" w:rsidRDefault="00043D80" w:rsidP="00043D80">
      <w:pPr>
        <w:ind w:left="720" w:hanging="720"/>
        <w:jc w:val="right"/>
        <w:rPr>
          <w:b/>
          <w:smallCaps/>
        </w:rPr>
      </w:pPr>
    </w:p>
    <w:p w:rsidR="00043D80" w:rsidRDefault="00043D80" w:rsidP="00043D80">
      <w:pPr>
        <w:ind w:left="720" w:hanging="720"/>
        <w:jc w:val="right"/>
        <w:rPr>
          <w:b/>
          <w:smallCaps/>
        </w:rPr>
      </w:pPr>
    </w:p>
    <w:p w:rsidR="00043D80" w:rsidRDefault="00043D80" w:rsidP="00043D80">
      <w:pPr>
        <w:tabs>
          <w:tab w:val="left" w:pos="8080"/>
        </w:tabs>
        <w:suppressAutoHyphens/>
        <w:spacing w:after="120"/>
        <w:jc w:val="right"/>
        <w:rPr>
          <w:b/>
          <w:smallCaps/>
        </w:rPr>
      </w:pPr>
      <w:r>
        <w:rPr>
          <w:b/>
          <w:smallCaps/>
        </w:rPr>
        <w:t>Decision XXVI</w:t>
      </w:r>
      <w:r w:rsidR="007C0AE3">
        <w:rPr>
          <w:b/>
          <w:smallCaps/>
        </w:rPr>
        <w:t>I</w:t>
      </w:r>
      <w:r>
        <w:rPr>
          <w:b/>
          <w:smallCaps/>
        </w:rPr>
        <w:t>/</w:t>
      </w:r>
      <w:r w:rsidR="007C0AE3">
        <w:rPr>
          <w:b/>
          <w:smallCaps/>
        </w:rPr>
        <w:t>4</w:t>
      </w:r>
      <w:r>
        <w:rPr>
          <w:b/>
          <w:smallCaps/>
        </w:rPr>
        <w:t xml:space="preserve"> Task Force Report </w:t>
      </w:r>
    </w:p>
    <w:p w:rsidR="00043D80" w:rsidRDefault="00530E40" w:rsidP="00043D80">
      <w:pPr>
        <w:tabs>
          <w:tab w:val="left" w:pos="8080"/>
        </w:tabs>
        <w:suppressAutoHyphens/>
        <w:jc w:val="right"/>
        <w:rPr>
          <w:b/>
          <w:smallCaps/>
        </w:rPr>
      </w:pPr>
      <w:r>
        <w:rPr>
          <w:b/>
          <w:smallCaps/>
        </w:rPr>
        <w:t xml:space="preserve">Further </w:t>
      </w:r>
      <w:r w:rsidR="00043D80">
        <w:rPr>
          <w:b/>
          <w:smallCaps/>
        </w:rPr>
        <w:t xml:space="preserve">Information on Alternatives </w:t>
      </w:r>
    </w:p>
    <w:p w:rsidR="00303267" w:rsidRDefault="00043D80" w:rsidP="00043D80">
      <w:pPr>
        <w:tabs>
          <w:tab w:val="left" w:pos="8080"/>
        </w:tabs>
        <w:suppressAutoHyphens/>
        <w:jc w:val="right"/>
        <w:rPr>
          <w:b/>
          <w:smallCaps/>
        </w:rPr>
      </w:pPr>
      <w:r>
        <w:rPr>
          <w:b/>
          <w:smallCaps/>
        </w:rPr>
        <w:t>to Ozone-Depleting Substances</w:t>
      </w:r>
    </w:p>
    <w:p w:rsidR="007E475B" w:rsidRDefault="007E475B" w:rsidP="0091734F">
      <w:pPr>
        <w:tabs>
          <w:tab w:val="left" w:pos="8080"/>
        </w:tabs>
        <w:suppressAutoHyphens/>
        <w:jc w:val="right"/>
        <w:rPr>
          <w:b/>
          <w:smallCaps/>
        </w:rPr>
      </w:pPr>
    </w:p>
    <w:p w:rsidR="007E475B" w:rsidRDefault="007E475B" w:rsidP="0091734F">
      <w:pPr>
        <w:tabs>
          <w:tab w:val="left" w:pos="8550"/>
        </w:tabs>
        <w:suppressAutoHyphens/>
        <w:rPr>
          <w:b/>
        </w:rPr>
      </w:pPr>
      <w:r>
        <w:rPr>
          <w:b/>
        </w:rPr>
        <w:t>Table of Contents</w:t>
      </w:r>
      <w:r>
        <w:rPr>
          <w:b/>
        </w:rPr>
        <w:tab/>
        <w:t>Page</w:t>
      </w:r>
    </w:p>
    <w:p w:rsidR="002E6F38" w:rsidRPr="0062138C" w:rsidRDefault="007E475B">
      <w:pPr>
        <w:pStyle w:val="TOC1"/>
        <w:rPr>
          <w:rFonts w:ascii="Calibri" w:eastAsia="Times New Roman" w:hAnsi="Calibri"/>
          <w:b w:val="0"/>
          <w:caps w:val="0"/>
          <w:color w:val="auto"/>
          <w:sz w:val="22"/>
          <w:szCs w:val="22"/>
          <w:lang w:val="en-US" w:eastAsia="en-US"/>
        </w:rPr>
      </w:pPr>
      <w:r>
        <w:rPr>
          <w:i/>
          <w:highlight w:val="yellow"/>
        </w:rPr>
        <w:fldChar w:fldCharType="begin"/>
      </w:r>
      <w:r>
        <w:rPr>
          <w:i/>
          <w:highlight w:val="yellow"/>
        </w:rPr>
        <w:instrText xml:space="preserve"> TOC \o "1-3" </w:instrText>
      </w:r>
      <w:r>
        <w:rPr>
          <w:i/>
          <w:highlight w:val="yellow"/>
        </w:rPr>
        <w:fldChar w:fldCharType="separate"/>
      </w:r>
      <w:r w:rsidR="002E6F38">
        <w:t>Preface</w:t>
      </w:r>
      <w:r w:rsidR="002E6F38">
        <w:tab/>
      </w:r>
      <w:r w:rsidR="002E6F38">
        <w:fldChar w:fldCharType="begin"/>
      </w:r>
      <w:r w:rsidR="002E6F38">
        <w:instrText xml:space="preserve"> PAGEREF _Toc452653342 \h </w:instrText>
      </w:r>
      <w:r w:rsidR="002E6F38">
        <w:fldChar w:fldCharType="separate"/>
      </w:r>
      <w:r w:rsidR="00C006A4">
        <w:t>vii</w:t>
      </w:r>
      <w:r w:rsidR="002E6F38">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Executive summary</w:t>
      </w:r>
      <w:r>
        <w:tab/>
      </w:r>
      <w:r>
        <w:fldChar w:fldCharType="begin"/>
      </w:r>
      <w:r>
        <w:instrText xml:space="preserve"> PAGEREF _Toc452653343 \h </w:instrText>
      </w:r>
      <w:r>
        <w:fldChar w:fldCharType="separate"/>
      </w:r>
      <w:r w:rsidR="00C006A4">
        <w:t>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rsidRPr="00825ADE">
        <w:rPr>
          <w:lang w:val="en-US"/>
        </w:rPr>
        <w:t>ES1.</w:t>
      </w:r>
      <w:r w:rsidRPr="0062138C">
        <w:rPr>
          <w:rFonts w:ascii="Calibri" w:eastAsia="Times New Roman" w:hAnsi="Calibri"/>
          <w:smallCaps w:val="0"/>
          <w:color w:val="auto"/>
          <w:sz w:val="22"/>
          <w:szCs w:val="22"/>
          <w:lang w:val="en-US" w:eastAsia="en-US"/>
        </w:rPr>
        <w:tab/>
      </w:r>
      <w:r w:rsidRPr="00825ADE">
        <w:rPr>
          <w:lang w:val="en-US"/>
        </w:rPr>
        <w:t xml:space="preserve">  </w:t>
      </w:r>
      <w:r>
        <w:t>Introduction</w:t>
      </w:r>
      <w:r>
        <w:tab/>
      </w:r>
      <w:r>
        <w:fldChar w:fldCharType="begin"/>
      </w:r>
      <w:r>
        <w:instrText xml:space="preserve"> PAGEREF _Toc452653344 \h </w:instrText>
      </w:r>
      <w:r>
        <w:fldChar w:fldCharType="separate"/>
      </w:r>
      <w:r w:rsidR="00C006A4">
        <w:t>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rsidRPr="00825ADE">
        <w:rPr>
          <w:lang w:val="en-US"/>
        </w:rPr>
        <w:t>ES2.</w:t>
      </w:r>
      <w:r w:rsidRPr="0062138C">
        <w:rPr>
          <w:rFonts w:ascii="Calibri" w:eastAsia="Times New Roman" w:hAnsi="Calibri"/>
          <w:smallCaps w:val="0"/>
          <w:color w:val="auto"/>
          <w:sz w:val="22"/>
          <w:szCs w:val="22"/>
          <w:lang w:val="en-US" w:eastAsia="en-US"/>
        </w:rPr>
        <w:tab/>
      </w:r>
      <w:r w:rsidRPr="00825ADE">
        <w:rPr>
          <w:lang w:val="en-US"/>
        </w:rPr>
        <w:t xml:space="preserve">  Update on the status of refrigerants</w:t>
      </w:r>
      <w:r>
        <w:tab/>
      </w:r>
      <w:r>
        <w:fldChar w:fldCharType="begin"/>
      </w:r>
      <w:r>
        <w:instrText xml:space="preserve"> PAGEREF _Toc452653345 \h </w:instrText>
      </w:r>
      <w:r>
        <w:fldChar w:fldCharType="separate"/>
      </w:r>
      <w:r w:rsidR="00C006A4">
        <w:t>2</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ES3.</w:t>
      </w:r>
      <w:r w:rsidRPr="0062138C">
        <w:rPr>
          <w:rFonts w:ascii="Calibri" w:eastAsia="Times New Roman" w:hAnsi="Calibri"/>
          <w:smallCaps w:val="0"/>
          <w:color w:val="auto"/>
          <w:sz w:val="22"/>
          <w:szCs w:val="22"/>
          <w:lang w:val="en-US" w:eastAsia="en-US"/>
        </w:rPr>
        <w:tab/>
      </w:r>
      <w:r>
        <w:t xml:space="preserve">  Update on R/AC alternative refrigerants and technologies</w:t>
      </w:r>
      <w:r>
        <w:tab/>
      </w:r>
      <w:r>
        <w:fldChar w:fldCharType="begin"/>
      </w:r>
      <w:r>
        <w:instrText xml:space="preserve"> PAGEREF _Toc452653346 \h </w:instrText>
      </w:r>
      <w:r>
        <w:fldChar w:fldCharType="separate"/>
      </w:r>
      <w:r w:rsidR="00C006A4">
        <w:t>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ES4.</w:t>
      </w:r>
      <w:r w:rsidRPr="0062138C">
        <w:rPr>
          <w:rFonts w:ascii="Calibri" w:eastAsia="Times New Roman" w:hAnsi="Calibri"/>
          <w:smallCaps w:val="0"/>
          <w:color w:val="auto"/>
          <w:sz w:val="22"/>
          <w:szCs w:val="22"/>
          <w:lang w:val="en-US" w:eastAsia="en-US"/>
        </w:rPr>
        <w:tab/>
      </w:r>
      <w:r>
        <w:t xml:space="preserve"> Alternatives to refrigeration systems on fishing vessels</w:t>
      </w:r>
      <w:r>
        <w:tab/>
      </w:r>
      <w:r>
        <w:fldChar w:fldCharType="begin"/>
      </w:r>
      <w:r>
        <w:instrText xml:space="preserve"> PAGEREF _Toc452653347 \h </w:instrText>
      </w:r>
      <w:r>
        <w:fldChar w:fldCharType="separate"/>
      </w:r>
      <w:r w:rsidR="00C006A4">
        <w:t>4</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ES5.</w:t>
      </w:r>
      <w:r w:rsidRPr="0062138C">
        <w:rPr>
          <w:rFonts w:ascii="Calibri" w:eastAsia="Times New Roman" w:hAnsi="Calibri"/>
          <w:smallCaps w:val="0"/>
          <w:color w:val="auto"/>
          <w:sz w:val="22"/>
          <w:szCs w:val="22"/>
          <w:lang w:val="en-US" w:eastAsia="en-US"/>
        </w:rPr>
        <w:tab/>
      </w:r>
      <w:r>
        <w:t xml:space="preserve"> Suitability of alternatives under high ambient temperature (HAT) conditions</w:t>
      </w:r>
      <w:r>
        <w:tab/>
      </w:r>
      <w:r>
        <w:fldChar w:fldCharType="begin"/>
      </w:r>
      <w:r>
        <w:instrText xml:space="preserve"> PAGEREF _Toc452653348 \h </w:instrText>
      </w:r>
      <w:r>
        <w:fldChar w:fldCharType="separate"/>
      </w:r>
      <w:r w:rsidR="00C006A4">
        <w:t>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ES6.</w:t>
      </w:r>
      <w:r w:rsidRPr="0062138C">
        <w:rPr>
          <w:rFonts w:ascii="Calibri" w:eastAsia="Times New Roman" w:hAnsi="Calibri"/>
          <w:smallCaps w:val="0"/>
          <w:color w:val="auto"/>
          <w:sz w:val="22"/>
          <w:szCs w:val="22"/>
          <w:lang w:val="en-US" w:eastAsia="en-US"/>
        </w:rPr>
        <w:tab/>
      </w:r>
      <w:r>
        <w:t xml:space="preserve">  BAU and mitigation demand scenarios for R/AC</w:t>
      </w:r>
      <w:r>
        <w:tab/>
      </w:r>
      <w:r>
        <w:fldChar w:fldCharType="begin"/>
      </w:r>
      <w:r>
        <w:instrText xml:space="preserve"> PAGEREF _Toc452653349 \h </w:instrText>
      </w:r>
      <w:r>
        <w:fldChar w:fldCharType="separate"/>
      </w:r>
      <w:r w:rsidR="00C006A4">
        <w:t>5</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1</w:t>
      </w:r>
      <w:r w:rsidRPr="0062138C">
        <w:rPr>
          <w:rFonts w:ascii="Calibri" w:eastAsia="Times New Roman" w:hAnsi="Calibri"/>
          <w:b w:val="0"/>
          <w:caps w:val="0"/>
          <w:color w:val="auto"/>
          <w:sz w:val="22"/>
          <w:szCs w:val="22"/>
          <w:lang w:val="en-US" w:eastAsia="en-US"/>
        </w:rPr>
        <w:tab/>
      </w:r>
      <w:r>
        <w:t>Introduction</w:t>
      </w:r>
      <w:r>
        <w:tab/>
      </w:r>
      <w:r>
        <w:fldChar w:fldCharType="begin"/>
      </w:r>
      <w:r>
        <w:instrText xml:space="preserve"> PAGEREF _Toc452653350 \h </w:instrText>
      </w:r>
      <w:r>
        <w:fldChar w:fldCharType="separate"/>
      </w:r>
      <w:r w:rsidR="00C006A4">
        <w:t>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1.1</w:t>
      </w:r>
      <w:r w:rsidRPr="0062138C">
        <w:rPr>
          <w:rFonts w:ascii="Calibri" w:eastAsia="Times New Roman" w:hAnsi="Calibri"/>
          <w:smallCaps w:val="0"/>
          <w:color w:val="auto"/>
          <w:sz w:val="22"/>
          <w:szCs w:val="22"/>
          <w:lang w:val="en-US" w:eastAsia="en-US"/>
        </w:rPr>
        <w:tab/>
      </w:r>
      <w:r>
        <w:t>Terms of Reference for the XXVII/4 Task Force report</w:t>
      </w:r>
      <w:r>
        <w:tab/>
      </w:r>
      <w:r>
        <w:fldChar w:fldCharType="begin"/>
      </w:r>
      <w:r>
        <w:instrText xml:space="preserve"> PAGEREF _Toc452653351 \h </w:instrText>
      </w:r>
      <w:r>
        <w:fldChar w:fldCharType="separate"/>
      </w:r>
      <w:r w:rsidR="00C006A4">
        <w:t>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1.2</w:t>
      </w:r>
      <w:r w:rsidRPr="0062138C">
        <w:rPr>
          <w:rFonts w:ascii="Calibri" w:eastAsia="Times New Roman" w:hAnsi="Calibri"/>
          <w:smallCaps w:val="0"/>
          <w:color w:val="auto"/>
          <w:sz w:val="22"/>
          <w:szCs w:val="22"/>
          <w:lang w:val="en-US" w:eastAsia="en-US"/>
        </w:rPr>
        <w:tab/>
      </w:r>
      <w:r>
        <w:t>Scope and coverage</w:t>
      </w:r>
      <w:r>
        <w:tab/>
      </w:r>
      <w:r>
        <w:fldChar w:fldCharType="begin"/>
      </w:r>
      <w:r>
        <w:instrText xml:space="preserve"> PAGEREF _Toc452653352 \h </w:instrText>
      </w:r>
      <w:r>
        <w:fldChar w:fldCharType="separate"/>
      </w:r>
      <w:r w:rsidR="00C006A4">
        <w:t>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1.3</w:t>
      </w:r>
      <w:r w:rsidRPr="0062138C">
        <w:rPr>
          <w:rFonts w:ascii="Calibri" w:eastAsia="Times New Roman" w:hAnsi="Calibri"/>
          <w:smallCaps w:val="0"/>
          <w:color w:val="auto"/>
          <w:sz w:val="22"/>
          <w:szCs w:val="22"/>
          <w:lang w:val="en-US" w:eastAsia="en-US"/>
        </w:rPr>
        <w:tab/>
      </w:r>
      <w:r>
        <w:t>Composition of the Task Force and approach</w:t>
      </w:r>
      <w:r>
        <w:tab/>
      </w:r>
      <w:r>
        <w:fldChar w:fldCharType="begin"/>
      </w:r>
      <w:r>
        <w:instrText xml:space="preserve"> PAGEREF _Toc452653353 \h </w:instrText>
      </w:r>
      <w:r>
        <w:fldChar w:fldCharType="separate"/>
      </w:r>
      <w:r w:rsidR="00C006A4">
        <w:t>10</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2</w:t>
      </w:r>
      <w:r w:rsidRPr="0062138C">
        <w:rPr>
          <w:rFonts w:ascii="Calibri" w:eastAsia="Times New Roman" w:hAnsi="Calibri"/>
          <w:b w:val="0"/>
          <w:caps w:val="0"/>
          <w:color w:val="auto"/>
          <w:sz w:val="22"/>
          <w:szCs w:val="22"/>
          <w:lang w:val="en-US" w:eastAsia="en-US"/>
        </w:rPr>
        <w:tab/>
      </w:r>
      <w:r>
        <w:t>Update of the status on refrigerants</w:t>
      </w:r>
      <w:r>
        <w:tab/>
      </w:r>
      <w:r>
        <w:fldChar w:fldCharType="begin"/>
      </w:r>
      <w:r>
        <w:instrText xml:space="preserve"> PAGEREF _Toc452653354 \h </w:instrText>
      </w:r>
      <w:r>
        <w:fldChar w:fldCharType="separate"/>
      </w:r>
      <w:r w:rsidR="00C006A4">
        <w:t>13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2.1</w:t>
      </w:r>
      <w:r w:rsidRPr="0062138C">
        <w:rPr>
          <w:rFonts w:ascii="Calibri" w:eastAsia="Times New Roman" w:hAnsi="Calibri"/>
          <w:smallCaps w:val="0"/>
          <w:color w:val="auto"/>
          <w:sz w:val="22"/>
          <w:szCs w:val="22"/>
          <w:lang w:val="en-US" w:eastAsia="en-US"/>
        </w:rPr>
        <w:tab/>
      </w:r>
      <w:r>
        <w:t xml:space="preserve"> Introduction</w:t>
      </w:r>
      <w:r>
        <w:tab/>
      </w:r>
      <w:r>
        <w:fldChar w:fldCharType="begin"/>
      </w:r>
      <w:r>
        <w:instrText xml:space="preserve"> PAGEREF _Toc452653355 \h </w:instrText>
      </w:r>
      <w:r>
        <w:fldChar w:fldCharType="separate"/>
      </w:r>
      <w:r w:rsidR="00C006A4">
        <w:t>13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2.2</w:t>
      </w:r>
      <w:r w:rsidRPr="0062138C">
        <w:rPr>
          <w:rFonts w:ascii="Calibri" w:eastAsia="Times New Roman" w:hAnsi="Calibri"/>
          <w:smallCaps w:val="0"/>
          <w:color w:val="auto"/>
          <w:sz w:val="22"/>
          <w:szCs w:val="22"/>
          <w:lang w:val="en-US" w:eastAsia="en-US"/>
        </w:rPr>
        <w:tab/>
      </w:r>
      <w:r>
        <w:t xml:space="preserve"> Refrigerant data</w:t>
      </w:r>
      <w:r>
        <w:tab/>
      </w:r>
      <w:r>
        <w:fldChar w:fldCharType="begin"/>
      </w:r>
      <w:r>
        <w:instrText xml:space="preserve"> PAGEREF _Toc452653356 \h </w:instrText>
      </w:r>
      <w:r>
        <w:fldChar w:fldCharType="separate"/>
      </w:r>
      <w:r w:rsidR="00C006A4">
        <w:t>13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2.3</w:t>
      </w:r>
      <w:r w:rsidRPr="0062138C">
        <w:rPr>
          <w:rFonts w:ascii="Calibri" w:eastAsia="Times New Roman" w:hAnsi="Calibri"/>
          <w:smallCaps w:val="0"/>
          <w:color w:val="auto"/>
          <w:sz w:val="22"/>
          <w:szCs w:val="22"/>
          <w:lang w:val="en-US" w:eastAsia="en-US"/>
        </w:rPr>
        <w:tab/>
      </w:r>
      <w:r>
        <w:t xml:space="preserve"> Refrigerant classification and standards</w:t>
      </w:r>
      <w:r>
        <w:tab/>
      </w:r>
      <w:r>
        <w:fldChar w:fldCharType="begin"/>
      </w:r>
      <w:r>
        <w:instrText xml:space="preserve"> PAGEREF _Toc452653357 \h </w:instrText>
      </w:r>
      <w:r>
        <w:fldChar w:fldCharType="separate"/>
      </w:r>
      <w:r w:rsidR="00C006A4">
        <w:t>20</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2.4</w:t>
      </w:r>
      <w:r w:rsidRPr="0062138C">
        <w:rPr>
          <w:rFonts w:ascii="Calibri" w:eastAsia="Times New Roman" w:hAnsi="Calibri"/>
          <w:smallCaps w:val="0"/>
          <w:color w:val="auto"/>
          <w:sz w:val="22"/>
          <w:szCs w:val="22"/>
          <w:lang w:val="en-US" w:eastAsia="en-US"/>
        </w:rPr>
        <w:tab/>
      </w:r>
      <w:r>
        <w:t xml:space="preserve"> Likelihood of new molecules and new radically different blends</w:t>
      </w:r>
      <w:r>
        <w:tab/>
      </w:r>
      <w:r>
        <w:fldChar w:fldCharType="begin"/>
      </w:r>
      <w:r>
        <w:instrText xml:space="preserve"> PAGEREF _Toc452653358 \h </w:instrText>
      </w:r>
      <w:r>
        <w:fldChar w:fldCharType="separate"/>
      </w:r>
      <w:r w:rsidR="00C006A4">
        <w:t>20</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2.5</w:t>
      </w:r>
      <w:r w:rsidRPr="0062138C">
        <w:rPr>
          <w:rFonts w:ascii="Calibri" w:eastAsia="Times New Roman" w:hAnsi="Calibri"/>
          <w:smallCaps w:val="0"/>
          <w:color w:val="auto"/>
          <w:sz w:val="22"/>
          <w:szCs w:val="22"/>
          <w:lang w:val="en-US" w:eastAsia="en-US"/>
        </w:rPr>
        <w:tab/>
      </w:r>
      <w:r>
        <w:t xml:space="preserve"> Road to availability of alternative refrigerants</w:t>
      </w:r>
      <w:r>
        <w:tab/>
      </w:r>
      <w:r>
        <w:fldChar w:fldCharType="begin"/>
      </w:r>
      <w:r>
        <w:instrText xml:space="preserve"> PAGEREF _Toc452653359 \h </w:instrText>
      </w:r>
      <w:r>
        <w:fldChar w:fldCharType="separate"/>
      </w:r>
      <w:r w:rsidR="00C006A4">
        <w:t>21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2.6</w:t>
      </w:r>
      <w:r w:rsidRPr="0062138C">
        <w:rPr>
          <w:rFonts w:ascii="Calibri" w:eastAsia="Times New Roman" w:hAnsi="Calibri"/>
          <w:smallCaps w:val="0"/>
          <w:color w:val="auto"/>
          <w:sz w:val="22"/>
          <w:szCs w:val="22"/>
          <w:lang w:val="en-US" w:eastAsia="en-US"/>
        </w:rPr>
        <w:tab/>
      </w:r>
      <w:r>
        <w:t xml:space="preserve"> Energy efficiency in relation to refrigerants</w:t>
      </w:r>
      <w:r>
        <w:tab/>
      </w:r>
      <w:r>
        <w:fldChar w:fldCharType="begin"/>
      </w:r>
      <w:r>
        <w:instrText xml:space="preserve"> PAGEREF _Toc452653360 \h </w:instrText>
      </w:r>
      <w:r>
        <w:fldChar w:fldCharType="separate"/>
      </w:r>
      <w:r w:rsidR="00C006A4">
        <w:t>22</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2.7</w:t>
      </w:r>
      <w:r w:rsidRPr="0062138C">
        <w:rPr>
          <w:rFonts w:ascii="Calibri" w:eastAsia="Times New Roman" w:hAnsi="Calibri"/>
          <w:smallCaps w:val="0"/>
          <w:color w:val="auto"/>
          <w:sz w:val="22"/>
          <w:szCs w:val="22"/>
          <w:lang w:val="en-US" w:eastAsia="en-US"/>
        </w:rPr>
        <w:tab/>
      </w:r>
      <w:r>
        <w:t xml:space="preserve"> Climate impact related to refrigerants</w:t>
      </w:r>
      <w:r>
        <w:tab/>
      </w:r>
      <w:r>
        <w:fldChar w:fldCharType="begin"/>
      </w:r>
      <w:r>
        <w:instrText xml:space="preserve"> PAGEREF _Toc452653361 \h </w:instrText>
      </w:r>
      <w:r>
        <w:fldChar w:fldCharType="separate"/>
      </w:r>
      <w:r w:rsidR="00C006A4">
        <w:t>23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2.8</w:t>
      </w:r>
      <w:r w:rsidRPr="0062138C">
        <w:rPr>
          <w:rFonts w:ascii="Calibri" w:eastAsia="Times New Roman" w:hAnsi="Calibri"/>
          <w:smallCaps w:val="0"/>
          <w:color w:val="auto"/>
          <w:sz w:val="22"/>
          <w:szCs w:val="22"/>
          <w:lang w:val="en-US" w:eastAsia="en-US"/>
        </w:rPr>
        <w:tab/>
      </w:r>
      <w:r>
        <w:t>The GWP classification issue</w:t>
      </w:r>
      <w:r>
        <w:tab/>
      </w:r>
      <w:r>
        <w:fldChar w:fldCharType="begin"/>
      </w:r>
      <w:r>
        <w:instrText xml:space="preserve"> PAGEREF _Toc452653362 \h </w:instrText>
      </w:r>
      <w:r>
        <w:fldChar w:fldCharType="separate"/>
      </w:r>
      <w:r w:rsidR="00C006A4">
        <w:t>24</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2.9</w:t>
      </w:r>
      <w:r w:rsidRPr="0062138C">
        <w:rPr>
          <w:rFonts w:ascii="Calibri" w:eastAsia="Times New Roman" w:hAnsi="Calibri"/>
          <w:smallCaps w:val="0"/>
          <w:color w:val="auto"/>
          <w:sz w:val="22"/>
          <w:szCs w:val="22"/>
          <w:lang w:val="en-US" w:eastAsia="en-US"/>
        </w:rPr>
        <w:tab/>
      </w:r>
      <w:r>
        <w:t xml:space="preserve"> Environmentally sustainable and environmentally sound</w:t>
      </w:r>
      <w:r>
        <w:tab/>
      </w:r>
      <w:r>
        <w:fldChar w:fldCharType="begin"/>
      </w:r>
      <w:r>
        <w:instrText xml:space="preserve"> PAGEREF _Toc452653363 \h </w:instrText>
      </w:r>
      <w:r>
        <w:fldChar w:fldCharType="separate"/>
      </w:r>
      <w:r w:rsidR="00C006A4">
        <w:t>25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2.10</w:t>
      </w:r>
      <w:r w:rsidRPr="0062138C">
        <w:rPr>
          <w:rFonts w:ascii="Calibri" w:eastAsia="Times New Roman" w:hAnsi="Calibri"/>
          <w:smallCaps w:val="0"/>
          <w:color w:val="auto"/>
          <w:sz w:val="22"/>
          <w:szCs w:val="22"/>
          <w:lang w:val="en-US" w:eastAsia="en-US"/>
        </w:rPr>
        <w:tab/>
      </w:r>
      <w:r>
        <w:t xml:space="preserve"> References</w:t>
      </w:r>
      <w:r>
        <w:tab/>
      </w:r>
      <w:r>
        <w:fldChar w:fldCharType="begin"/>
      </w:r>
      <w:r>
        <w:instrText xml:space="preserve"> PAGEREF _Toc452653364 \h </w:instrText>
      </w:r>
      <w:r>
        <w:fldChar w:fldCharType="separate"/>
      </w:r>
      <w:r w:rsidR="00C006A4">
        <w:t>26</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3</w:t>
      </w:r>
      <w:r w:rsidRPr="0062138C">
        <w:rPr>
          <w:rFonts w:ascii="Calibri" w:eastAsia="Times New Roman" w:hAnsi="Calibri"/>
          <w:b w:val="0"/>
          <w:caps w:val="0"/>
          <w:color w:val="auto"/>
          <w:sz w:val="22"/>
          <w:szCs w:val="22"/>
          <w:lang w:val="en-US" w:eastAsia="en-US"/>
        </w:rPr>
        <w:tab/>
      </w:r>
      <w:r>
        <w:t>Update on R/AC alternative refrigerants and technologies</w:t>
      </w:r>
      <w:r>
        <w:tab/>
      </w:r>
      <w:r>
        <w:fldChar w:fldCharType="begin"/>
      </w:r>
      <w:r>
        <w:instrText xml:space="preserve"> PAGEREF _Toc452653365 \h </w:instrText>
      </w:r>
      <w:r>
        <w:fldChar w:fldCharType="separate"/>
      </w:r>
      <w:r w:rsidR="00C006A4">
        <w:t>29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3.1</w:t>
      </w:r>
      <w:r w:rsidRPr="0062138C">
        <w:rPr>
          <w:rFonts w:ascii="Calibri" w:eastAsia="Times New Roman" w:hAnsi="Calibri"/>
          <w:smallCaps w:val="0"/>
          <w:color w:val="auto"/>
          <w:sz w:val="22"/>
          <w:szCs w:val="22"/>
          <w:lang w:val="en-US" w:eastAsia="en-US"/>
        </w:rPr>
        <w:tab/>
      </w:r>
      <w:r>
        <w:t xml:space="preserve"> Domestic Appliances</w:t>
      </w:r>
      <w:r>
        <w:tab/>
      </w:r>
      <w:r>
        <w:fldChar w:fldCharType="begin"/>
      </w:r>
      <w:r>
        <w:instrText xml:space="preserve"> PAGEREF _Toc452653366 \h </w:instrText>
      </w:r>
      <w:r>
        <w:fldChar w:fldCharType="separate"/>
      </w:r>
      <w:r w:rsidR="00C006A4">
        <w:t>29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3.2</w:t>
      </w:r>
      <w:r w:rsidRPr="0062138C">
        <w:rPr>
          <w:rFonts w:ascii="Calibri" w:eastAsia="Times New Roman" w:hAnsi="Calibri"/>
          <w:smallCaps w:val="0"/>
          <w:color w:val="auto"/>
          <w:sz w:val="22"/>
          <w:szCs w:val="22"/>
          <w:lang w:val="en-US" w:eastAsia="en-US"/>
        </w:rPr>
        <w:tab/>
      </w:r>
      <w:r>
        <w:t xml:space="preserve"> Commercial Refrigeration</w:t>
      </w:r>
      <w:r>
        <w:tab/>
      </w:r>
      <w:r>
        <w:fldChar w:fldCharType="begin"/>
      </w:r>
      <w:r>
        <w:instrText xml:space="preserve"> PAGEREF _Toc452653367 \h </w:instrText>
      </w:r>
      <w:r>
        <w:fldChar w:fldCharType="separate"/>
      </w:r>
      <w:r w:rsidR="00C006A4">
        <w:t>29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3.3</w:t>
      </w:r>
      <w:r w:rsidRPr="0062138C">
        <w:rPr>
          <w:rFonts w:ascii="Calibri" w:eastAsia="Times New Roman" w:hAnsi="Calibri"/>
          <w:smallCaps w:val="0"/>
          <w:color w:val="auto"/>
          <w:sz w:val="22"/>
          <w:szCs w:val="22"/>
          <w:lang w:val="en-US" w:eastAsia="en-US"/>
        </w:rPr>
        <w:tab/>
      </w:r>
      <w:r>
        <w:t xml:space="preserve"> Industrial Systems</w:t>
      </w:r>
      <w:r>
        <w:tab/>
      </w:r>
      <w:r>
        <w:fldChar w:fldCharType="begin"/>
      </w:r>
      <w:r>
        <w:instrText xml:space="preserve"> PAGEREF _Toc452653368 \h </w:instrText>
      </w:r>
      <w:r>
        <w:fldChar w:fldCharType="separate"/>
      </w:r>
      <w:r w:rsidR="00C006A4">
        <w:t>30</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3.4</w:t>
      </w:r>
      <w:r w:rsidRPr="0062138C">
        <w:rPr>
          <w:rFonts w:ascii="Calibri" w:eastAsia="Times New Roman" w:hAnsi="Calibri"/>
          <w:smallCaps w:val="0"/>
          <w:color w:val="auto"/>
          <w:sz w:val="22"/>
          <w:szCs w:val="22"/>
          <w:lang w:val="en-US" w:eastAsia="en-US"/>
        </w:rPr>
        <w:tab/>
      </w:r>
      <w:r>
        <w:t xml:space="preserve"> Transport refrigeration</w:t>
      </w:r>
      <w:r>
        <w:tab/>
      </w:r>
      <w:r>
        <w:fldChar w:fldCharType="begin"/>
      </w:r>
      <w:r>
        <w:instrText xml:space="preserve"> PAGEREF _Toc452653369 \h </w:instrText>
      </w:r>
      <w:r>
        <w:fldChar w:fldCharType="separate"/>
      </w:r>
      <w:r w:rsidR="00C006A4">
        <w:t>31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3.5</w:t>
      </w:r>
      <w:r w:rsidRPr="0062138C">
        <w:rPr>
          <w:rFonts w:ascii="Calibri" w:eastAsia="Times New Roman" w:hAnsi="Calibri"/>
          <w:smallCaps w:val="0"/>
          <w:color w:val="auto"/>
          <w:sz w:val="22"/>
          <w:szCs w:val="22"/>
          <w:lang w:val="en-US" w:eastAsia="en-US"/>
        </w:rPr>
        <w:tab/>
      </w:r>
      <w:r>
        <w:t xml:space="preserve"> Air-to-air air conditioners and heat pumps</w:t>
      </w:r>
      <w:r>
        <w:tab/>
      </w:r>
      <w:r>
        <w:fldChar w:fldCharType="begin"/>
      </w:r>
      <w:r>
        <w:instrText xml:space="preserve"> PAGEREF _Toc452653370 \h </w:instrText>
      </w:r>
      <w:r>
        <w:fldChar w:fldCharType="separate"/>
      </w:r>
      <w:r w:rsidR="00C006A4">
        <w:t>32</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3.6</w:t>
      </w:r>
      <w:r w:rsidRPr="0062138C">
        <w:rPr>
          <w:rFonts w:ascii="Calibri" w:eastAsia="Times New Roman" w:hAnsi="Calibri"/>
          <w:smallCaps w:val="0"/>
          <w:color w:val="auto"/>
          <w:sz w:val="22"/>
          <w:szCs w:val="22"/>
          <w:lang w:val="en-US" w:eastAsia="en-US"/>
        </w:rPr>
        <w:tab/>
      </w:r>
      <w:r>
        <w:t xml:space="preserve"> Water heating heat pumps</w:t>
      </w:r>
      <w:r>
        <w:tab/>
      </w:r>
      <w:r>
        <w:fldChar w:fldCharType="begin"/>
      </w:r>
      <w:r>
        <w:instrText xml:space="preserve"> PAGEREF _Toc452653371 \h </w:instrText>
      </w:r>
      <w:r>
        <w:fldChar w:fldCharType="separate"/>
      </w:r>
      <w:r w:rsidR="00C006A4">
        <w:t>32</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3.7</w:t>
      </w:r>
      <w:r w:rsidRPr="0062138C">
        <w:rPr>
          <w:rFonts w:ascii="Calibri" w:eastAsia="Times New Roman" w:hAnsi="Calibri"/>
          <w:smallCaps w:val="0"/>
          <w:color w:val="auto"/>
          <w:sz w:val="22"/>
          <w:szCs w:val="22"/>
          <w:lang w:val="en-US" w:eastAsia="en-US"/>
        </w:rPr>
        <w:tab/>
      </w:r>
      <w:r>
        <w:t xml:space="preserve"> Chillers</w:t>
      </w:r>
      <w:r>
        <w:tab/>
      </w:r>
      <w:r>
        <w:fldChar w:fldCharType="begin"/>
      </w:r>
      <w:r>
        <w:instrText xml:space="preserve"> PAGEREF _Toc452653372 \h </w:instrText>
      </w:r>
      <w:r>
        <w:fldChar w:fldCharType="separate"/>
      </w:r>
      <w:r w:rsidR="00C006A4">
        <w:t>33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3.8</w:t>
      </w:r>
      <w:r w:rsidRPr="0062138C">
        <w:rPr>
          <w:rFonts w:ascii="Calibri" w:eastAsia="Times New Roman" w:hAnsi="Calibri"/>
          <w:smallCaps w:val="0"/>
          <w:color w:val="auto"/>
          <w:sz w:val="22"/>
          <w:szCs w:val="22"/>
          <w:lang w:val="en-US" w:eastAsia="en-US"/>
        </w:rPr>
        <w:tab/>
      </w:r>
      <w:r>
        <w:t xml:space="preserve"> Vehicle air conditioning</w:t>
      </w:r>
      <w:r>
        <w:tab/>
      </w:r>
      <w:r>
        <w:fldChar w:fldCharType="begin"/>
      </w:r>
      <w:r>
        <w:instrText xml:space="preserve"> PAGEREF _Toc452653373 \h </w:instrText>
      </w:r>
      <w:r>
        <w:fldChar w:fldCharType="separate"/>
      </w:r>
      <w:r w:rsidR="00C006A4">
        <w:t>35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3.9</w:t>
      </w:r>
      <w:r w:rsidRPr="0062138C">
        <w:rPr>
          <w:rFonts w:ascii="Calibri" w:eastAsia="Times New Roman" w:hAnsi="Calibri"/>
          <w:smallCaps w:val="0"/>
          <w:color w:val="auto"/>
          <w:sz w:val="22"/>
          <w:szCs w:val="22"/>
          <w:lang w:val="en-US" w:eastAsia="en-US"/>
        </w:rPr>
        <w:tab/>
      </w:r>
      <w:r>
        <w:t xml:space="preserve"> Not-In-Kind technologies</w:t>
      </w:r>
      <w:r>
        <w:tab/>
      </w:r>
      <w:r>
        <w:fldChar w:fldCharType="begin"/>
      </w:r>
      <w:r>
        <w:instrText xml:space="preserve"> PAGEREF _Toc452653374 \h </w:instrText>
      </w:r>
      <w:r>
        <w:fldChar w:fldCharType="separate"/>
      </w:r>
      <w:r w:rsidR="00C006A4">
        <w:t>35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3.10</w:t>
      </w:r>
      <w:r w:rsidRPr="0062138C">
        <w:rPr>
          <w:rFonts w:ascii="Calibri" w:eastAsia="Times New Roman" w:hAnsi="Calibri"/>
          <w:smallCaps w:val="0"/>
          <w:color w:val="auto"/>
          <w:sz w:val="22"/>
          <w:szCs w:val="22"/>
          <w:lang w:val="en-US" w:eastAsia="en-US"/>
        </w:rPr>
        <w:tab/>
      </w:r>
      <w:r>
        <w:t xml:space="preserve"> Developments of CO</w:t>
      </w:r>
      <w:r w:rsidRPr="00825ADE">
        <w:rPr>
          <w:vertAlign w:val="subscript"/>
        </w:rPr>
        <w:t>2</w:t>
      </w:r>
      <w:r>
        <w:t xml:space="preserve"> technology</w:t>
      </w:r>
      <w:r>
        <w:tab/>
      </w:r>
      <w:r>
        <w:fldChar w:fldCharType="begin"/>
      </w:r>
      <w:r>
        <w:instrText xml:space="preserve"> PAGEREF _Toc452653375 \h </w:instrText>
      </w:r>
      <w:r>
        <w:fldChar w:fldCharType="separate"/>
      </w:r>
      <w:r w:rsidR="00C006A4">
        <w:t>37</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3.11 </w:t>
      </w:r>
      <w:r w:rsidRPr="0062138C">
        <w:rPr>
          <w:rFonts w:ascii="Calibri" w:eastAsia="Times New Roman" w:hAnsi="Calibri"/>
          <w:smallCaps w:val="0"/>
          <w:color w:val="auto"/>
          <w:sz w:val="22"/>
          <w:szCs w:val="22"/>
          <w:lang w:val="en-US" w:eastAsia="en-US"/>
        </w:rPr>
        <w:tab/>
      </w:r>
      <w:r>
        <w:t xml:space="preserve"> Standards in the R/AC industry</w:t>
      </w:r>
      <w:r>
        <w:tab/>
      </w:r>
      <w:r>
        <w:fldChar w:fldCharType="begin"/>
      </w:r>
      <w:r>
        <w:instrText xml:space="preserve"> PAGEREF _Toc452653376 \h </w:instrText>
      </w:r>
      <w:r>
        <w:fldChar w:fldCharType="separate"/>
      </w:r>
      <w:r w:rsidR="00C006A4">
        <w:t>38</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3.12 </w:t>
      </w:r>
      <w:r w:rsidRPr="0062138C">
        <w:rPr>
          <w:rFonts w:ascii="Calibri" w:eastAsia="Times New Roman" w:hAnsi="Calibri"/>
          <w:smallCaps w:val="0"/>
          <w:color w:val="auto"/>
          <w:sz w:val="22"/>
          <w:szCs w:val="22"/>
          <w:lang w:val="en-US" w:eastAsia="en-US"/>
        </w:rPr>
        <w:tab/>
      </w:r>
      <w:r>
        <w:t xml:space="preserve"> References</w:t>
      </w:r>
      <w:r>
        <w:tab/>
      </w:r>
      <w:r>
        <w:fldChar w:fldCharType="begin"/>
      </w:r>
      <w:r>
        <w:instrText xml:space="preserve"> PAGEREF _Toc452653377 \h </w:instrText>
      </w:r>
      <w:r>
        <w:fldChar w:fldCharType="separate"/>
      </w:r>
      <w:r w:rsidR="00C006A4">
        <w:t>39</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4</w:t>
      </w:r>
      <w:r>
        <w:rPr>
          <w:lang w:eastAsia="en-GB"/>
        </w:rPr>
        <w:t xml:space="preserve"> </w:t>
      </w:r>
      <w:r w:rsidRPr="0062138C">
        <w:rPr>
          <w:rFonts w:ascii="Calibri" w:eastAsia="Times New Roman" w:hAnsi="Calibri"/>
          <w:b w:val="0"/>
          <w:caps w:val="0"/>
          <w:color w:val="auto"/>
          <w:sz w:val="22"/>
          <w:szCs w:val="22"/>
          <w:lang w:val="en-US" w:eastAsia="en-US"/>
        </w:rPr>
        <w:tab/>
      </w:r>
      <w:r>
        <w:rPr>
          <w:lang w:eastAsia="en-GB"/>
        </w:rPr>
        <w:t>Alternatives to refrigeration systems on fishing vessels</w:t>
      </w:r>
      <w:r>
        <w:tab/>
      </w:r>
      <w:r>
        <w:fldChar w:fldCharType="begin"/>
      </w:r>
      <w:r>
        <w:instrText xml:space="preserve"> PAGEREF _Toc452653378 \h </w:instrText>
      </w:r>
      <w:r>
        <w:fldChar w:fldCharType="separate"/>
      </w:r>
      <w:r w:rsidR="00C006A4">
        <w:t>41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4.1</w:t>
      </w:r>
      <w:r w:rsidRPr="0062138C">
        <w:rPr>
          <w:rFonts w:ascii="Calibri" w:eastAsia="Times New Roman" w:hAnsi="Calibri"/>
          <w:smallCaps w:val="0"/>
          <w:color w:val="auto"/>
          <w:sz w:val="22"/>
          <w:szCs w:val="22"/>
          <w:lang w:val="en-US" w:eastAsia="en-US"/>
        </w:rPr>
        <w:tab/>
      </w:r>
      <w:r>
        <w:t>Introduction</w:t>
      </w:r>
      <w:r>
        <w:tab/>
      </w:r>
      <w:r>
        <w:fldChar w:fldCharType="begin"/>
      </w:r>
      <w:r>
        <w:instrText xml:space="preserve"> PAGEREF _Toc452653379 \h </w:instrText>
      </w:r>
      <w:r>
        <w:fldChar w:fldCharType="separate"/>
      </w:r>
      <w:r w:rsidR="00C006A4">
        <w:t>41</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4.2</w:t>
      </w:r>
      <w:r w:rsidRPr="0062138C">
        <w:rPr>
          <w:rFonts w:ascii="Calibri" w:eastAsia="Times New Roman" w:hAnsi="Calibri"/>
          <w:smallCaps w:val="0"/>
          <w:color w:val="auto"/>
          <w:sz w:val="22"/>
          <w:szCs w:val="22"/>
          <w:lang w:val="en-US" w:eastAsia="en-US"/>
        </w:rPr>
        <w:tab/>
      </w:r>
      <w:r>
        <w:t>Considerations and options for replacement and retrofit of refrigeration systems in fishing vessels</w:t>
      </w:r>
      <w:r>
        <w:tab/>
      </w:r>
      <w:r>
        <w:fldChar w:fldCharType="begin"/>
      </w:r>
      <w:r>
        <w:instrText xml:space="preserve"> PAGEREF _Toc452653380 \h </w:instrText>
      </w:r>
      <w:r>
        <w:fldChar w:fldCharType="separate"/>
      </w:r>
      <w:r w:rsidR="00C006A4">
        <w:t>41</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5</w:t>
      </w:r>
      <w:r w:rsidRPr="0062138C">
        <w:rPr>
          <w:rFonts w:ascii="Calibri" w:eastAsia="Times New Roman" w:hAnsi="Calibri"/>
          <w:b w:val="0"/>
          <w:caps w:val="0"/>
          <w:color w:val="auto"/>
          <w:sz w:val="22"/>
          <w:szCs w:val="22"/>
          <w:lang w:val="en-US" w:eastAsia="en-US"/>
        </w:rPr>
        <w:tab/>
      </w:r>
      <w:r>
        <w:t>Suitability of alternatives under High Ambient Temperature (HAT) conditions</w:t>
      </w:r>
      <w:r>
        <w:tab/>
      </w:r>
      <w:r>
        <w:fldChar w:fldCharType="begin"/>
      </w:r>
      <w:r>
        <w:instrText xml:space="preserve"> PAGEREF _Toc452653381 \h </w:instrText>
      </w:r>
      <w:r>
        <w:fldChar w:fldCharType="separate"/>
      </w:r>
      <w:r w:rsidR="00C006A4">
        <w:t>45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5.1 </w:t>
      </w:r>
      <w:r w:rsidRPr="0062138C">
        <w:rPr>
          <w:rFonts w:ascii="Calibri" w:eastAsia="Times New Roman" w:hAnsi="Calibri"/>
          <w:smallCaps w:val="0"/>
          <w:color w:val="auto"/>
          <w:sz w:val="22"/>
          <w:szCs w:val="22"/>
          <w:lang w:val="en-US" w:eastAsia="en-US"/>
        </w:rPr>
        <w:tab/>
      </w:r>
      <w:r>
        <w:t xml:space="preserve"> Influence of HAT conditions on R/AC equipment design</w:t>
      </w:r>
      <w:r>
        <w:tab/>
      </w:r>
      <w:r>
        <w:fldChar w:fldCharType="begin"/>
      </w:r>
      <w:r>
        <w:instrText xml:space="preserve"> PAGEREF _Toc452653382 \h </w:instrText>
      </w:r>
      <w:r>
        <w:fldChar w:fldCharType="separate"/>
      </w:r>
      <w:r w:rsidR="00C006A4">
        <w:t>45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5.2</w:t>
      </w:r>
      <w:r w:rsidRPr="0062138C">
        <w:rPr>
          <w:rFonts w:ascii="Calibri" w:eastAsia="Times New Roman" w:hAnsi="Calibri"/>
          <w:smallCaps w:val="0"/>
          <w:color w:val="auto"/>
          <w:sz w:val="22"/>
          <w:szCs w:val="22"/>
          <w:lang w:val="en-US" w:eastAsia="en-US"/>
        </w:rPr>
        <w:tab/>
      </w:r>
      <w:r>
        <w:t xml:space="preserve"> Results from research projects</w:t>
      </w:r>
      <w:r>
        <w:tab/>
      </w:r>
      <w:r>
        <w:fldChar w:fldCharType="begin"/>
      </w:r>
      <w:r>
        <w:instrText xml:space="preserve"> PAGEREF _Toc452653383 \h </w:instrText>
      </w:r>
      <w:r>
        <w:fldChar w:fldCharType="separate"/>
      </w:r>
      <w:r w:rsidR="00C006A4">
        <w:t>46</w:t>
      </w:r>
      <w: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lastRenderedPageBreak/>
        <w:t>5.2.1</w:t>
      </w:r>
      <w:r w:rsidRPr="0062138C">
        <w:rPr>
          <w:rFonts w:ascii="Calibri" w:eastAsia="Times New Roman" w:hAnsi="Calibri"/>
          <w:i w:val="0"/>
          <w:noProof/>
          <w:color w:val="auto"/>
          <w:sz w:val="22"/>
          <w:szCs w:val="22"/>
          <w:lang w:val="en-US" w:eastAsia="en-US"/>
        </w:rPr>
        <w:tab/>
      </w:r>
      <w:r>
        <w:rPr>
          <w:noProof/>
        </w:rPr>
        <w:t>PRAHA project</w:t>
      </w:r>
      <w:r>
        <w:rPr>
          <w:noProof/>
        </w:rPr>
        <w:tab/>
      </w:r>
      <w:r>
        <w:rPr>
          <w:noProof/>
        </w:rPr>
        <w:fldChar w:fldCharType="begin"/>
      </w:r>
      <w:r>
        <w:rPr>
          <w:noProof/>
        </w:rPr>
        <w:instrText xml:space="preserve"> PAGEREF _Toc452653384 \h </w:instrText>
      </w:r>
      <w:r>
        <w:rPr>
          <w:noProof/>
        </w:rPr>
      </w:r>
      <w:r>
        <w:rPr>
          <w:noProof/>
        </w:rPr>
        <w:fldChar w:fldCharType="separate"/>
      </w:r>
      <w:r w:rsidR="00C006A4">
        <w:rPr>
          <w:noProof/>
        </w:rPr>
        <w:t>47</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5.2.2</w:t>
      </w:r>
      <w:r w:rsidRPr="0062138C">
        <w:rPr>
          <w:rFonts w:ascii="Calibri" w:eastAsia="Times New Roman" w:hAnsi="Calibri"/>
          <w:i w:val="0"/>
          <w:noProof/>
          <w:color w:val="auto"/>
          <w:sz w:val="22"/>
          <w:szCs w:val="22"/>
          <w:lang w:val="en-US" w:eastAsia="en-US"/>
        </w:rPr>
        <w:tab/>
      </w:r>
      <w:r>
        <w:rPr>
          <w:noProof/>
        </w:rPr>
        <w:t>ORNL Project</w:t>
      </w:r>
      <w:r>
        <w:rPr>
          <w:noProof/>
        </w:rPr>
        <w:tab/>
      </w:r>
      <w:r>
        <w:rPr>
          <w:noProof/>
        </w:rPr>
        <w:fldChar w:fldCharType="begin"/>
      </w:r>
      <w:r>
        <w:rPr>
          <w:noProof/>
        </w:rPr>
        <w:instrText xml:space="preserve"> PAGEREF _Toc452653385 \h </w:instrText>
      </w:r>
      <w:r>
        <w:rPr>
          <w:noProof/>
        </w:rPr>
      </w:r>
      <w:r>
        <w:rPr>
          <w:noProof/>
        </w:rPr>
        <w:fldChar w:fldCharType="separate"/>
      </w:r>
      <w:r w:rsidR="00C006A4">
        <w:rPr>
          <w:noProof/>
        </w:rPr>
        <w:t>49</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5.2.3</w:t>
      </w:r>
      <w:r w:rsidRPr="0062138C">
        <w:rPr>
          <w:rFonts w:ascii="Calibri" w:eastAsia="Times New Roman" w:hAnsi="Calibri"/>
          <w:i w:val="0"/>
          <w:noProof/>
          <w:color w:val="auto"/>
          <w:sz w:val="22"/>
          <w:szCs w:val="22"/>
          <w:lang w:val="en-US" w:eastAsia="en-US"/>
        </w:rPr>
        <w:tab/>
      </w:r>
      <w:r>
        <w:rPr>
          <w:noProof/>
        </w:rPr>
        <w:t>AREP Project</w:t>
      </w:r>
      <w:r>
        <w:rPr>
          <w:noProof/>
        </w:rPr>
        <w:tab/>
      </w:r>
      <w:r>
        <w:rPr>
          <w:noProof/>
        </w:rPr>
        <w:fldChar w:fldCharType="begin"/>
      </w:r>
      <w:r>
        <w:rPr>
          <w:noProof/>
        </w:rPr>
        <w:instrText xml:space="preserve"> PAGEREF _Toc452653386 \h </w:instrText>
      </w:r>
      <w:r>
        <w:rPr>
          <w:noProof/>
        </w:rPr>
      </w:r>
      <w:r>
        <w:rPr>
          <w:noProof/>
        </w:rPr>
        <w:fldChar w:fldCharType="separate"/>
      </w:r>
      <w:r w:rsidR="00C006A4">
        <w:rPr>
          <w:noProof/>
        </w:rPr>
        <w:t>51</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5.2.4</w:t>
      </w:r>
      <w:r w:rsidRPr="0062138C">
        <w:rPr>
          <w:rFonts w:ascii="Calibri" w:eastAsia="Times New Roman" w:hAnsi="Calibri"/>
          <w:i w:val="0"/>
          <w:noProof/>
          <w:color w:val="auto"/>
          <w:sz w:val="22"/>
          <w:szCs w:val="22"/>
          <w:lang w:val="en-US" w:eastAsia="en-US"/>
        </w:rPr>
        <w:tab/>
      </w:r>
      <w:r>
        <w:rPr>
          <w:noProof/>
        </w:rPr>
        <w:t>General remarks on the three research projects</w:t>
      </w:r>
      <w:r>
        <w:rPr>
          <w:noProof/>
        </w:rPr>
        <w:tab/>
      </w:r>
      <w:r>
        <w:rPr>
          <w:noProof/>
        </w:rPr>
        <w:fldChar w:fldCharType="begin"/>
      </w:r>
      <w:r>
        <w:rPr>
          <w:noProof/>
        </w:rPr>
        <w:instrText xml:space="preserve"> PAGEREF _Toc452653387 \h </w:instrText>
      </w:r>
      <w:r>
        <w:rPr>
          <w:noProof/>
        </w:rPr>
      </w:r>
      <w:r>
        <w:rPr>
          <w:noProof/>
        </w:rPr>
        <w:fldChar w:fldCharType="separate"/>
      </w:r>
      <w:r w:rsidR="00C006A4">
        <w:rPr>
          <w:noProof/>
        </w:rPr>
        <w:t>54</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5.3 </w:t>
      </w:r>
      <w:r w:rsidRPr="0062138C">
        <w:rPr>
          <w:rFonts w:ascii="Calibri" w:eastAsia="Times New Roman" w:hAnsi="Calibri"/>
          <w:smallCaps w:val="0"/>
          <w:color w:val="auto"/>
          <w:sz w:val="22"/>
          <w:szCs w:val="22"/>
          <w:lang w:val="en-US" w:eastAsia="en-US"/>
        </w:rPr>
        <w:tab/>
      </w:r>
      <w:r>
        <w:t>Further considerations</w:t>
      </w:r>
      <w:r>
        <w:tab/>
      </w:r>
      <w:r>
        <w:fldChar w:fldCharType="begin"/>
      </w:r>
      <w:r>
        <w:instrText xml:space="preserve"> PAGEREF _Toc452653388 \h </w:instrText>
      </w:r>
      <w:r>
        <w:fldChar w:fldCharType="separate"/>
      </w:r>
      <w:r w:rsidR="00C006A4">
        <w:t>55</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5.4</w:t>
      </w:r>
      <w:r w:rsidRPr="0062138C">
        <w:rPr>
          <w:rFonts w:ascii="Calibri" w:eastAsia="Times New Roman" w:hAnsi="Calibri"/>
          <w:smallCaps w:val="0"/>
          <w:color w:val="auto"/>
          <w:sz w:val="22"/>
          <w:szCs w:val="22"/>
          <w:lang w:val="en-US" w:eastAsia="en-US"/>
        </w:rPr>
        <w:tab/>
      </w:r>
      <w:r>
        <w:t>References</w:t>
      </w:r>
      <w:r>
        <w:tab/>
      </w:r>
      <w:r>
        <w:fldChar w:fldCharType="begin"/>
      </w:r>
      <w:r>
        <w:instrText xml:space="preserve"> PAGEREF _Toc452653389 \h </w:instrText>
      </w:r>
      <w:r>
        <w:fldChar w:fldCharType="separate"/>
      </w:r>
      <w:r w:rsidR="00C006A4">
        <w:t>56</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6</w:t>
      </w:r>
      <w:r w:rsidRPr="0062138C">
        <w:rPr>
          <w:rFonts w:ascii="Calibri" w:eastAsia="Times New Roman" w:hAnsi="Calibri"/>
          <w:b w:val="0"/>
          <w:caps w:val="0"/>
          <w:color w:val="auto"/>
          <w:sz w:val="22"/>
          <w:szCs w:val="22"/>
          <w:lang w:val="en-US" w:eastAsia="en-US"/>
        </w:rPr>
        <w:tab/>
      </w:r>
      <w:r>
        <w:t>BAU and MIT scenarios for Article 5 and non-Article 5 Parties for 1990-2050: Refrigeration and Air Conditioning</w:t>
      </w:r>
      <w:r>
        <w:tab/>
      </w:r>
      <w:r>
        <w:fldChar w:fldCharType="begin"/>
      </w:r>
      <w:r>
        <w:instrText xml:space="preserve"> PAGEREF _Toc452653390 \h </w:instrText>
      </w:r>
      <w:r>
        <w:fldChar w:fldCharType="separate"/>
      </w:r>
      <w:r w:rsidR="00C006A4">
        <w:t>59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6.1</w:t>
      </w:r>
      <w:r w:rsidRPr="0062138C">
        <w:rPr>
          <w:rFonts w:ascii="Calibri" w:eastAsia="Times New Roman" w:hAnsi="Calibri"/>
          <w:smallCaps w:val="0"/>
          <w:color w:val="auto"/>
          <w:sz w:val="22"/>
          <w:szCs w:val="22"/>
          <w:lang w:val="en-US" w:eastAsia="en-US"/>
        </w:rPr>
        <w:tab/>
      </w:r>
      <w:r>
        <w:t xml:space="preserve"> Expansion of scenarios</w:t>
      </w:r>
      <w:r>
        <w:tab/>
      </w:r>
      <w:r>
        <w:fldChar w:fldCharType="begin"/>
      </w:r>
      <w:r>
        <w:instrText xml:space="preserve"> PAGEREF _Toc452653391 \h </w:instrText>
      </w:r>
      <w:r>
        <w:fldChar w:fldCharType="separate"/>
      </w:r>
      <w:r w:rsidR="00C006A4">
        <w:t>59</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6.2 </w:t>
      </w:r>
      <w:r w:rsidRPr="0062138C">
        <w:rPr>
          <w:rFonts w:ascii="Calibri" w:eastAsia="Times New Roman" w:hAnsi="Calibri"/>
          <w:smallCaps w:val="0"/>
          <w:color w:val="auto"/>
          <w:sz w:val="22"/>
          <w:szCs w:val="22"/>
          <w:lang w:val="en-US" w:eastAsia="en-US"/>
        </w:rPr>
        <w:tab/>
      </w:r>
      <w:r>
        <w:t xml:space="preserve"> Method used for calculation</w:t>
      </w:r>
      <w:r>
        <w:tab/>
      </w:r>
      <w:r>
        <w:fldChar w:fldCharType="begin"/>
      </w:r>
      <w:r>
        <w:instrText xml:space="preserve"> PAGEREF _Toc452653392 \h </w:instrText>
      </w:r>
      <w:r>
        <w:fldChar w:fldCharType="separate"/>
      </w:r>
      <w:r w:rsidR="00C006A4">
        <w:t>60</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6.3</w:t>
      </w:r>
      <w:r w:rsidRPr="0062138C">
        <w:rPr>
          <w:rFonts w:ascii="Calibri" w:eastAsia="Times New Roman" w:hAnsi="Calibri"/>
          <w:smallCaps w:val="0"/>
          <w:color w:val="auto"/>
          <w:sz w:val="22"/>
          <w:szCs w:val="22"/>
          <w:lang w:val="en-US" w:eastAsia="en-US"/>
        </w:rPr>
        <w:tab/>
      </w:r>
      <w:r>
        <w:t xml:space="preserve"> HFC production and demand (consumption) data</w:t>
      </w:r>
      <w:r>
        <w:tab/>
      </w:r>
      <w:r>
        <w:fldChar w:fldCharType="begin"/>
      </w:r>
      <w:r>
        <w:instrText xml:space="preserve"> PAGEREF _Toc452653393 \h </w:instrText>
      </w:r>
      <w:r>
        <w:fldChar w:fldCharType="separate"/>
      </w:r>
      <w:r w:rsidR="00C006A4">
        <w:t>62</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rsidRPr="00825ADE">
        <w:t>6</w:t>
      </w:r>
      <w:r>
        <w:t>.4</w:t>
      </w:r>
      <w:r w:rsidRPr="0062138C">
        <w:rPr>
          <w:rFonts w:ascii="Calibri" w:eastAsia="Times New Roman" w:hAnsi="Calibri"/>
          <w:smallCaps w:val="0"/>
          <w:color w:val="auto"/>
          <w:sz w:val="22"/>
          <w:szCs w:val="22"/>
          <w:lang w:val="en-US" w:eastAsia="en-US"/>
        </w:rPr>
        <w:tab/>
      </w:r>
      <w:r>
        <w:t xml:space="preserve"> Non-Article 5 scenarios up to 2050</w:t>
      </w:r>
      <w:r>
        <w:tab/>
      </w:r>
      <w:r>
        <w:fldChar w:fldCharType="begin"/>
      </w:r>
      <w:r>
        <w:instrText xml:space="preserve"> PAGEREF _Toc452653394 \h </w:instrText>
      </w:r>
      <w:r>
        <w:fldChar w:fldCharType="separate"/>
      </w:r>
      <w:r w:rsidR="00C006A4">
        <w:t>64</w:t>
      </w:r>
      <w:r>
        <w:fldChar w:fldCharType="end"/>
      </w:r>
    </w:p>
    <w:p w:rsidR="002E6F38" w:rsidRPr="00FD6BC8" w:rsidRDefault="002E6F38">
      <w:pPr>
        <w:pStyle w:val="TOC3"/>
        <w:tabs>
          <w:tab w:val="left" w:pos="1170"/>
        </w:tabs>
        <w:rPr>
          <w:rFonts w:ascii="Calibri" w:eastAsia="Times New Roman" w:hAnsi="Calibri"/>
          <w:i w:val="0"/>
          <w:noProof/>
          <w:color w:val="auto"/>
          <w:sz w:val="22"/>
          <w:szCs w:val="22"/>
          <w:lang w:val="nl-NL" w:eastAsia="en-US"/>
        </w:rPr>
      </w:pPr>
      <w:r w:rsidRPr="00FD6BC8">
        <w:rPr>
          <w:noProof/>
          <w:lang w:val="nl-NL"/>
        </w:rPr>
        <w:t>6.4.1</w:t>
      </w:r>
      <w:r w:rsidRPr="00FD6BC8">
        <w:rPr>
          <w:rFonts w:ascii="Calibri" w:eastAsia="Times New Roman" w:hAnsi="Calibri"/>
          <w:i w:val="0"/>
          <w:noProof/>
          <w:color w:val="auto"/>
          <w:sz w:val="22"/>
          <w:szCs w:val="22"/>
          <w:lang w:val="nl-NL" w:eastAsia="en-US"/>
        </w:rPr>
        <w:tab/>
      </w:r>
      <w:r w:rsidRPr="00FD6BC8">
        <w:rPr>
          <w:noProof/>
          <w:lang w:val="nl-NL"/>
        </w:rPr>
        <w:t>BAU scenario</w:t>
      </w:r>
      <w:r w:rsidRPr="00FD6BC8">
        <w:rPr>
          <w:noProof/>
          <w:lang w:val="nl-NL"/>
        </w:rPr>
        <w:tab/>
      </w:r>
      <w:r>
        <w:rPr>
          <w:noProof/>
        </w:rPr>
        <w:fldChar w:fldCharType="begin"/>
      </w:r>
      <w:r w:rsidRPr="00FD6BC8">
        <w:rPr>
          <w:noProof/>
          <w:lang w:val="nl-NL"/>
        </w:rPr>
        <w:instrText xml:space="preserve"> PAGEREF _Toc452653395 \h </w:instrText>
      </w:r>
      <w:r>
        <w:rPr>
          <w:noProof/>
        </w:rPr>
      </w:r>
      <w:r>
        <w:rPr>
          <w:noProof/>
        </w:rPr>
        <w:fldChar w:fldCharType="separate"/>
      </w:r>
      <w:r w:rsidR="00C006A4">
        <w:rPr>
          <w:noProof/>
          <w:lang w:val="nl-NL"/>
        </w:rPr>
        <w:t>64</w:t>
      </w:r>
      <w:r>
        <w:rPr>
          <w:noProof/>
        </w:rPr>
        <w:fldChar w:fldCharType="end"/>
      </w:r>
    </w:p>
    <w:p w:rsidR="002E6F38" w:rsidRPr="00FD6BC8" w:rsidRDefault="002E6F38">
      <w:pPr>
        <w:pStyle w:val="TOC3"/>
        <w:tabs>
          <w:tab w:val="left" w:pos="1170"/>
        </w:tabs>
        <w:rPr>
          <w:rFonts w:ascii="Calibri" w:eastAsia="Times New Roman" w:hAnsi="Calibri"/>
          <w:i w:val="0"/>
          <w:noProof/>
          <w:color w:val="auto"/>
          <w:sz w:val="22"/>
          <w:szCs w:val="22"/>
          <w:lang w:val="nl-NL" w:eastAsia="en-US"/>
        </w:rPr>
      </w:pPr>
      <w:r w:rsidRPr="00FD6BC8">
        <w:rPr>
          <w:noProof/>
          <w:lang w:val="nl-NL"/>
        </w:rPr>
        <w:t xml:space="preserve">6.4.2 </w:t>
      </w:r>
      <w:r w:rsidRPr="00FD6BC8">
        <w:rPr>
          <w:rFonts w:ascii="Calibri" w:eastAsia="Times New Roman" w:hAnsi="Calibri"/>
          <w:i w:val="0"/>
          <w:noProof/>
          <w:color w:val="auto"/>
          <w:sz w:val="22"/>
          <w:szCs w:val="22"/>
          <w:lang w:val="nl-NL" w:eastAsia="en-US"/>
        </w:rPr>
        <w:tab/>
      </w:r>
      <w:r w:rsidRPr="00FD6BC8">
        <w:rPr>
          <w:noProof/>
          <w:lang w:val="nl-NL"/>
        </w:rPr>
        <w:t>MIT-3 scenario</w:t>
      </w:r>
      <w:r w:rsidRPr="00FD6BC8">
        <w:rPr>
          <w:noProof/>
          <w:lang w:val="nl-NL"/>
        </w:rPr>
        <w:tab/>
      </w:r>
      <w:r>
        <w:rPr>
          <w:noProof/>
        </w:rPr>
        <w:fldChar w:fldCharType="begin"/>
      </w:r>
      <w:r w:rsidRPr="00FD6BC8">
        <w:rPr>
          <w:noProof/>
          <w:lang w:val="nl-NL"/>
        </w:rPr>
        <w:instrText xml:space="preserve"> PAGEREF _Toc452653396 \h </w:instrText>
      </w:r>
      <w:r>
        <w:rPr>
          <w:noProof/>
        </w:rPr>
      </w:r>
      <w:r>
        <w:rPr>
          <w:noProof/>
        </w:rPr>
        <w:fldChar w:fldCharType="separate"/>
      </w:r>
      <w:r w:rsidR="00C006A4">
        <w:rPr>
          <w:noProof/>
          <w:lang w:val="nl-NL"/>
        </w:rPr>
        <w:t>67</w:t>
      </w:r>
      <w:r>
        <w:rPr>
          <w:noProof/>
        </w:rPr>
        <w:fldChar w:fldCharType="end"/>
      </w:r>
    </w:p>
    <w:p w:rsidR="002E6F38" w:rsidRPr="00FD6BC8" w:rsidRDefault="002E6F38">
      <w:pPr>
        <w:pStyle w:val="TOC3"/>
        <w:tabs>
          <w:tab w:val="left" w:pos="1170"/>
        </w:tabs>
        <w:rPr>
          <w:rFonts w:ascii="Calibri" w:eastAsia="Times New Roman" w:hAnsi="Calibri"/>
          <w:i w:val="0"/>
          <w:noProof/>
          <w:color w:val="auto"/>
          <w:sz w:val="22"/>
          <w:szCs w:val="22"/>
          <w:lang w:val="nl-NL" w:eastAsia="en-US"/>
        </w:rPr>
      </w:pPr>
      <w:r w:rsidRPr="00FD6BC8">
        <w:rPr>
          <w:noProof/>
          <w:lang w:val="nl-NL"/>
        </w:rPr>
        <w:t xml:space="preserve">6.4.3 </w:t>
      </w:r>
      <w:r w:rsidRPr="00FD6BC8">
        <w:rPr>
          <w:rFonts w:ascii="Calibri" w:eastAsia="Times New Roman" w:hAnsi="Calibri"/>
          <w:i w:val="0"/>
          <w:noProof/>
          <w:color w:val="auto"/>
          <w:sz w:val="22"/>
          <w:szCs w:val="22"/>
          <w:lang w:val="nl-NL" w:eastAsia="en-US"/>
        </w:rPr>
        <w:tab/>
      </w:r>
      <w:r w:rsidRPr="00FD6BC8">
        <w:rPr>
          <w:noProof/>
          <w:lang w:val="nl-NL"/>
        </w:rPr>
        <w:t>MIT-5 scenario</w:t>
      </w:r>
      <w:r w:rsidRPr="00FD6BC8">
        <w:rPr>
          <w:noProof/>
          <w:lang w:val="nl-NL"/>
        </w:rPr>
        <w:tab/>
      </w:r>
      <w:r>
        <w:rPr>
          <w:noProof/>
        </w:rPr>
        <w:fldChar w:fldCharType="begin"/>
      </w:r>
      <w:r w:rsidRPr="00FD6BC8">
        <w:rPr>
          <w:noProof/>
          <w:lang w:val="nl-NL"/>
        </w:rPr>
        <w:instrText xml:space="preserve"> PAGEREF _Toc452653397 \h </w:instrText>
      </w:r>
      <w:r>
        <w:rPr>
          <w:noProof/>
        </w:rPr>
      </w:r>
      <w:r>
        <w:rPr>
          <w:noProof/>
        </w:rPr>
        <w:fldChar w:fldCharType="separate"/>
      </w:r>
      <w:r w:rsidR="00C006A4">
        <w:rPr>
          <w:noProof/>
          <w:lang w:val="nl-NL"/>
        </w:rPr>
        <w:t>69</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6.5 </w:t>
      </w:r>
      <w:r w:rsidRPr="0062138C">
        <w:rPr>
          <w:rFonts w:ascii="Calibri" w:eastAsia="Times New Roman" w:hAnsi="Calibri"/>
          <w:smallCaps w:val="0"/>
          <w:color w:val="auto"/>
          <w:sz w:val="22"/>
          <w:szCs w:val="22"/>
          <w:lang w:val="en-US" w:eastAsia="en-US"/>
        </w:rPr>
        <w:tab/>
      </w:r>
      <w:r>
        <w:t xml:space="preserve"> Article 5 scenarios up to 2050</w:t>
      </w:r>
      <w:r>
        <w:tab/>
      </w:r>
      <w:r>
        <w:fldChar w:fldCharType="begin"/>
      </w:r>
      <w:r>
        <w:instrText xml:space="preserve"> PAGEREF _Toc452653398 \h </w:instrText>
      </w:r>
      <w:r>
        <w:fldChar w:fldCharType="separate"/>
      </w:r>
      <w:r w:rsidR="00C006A4">
        <w:t>71</w:t>
      </w:r>
      <w: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lang w:eastAsia="ja-JP"/>
        </w:rPr>
        <w:t>6.5.1</w:t>
      </w:r>
      <w:r w:rsidRPr="0062138C">
        <w:rPr>
          <w:rFonts w:ascii="Calibri" w:eastAsia="Times New Roman" w:hAnsi="Calibri"/>
          <w:i w:val="0"/>
          <w:noProof/>
          <w:color w:val="auto"/>
          <w:sz w:val="22"/>
          <w:szCs w:val="22"/>
          <w:lang w:val="en-US" w:eastAsia="en-US"/>
        </w:rPr>
        <w:tab/>
      </w:r>
      <w:r>
        <w:rPr>
          <w:noProof/>
          <w:lang w:eastAsia="ja-JP"/>
        </w:rPr>
        <w:t>BAU scenario</w:t>
      </w:r>
      <w:r>
        <w:rPr>
          <w:noProof/>
        </w:rPr>
        <w:tab/>
      </w:r>
      <w:r>
        <w:rPr>
          <w:noProof/>
        </w:rPr>
        <w:fldChar w:fldCharType="begin"/>
      </w:r>
      <w:r>
        <w:rPr>
          <w:noProof/>
        </w:rPr>
        <w:instrText xml:space="preserve"> PAGEREF _Toc452653399 \h </w:instrText>
      </w:r>
      <w:r>
        <w:rPr>
          <w:noProof/>
        </w:rPr>
      </w:r>
      <w:r>
        <w:rPr>
          <w:noProof/>
        </w:rPr>
        <w:fldChar w:fldCharType="separate"/>
      </w:r>
      <w:r w:rsidR="00C006A4">
        <w:rPr>
          <w:noProof/>
        </w:rPr>
        <w:t>71</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6.5.2</w:t>
      </w:r>
      <w:r w:rsidRPr="0062138C">
        <w:rPr>
          <w:rFonts w:ascii="Calibri" w:eastAsia="Times New Roman" w:hAnsi="Calibri"/>
          <w:i w:val="0"/>
          <w:noProof/>
          <w:color w:val="auto"/>
          <w:sz w:val="22"/>
          <w:szCs w:val="22"/>
          <w:lang w:val="en-US" w:eastAsia="en-US"/>
        </w:rPr>
        <w:tab/>
      </w:r>
      <w:r>
        <w:rPr>
          <w:noProof/>
        </w:rPr>
        <w:t>MIT-3 scenario</w:t>
      </w:r>
      <w:r>
        <w:rPr>
          <w:noProof/>
        </w:rPr>
        <w:tab/>
      </w:r>
      <w:r>
        <w:rPr>
          <w:noProof/>
        </w:rPr>
        <w:fldChar w:fldCharType="begin"/>
      </w:r>
      <w:r>
        <w:rPr>
          <w:noProof/>
        </w:rPr>
        <w:instrText xml:space="preserve"> PAGEREF _Toc452653400 \h </w:instrText>
      </w:r>
      <w:r>
        <w:rPr>
          <w:noProof/>
        </w:rPr>
      </w:r>
      <w:r>
        <w:rPr>
          <w:noProof/>
        </w:rPr>
        <w:fldChar w:fldCharType="separate"/>
      </w:r>
      <w:r w:rsidR="00C006A4">
        <w:rPr>
          <w:noProof/>
        </w:rPr>
        <w:t>74</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 xml:space="preserve">6.5.3 </w:t>
      </w:r>
      <w:r w:rsidRPr="0062138C">
        <w:rPr>
          <w:rFonts w:ascii="Calibri" w:eastAsia="Times New Roman" w:hAnsi="Calibri"/>
          <w:i w:val="0"/>
          <w:noProof/>
          <w:color w:val="auto"/>
          <w:sz w:val="22"/>
          <w:szCs w:val="22"/>
          <w:lang w:val="en-US" w:eastAsia="en-US"/>
        </w:rPr>
        <w:tab/>
      </w:r>
      <w:r>
        <w:rPr>
          <w:noProof/>
        </w:rPr>
        <w:t>Impact of manufacturing conversion periods in the MIT-3 scenario</w:t>
      </w:r>
      <w:r>
        <w:rPr>
          <w:noProof/>
        </w:rPr>
        <w:tab/>
      </w:r>
      <w:r>
        <w:rPr>
          <w:noProof/>
        </w:rPr>
        <w:fldChar w:fldCharType="begin"/>
      </w:r>
      <w:r>
        <w:rPr>
          <w:noProof/>
        </w:rPr>
        <w:instrText xml:space="preserve"> PAGEREF _Toc452653401 \h </w:instrText>
      </w:r>
      <w:r>
        <w:rPr>
          <w:noProof/>
        </w:rPr>
      </w:r>
      <w:r>
        <w:rPr>
          <w:noProof/>
        </w:rPr>
        <w:fldChar w:fldCharType="separate"/>
      </w:r>
      <w:r w:rsidR="00C006A4">
        <w:rPr>
          <w:noProof/>
        </w:rPr>
        <w:t>76</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6.5.4</w:t>
      </w:r>
      <w:r w:rsidRPr="0062138C">
        <w:rPr>
          <w:rFonts w:ascii="Calibri" w:eastAsia="Times New Roman" w:hAnsi="Calibri"/>
          <w:i w:val="0"/>
          <w:noProof/>
          <w:color w:val="auto"/>
          <w:sz w:val="22"/>
          <w:szCs w:val="22"/>
          <w:lang w:val="en-US" w:eastAsia="en-US"/>
        </w:rPr>
        <w:tab/>
      </w:r>
      <w:r>
        <w:rPr>
          <w:noProof/>
        </w:rPr>
        <w:t>MIT-4 scenario</w:t>
      </w:r>
      <w:r>
        <w:rPr>
          <w:noProof/>
        </w:rPr>
        <w:tab/>
      </w:r>
      <w:r>
        <w:rPr>
          <w:noProof/>
        </w:rPr>
        <w:fldChar w:fldCharType="begin"/>
      </w:r>
      <w:r>
        <w:rPr>
          <w:noProof/>
        </w:rPr>
        <w:instrText xml:space="preserve"> PAGEREF _Toc452653402 \h </w:instrText>
      </w:r>
      <w:r>
        <w:rPr>
          <w:noProof/>
        </w:rPr>
      </w:r>
      <w:r>
        <w:rPr>
          <w:noProof/>
        </w:rPr>
        <w:fldChar w:fldCharType="separate"/>
      </w:r>
      <w:r w:rsidR="00C006A4">
        <w:rPr>
          <w:noProof/>
        </w:rPr>
        <w:t>78</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6.5.5</w:t>
      </w:r>
      <w:r w:rsidRPr="0062138C">
        <w:rPr>
          <w:rFonts w:ascii="Calibri" w:eastAsia="Times New Roman" w:hAnsi="Calibri"/>
          <w:i w:val="0"/>
          <w:noProof/>
          <w:color w:val="auto"/>
          <w:sz w:val="22"/>
          <w:szCs w:val="22"/>
          <w:lang w:val="en-US" w:eastAsia="en-US"/>
        </w:rPr>
        <w:tab/>
      </w:r>
      <w:r>
        <w:rPr>
          <w:noProof/>
        </w:rPr>
        <w:t>Impact of manufacturing conversion periods in the MIT-4 scenario</w:t>
      </w:r>
      <w:r>
        <w:rPr>
          <w:noProof/>
        </w:rPr>
        <w:tab/>
      </w:r>
      <w:r>
        <w:rPr>
          <w:noProof/>
        </w:rPr>
        <w:fldChar w:fldCharType="begin"/>
      </w:r>
      <w:r>
        <w:rPr>
          <w:noProof/>
        </w:rPr>
        <w:instrText xml:space="preserve"> PAGEREF _Toc452653403 \h </w:instrText>
      </w:r>
      <w:r>
        <w:rPr>
          <w:noProof/>
        </w:rPr>
      </w:r>
      <w:r>
        <w:rPr>
          <w:noProof/>
        </w:rPr>
        <w:fldChar w:fldCharType="separate"/>
      </w:r>
      <w:r w:rsidR="00C006A4">
        <w:rPr>
          <w:noProof/>
        </w:rPr>
        <w:t>80</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6.5.6</w:t>
      </w:r>
      <w:r w:rsidRPr="0062138C">
        <w:rPr>
          <w:rFonts w:ascii="Calibri" w:eastAsia="Times New Roman" w:hAnsi="Calibri"/>
          <w:i w:val="0"/>
          <w:noProof/>
          <w:color w:val="auto"/>
          <w:sz w:val="22"/>
          <w:szCs w:val="22"/>
          <w:lang w:val="en-US" w:eastAsia="en-US"/>
        </w:rPr>
        <w:tab/>
      </w:r>
      <w:r>
        <w:rPr>
          <w:noProof/>
        </w:rPr>
        <w:t>MIT-5 scenario</w:t>
      </w:r>
      <w:r>
        <w:rPr>
          <w:noProof/>
        </w:rPr>
        <w:tab/>
      </w:r>
      <w:r>
        <w:rPr>
          <w:noProof/>
        </w:rPr>
        <w:fldChar w:fldCharType="begin"/>
      </w:r>
      <w:r>
        <w:rPr>
          <w:noProof/>
        </w:rPr>
        <w:instrText xml:space="preserve"> PAGEREF _Toc452653404 \h </w:instrText>
      </w:r>
      <w:r>
        <w:rPr>
          <w:noProof/>
        </w:rPr>
      </w:r>
      <w:r>
        <w:rPr>
          <w:noProof/>
        </w:rPr>
        <w:fldChar w:fldCharType="separate"/>
      </w:r>
      <w:r w:rsidR="00C006A4">
        <w:rPr>
          <w:noProof/>
        </w:rPr>
        <w:t>81</w:t>
      </w:r>
      <w:r>
        <w:rPr>
          <w:noProof/>
        </w:rPr>
        <w:fldChar w:fldCharType="end"/>
      </w:r>
    </w:p>
    <w:p w:rsidR="002E6F38" w:rsidRPr="0062138C" w:rsidRDefault="002E6F38">
      <w:pPr>
        <w:pStyle w:val="TOC3"/>
        <w:tabs>
          <w:tab w:val="left" w:pos="1170"/>
        </w:tabs>
        <w:rPr>
          <w:rFonts w:ascii="Calibri" w:eastAsia="Times New Roman" w:hAnsi="Calibri"/>
          <w:i w:val="0"/>
          <w:noProof/>
          <w:color w:val="auto"/>
          <w:sz w:val="22"/>
          <w:szCs w:val="22"/>
          <w:lang w:val="en-US" w:eastAsia="en-US"/>
        </w:rPr>
      </w:pPr>
      <w:r>
        <w:rPr>
          <w:noProof/>
        </w:rPr>
        <w:t>6.5.7</w:t>
      </w:r>
      <w:r w:rsidRPr="0062138C">
        <w:rPr>
          <w:rFonts w:ascii="Calibri" w:eastAsia="Times New Roman" w:hAnsi="Calibri"/>
          <w:i w:val="0"/>
          <w:noProof/>
          <w:color w:val="auto"/>
          <w:sz w:val="22"/>
          <w:szCs w:val="22"/>
          <w:lang w:val="en-US" w:eastAsia="en-US"/>
        </w:rPr>
        <w:tab/>
      </w:r>
      <w:r>
        <w:rPr>
          <w:noProof/>
        </w:rPr>
        <w:t>Impact of manufacturing conversion periods in the MIT-5 scenario</w:t>
      </w:r>
      <w:r>
        <w:rPr>
          <w:noProof/>
        </w:rPr>
        <w:tab/>
      </w:r>
      <w:r>
        <w:rPr>
          <w:noProof/>
        </w:rPr>
        <w:fldChar w:fldCharType="begin"/>
      </w:r>
      <w:r>
        <w:rPr>
          <w:noProof/>
        </w:rPr>
        <w:instrText xml:space="preserve"> PAGEREF _Toc452653405 \h </w:instrText>
      </w:r>
      <w:r>
        <w:rPr>
          <w:noProof/>
        </w:rPr>
      </w:r>
      <w:r>
        <w:rPr>
          <w:noProof/>
        </w:rPr>
        <w:fldChar w:fldCharType="separate"/>
      </w:r>
      <w:r w:rsidR="00C006A4">
        <w:rPr>
          <w:noProof/>
        </w:rPr>
        <w:t>82</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 xml:space="preserve">6.6 </w:t>
      </w:r>
      <w:r w:rsidRPr="0062138C">
        <w:rPr>
          <w:rFonts w:ascii="Calibri" w:eastAsia="Times New Roman" w:hAnsi="Calibri"/>
          <w:smallCaps w:val="0"/>
          <w:color w:val="auto"/>
          <w:sz w:val="22"/>
          <w:szCs w:val="22"/>
          <w:lang w:val="en-US" w:eastAsia="en-US"/>
        </w:rPr>
        <w:tab/>
      </w:r>
      <w:r>
        <w:t>Refrigerant demand and mitigation benefit numbers</w:t>
      </w:r>
      <w:r>
        <w:tab/>
      </w:r>
      <w:r>
        <w:fldChar w:fldCharType="begin"/>
      </w:r>
      <w:r>
        <w:instrText xml:space="preserve"> PAGEREF _Toc452653406 \h </w:instrText>
      </w:r>
      <w:r>
        <w:fldChar w:fldCharType="separate"/>
      </w:r>
      <w:r w:rsidR="00C006A4">
        <w:t>83</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6.7</w:t>
      </w:r>
      <w:r w:rsidRPr="0062138C">
        <w:rPr>
          <w:rFonts w:ascii="Calibri" w:eastAsia="Times New Roman" w:hAnsi="Calibri"/>
          <w:smallCaps w:val="0"/>
          <w:color w:val="auto"/>
          <w:sz w:val="22"/>
          <w:szCs w:val="22"/>
          <w:lang w:val="en-US" w:eastAsia="en-US"/>
        </w:rPr>
        <w:tab/>
      </w:r>
      <w:r>
        <w:t xml:space="preserve"> References</w:t>
      </w:r>
      <w:r>
        <w:tab/>
      </w:r>
      <w:r>
        <w:fldChar w:fldCharType="begin"/>
      </w:r>
      <w:r>
        <w:instrText xml:space="preserve"> PAGEREF _Toc452653407 \h </w:instrText>
      </w:r>
      <w:r>
        <w:fldChar w:fldCharType="separate"/>
      </w:r>
      <w:r w:rsidR="00C006A4">
        <w:t>91</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7</w:t>
      </w:r>
      <w:r w:rsidRPr="0062138C">
        <w:rPr>
          <w:rFonts w:ascii="Calibri" w:eastAsia="Times New Roman" w:hAnsi="Calibri"/>
          <w:b w:val="0"/>
          <w:caps w:val="0"/>
          <w:color w:val="auto"/>
          <w:sz w:val="22"/>
          <w:szCs w:val="22"/>
          <w:lang w:val="en-US" w:eastAsia="en-US"/>
        </w:rPr>
        <w:tab/>
      </w:r>
      <w:r>
        <w:t>List of acronyms and abbreviations</w:t>
      </w:r>
      <w:r>
        <w:tab/>
      </w:r>
      <w:r>
        <w:fldChar w:fldCharType="begin"/>
      </w:r>
      <w:r>
        <w:instrText xml:space="preserve"> PAGEREF _Toc452653408 \h </w:instrText>
      </w:r>
      <w:r>
        <w:fldChar w:fldCharType="separate"/>
      </w:r>
      <w:r w:rsidR="00C006A4">
        <w:t>93</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Annex 1 - Summary of Informal Discussion on the TEAP Decision XXVII/4 Task Force Report for OEWG-37</w:t>
      </w:r>
      <w:r>
        <w:tab/>
      </w:r>
      <w:r>
        <w:fldChar w:fldCharType="begin"/>
      </w:r>
      <w:r>
        <w:instrText xml:space="preserve"> PAGEREF _Toc452653409 \h </w:instrText>
      </w:r>
      <w:r>
        <w:fldChar w:fldCharType="separate"/>
      </w:r>
      <w:r w:rsidR="00C006A4">
        <w:t>95</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Annex 2 - Background information about refrigeration in the fishing industry</w:t>
      </w:r>
      <w:r>
        <w:tab/>
      </w:r>
      <w:r>
        <w:fldChar w:fldCharType="begin"/>
      </w:r>
      <w:r>
        <w:instrText xml:space="preserve"> PAGEREF _Toc452653410 \h </w:instrText>
      </w:r>
      <w:r>
        <w:fldChar w:fldCharType="separate"/>
      </w:r>
      <w:r w:rsidR="00C006A4">
        <w:t>97</w:t>
      </w:r>
      <w:r>
        <w:fldChar w:fldCharType="end"/>
      </w:r>
    </w:p>
    <w:p w:rsidR="002E6F38" w:rsidRPr="0062138C" w:rsidRDefault="002E6F38">
      <w:pPr>
        <w:pStyle w:val="TOC2"/>
        <w:rPr>
          <w:rFonts w:ascii="Calibri" w:eastAsia="Times New Roman" w:hAnsi="Calibri"/>
          <w:smallCaps w:val="0"/>
          <w:color w:val="auto"/>
          <w:sz w:val="22"/>
          <w:szCs w:val="22"/>
          <w:lang w:val="en-US" w:eastAsia="en-US"/>
        </w:rPr>
      </w:pPr>
      <w:r>
        <w:t>A2.1</w:t>
      </w:r>
      <w:r w:rsidRPr="0062138C">
        <w:rPr>
          <w:rFonts w:ascii="Calibri" w:eastAsia="Times New Roman" w:hAnsi="Calibri"/>
          <w:smallCaps w:val="0"/>
          <w:color w:val="auto"/>
          <w:sz w:val="22"/>
          <w:szCs w:val="22"/>
          <w:lang w:val="en-US" w:eastAsia="en-US"/>
        </w:rPr>
        <w:tab/>
      </w:r>
      <w:r>
        <w:t xml:space="preserve"> The fishing industry</w:t>
      </w:r>
      <w:r>
        <w:tab/>
      </w:r>
      <w:r>
        <w:fldChar w:fldCharType="begin"/>
      </w:r>
      <w:r>
        <w:instrText xml:space="preserve"> PAGEREF _Toc452653411 \h </w:instrText>
      </w:r>
      <w:r>
        <w:fldChar w:fldCharType="separate"/>
      </w:r>
      <w:r w:rsidR="00C006A4">
        <w:t>97</w:t>
      </w:r>
      <w: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A2.1.1</w:t>
      </w:r>
      <w:r w:rsidRPr="0062138C">
        <w:rPr>
          <w:rFonts w:ascii="Calibri" w:eastAsia="Times New Roman" w:hAnsi="Calibri"/>
          <w:i w:val="0"/>
          <w:noProof/>
          <w:color w:val="auto"/>
          <w:sz w:val="22"/>
          <w:szCs w:val="22"/>
          <w:lang w:val="en-US" w:eastAsia="en-US"/>
        </w:rPr>
        <w:tab/>
      </w:r>
      <w:r>
        <w:rPr>
          <w:noProof/>
        </w:rPr>
        <w:t>Pacific fishing vessels</w:t>
      </w:r>
      <w:r>
        <w:rPr>
          <w:noProof/>
        </w:rPr>
        <w:tab/>
      </w:r>
      <w:r>
        <w:rPr>
          <w:noProof/>
        </w:rPr>
        <w:fldChar w:fldCharType="begin"/>
      </w:r>
      <w:r>
        <w:rPr>
          <w:noProof/>
        </w:rPr>
        <w:instrText xml:space="preserve"> PAGEREF _Toc452653412 \h </w:instrText>
      </w:r>
      <w:r>
        <w:rPr>
          <w:noProof/>
        </w:rPr>
      </w:r>
      <w:r>
        <w:rPr>
          <w:noProof/>
        </w:rPr>
        <w:fldChar w:fldCharType="separate"/>
      </w:r>
      <w:r w:rsidR="00C006A4">
        <w:rPr>
          <w:noProof/>
        </w:rPr>
        <w:t>97</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A2.1.2</w:t>
      </w:r>
      <w:r w:rsidRPr="0062138C">
        <w:rPr>
          <w:rFonts w:ascii="Calibri" w:eastAsia="Times New Roman" w:hAnsi="Calibri"/>
          <w:i w:val="0"/>
          <w:noProof/>
          <w:color w:val="auto"/>
          <w:sz w:val="22"/>
          <w:szCs w:val="22"/>
          <w:lang w:val="en-US" w:eastAsia="en-US"/>
        </w:rPr>
        <w:tab/>
      </w:r>
      <w:r>
        <w:rPr>
          <w:noProof/>
        </w:rPr>
        <w:t>The EU fishery fleet</w:t>
      </w:r>
      <w:r>
        <w:rPr>
          <w:noProof/>
        </w:rPr>
        <w:tab/>
      </w:r>
      <w:r>
        <w:rPr>
          <w:noProof/>
        </w:rPr>
        <w:fldChar w:fldCharType="begin"/>
      </w:r>
      <w:r>
        <w:rPr>
          <w:noProof/>
        </w:rPr>
        <w:instrText xml:space="preserve"> PAGEREF _Toc452653413 \h </w:instrText>
      </w:r>
      <w:r>
        <w:rPr>
          <w:noProof/>
        </w:rPr>
      </w:r>
      <w:r>
        <w:rPr>
          <w:noProof/>
        </w:rPr>
        <w:fldChar w:fldCharType="separate"/>
      </w:r>
      <w:r w:rsidR="00C006A4">
        <w:rPr>
          <w:noProof/>
        </w:rPr>
        <w:t>100</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A2.2</w:t>
      </w:r>
      <w:r w:rsidRPr="0062138C">
        <w:rPr>
          <w:rFonts w:ascii="Calibri" w:eastAsia="Times New Roman" w:hAnsi="Calibri"/>
          <w:smallCaps w:val="0"/>
          <w:color w:val="auto"/>
          <w:sz w:val="22"/>
          <w:szCs w:val="22"/>
          <w:lang w:val="en-US" w:eastAsia="en-US"/>
        </w:rPr>
        <w:tab/>
      </w:r>
      <w:r>
        <w:t xml:space="preserve"> Refrigeration within the fishing industry</w:t>
      </w:r>
      <w:r>
        <w:tab/>
      </w:r>
      <w:r>
        <w:fldChar w:fldCharType="begin"/>
      </w:r>
      <w:r>
        <w:instrText xml:space="preserve"> PAGEREF _Toc452653414 \h </w:instrText>
      </w:r>
      <w:r>
        <w:fldChar w:fldCharType="separate"/>
      </w:r>
      <w:r w:rsidR="00C006A4">
        <w:t>101</w:t>
      </w:r>
      <w: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A2.2.1</w:t>
      </w:r>
      <w:r w:rsidRPr="0062138C">
        <w:rPr>
          <w:rFonts w:ascii="Calibri" w:eastAsia="Times New Roman" w:hAnsi="Calibri"/>
          <w:i w:val="0"/>
          <w:noProof/>
          <w:color w:val="auto"/>
          <w:sz w:val="22"/>
          <w:szCs w:val="22"/>
          <w:lang w:val="en-US" w:eastAsia="en-US"/>
        </w:rPr>
        <w:tab/>
      </w:r>
      <w:r>
        <w:rPr>
          <w:noProof/>
        </w:rPr>
        <w:t>Refrigeration on board</w:t>
      </w:r>
      <w:r>
        <w:rPr>
          <w:noProof/>
        </w:rPr>
        <w:tab/>
      </w:r>
      <w:r>
        <w:rPr>
          <w:noProof/>
        </w:rPr>
        <w:fldChar w:fldCharType="begin"/>
      </w:r>
      <w:r>
        <w:rPr>
          <w:noProof/>
        </w:rPr>
        <w:instrText xml:space="preserve"> PAGEREF _Toc452653415 \h </w:instrText>
      </w:r>
      <w:r>
        <w:rPr>
          <w:noProof/>
        </w:rPr>
      </w:r>
      <w:r>
        <w:rPr>
          <w:noProof/>
        </w:rPr>
        <w:fldChar w:fldCharType="separate"/>
      </w:r>
      <w:r w:rsidR="00C006A4">
        <w:rPr>
          <w:noProof/>
        </w:rPr>
        <w:t>101</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A2.2.2</w:t>
      </w:r>
      <w:r w:rsidRPr="0062138C">
        <w:rPr>
          <w:rFonts w:ascii="Calibri" w:eastAsia="Times New Roman" w:hAnsi="Calibri"/>
          <w:i w:val="0"/>
          <w:noProof/>
          <w:color w:val="auto"/>
          <w:sz w:val="22"/>
          <w:szCs w:val="22"/>
          <w:lang w:val="en-US" w:eastAsia="en-US"/>
        </w:rPr>
        <w:tab/>
      </w:r>
      <w:r>
        <w:rPr>
          <w:noProof/>
        </w:rPr>
        <w:t>Ice plants and Refrigerated Sea Water (RSW)</w:t>
      </w:r>
      <w:r>
        <w:rPr>
          <w:noProof/>
        </w:rPr>
        <w:tab/>
      </w:r>
      <w:r>
        <w:rPr>
          <w:noProof/>
        </w:rPr>
        <w:fldChar w:fldCharType="begin"/>
      </w:r>
      <w:r>
        <w:rPr>
          <w:noProof/>
        </w:rPr>
        <w:instrText xml:space="preserve"> PAGEREF _Toc452653416 \h </w:instrText>
      </w:r>
      <w:r>
        <w:rPr>
          <w:noProof/>
        </w:rPr>
      </w:r>
      <w:r>
        <w:rPr>
          <w:noProof/>
        </w:rPr>
        <w:fldChar w:fldCharType="separate"/>
      </w:r>
      <w:r w:rsidR="00C006A4">
        <w:rPr>
          <w:noProof/>
        </w:rPr>
        <w:t>102</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A2.2.3</w:t>
      </w:r>
      <w:r w:rsidRPr="0062138C">
        <w:rPr>
          <w:rFonts w:ascii="Calibri" w:eastAsia="Times New Roman" w:hAnsi="Calibri"/>
          <w:i w:val="0"/>
          <w:noProof/>
          <w:color w:val="auto"/>
          <w:sz w:val="22"/>
          <w:szCs w:val="22"/>
          <w:lang w:val="en-US" w:eastAsia="en-US"/>
        </w:rPr>
        <w:tab/>
      </w:r>
      <w:r>
        <w:rPr>
          <w:noProof/>
        </w:rPr>
        <w:t>Freezer trawlers</w:t>
      </w:r>
      <w:r>
        <w:rPr>
          <w:noProof/>
        </w:rPr>
        <w:tab/>
      </w:r>
      <w:r>
        <w:rPr>
          <w:noProof/>
        </w:rPr>
        <w:fldChar w:fldCharType="begin"/>
      </w:r>
      <w:r>
        <w:rPr>
          <w:noProof/>
        </w:rPr>
        <w:instrText xml:space="preserve"> PAGEREF _Toc452653417 \h </w:instrText>
      </w:r>
      <w:r>
        <w:rPr>
          <w:noProof/>
        </w:rPr>
      </w:r>
      <w:r>
        <w:rPr>
          <w:noProof/>
        </w:rPr>
        <w:fldChar w:fldCharType="separate"/>
      </w:r>
      <w:r w:rsidR="00C006A4">
        <w:rPr>
          <w:noProof/>
        </w:rPr>
        <w:t>102</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A2.2.4</w:t>
      </w:r>
      <w:r w:rsidRPr="0062138C">
        <w:rPr>
          <w:rFonts w:ascii="Calibri" w:eastAsia="Times New Roman" w:hAnsi="Calibri"/>
          <w:i w:val="0"/>
          <w:noProof/>
          <w:color w:val="auto"/>
          <w:sz w:val="22"/>
          <w:szCs w:val="22"/>
          <w:lang w:val="en-US" w:eastAsia="en-US"/>
        </w:rPr>
        <w:tab/>
      </w:r>
      <w:r>
        <w:rPr>
          <w:noProof/>
        </w:rPr>
        <w:t>Ultra-low temperature freezing</w:t>
      </w:r>
      <w:r>
        <w:rPr>
          <w:noProof/>
        </w:rPr>
        <w:tab/>
      </w:r>
      <w:r>
        <w:rPr>
          <w:noProof/>
        </w:rPr>
        <w:fldChar w:fldCharType="begin"/>
      </w:r>
      <w:r>
        <w:rPr>
          <w:noProof/>
        </w:rPr>
        <w:instrText xml:space="preserve"> PAGEREF _Toc452653418 \h </w:instrText>
      </w:r>
      <w:r>
        <w:rPr>
          <w:noProof/>
        </w:rPr>
      </w:r>
      <w:r>
        <w:rPr>
          <w:noProof/>
        </w:rPr>
        <w:fldChar w:fldCharType="separate"/>
      </w:r>
      <w:r w:rsidR="00C006A4">
        <w:rPr>
          <w:noProof/>
        </w:rPr>
        <w:t>103</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A2.3</w:t>
      </w:r>
      <w:r w:rsidRPr="0062138C">
        <w:rPr>
          <w:rFonts w:ascii="Calibri" w:eastAsia="Times New Roman" w:hAnsi="Calibri"/>
          <w:smallCaps w:val="0"/>
          <w:color w:val="auto"/>
          <w:sz w:val="22"/>
          <w:szCs w:val="22"/>
          <w:lang w:val="en-US" w:eastAsia="en-US"/>
        </w:rPr>
        <w:tab/>
      </w:r>
      <w:r>
        <w:t xml:space="preserve"> Refrigerants currently used</w:t>
      </w:r>
      <w:r>
        <w:tab/>
      </w:r>
      <w:r>
        <w:fldChar w:fldCharType="begin"/>
      </w:r>
      <w:r>
        <w:instrText xml:space="preserve"> PAGEREF _Toc452653419 \h </w:instrText>
      </w:r>
      <w:r>
        <w:fldChar w:fldCharType="separate"/>
      </w:r>
      <w:r w:rsidR="00C006A4">
        <w:t>104</w:t>
      </w:r>
      <w: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A2.3.1</w:t>
      </w:r>
      <w:r w:rsidRPr="0062138C">
        <w:rPr>
          <w:rFonts w:ascii="Calibri" w:eastAsia="Times New Roman" w:hAnsi="Calibri"/>
          <w:i w:val="0"/>
          <w:noProof/>
          <w:color w:val="auto"/>
          <w:sz w:val="22"/>
          <w:szCs w:val="22"/>
          <w:lang w:val="en-US" w:eastAsia="en-US"/>
        </w:rPr>
        <w:tab/>
      </w:r>
      <w:r>
        <w:rPr>
          <w:noProof/>
        </w:rPr>
        <w:t>Refrigerants used on board</w:t>
      </w:r>
      <w:r>
        <w:rPr>
          <w:noProof/>
        </w:rPr>
        <w:tab/>
      </w:r>
      <w:r>
        <w:rPr>
          <w:noProof/>
        </w:rPr>
        <w:fldChar w:fldCharType="begin"/>
      </w:r>
      <w:r>
        <w:rPr>
          <w:noProof/>
        </w:rPr>
        <w:instrText xml:space="preserve"> PAGEREF _Toc452653420 \h </w:instrText>
      </w:r>
      <w:r>
        <w:rPr>
          <w:noProof/>
        </w:rPr>
      </w:r>
      <w:r>
        <w:rPr>
          <w:noProof/>
        </w:rPr>
        <w:fldChar w:fldCharType="separate"/>
      </w:r>
      <w:r w:rsidR="00C006A4">
        <w:rPr>
          <w:noProof/>
        </w:rPr>
        <w:t>104</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A2.3.2</w:t>
      </w:r>
      <w:r w:rsidRPr="0062138C">
        <w:rPr>
          <w:rFonts w:ascii="Calibri" w:eastAsia="Times New Roman" w:hAnsi="Calibri"/>
          <w:i w:val="0"/>
          <w:noProof/>
          <w:color w:val="auto"/>
          <w:sz w:val="22"/>
          <w:szCs w:val="22"/>
          <w:lang w:val="en-US" w:eastAsia="en-US"/>
        </w:rPr>
        <w:tab/>
      </w:r>
      <w:r>
        <w:rPr>
          <w:noProof/>
        </w:rPr>
        <w:t>Refrigerants used on land operations</w:t>
      </w:r>
      <w:r>
        <w:rPr>
          <w:noProof/>
        </w:rPr>
        <w:tab/>
      </w:r>
      <w:r>
        <w:rPr>
          <w:noProof/>
        </w:rPr>
        <w:fldChar w:fldCharType="begin"/>
      </w:r>
      <w:r>
        <w:rPr>
          <w:noProof/>
        </w:rPr>
        <w:instrText xml:space="preserve"> PAGEREF _Toc452653421 \h </w:instrText>
      </w:r>
      <w:r>
        <w:rPr>
          <w:noProof/>
        </w:rPr>
      </w:r>
      <w:r>
        <w:rPr>
          <w:noProof/>
        </w:rPr>
        <w:fldChar w:fldCharType="separate"/>
      </w:r>
      <w:r w:rsidR="00C006A4">
        <w:rPr>
          <w:noProof/>
        </w:rPr>
        <w:t>104</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A3.3.3</w:t>
      </w:r>
      <w:r w:rsidRPr="0062138C">
        <w:rPr>
          <w:rFonts w:ascii="Calibri" w:eastAsia="Times New Roman" w:hAnsi="Calibri"/>
          <w:i w:val="0"/>
          <w:noProof/>
          <w:color w:val="auto"/>
          <w:sz w:val="22"/>
          <w:szCs w:val="22"/>
          <w:lang w:val="en-US" w:eastAsia="en-US"/>
        </w:rPr>
        <w:tab/>
      </w:r>
      <w:r>
        <w:rPr>
          <w:noProof/>
        </w:rPr>
        <w:t>Refrigerant leakage</w:t>
      </w:r>
      <w:r>
        <w:rPr>
          <w:noProof/>
        </w:rPr>
        <w:tab/>
      </w:r>
      <w:r>
        <w:rPr>
          <w:noProof/>
        </w:rPr>
        <w:fldChar w:fldCharType="begin"/>
      </w:r>
      <w:r>
        <w:rPr>
          <w:noProof/>
        </w:rPr>
        <w:instrText xml:space="preserve"> PAGEREF _Toc452653422 \h </w:instrText>
      </w:r>
      <w:r>
        <w:rPr>
          <w:noProof/>
        </w:rPr>
      </w:r>
      <w:r>
        <w:rPr>
          <w:noProof/>
        </w:rPr>
        <w:fldChar w:fldCharType="separate"/>
      </w:r>
      <w:r w:rsidR="00C006A4">
        <w:rPr>
          <w:noProof/>
        </w:rPr>
        <w:t>104</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A2.3.4</w:t>
      </w:r>
      <w:r w:rsidRPr="0062138C">
        <w:rPr>
          <w:rFonts w:ascii="Calibri" w:eastAsia="Times New Roman" w:hAnsi="Calibri"/>
          <w:i w:val="0"/>
          <w:noProof/>
          <w:color w:val="auto"/>
          <w:sz w:val="22"/>
          <w:szCs w:val="22"/>
          <w:lang w:val="en-US" w:eastAsia="en-US"/>
        </w:rPr>
        <w:tab/>
      </w:r>
      <w:r>
        <w:rPr>
          <w:noProof/>
        </w:rPr>
        <w:t>High ambient temperatures (HAT)</w:t>
      </w:r>
      <w:r>
        <w:rPr>
          <w:noProof/>
        </w:rPr>
        <w:tab/>
      </w:r>
      <w:r>
        <w:rPr>
          <w:noProof/>
        </w:rPr>
        <w:fldChar w:fldCharType="begin"/>
      </w:r>
      <w:r>
        <w:rPr>
          <w:noProof/>
        </w:rPr>
        <w:instrText xml:space="preserve"> PAGEREF _Toc452653423 \h </w:instrText>
      </w:r>
      <w:r>
        <w:rPr>
          <w:noProof/>
        </w:rPr>
      </w:r>
      <w:r>
        <w:rPr>
          <w:noProof/>
        </w:rPr>
        <w:fldChar w:fldCharType="separate"/>
      </w:r>
      <w:r w:rsidR="00C006A4">
        <w:rPr>
          <w:noProof/>
        </w:rPr>
        <w:t>105</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A2.4</w:t>
      </w:r>
      <w:r w:rsidRPr="0062138C">
        <w:rPr>
          <w:rFonts w:ascii="Calibri" w:eastAsia="Times New Roman" w:hAnsi="Calibri"/>
          <w:smallCaps w:val="0"/>
          <w:color w:val="auto"/>
          <w:sz w:val="22"/>
          <w:szCs w:val="22"/>
          <w:lang w:val="en-US" w:eastAsia="en-US"/>
        </w:rPr>
        <w:tab/>
      </w:r>
      <w:r>
        <w:t xml:space="preserve"> Low-GWP alternatives to ODS refrigerants</w:t>
      </w:r>
      <w:r>
        <w:tab/>
      </w:r>
      <w:r>
        <w:fldChar w:fldCharType="begin"/>
      </w:r>
      <w:r>
        <w:instrText xml:space="preserve"> PAGEREF _Toc452653424 \h </w:instrText>
      </w:r>
      <w:r>
        <w:fldChar w:fldCharType="separate"/>
      </w:r>
      <w:r w:rsidR="00C006A4">
        <w:t>105</w:t>
      </w:r>
      <w: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A2.4.1</w:t>
      </w:r>
      <w:r w:rsidRPr="0062138C">
        <w:rPr>
          <w:rFonts w:ascii="Calibri" w:eastAsia="Times New Roman" w:hAnsi="Calibri"/>
          <w:i w:val="0"/>
          <w:noProof/>
          <w:color w:val="auto"/>
          <w:sz w:val="22"/>
          <w:szCs w:val="22"/>
          <w:lang w:val="en-US" w:eastAsia="en-US"/>
        </w:rPr>
        <w:tab/>
      </w:r>
      <w:r>
        <w:rPr>
          <w:noProof/>
        </w:rPr>
        <w:t>Alternatives to HCFC-22</w:t>
      </w:r>
      <w:r>
        <w:rPr>
          <w:noProof/>
        </w:rPr>
        <w:tab/>
      </w:r>
      <w:r>
        <w:rPr>
          <w:noProof/>
        </w:rPr>
        <w:fldChar w:fldCharType="begin"/>
      </w:r>
      <w:r>
        <w:rPr>
          <w:noProof/>
        </w:rPr>
        <w:instrText xml:space="preserve"> PAGEREF _Toc452653425 \h </w:instrText>
      </w:r>
      <w:r>
        <w:rPr>
          <w:noProof/>
        </w:rPr>
      </w:r>
      <w:r>
        <w:rPr>
          <w:noProof/>
        </w:rPr>
        <w:fldChar w:fldCharType="separate"/>
      </w:r>
      <w:r w:rsidR="00C006A4">
        <w:rPr>
          <w:noProof/>
        </w:rPr>
        <w:t>105</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A2.4.2</w:t>
      </w:r>
      <w:r w:rsidRPr="0062138C">
        <w:rPr>
          <w:rFonts w:ascii="Calibri" w:eastAsia="Times New Roman" w:hAnsi="Calibri"/>
          <w:i w:val="0"/>
          <w:noProof/>
          <w:color w:val="auto"/>
          <w:sz w:val="22"/>
          <w:szCs w:val="22"/>
          <w:lang w:val="en-US" w:eastAsia="en-US"/>
        </w:rPr>
        <w:tab/>
      </w:r>
      <w:r>
        <w:rPr>
          <w:noProof/>
        </w:rPr>
        <w:t>Option 1 – Non-halocarbon refrigerants (R-717 and R-744)</w:t>
      </w:r>
      <w:r>
        <w:rPr>
          <w:noProof/>
        </w:rPr>
        <w:tab/>
      </w:r>
      <w:r>
        <w:rPr>
          <w:noProof/>
        </w:rPr>
        <w:fldChar w:fldCharType="begin"/>
      </w:r>
      <w:r>
        <w:rPr>
          <w:noProof/>
        </w:rPr>
        <w:instrText xml:space="preserve"> PAGEREF _Toc452653426 \h </w:instrText>
      </w:r>
      <w:r>
        <w:rPr>
          <w:noProof/>
        </w:rPr>
      </w:r>
      <w:r>
        <w:rPr>
          <w:noProof/>
        </w:rPr>
        <w:fldChar w:fldCharType="separate"/>
      </w:r>
      <w:r w:rsidR="00C006A4">
        <w:rPr>
          <w:noProof/>
        </w:rPr>
        <w:t>107</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A2.4.3</w:t>
      </w:r>
      <w:r w:rsidRPr="0062138C">
        <w:rPr>
          <w:rFonts w:ascii="Calibri" w:eastAsia="Times New Roman" w:hAnsi="Calibri"/>
          <w:i w:val="0"/>
          <w:noProof/>
          <w:color w:val="auto"/>
          <w:sz w:val="22"/>
          <w:szCs w:val="22"/>
          <w:lang w:val="en-US" w:eastAsia="en-US"/>
        </w:rPr>
        <w:tab/>
      </w:r>
      <w:r>
        <w:rPr>
          <w:noProof/>
        </w:rPr>
        <w:t>Option 2 – Refrigerant replacement with plant adjustments</w:t>
      </w:r>
      <w:r>
        <w:rPr>
          <w:noProof/>
        </w:rPr>
        <w:tab/>
      </w:r>
      <w:r>
        <w:rPr>
          <w:noProof/>
        </w:rPr>
        <w:fldChar w:fldCharType="begin"/>
      </w:r>
      <w:r>
        <w:rPr>
          <w:noProof/>
        </w:rPr>
        <w:instrText xml:space="preserve"> PAGEREF _Toc452653427 \h </w:instrText>
      </w:r>
      <w:r>
        <w:rPr>
          <w:noProof/>
        </w:rPr>
      </w:r>
      <w:r>
        <w:rPr>
          <w:noProof/>
        </w:rPr>
        <w:fldChar w:fldCharType="separate"/>
      </w:r>
      <w:r w:rsidR="00C006A4">
        <w:rPr>
          <w:noProof/>
        </w:rPr>
        <w:t>109</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A2.4.4</w:t>
      </w:r>
      <w:r w:rsidRPr="0062138C">
        <w:rPr>
          <w:rFonts w:ascii="Calibri" w:eastAsia="Times New Roman" w:hAnsi="Calibri"/>
          <w:i w:val="0"/>
          <w:noProof/>
          <w:color w:val="auto"/>
          <w:sz w:val="22"/>
          <w:szCs w:val="22"/>
          <w:lang w:val="en-US" w:eastAsia="en-US"/>
        </w:rPr>
        <w:tab/>
      </w:r>
      <w:r>
        <w:rPr>
          <w:noProof/>
        </w:rPr>
        <w:t>Option 3 – Refrigerant drop-in</w:t>
      </w:r>
      <w:r>
        <w:rPr>
          <w:noProof/>
        </w:rPr>
        <w:tab/>
      </w:r>
      <w:r>
        <w:rPr>
          <w:noProof/>
        </w:rPr>
        <w:fldChar w:fldCharType="begin"/>
      </w:r>
      <w:r>
        <w:rPr>
          <w:noProof/>
        </w:rPr>
        <w:instrText xml:space="preserve"> PAGEREF _Toc452653428 \h </w:instrText>
      </w:r>
      <w:r>
        <w:rPr>
          <w:noProof/>
        </w:rPr>
      </w:r>
      <w:r>
        <w:rPr>
          <w:noProof/>
        </w:rPr>
        <w:fldChar w:fldCharType="separate"/>
      </w:r>
      <w:r w:rsidR="00C006A4">
        <w:rPr>
          <w:noProof/>
        </w:rPr>
        <w:t>110</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A2.4.5</w:t>
      </w:r>
      <w:r w:rsidRPr="0062138C">
        <w:rPr>
          <w:rFonts w:ascii="Calibri" w:eastAsia="Times New Roman" w:hAnsi="Calibri"/>
          <w:i w:val="0"/>
          <w:noProof/>
          <w:color w:val="auto"/>
          <w:sz w:val="22"/>
          <w:szCs w:val="22"/>
          <w:lang w:val="en-US" w:eastAsia="en-US"/>
        </w:rPr>
        <w:tab/>
      </w:r>
      <w:r>
        <w:rPr>
          <w:noProof/>
        </w:rPr>
        <w:t>Option 4 – Maintaining HCFC-22</w:t>
      </w:r>
      <w:r>
        <w:rPr>
          <w:noProof/>
        </w:rPr>
        <w:tab/>
      </w:r>
      <w:r>
        <w:rPr>
          <w:noProof/>
        </w:rPr>
        <w:fldChar w:fldCharType="begin"/>
      </w:r>
      <w:r>
        <w:rPr>
          <w:noProof/>
        </w:rPr>
        <w:instrText xml:space="preserve"> PAGEREF _Toc452653429 \h </w:instrText>
      </w:r>
      <w:r>
        <w:rPr>
          <w:noProof/>
        </w:rPr>
      </w:r>
      <w:r>
        <w:rPr>
          <w:noProof/>
        </w:rPr>
        <w:fldChar w:fldCharType="separate"/>
      </w:r>
      <w:r w:rsidR="00C006A4">
        <w:rPr>
          <w:noProof/>
        </w:rPr>
        <w:t>111</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A2.4.6</w:t>
      </w:r>
      <w:r w:rsidRPr="0062138C">
        <w:rPr>
          <w:rFonts w:ascii="Calibri" w:eastAsia="Times New Roman" w:hAnsi="Calibri"/>
          <w:i w:val="0"/>
          <w:noProof/>
          <w:color w:val="auto"/>
          <w:sz w:val="22"/>
          <w:szCs w:val="22"/>
          <w:lang w:val="en-US" w:eastAsia="en-US"/>
        </w:rPr>
        <w:tab/>
      </w:r>
      <w:r>
        <w:rPr>
          <w:noProof/>
        </w:rPr>
        <w:t>Ultra-low temperature solutions</w:t>
      </w:r>
      <w:r>
        <w:rPr>
          <w:noProof/>
        </w:rPr>
        <w:tab/>
      </w:r>
      <w:r>
        <w:rPr>
          <w:noProof/>
        </w:rPr>
        <w:fldChar w:fldCharType="begin"/>
      </w:r>
      <w:r>
        <w:rPr>
          <w:noProof/>
        </w:rPr>
        <w:instrText xml:space="preserve"> PAGEREF _Toc452653430 \h </w:instrText>
      </w:r>
      <w:r>
        <w:rPr>
          <w:noProof/>
        </w:rPr>
      </w:r>
      <w:r>
        <w:rPr>
          <w:noProof/>
        </w:rPr>
        <w:fldChar w:fldCharType="separate"/>
      </w:r>
      <w:r w:rsidR="00C006A4">
        <w:rPr>
          <w:noProof/>
        </w:rPr>
        <w:t>111</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A2.4.7</w:t>
      </w:r>
      <w:r w:rsidRPr="0062138C">
        <w:rPr>
          <w:rFonts w:ascii="Calibri" w:eastAsia="Times New Roman" w:hAnsi="Calibri"/>
          <w:i w:val="0"/>
          <w:noProof/>
          <w:color w:val="auto"/>
          <w:sz w:val="22"/>
          <w:szCs w:val="22"/>
          <w:lang w:val="en-US" w:eastAsia="en-US"/>
        </w:rPr>
        <w:tab/>
      </w:r>
      <w:r>
        <w:rPr>
          <w:noProof/>
        </w:rPr>
        <w:t>Land based equipment</w:t>
      </w:r>
      <w:r>
        <w:rPr>
          <w:noProof/>
        </w:rPr>
        <w:tab/>
      </w:r>
      <w:r>
        <w:rPr>
          <w:noProof/>
        </w:rPr>
        <w:fldChar w:fldCharType="begin"/>
      </w:r>
      <w:r>
        <w:rPr>
          <w:noProof/>
        </w:rPr>
        <w:instrText xml:space="preserve"> PAGEREF _Toc452653431 \h </w:instrText>
      </w:r>
      <w:r>
        <w:rPr>
          <w:noProof/>
        </w:rPr>
      </w:r>
      <w:r>
        <w:rPr>
          <w:noProof/>
        </w:rPr>
        <w:fldChar w:fldCharType="separate"/>
      </w:r>
      <w:r w:rsidR="00C006A4">
        <w:rPr>
          <w:noProof/>
        </w:rPr>
        <w:t>113</w:t>
      </w:r>
      <w:r>
        <w:rPr>
          <w:noProof/>
        </w:rPr>
        <w:fldChar w:fldCharType="end"/>
      </w:r>
    </w:p>
    <w:p w:rsidR="002E6F38" w:rsidRPr="0062138C" w:rsidRDefault="002E6F38">
      <w:pPr>
        <w:pStyle w:val="TOC3"/>
        <w:tabs>
          <w:tab w:val="left" w:pos="1440"/>
        </w:tabs>
        <w:rPr>
          <w:rFonts w:ascii="Calibri" w:eastAsia="Times New Roman" w:hAnsi="Calibri"/>
          <w:i w:val="0"/>
          <w:noProof/>
          <w:color w:val="auto"/>
          <w:sz w:val="22"/>
          <w:szCs w:val="22"/>
          <w:lang w:val="en-US" w:eastAsia="en-US"/>
        </w:rPr>
      </w:pPr>
      <w:r>
        <w:rPr>
          <w:noProof/>
        </w:rPr>
        <w:t>A2.4.8</w:t>
      </w:r>
      <w:r w:rsidRPr="0062138C">
        <w:rPr>
          <w:rFonts w:ascii="Calibri" w:eastAsia="Times New Roman" w:hAnsi="Calibri"/>
          <w:i w:val="0"/>
          <w:noProof/>
          <w:color w:val="auto"/>
          <w:sz w:val="22"/>
          <w:szCs w:val="22"/>
          <w:lang w:val="en-US" w:eastAsia="en-US"/>
        </w:rPr>
        <w:tab/>
      </w:r>
      <w:r>
        <w:rPr>
          <w:noProof/>
        </w:rPr>
        <w:t>Not-In-Kind technologies</w:t>
      </w:r>
      <w:r>
        <w:rPr>
          <w:noProof/>
        </w:rPr>
        <w:tab/>
      </w:r>
      <w:r>
        <w:rPr>
          <w:noProof/>
        </w:rPr>
        <w:fldChar w:fldCharType="begin"/>
      </w:r>
      <w:r>
        <w:rPr>
          <w:noProof/>
        </w:rPr>
        <w:instrText xml:space="preserve"> PAGEREF _Toc452653432 \h </w:instrText>
      </w:r>
      <w:r>
        <w:rPr>
          <w:noProof/>
        </w:rPr>
      </w:r>
      <w:r>
        <w:rPr>
          <w:noProof/>
        </w:rPr>
        <w:fldChar w:fldCharType="separate"/>
      </w:r>
      <w:r w:rsidR="00C006A4">
        <w:rPr>
          <w:noProof/>
        </w:rPr>
        <w:t>113</w:t>
      </w:r>
      <w:r>
        <w:rPr>
          <w:noProof/>
        </w:rPr>
        <w:fldChar w:fldCharType="end"/>
      </w:r>
    </w:p>
    <w:p w:rsidR="002E6F38" w:rsidRPr="0062138C" w:rsidRDefault="002E6F38">
      <w:pPr>
        <w:pStyle w:val="TOC2"/>
        <w:rPr>
          <w:rFonts w:ascii="Calibri" w:eastAsia="Times New Roman" w:hAnsi="Calibri"/>
          <w:smallCaps w:val="0"/>
          <w:color w:val="auto"/>
          <w:sz w:val="22"/>
          <w:szCs w:val="22"/>
          <w:lang w:val="en-US" w:eastAsia="en-US"/>
        </w:rPr>
      </w:pPr>
      <w:r>
        <w:t>A2.5</w:t>
      </w:r>
      <w:r w:rsidRPr="0062138C">
        <w:rPr>
          <w:rFonts w:ascii="Calibri" w:eastAsia="Times New Roman" w:hAnsi="Calibri"/>
          <w:smallCaps w:val="0"/>
          <w:color w:val="auto"/>
          <w:sz w:val="22"/>
          <w:szCs w:val="22"/>
          <w:lang w:val="en-US" w:eastAsia="en-US"/>
        </w:rPr>
        <w:tab/>
      </w:r>
      <w:r>
        <w:t xml:space="preserve"> References</w:t>
      </w:r>
      <w:r>
        <w:tab/>
      </w:r>
      <w:r>
        <w:fldChar w:fldCharType="begin"/>
      </w:r>
      <w:r>
        <w:instrText xml:space="preserve"> PAGEREF _Toc452653433 \h </w:instrText>
      </w:r>
      <w:r>
        <w:fldChar w:fldCharType="separate"/>
      </w:r>
      <w:r w:rsidR="00C006A4">
        <w:t>114</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Annex 3 - EU (F-gas, MAC Directive), USA (EPA SNAP Program) and Japan Regulatory Prohibitions (Ch. 6)</w:t>
      </w:r>
      <w:r>
        <w:tab/>
      </w:r>
      <w:r>
        <w:fldChar w:fldCharType="begin"/>
      </w:r>
      <w:r>
        <w:instrText xml:space="preserve"> PAGEREF _Toc452653434 \h </w:instrText>
      </w:r>
      <w:r>
        <w:fldChar w:fldCharType="separate"/>
      </w:r>
      <w:r w:rsidR="00C006A4">
        <w:t>116</w:t>
      </w:r>
      <w:r>
        <w:fldChar w:fldCharType="end"/>
      </w:r>
    </w:p>
    <w:p w:rsidR="002E6F38" w:rsidRPr="0062138C" w:rsidRDefault="002E6F38">
      <w:pPr>
        <w:pStyle w:val="TOC1"/>
        <w:rPr>
          <w:rFonts w:ascii="Calibri" w:eastAsia="Times New Roman" w:hAnsi="Calibri"/>
          <w:b w:val="0"/>
          <w:caps w:val="0"/>
          <w:color w:val="auto"/>
          <w:sz w:val="22"/>
          <w:szCs w:val="22"/>
          <w:lang w:val="en-US" w:eastAsia="en-US"/>
        </w:rPr>
      </w:pPr>
      <w:r>
        <w:t>Annex 4 - Updated Tables for total, new manufacturing, and servicing demand</w:t>
      </w:r>
      <w:r>
        <w:tab/>
      </w:r>
      <w:r>
        <w:fldChar w:fldCharType="begin"/>
      </w:r>
      <w:r>
        <w:instrText xml:space="preserve"> PAGEREF _Toc452653435 \h </w:instrText>
      </w:r>
      <w:r>
        <w:fldChar w:fldCharType="separate"/>
      </w:r>
      <w:r w:rsidR="00C006A4">
        <w:t>123</w:t>
      </w:r>
      <w:r>
        <w:fldChar w:fldCharType="end"/>
      </w:r>
    </w:p>
    <w:p w:rsidR="00CE494B" w:rsidRDefault="007E475B" w:rsidP="00CE494B">
      <w:pPr>
        <w:tabs>
          <w:tab w:val="left" w:pos="8080"/>
          <w:tab w:val="right" w:leader="dot" w:pos="8640"/>
          <w:tab w:val="right" w:leader="dot" w:pos="9000"/>
        </w:tabs>
        <w:suppressAutoHyphens/>
        <w:spacing w:before="240" w:after="240"/>
        <w:rPr>
          <w:i/>
          <w:noProof/>
          <w:sz w:val="20"/>
          <w:highlight w:val="yellow"/>
        </w:rPr>
        <w:sectPr w:rsidR="00CE494B" w:rsidSect="00F67B36">
          <w:headerReference w:type="even" r:id="rId20"/>
          <w:headerReference w:type="default" r:id="rId21"/>
          <w:headerReference w:type="first" r:id="rId22"/>
          <w:footerReference w:type="first" r:id="rId23"/>
          <w:type w:val="oddPage"/>
          <w:pgSz w:w="11907" w:h="16839" w:code="9"/>
          <w:pgMar w:top="1440" w:right="1440" w:bottom="1440" w:left="1440" w:header="634" w:footer="706" w:gutter="0"/>
          <w:pgNumType w:fmt="lowerRoman"/>
          <w:cols w:space="708"/>
          <w:docGrid w:linePitch="299"/>
        </w:sectPr>
      </w:pPr>
      <w:r>
        <w:rPr>
          <w:i/>
          <w:noProof/>
          <w:sz w:val="20"/>
          <w:highlight w:val="yellow"/>
        </w:rPr>
        <w:fldChar w:fldCharType="end"/>
      </w:r>
    </w:p>
    <w:p w:rsidR="00573112" w:rsidRPr="00315487" w:rsidRDefault="00573112" w:rsidP="004C7602">
      <w:pPr>
        <w:pStyle w:val="Heading1"/>
      </w:pPr>
      <w:bookmarkStart w:id="4" w:name="_Toc421567835"/>
      <w:bookmarkStart w:id="5" w:name="_Toc452653343"/>
      <w:bookmarkStart w:id="6" w:name="_Toc389401345"/>
      <w:bookmarkStart w:id="7" w:name="_Toc389424957"/>
      <w:bookmarkStart w:id="8" w:name="_Toc416091950"/>
      <w:r w:rsidRPr="00315487">
        <w:lastRenderedPageBreak/>
        <w:t>Executive summary</w:t>
      </w:r>
      <w:bookmarkEnd w:id="4"/>
      <w:bookmarkEnd w:id="5"/>
    </w:p>
    <w:p w:rsidR="00573112" w:rsidRPr="000A0C0C" w:rsidRDefault="00573112" w:rsidP="004C7602">
      <w:pPr>
        <w:pStyle w:val="Heading2"/>
      </w:pPr>
      <w:bookmarkStart w:id="9" w:name="_Toc452653344"/>
      <w:bookmarkStart w:id="10" w:name="_Toc416613952"/>
      <w:r w:rsidRPr="00077D33">
        <w:rPr>
          <w:lang w:val="en-US"/>
        </w:rPr>
        <w:t>ES1.</w:t>
      </w:r>
      <w:r w:rsidRPr="00077D33">
        <w:rPr>
          <w:lang w:val="en-US"/>
        </w:rPr>
        <w:tab/>
        <w:t xml:space="preserve">  </w:t>
      </w:r>
      <w:r w:rsidRPr="00077D33">
        <w:t>Introduction</w:t>
      </w:r>
      <w:bookmarkEnd w:id="9"/>
      <w:r w:rsidR="00CE42E3" w:rsidRPr="00077D33">
        <w:t xml:space="preserve"> </w:t>
      </w:r>
    </w:p>
    <w:p w:rsidR="00573112" w:rsidRPr="00077D33" w:rsidRDefault="00573112" w:rsidP="00DD0DB7">
      <w:pPr>
        <w:numPr>
          <w:ilvl w:val="0"/>
          <w:numId w:val="20"/>
        </w:numPr>
        <w:spacing w:after="120"/>
        <w:ind w:left="714" w:hanging="357"/>
        <w:rPr>
          <w:szCs w:val="22"/>
          <w:lang w:val="en-US"/>
        </w:rPr>
      </w:pPr>
      <w:r w:rsidRPr="000A0C0C">
        <w:rPr>
          <w:szCs w:val="22"/>
          <w:lang w:val="en-US"/>
        </w:rPr>
        <w:t>Decision XXVI</w:t>
      </w:r>
      <w:r w:rsidR="001859F7" w:rsidRPr="000A0C0C">
        <w:rPr>
          <w:szCs w:val="22"/>
          <w:lang w:val="en-US"/>
        </w:rPr>
        <w:t>I/4</w:t>
      </w:r>
      <w:r w:rsidR="003455AC">
        <w:rPr>
          <w:szCs w:val="22"/>
          <w:lang w:val="en-US"/>
        </w:rPr>
        <w:t xml:space="preserve"> requested TEAP to</w:t>
      </w:r>
      <w:r w:rsidRPr="000A0C0C">
        <w:rPr>
          <w:szCs w:val="22"/>
          <w:lang w:val="en-US"/>
        </w:rPr>
        <w:t xml:space="preserve"> provide an update</w:t>
      </w:r>
      <w:r w:rsidR="009C2ACF">
        <w:rPr>
          <w:szCs w:val="22"/>
          <w:lang w:val="en-US"/>
        </w:rPr>
        <w:t xml:space="preserve"> </w:t>
      </w:r>
      <w:r w:rsidRPr="000A0C0C">
        <w:rPr>
          <w:szCs w:val="22"/>
          <w:lang w:val="en-US"/>
        </w:rPr>
        <w:t xml:space="preserve">of information on alternatives to ozone-depleting substances listed in </w:t>
      </w:r>
      <w:r w:rsidR="000A0C0C">
        <w:rPr>
          <w:szCs w:val="22"/>
          <w:lang w:val="en-US"/>
        </w:rPr>
        <w:t xml:space="preserve">the September </w:t>
      </w:r>
      <w:r w:rsidRPr="000A0C0C">
        <w:rPr>
          <w:szCs w:val="22"/>
          <w:lang w:val="en-US"/>
        </w:rPr>
        <w:t xml:space="preserve">2015 </w:t>
      </w:r>
      <w:r w:rsidR="000A0C0C">
        <w:rPr>
          <w:szCs w:val="22"/>
          <w:lang w:val="en-US"/>
        </w:rPr>
        <w:t xml:space="preserve">Update </w:t>
      </w:r>
      <w:r w:rsidRPr="000A0C0C">
        <w:rPr>
          <w:szCs w:val="22"/>
          <w:lang w:val="en-US"/>
        </w:rPr>
        <w:t xml:space="preserve">XXVI/9 </w:t>
      </w:r>
      <w:r w:rsidR="000A0C0C">
        <w:rPr>
          <w:szCs w:val="22"/>
          <w:lang w:val="en-US"/>
        </w:rPr>
        <w:t xml:space="preserve">Task Force </w:t>
      </w:r>
      <w:r w:rsidRPr="000A0C0C">
        <w:rPr>
          <w:szCs w:val="22"/>
          <w:lang w:val="en-US"/>
        </w:rPr>
        <w:t>report</w:t>
      </w:r>
      <w:r w:rsidR="00C37E00">
        <w:rPr>
          <w:szCs w:val="22"/>
          <w:lang w:val="en-US"/>
        </w:rPr>
        <w:t xml:space="preserve"> and</w:t>
      </w:r>
      <w:r w:rsidRPr="000A0C0C">
        <w:rPr>
          <w:szCs w:val="22"/>
          <w:lang w:val="en-US"/>
        </w:rPr>
        <w:t xml:space="preserve"> considering </w:t>
      </w:r>
      <w:r w:rsidRPr="00077D33">
        <w:rPr>
          <w:szCs w:val="22"/>
          <w:lang w:val="en-US"/>
        </w:rPr>
        <w:t xml:space="preserve">the specific parameters outlined in the current Decision. </w:t>
      </w:r>
    </w:p>
    <w:p w:rsidR="008D6CDF" w:rsidRDefault="00B54DEF" w:rsidP="00DD0DB7">
      <w:pPr>
        <w:numPr>
          <w:ilvl w:val="0"/>
          <w:numId w:val="20"/>
        </w:numPr>
        <w:spacing w:after="120"/>
        <w:ind w:left="714" w:hanging="357"/>
        <w:rPr>
          <w:szCs w:val="22"/>
          <w:lang w:val="en-US"/>
        </w:rPr>
      </w:pPr>
      <w:r w:rsidRPr="00077D33">
        <w:rPr>
          <w:szCs w:val="22"/>
          <w:lang w:val="en-US"/>
        </w:rPr>
        <w:t xml:space="preserve">Given that Parties </w:t>
      </w:r>
      <w:r w:rsidR="003455AC">
        <w:rPr>
          <w:szCs w:val="22"/>
          <w:lang w:val="en-US"/>
        </w:rPr>
        <w:t>are</w:t>
      </w:r>
      <w:r w:rsidR="003455AC" w:rsidRPr="00077D33">
        <w:rPr>
          <w:szCs w:val="22"/>
          <w:lang w:val="en-US"/>
        </w:rPr>
        <w:t xml:space="preserve"> </w:t>
      </w:r>
      <w:r w:rsidRPr="00077D33">
        <w:rPr>
          <w:szCs w:val="22"/>
          <w:lang w:val="en-US"/>
        </w:rPr>
        <w:t>hold</w:t>
      </w:r>
      <w:r w:rsidR="003455AC">
        <w:rPr>
          <w:szCs w:val="22"/>
          <w:lang w:val="en-US"/>
        </w:rPr>
        <w:t>ing</w:t>
      </w:r>
      <w:r w:rsidRPr="00077D33">
        <w:rPr>
          <w:szCs w:val="22"/>
          <w:lang w:val="en-US"/>
        </w:rPr>
        <w:t xml:space="preserve"> two Open-ended Working Group (OEWG) meetings this year</w:t>
      </w:r>
      <w:r w:rsidR="00A277FF" w:rsidRPr="00077D33">
        <w:rPr>
          <w:szCs w:val="22"/>
          <w:lang w:val="en-US"/>
        </w:rPr>
        <w:t xml:space="preserve">, TEAP has taken the approach to provide two reports responding to Decision XXVII/4. </w:t>
      </w:r>
      <w:r w:rsidR="003455AC">
        <w:rPr>
          <w:szCs w:val="22"/>
          <w:lang w:val="en-US"/>
        </w:rPr>
        <w:t xml:space="preserve">TEAP provided its </w:t>
      </w:r>
      <w:r w:rsidR="00A277FF" w:rsidRPr="00077D33">
        <w:rPr>
          <w:szCs w:val="22"/>
          <w:lang w:val="en-US"/>
        </w:rPr>
        <w:t xml:space="preserve">first </w:t>
      </w:r>
      <w:r w:rsidR="008D6CDF">
        <w:rPr>
          <w:szCs w:val="22"/>
          <w:lang w:val="en-US"/>
        </w:rPr>
        <w:t xml:space="preserve">March 2016 </w:t>
      </w:r>
      <w:r w:rsidR="00A277FF" w:rsidRPr="00077D33">
        <w:rPr>
          <w:szCs w:val="22"/>
          <w:lang w:val="en-US"/>
        </w:rPr>
        <w:t xml:space="preserve">report </w:t>
      </w:r>
      <w:r w:rsidR="00C37E00">
        <w:rPr>
          <w:szCs w:val="22"/>
          <w:lang w:val="en-US"/>
        </w:rPr>
        <w:t xml:space="preserve">to OEWG-37 </w:t>
      </w:r>
      <w:r w:rsidR="00573112" w:rsidRPr="00077D33">
        <w:rPr>
          <w:szCs w:val="22"/>
          <w:lang w:val="en-US"/>
        </w:rPr>
        <w:t>focus</w:t>
      </w:r>
      <w:r w:rsidR="00A277FF" w:rsidRPr="00077D33">
        <w:rPr>
          <w:szCs w:val="22"/>
          <w:lang w:val="en-US"/>
        </w:rPr>
        <w:t>e</w:t>
      </w:r>
      <w:r w:rsidR="006100A3">
        <w:rPr>
          <w:szCs w:val="22"/>
          <w:lang w:val="en-US"/>
        </w:rPr>
        <w:t>d</w:t>
      </w:r>
      <w:r w:rsidR="00573112" w:rsidRPr="00077D33">
        <w:rPr>
          <w:szCs w:val="22"/>
          <w:lang w:val="en-US"/>
        </w:rPr>
        <w:t xml:space="preserve"> on the refrigeration and air conditioning (R/AC) sector, </w:t>
      </w:r>
      <w:r w:rsidR="00D45400">
        <w:rPr>
          <w:szCs w:val="22"/>
          <w:lang w:val="en-US"/>
        </w:rPr>
        <w:t xml:space="preserve">and </w:t>
      </w:r>
      <w:r w:rsidR="00A277FF" w:rsidRPr="00077D33">
        <w:rPr>
          <w:szCs w:val="22"/>
          <w:lang w:val="en-US"/>
        </w:rPr>
        <w:t>includ</w:t>
      </w:r>
      <w:r w:rsidR="00D45400">
        <w:rPr>
          <w:szCs w:val="22"/>
          <w:lang w:val="en-US"/>
        </w:rPr>
        <w:t>e</w:t>
      </w:r>
      <w:r w:rsidR="006100A3">
        <w:rPr>
          <w:szCs w:val="22"/>
          <w:lang w:val="en-US"/>
        </w:rPr>
        <w:t>d</w:t>
      </w:r>
      <w:r w:rsidR="00A277FF" w:rsidRPr="00077D33">
        <w:rPr>
          <w:szCs w:val="22"/>
          <w:lang w:val="en-US"/>
        </w:rPr>
        <w:t xml:space="preserve"> updates on alternatives, </w:t>
      </w:r>
      <w:r w:rsidR="006100A3">
        <w:rPr>
          <w:szCs w:val="22"/>
          <w:lang w:val="en-US"/>
        </w:rPr>
        <w:t xml:space="preserve">results of </w:t>
      </w:r>
      <w:r w:rsidR="002F1D33" w:rsidRPr="00077D33">
        <w:rPr>
          <w:szCs w:val="22"/>
          <w:lang w:val="en-US"/>
        </w:rPr>
        <w:t xml:space="preserve">testing on alternatives under high ambient temperature </w:t>
      </w:r>
      <w:r w:rsidR="00912D4B">
        <w:rPr>
          <w:szCs w:val="22"/>
          <w:lang w:val="en-US"/>
        </w:rPr>
        <w:t xml:space="preserve">(HAT) </w:t>
      </w:r>
      <w:r w:rsidR="002F1D33" w:rsidRPr="00077D33">
        <w:rPr>
          <w:szCs w:val="22"/>
          <w:lang w:val="en-US"/>
        </w:rPr>
        <w:t xml:space="preserve">conditions, </w:t>
      </w:r>
      <w:r w:rsidR="00A277FF" w:rsidRPr="00077D33">
        <w:rPr>
          <w:szCs w:val="22"/>
          <w:lang w:val="en-US"/>
        </w:rPr>
        <w:t xml:space="preserve">discussion of other parameters outlined in the decision, and an extension of the mitigation scenarios to 2050. </w:t>
      </w:r>
    </w:p>
    <w:p w:rsidR="002F1D33" w:rsidRDefault="00912D4B" w:rsidP="00912D4B">
      <w:pPr>
        <w:numPr>
          <w:ilvl w:val="0"/>
          <w:numId w:val="20"/>
        </w:numPr>
        <w:spacing w:after="120"/>
        <w:rPr>
          <w:szCs w:val="22"/>
          <w:lang w:val="en-US"/>
        </w:rPr>
      </w:pPr>
      <w:r>
        <w:rPr>
          <w:szCs w:val="22"/>
          <w:lang w:val="en-US"/>
        </w:rPr>
        <w:t>After TEAP presented its first report to OEWG-37 and offered clarifications on the information, TEAP received comments from Parties during the plenary discussion of the report as well as during an informal discussion meeting</w:t>
      </w:r>
      <w:r w:rsidRPr="00912D4B">
        <w:rPr>
          <w:szCs w:val="22"/>
          <w:lang w:val="en-US"/>
        </w:rPr>
        <w:t xml:space="preserve"> with TEAP, Thursday 7 April. </w:t>
      </w:r>
      <w:r w:rsidR="000D067C">
        <w:rPr>
          <w:szCs w:val="22"/>
          <w:lang w:val="en-US"/>
        </w:rPr>
        <w:t xml:space="preserve">The summary of the informal discussion meeting is provided in Annex </w:t>
      </w:r>
      <w:r w:rsidR="00482188">
        <w:rPr>
          <w:szCs w:val="22"/>
          <w:lang w:val="en-US"/>
        </w:rPr>
        <w:t>1</w:t>
      </w:r>
      <w:r w:rsidR="000D067C">
        <w:rPr>
          <w:szCs w:val="22"/>
          <w:lang w:val="en-US"/>
        </w:rPr>
        <w:t>.</w:t>
      </w:r>
      <w:r w:rsidRPr="00912D4B">
        <w:rPr>
          <w:szCs w:val="22"/>
          <w:lang w:val="en-US"/>
        </w:rPr>
        <w:t xml:space="preserve"> </w:t>
      </w:r>
      <w:r w:rsidR="000D067C">
        <w:rPr>
          <w:szCs w:val="22"/>
          <w:lang w:val="en-US"/>
        </w:rPr>
        <w:t xml:space="preserve">The comments have been taken into </w:t>
      </w:r>
      <w:r w:rsidRPr="00912D4B">
        <w:rPr>
          <w:szCs w:val="22"/>
          <w:lang w:val="en-US"/>
        </w:rPr>
        <w:t xml:space="preserve">consideration by the TEAP </w:t>
      </w:r>
      <w:r w:rsidR="000D067C">
        <w:rPr>
          <w:szCs w:val="22"/>
          <w:lang w:val="en-US"/>
        </w:rPr>
        <w:t xml:space="preserve">Decision </w:t>
      </w:r>
      <w:r w:rsidRPr="00912D4B">
        <w:rPr>
          <w:szCs w:val="22"/>
          <w:lang w:val="en-US"/>
        </w:rPr>
        <w:t>XXVII/4 Task Force within the timeline remaining to the Task Force to complete its second report for submission to OEWG-38</w:t>
      </w:r>
      <w:r w:rsidR="00FE51D6">
        <w:rPr>
          <w:szCs w:val="22"/>
          <w:lang w:val="en-US"/>
        </w:rPr>
        <w:t xml:space="preserve">. </w:t>
      </w:r>
    </w:p>
    <w:p w:rsidR="00912D4B" w:rsidRPr="00077D33" w:rsidRDefault="00912D4B" w:rsidP="00DD0DB7">
      <w:pPr>
        <w:numPr>
          <w:ilvl w:val="0"/>
          <w:numId w:val="20"/>
        </w:numPr>
        <w:spacing w:after="120"/>
        <w:ind w:left="714" w:hanging="357"/>
        <w:rPr>
          <w:szCs w:val="22"/>
          <w:lang w:val="en-US"/>
        </w:rPr>
      </w:pPr>
      <w:r>
        <w:rPr>
          <w:szCs w:val="22"/>
          <w:lang w:val="en-US"/>
        </w:rPr>
        <w:t xml:space="preserve">TEAP’s approach with its second report under Decision XXVII/4 </w:t>
      </w:r>
      <w:r w:rsidR="000D067C">
        <w:rPr>
          <w:szCs w:val="22"/>
          <w:lang w:val="en-US"/>
        </w:rPr>
        <w:t xml:space="preserve">is to provide Parties with a single reference document as much as possible for OEWG-38. This second report, therefore, contains much of the same information as in the first report </w:t>
      </w:r>
      <w:r w:rsidR="00332950">
        <w:rPr>
          <w:szCs w:val="22"/>
          <w:lang w:val="en-US"/>
        </w:rPr>
        <w:t xml:space="preserve">with a focus on the R/AC sector </w:t>
      </w:r>
      <w:r w:rsidR="000D067C">
        <w:rPr>
          <w:szCs w:val="22"/>
          <w:lang w:val="en-US"/>
        </w:rPr>
        <w:t>and updates and additions are indicated at the beginning of each chapter or section, as appropriate.</w:t>
      </w:r>
      <w:r>
        <w:rPr>
          <w:szCs w:val="22"/>
          <w:lang w:val="en-US"/>
        </w:rPr>
        <w:t xml:space="preserve"> </w:t>
      </w:r>
    </w:p>
    <w:p w:rsidR="00013241" w:rsidRDefault="000D067C" w:rsidP="00DF1E74">
      <w:pPr>
        <w:numPr>
          <w:ilvl w:val="0"/>
          <w:numId w:val="20"/>
        </w:numPr>
        <w:spacing w:after="120"/>
        <w:ind w:left="714" w:hanging="357"/>
        <w:rPr>
          <w:szCs w:val="22"/>
          <w:lang w:val="en-US"/>
        </w:rPr>
      </w:pPr>
      <w:r>
        <w:rPr>
          <w:szCs w:val="22"/>
          <w:lang w:val="en-US"/>
        </w:rPr>
        <w:t xml:space="preserve">In particular, TEAP’s </w:t>
      </w:r>
      <w:r w:rsidR="00A277FF" w:rsidRPr="00077D33">
        <w:rPr>
          <w:szCs w:val="22"/>
          <w:lang w:val="en-US"/>
        </w:rPr>
        <w:t>second report</w:t>
      </w:r>
      <w:r>
        <w:rPr>
          <w:szCs w:val="22"/>
          <w:lang w:val="en-US"/>
        </w:rPr>
        <w:t xml:space="preserve"> under Decision XXVII/4</w:t>
      </w:r>
      <w:r w:rsidR="00A277FF" w:rsidRPr="00077D33">
        <w:rPr>
          <w:szCs w:val="22"/>
          <w:lang w:val="en-US"/>
        </w:rPr>
        <w:t xml:space="preserve"> for OEWG-38 provid</w:t>
      </w:r>
      <w:r>
        <w:rPr>
          <w:szCs w:val="22"/>
          <w:lang w:val="en-US"/>
        </w:rPr>
        <w:t>es</w:t>
      </w:r>
      <w:r w:rsidR="00013241">
        <w:rPr>
          <w:szCs w:val="22"/>
          <w:lang w:val="en-US"/>
        </w:rPr>
        <w:t xml:space="preserve"> the following:</w:t>
      </w:r>
    </w:p>
    <w:p w:rsidR="00BB69AA" w:rsidRDefault="00BB69AA" w:rsidP="00BB69AA">
      <w:pPr>
        <w:numPr>
          <w:ilvl w:val="1"/>
          <w:numId w:val="20"/>
        </w:numPr>
        <w:spacing w:after="120"/>
        <w:rPr>
          <w:szCs w:val="22"/>
          <w:lang w:val="en-US"/>
        </w:rPr>
      </w:pPr>
      <w:r>
        <w:rPr>
          <w:szCs w:val="22"/>
          <w:lang w:val="en-US"/>
        </w:rPr>
        <w:t>In Chapter 2, further elaboration is provided on the use of the term “environmentally sound” in response to comments;</w:t>
      </w:r>
    </w:p>
    <w:p w:rsidR="00013241" w:rsidRDefault="00013241" w:rsidP="00DF1E74">
      <w:pPr>
        <w:numPr>
          <w:ilvl w:val="1"/>
          <w:numId w:val="20"/>
        </w:numPr>
        <w:spacing w:after="120"/>
        <w:rPr>
          <w:szCs w:val="22"/>
          <w:lang w:val="en-US"/>
        </w:rPr>
      </w:pPr>
      <w:r>
        <w:rPr>
          <w:szCs w:val="22"/>
          <w:lang w:val="en-US"/>
        </w:rPr>
        <w:t>In response to comments related to</w:t>
      </w:r>
      <w:r w:rsidR="00A277FF" w:rsidRPr="00077D33">
        <w:rPr>
          <w:szCs w:val="22"/>
          <w:lang w:val="en-US"/>
        </w:rPr>
        <w:t xml:space="preserve"> </w:t>
      </w:r>
      <w:r w:rsidR="006100A3">
        <w:rPr>
          <w:szCs w:val="22"/>
          <w:lang w:val="en-US"/>
        </w:rPr>
        <w:t xml:space="preserve">further </w:t>
      </w:r>
      <w:r w:rsidR="008D6CDF">
        <w:rPr>
          <w:szCs w:val="22"/>
          <w:lang w:val="en-US"/>
        </w:rPr>
        <w:t xml:space="preserve">updates </w:t>
      </w:r>
      <w:r w:rsidR="006100A3">
        <w:rPr>
          <w:szCs w:val="22"/>
          <w:lang w:val="en-US"/>
        </w:rPr>
        <w:t xml:space="preserve">and </w:t>
      </w:r>
      <w:r w:rsidR="008D6CDF">
        <w:rPr>
          <w:szCs w:val="22"/>
          <w:lang w:val="en-US"/>
        </w:rPr>
        <w:t>information</w:t>
      </w:r>
      <w:r w:rsidR="00912D4B">
        <w:rPr>
          <w:szCs w:val="22"/>
          <w:lang w:val="en-US"/>
        </w:rPr>
        <w:t xml:space="preserve"> on </w:t>
      </w:r>
      <w:r>
        <w:rPr>
          <w:szCs w:val="22"/>
          <w:lang w:val="en-US"/>
        </w:rPr>
        <w:t xml:space="preserve">refrigerants and not-kind-technologies, this second report includes a new chapter (Chapter 3) providing updates on refrigerant </w:t>
      </w:r>
      <w:r w:rsidR="00912D4B">
        <w:rPr>
          <w:szCs w:val="22"/>
          <w:lang w:val="en-US"/>
        </w:rPr>
        <w:t>alternatives</w:t>
      </w:r>
      <w:r>
        <w:rPr>
          <w:szCs w:val="22"/>
          <w:lang w:val="en-US"/>
        </w:rPr>
        <w:t xml:space="preserve"> and technologies</w:t>
      </w:r>
      <w:r w:rsidR="00DD2D32">
        <w:rPr>
          <w:szCs w:val="22"/>
          <w:lang w:val="en-US"/>
        </w:rPr>
        <w:t>;</w:t>
      </w:r>
    </w:p>
    <w:p w:rsidR="00013241" w:rsidRDefault="00013241" w:rsidP="00DF1E74">
      <w:pPr>
        <w:numPr>
          <w:ilvl w:val="1"/>
          <w:numId w:val="20"/>
        </w:numPr>
        <w:spacing w:after="120"/>
        <w:rPr>
          <w:szCs w:val="22"/>
          <w:lang w:val="en-US"/>
        </w:rPr>
      </w:pPr>
      <w:r>
        <w:rPr>
          <w:szCs w:val="22"/>
          <w:lang w:val="en-US"/>
        </w:rPr>
        <w:t>In response to comments related to safety of the new alternatives, t</w:t>
      </w:r>
      <w:r w:rsidR="006100A3">
        <w:rPr>
          <w:szCs w:val="22"/>
          <w:lang w:val="en-US"/>
        </w:rPr>
        <w:t xml:space="preserve">his second report </w:t>
      </w:r>
      <w:r>
        <w:rPr>
          <w:szCs w:val="22"/>
          <w:lang w:val="en-US"/>
        </w:rPr>
        <w:t xml:space="preserve">elaborates on the technical </w:t>
      </w:r>
      <w:r w:rsidR="00462514">
        <w:rPr>
          <w:szCs w:val="22"/>
          <w:lang w:val="en-US"/>
        </w:rPr>
        <w:t xml:space="preserve">perspective </w:t>
      </w:r>
      <w:r>
        <w:rPr>
          <w:szCs w:val="22"/>
          <w:lang w:val="en-US"/>
        </w:rPr>
        <w:t xml:space="preserve">related to safe use of the refrigerants in the chapter on </w:t>
      </w:r>
      <w:r w:rsidR="00BB69AA">
        <w:rPr>
          <w:szCs w:val="22"/>
          <w:lang w:val="en-US"/>
        </w:rPr>
        <w:t xml:space="preserve">refrigeration </w:t>
      </w:r>
      <w:r>
        <w:rPr>
          <w:szCs w:val="22"/>
          <w:lang w:val="en-US"/>
        </w:rPr>
        <w:t xml:space="preserve">(Chapter </w:t>
      </w:r>
      <w:r w:rsidR="00BB69AA">
        <w:rPr>
          <w:szCs w:val="22"/>
          <w:lang w:val="en-US"/>
        </w:rPr>
        <w:t>3</w:t>
      </w:r>
      <w:r>
        <w:rPr>
          <w:szCs w:val="22"/>
          <w:lang w:val="en-US"/>
        </w:rPr>
        <w:t>)</w:t>
      </w:r>
      <w:r w:rsidR="00DD2D32">
        <w:rPr>
          <w:szCs w:val="22"/>
          <w:lang w:val="en-US"/>
        </w:rPr>
        <w:t>;</w:t>
      </w:r>
    </w:p>
    <w:p w:rsidR="00DD2D32" w:rsidRDefault="00DD2D32" w:rsidP="00DF1E74">
      <w:pPr>
        <w:numPr>
          <w:ilvl w:val="1"/>
          <w:numId w:val="20"/>
        </w:numPr>
        <w:spacing w:after="120"/>
        <w:rPr>
          <w:szCs w:val="22"/>
          <w:lang w:val="en-US"/>
        </w:rPr>
      </w:pPr>
      <w:r>
        <w:rPr>
          <w:szCs w:val="22"/>
          <w:lang w:val="en-US"/>
        </w:rPr>
        <w:t xml:space="preserve">A new chapter (Chapter 4) responds to the decision request to </w:t>
      </w:r>
      <w:r w:rsidR="00912D4B">
        <w:rPr>
          <w:szCs w:val="22"/>
          <w:lang w:val="en-US"/>
        </w:rPr>
        <w:t>provide</w:t>
      </w:r>
      <w:r>
        <w:rPr>
          <w:szCs w:val="22"/>
          <w:lang w:val="en-US"/>
        </w:rPr>
        <w:t xml:space="preserve"> new and updated</w:t>
      </w:r>
      <w:r w:rsidR="00912D4B">
        <w:rPr>
          <w:szCs w:val="22"/>
          <w:lang w:val="en-US"/>
        </w:rPr>
        <w:t xml:space="preserve"> information </w:t>
      </w:r>
      <w:r>
        <w:rPr>
          <w:szCs w:val="22"/>
          <w:lang w:val="en-US"/>
        </w:rPr>
        <w:t xml:space="preserve">as this is available </w:t>
      </w:r>
      <w:r w:rsidR="00912D4B">
        <w:rPr>
          <w:szCs w:val="22"/>
          <w:lang w:val="en-US"/>
        </w:rPr>
        <w:t xml:space="preserve">related to </w:t>
      </w:r>
      <w:r w:rsidRPr="00DD2D32">
        <w:rPr>
          <w:szCs w:val="22"/>
          <w:lang w:val="en-US"/>
        </w:rPr>
        <w:t>the availability of alternatives for replacement and retrofit of refrigeration systems in</w:t>
      </w:r>
      <w:r w:rsidR="009C2ACF">
        <w:rPr>
          <w:szCs w:val="22"/>
          <w:lang w:val="en-US"/>
        </w:rPr>
        <w:t xml:space="preserve"> </w:t>
      </w:r>
      <w:r w:rsidRPr="00DD2D32">
        <w:rPr>
          <w:szCs w:val="22"/>
          <w:lang w:val="en-US"/>
        </w:rPr>
        <w:t>fishing vessels, including in small island countries</w:t>
      </w:r>
      <w:r w:rsidR="00014A31">
        <w:rPr>
          <w:szCs w:val="22"/>
          <w:lang w:val="en-US"/>
        </w:rPr>
        <w:t xml:space="preserve">. Related to this chapter, Annex 2 provides additional background information on refrigeration </w:t>
      </w:r>
      <w:r w:rsidR="007954A2">
        <w:rPr>
          <w:szCs w:val="22"/>
          <w:lang w:val="en-US"/>
        </w:rPr>
        <w:t xml:space="preserve">systems </w:t>
      </w:r>
      <w:r w:rsidR="00014A31">
        <w:rPr>
          <w:szCs w:val="22"/>
          <w:lang w:val="en-US"/>
        </w:rPr>
        <w:t>in the fishing industry</w:t>
      </w:r>
      <w:r w:rsidR="005A5EBD">
        <w:rPr>
          <w:szCs w:val="22"/>
          <w:lang w:val="en-US"/>
        </w:rPr>
        <w:t xml:space="preserve"> (with particular consideration on the Pacific Islands region)</w:t>
      </w:r>
      <w:r>
        <w:rPr>
          <w:szCs w:val="22"/>
          <w:lang w:val="en-US"/>
        </w:rPr>
        <w:t>;</w:t>
      </w:r>
    </w:p>
    <w:p w:rsidR="00DD2D32" w:rsidRDefault="00DD2D32" w:rsidP="00DF1E74">
      <w:pPr>
        <w:numPr>
          <w:ilvl w:val="1"/>
          <w:numId w:val="20"/>
        </w:numPr>
        <w:spacing w:after="120"/>
        <w:rPr>
          <w:szCs w:val="22"/>
          <w:lang w:val="en-US"/>
        </w:rPr>
      </w:pPr>
      <w:r>
        <w:rPr>
          <w:szCs w:val="22"/>
          <w:lang w:val="en-US"/>
        </w:rPr>
        <w:t xml:space="preserve">Based on comments related to a more balanced discussion (both positive and negative) of the results of </w:t>
      </w:r>
      <w:r w:rsidR="00912D4B">
        <w:rPr>
          <w:szCs w:val="22"/>
          <w:lang w:val="en-US"/>
        </w:rPr>
        <w:t>the testing programs</w:t>
      </w:r>
      <w:r>
        <w:rPr>
          <w:szCs w:val="22"/>
          <w:lang w:val="en-US"/>
        </w:rPr>
        <w:t xml:space="preserve"> for refrigerants under </w:t>
      </w:r>
      <w:r w:rsidR="00912D4B">
        <w:rPr>
          <w:szCs w:val="22"/>
          <w:lang w:val="en-US"/>
        </w:rPr>
        <w:t xml:space="preserve">HAT conditions, </w:t>
      </w:r>
      <w:r>
        <w:rPr>
          <w:szCs w:val="22"/>
          <w:lang w:val="en-US"/>
        </w:rPr>
        <w:t>a revised chapter (Chapter 5) covering these studies is included in this report including summary tables of each of the testing programs;</w:t>
      </w:r>
    </w:p>
    <w:p w:rsidR="00332950" w:rsidRPr="00462514" w:rsidRDefault="00DD2D32" w:rsidP="00DF1E74">
      <w:pPr>
        <w:numPr>
          <w:ilvl w:val="1"/>
          <w:numId w:val="20"/>
        </w:numPr>
        <w:spacing w:after="120"/>
        <w:rPr>
          <w:szCs w:val="22"/>
          <w:lang w:val="en-US"/>
        </w:rPr>
      </w:pPr>
      <w:r>
        <w:rPr>
          <w:szCs w:val="22"/>
          <w:lang w:val="en-US"/>
        </w:rPr>
        <w:t>Comments related to scenarios included</w:t>
      </w:r>
      <w:r w:rsidR="00CF5F1F">
        <w:rPr>
          <w:szCs w:val="22"/>
          <w:lang w:val="en-US"/>
        </w:rPr>
        <w:t xml:space="preserve"> further information related to HFC production, the magnitude of present banks of HFCs, a business-as-usual </w:t>
      </w:r>
      <w:r w:rsidR="00CF5F1F">
        <w:rPr>
          <w:szCs w:val="22"/>
          <w:lang w:val="en-US"/>
        </w:rPr>
        <w:lastRenderedPageBreak/>
        <w:t>(BAU) scenario without and with regulations</w:t>
      </w:r>
      <w:r w:rsidR="00BB69AA">
        <w:rPr>
          <w:szCs w:val="22"/>
          <w:lang w:val="en-US"/>
        </w:rPr>
        <w:t xml:space="preserve"> (see also Annex 3)</w:t>
      </w:r>
      <w:r w:rsidR="00CF5F1F">
        <w:rPr>
          <w:szCs w:val="22"/>
          <w:lang w:val="en-US"/>
        </w:rPr>
        <w:t>, whether scenarios could be presented on a regional basis, clarification of the est</w:t>
      </w:r>
      <w:r w:rsidR="00014A31">
        <w:rPr>
          <w:szCs w:val="22"/>
          <w:lang w:val="en-US"/>
        </w:rPr>
        <w:t>imated growth rates used compar</w:t>
      </w:r>
      <w:r w:rsidR="00CF5F1F">
        <w:rPr>
          <w:szCs w:val="22"/>
          <w:lang w:val="en-US"/>
        </w:rPr>
        <w:t xml:space="preserve">ed to refrigerant demand growth, consideration of the impacts for </w:t>
      </w:r>
      <w:r w:rsidR="00BB69AA">
        <w:rPr>
          <w:szCs w:val="22"/>
          <w:lang w:val="en-US"/>
        </w:rPr>
        <w:t xml:space="preserve">a </w:t>
      </w:r>
      <w:r w:rsidR="00CF5F1F">
        <w:rPr>
          <w:szCs w:val="22"/>
          <w:lang w:val="en-US"/>
        </w:rPr>
        <w:t>longer manufacturing conversion of 18 years</w:t>
      </w:r>
      <w:r w:rsidR="00AE5615">
        <w:rPr>
          <w:szCs w:val="22"/>
          <w:lang w:val="en-US"/>
        </w:rPr>
        <w:t xml:space="preserve">. </w:t>
      </w:r>
      <w:r w:rsidR="00332950" w:rsidRPr="005A5B4B">
        <w:rPr>
          <w:szCs w:val="22"/>
          <w:lang w:val="en-US"/>
        </w:rPr>
        <w:t>T</w:t>
      </w:r>
      <w:r w:rsidR="00CF5F1F" w:rsidRPr="005A5B4B">
        <w:rPr>
          <w:szCs w:val="22"/>
          <w:lang w:val="en-US"/>
        </w:rPr>
        <w:t>h</w:t>
      </w:r>
      <w:r w:rsidR="00AE5615">
        <w:rPr>
          <w:szCs w:val="22"/>
          <w:lang w:val="en-US"/>
        </w:rPr>
        <w:t xml:space="preserve">is issue is </w:t>
      </w:r>
      <w:r w:rsidR="00CF5F1F" w:rsidRPr="005A5B4B">
        <w:rPr>
          <w:szCs w:val="22"/>
          <w:lang w:val="en-US"/>
        </w:rPr>
        <w:t xml:space="preserve">addressed in the revised chapter </w:t>
      </w:r>
      <w:r w:rsidR="00332950" w:rsidRPr="005A5B4B">
        <w:rPr>
          <w:szCs w:val="22"/>
          <w:lang w:val="en-US"/>
        </w:rPr>
        <w:t xml:space="preserve">of this second report </w:t>
      </w:r>
      <w:r w:rsidR="00CF5F1F" w:rsidRPr="005A5B4B">
        <w:rPr>
          <w:szCs w:val="22"/>
          <w:lang w:val="en-US"/>
        </w:rPr>
        <w:t xml:space="preserve">(Chapter 6) </w:t>
      </w:r>
      <w:r w:rsidR="00BB69AA">
        <w:rPr>
          <w:szCs w:val="22"/>
          <w:lang w:val="en-US"/>
        </w:rPr>
        <w:t xml:space="preserve">concerning Article 5 </w:t>
      </w:r>
      <w:r w:rsidR="00CF5F1F" w:rsidRPr="005A5B4B">
        <w:rPr>
          <w:szCs w:val="22"/>
          <w:lang w:val="en-US"/>
        </w:rPr>
        <w:t xml:space="preserve">mitigation scenarios. </w:t>
      </w:r>
      <w:r w:rsidR="00332950" w:rsidRPr="005A5B4B">
        <w:rPr>
          <w:szCs w:val="22"/>
          <w:lang w:val="en-US"/>
        </w:rPr>
        <w:t xml:space="preserve">Related to this chapter, Annex </w:t>
      </w:r>
      <w:r w:rsidR="00AE5615">
        <w:rPr>
          <w:szCs w:val="22"/>
          <w:lang w:val="en-US"/>
        </w:rPr>
        <w:t>4</w:t>
      </w:r>
      <w:r w:rsidR="00332950" w:rsidRPr="005A5B4B">
        <w:rPr>
          <w:szCs w:val="22"/>
          <w:lang w:val="en-US"/>
        </w:rPr>
        <w:t xml:space="preserve"> of this report contains updated tables</w:t>
      </w:r>
      <w:r w:rsidR="00332950" w:rsidRPr="005A5B4B">
        <w:t xml:space="preserve"> for total, new manufacturing, and servicing</w:t>
      </w:r>
      <w:r w:rsidR="00332950">
        <w:t xml:space="preserve"> demand.</w:t>
      </w:r>
    </w:p>
    <w:p w:rsidR="00573112" w:rsidRPr="00462514" w:rsidRDefault="00462514" w:rsidP="00462514">
      <w:pPr>
        <w:numPr>
          <w:ilvl w:val="0"/>
          <w:numId w:val="20"/>
        </w:numPr>
        <w:spacing w:after="240"/>
        <w:rPr>
          <w:szCs w:val="22"/>
          <w:lang w:val="en-US"/>
        </w:rPr>
      </w:pPr>
      <w:r>
        <w:rPr>
          <w:szCs w:val="22"/>
          <w:lang w:val="en-US"/>
        </w:rPr>
        <w:t xml:space="preserve">Given the short timeline between OEWG-37 and the development of the second Task Force report to OEWG-38, this second report again focused on the R/AC sector. </w:t>
      </w:r>
      <w:r w:rsidR="00332950" w:rsidRPr="00332950">
        <w:rPr>
          <w:szCs w:val="22"/>
          <w:lang w:val="en-US"/>
        </w:rPr>
        <w:t>To the extent that updates and new information on alternatives are available to the Task Force</w:t>
      </w:r>
      <w:r w:rsidR="00CF5F1F" w:rsidRPr="00462514">
        <w:rPr>
          <w:szCs w:val="22"/>
          <w:lang w:val="en-US"/>
        </w:rPr>
        <w:t xml:space="preserve">, </w:t>
      </w:r>
      <w:r w:rsidR="008D6CDF" w:rsidRPr="00462514">
        <w:rPr>
          <w:szCs w:val="22"/>
          <w:lang w:val="en-US"/>
        </w:rPr>
        <w:t xml:space="preserve">the </w:t>
      </w:r>
      <w:r w:rsidR="002F1D33" w:rsidRPr="00462514">
        <w:rPr>
          <w:szCs w:val="22"/>
          <w:lang w:val="en-US"/>
        </w:rPr>
        <w:t>other sectors (</w:t>
      </w:r>
      <w:r w:rsidR="00332950" w:rsidRPr="00462514">
        <w:rPr>
          <w:szCs w:val="22"/>
          <w:lang w:val="en-US"/>
        </w:rPr>
        <w:t xml:space="preserve">foams, fire suppression, </w:t>
      </w:r>
      <w:r w:rsidR="002F1D33" w:rsidRPr="00462514">
        <w:rPr>
          <w:szCs w:val="22"/>
          <w:lang w:val="en-US"/>
        </w:rPr>
        <w:t xml:space="preserve">metered dose inhalers (MDIs), other medical and non-medical aerosols, and solvents) </w:t>
      </w:r>
      <w:r w:rsidR="00332950" w:rsidRPr="00462514">
        <w:rPr>
          <w:szCs w:val="22"/>
          <w:lang w:val="en-US"/>
        </w:rPr>
        <w:t>will be covered in the Task Force’s update report to MOP-28.</w:t>
      </w:r>
      <w:r w:rsidR="00573112" w:rsidRPr="00332950">
        <w:rPr>
          <w:szCs w:val="22"/>
          <w:lang w:val="en-US"/>
        </w:rPr>
        <w:t>The following section</w:t>
      </w:r>
      <w:r w:rsidR="001859F7" w:rsidRPr="00332950">
        <w:rPr>
          <w:szCs w:val="22"/>
          <w:lang w:val="en-US"/>
        </w:rPr>
        <w:t>s</w:t>
      </w:r>
      <w:r w:rsidR="00573112" w:rsidRPr="00332950">
        <w:rPr>
          <w:szCs w:val="22"/>
          <w:lang w:val="en-US"/>
        </w:rPr>
        <w:t xml:space="preserve"> provide the technical summaries of the rep</w:t>
      </w:r>
      <w:r w:rsidR="00573112" w:rsidRPr="00462514">
        <w:rPr>
          <w:szCs w:val="22"/>
          <w:lang w:val="en-US"/>
        </w:rPr>
        <w:t>ort’s main chapters</w:t>
      </w:r>
      <w:r w:rsidR="00F54754" w:rsidRPr="00462514">
        <w:rPr>
          <w:szCs w:val="22"/>
          <w:lang w:val="en-US"/>
        </w:rPr>
        <w:t>.</w:t>
      </w:r>
      <w:r w:rsidR="000D067C" w:rsidRPr="00462514">
        <w:rPr>
          <w:szCs w:val="22"/>
          <w:lang w:val="en-US"/>
        </w:rPr>
        <w:t xml:space="preserve"> The summaries of the chapters from the first report remain essentially the same as in that report with </w:t>
      </w:r>
      <w:r w:rsidR="0022048F" w:rsidRPr="00462514">
        <w:rPr>
          <w:szCs w:val="22"/>
          <w:lang w:val="en-US"/>
        </w:rPr>
        <w:t>any update or</w:t>
      </w:r>
      <w:r w:rsidR="000D067C" w:rsidRPr="00462514">
        <w:rPr>
          <w:szCs w:val="22"/>
          <w:lang w:val="en-US"/>
        </w:rPr>
        <w:t xml:space="preserve"> additional information indicated in bold</w:t>
      </w:r>
      <w:r w:rsidR="0022048F" w:rsidRPr="00462514">
        <w:rPr>
          <w:szCs w:val="22"/>
          <w:lang w:val="en-US"/>
        </w:rPr>
        <w:t xml:space="preserve"> upfront</w:t>
      </w:r>
      <w:r w:rsidR="000D067C" w:rsidRPr="00462514">
        <w:rPr>
          <w:szCs w:val="22"/>
          <w:lang w:val="en-US"/>
        </w:rPr>
        <w:t>.</w:t>
      </w:r>
    </w:p>
    <w:p w:rsidR="00573112" w:rsidRDefault="00573112" w:rsidP="004C7602">
      <w:pPr>
        <w:pStyle w:val="Heading2"/>
        <w:rPr>
          <w:lang w:val="en-US"/>
        </w:rPr>
      </w:pPr>
      <w:bookmarkStart w:id="11" w:name="_Toc452653345"/>
      <w:r>
        <w:rPr>
          <w:lang w:val="en-US"/>
        </w:rPr>
        <w:t>ES2.</w:t>
      </w:r>
      <w:r>
        <w:rPr>
          <w:lang w:val="en-US"/>
        </w:rPr>
        <w:tab/>
        <w:t xml:space="preserve">  </w:t>
      </w:r>
      <w:r w:rsidR="001859F7">
        <w:rPr>
          <w:lang w:val="en-US"/>
        </w:rPr>
        <w:t>Update on</w:t>
      </w:r>
      <w:r w:rsidR="000E1ADA">
        <w:rPr>
          <w:lang w:val="en-US"/>
        </w:rPr>
        <w:t xml:space="preserve"> the status of</w:t>
      </w:r>
      <w:r w:rsidR="001859F7">
        <w:rPr>
          <w:lang w:val="en-US"/>
        </w:rPr>
        <w:t xml:space="preserve"> r</w:t>
      </w:r>
      <w:r w:rsidR="007C0AE3">
        <w:rPr>
          <w:lang w:val="en-US"/>
        </w:rPr>
        <w:t>efrigerants</w:t>
      </w:r>
      <w:bookmarkEnd w:id="11"/>
      <w:r>
        <w:rPr>
          <w:lang w:val="en-US"/>
        </w:rPr>
        <w:t xml:space="preserve"> </w:t>
      </w:r>
    </w:p>
    <w:bookmarkEnd w:id="10"/>
    <w:p w:rsidR="00462514" w:rsidRPr="001500A5" w:rsidRDefault="00462514" w:rsidP="00462514">
      <w:pPr>
        <w:numPr>
          <w:ilvl w:val="0"/>
          <w:numId w:val="32"/>
        </w:numPr>
        <w:spacing w:after="120"/>
        <w:rPr>
          <w:b/>
          <w:szCs w:val="22"/>
        </w:rPr>
      </w:pPr>
      <w:r w:rsidRPr="001500A5">
        <w:rPr>
          <w:b/>
          <w:szCs w:val="22"/>
        </w:rPr>
        <w:t>Based on comments from Parties on TEAP’s first report to OEWG-37, this chapter includes the following updates and new information:</w:t>
      </w:r>
    </w:p>
    <w:p w:rsidR="00332950" w:rsidRPr="001500A5" w:rsidRDefault="00462514" w:rsidP="00462514">
      <w:pPr>
        <w:numPr>
          <w:ilvl w:val="1"/>
          <w:numId w:val="32"/>
        </w:numPr>
        <w:spacing w:after="120"/>
        <w:rPr>
          <w:b/>
          <w:szCs w:val="22"/>
        </w:rPr>
      </w:pPr>
      <w:r w:rsidRPr="001500A5">
        <w:rPr>
          <w:b/>
          <w:szCs w:val="22"/>
        </w:rPr>
        <w:t>A f</w:t>
      </w:r>
      <w:r w:rsidR="00332950" w:rsidRPr="001500A5">
        <w:rPr>
          <w:b/>
          <w:szCs w:val="22"/>
        </w:rPr>
        <w:t>urther elaboration on the use of the term “environmentall</w:t>
      </w:r>
      <w:r w:rsidRPr="001500A5">
        <w:rPr>
          <w:b/>
          <w:szCs w:val="22"/>
        </w:rPr>
        <w:t>y sound”</w:t>
      </w:r>
      <w:r w:rsidR="00DF1E74">
        <w:rPr>
          <w:b/>
          <w:szCs w:val="22"/>
        </w:rPr>
        <w:t>.</w:t>
      </w:r>
    </w:p>
    <w:p w:rsidR="00565299" w:rsidRDefault="001859F7" w:rsidP="00DF7BFA">
      <w:pPr>
        <w:numPr>
          <w:ilvl w:val="0"/>
          <w:numId w:val="32"/>
        </w:numPr>
        <w:spacing w:after="120"/>
        <w:rPr>
          <w:szCs w:val="22"/>
        </w:rPr>
      </w:pPr>
      <w:r w:rsidRPr="00565299">
        <w:rPr>
          <w:szCs w:val="22"/>
        </w:rPr>
        <w:t xml:space="preserve">Chapter 2 </w:t>
      </w:r>
      <w:r w:rsidR="00A055C7">
        <w:rPr>
          <w:szCs w:val="22"/>
        </w:rPr>
        <w:t xml:space="preserve">lists </w:t>
      </w:r>
      <w:r w:rsidRPr="00565299">
        <w:rPr>
          <w:szCs w:val="22"/>
        </w:rPr>
        <w:t xml:space="preserve">80 fluids which have </w:t>
      </w:r>
      <w:r w:rsidR="008D6CDF" w:rsidRPr="00565299">
        <w:rPr>
          <w:szCs w:val="22"/>
        </w:rPr>
        <w:t xml:space="preserve">either </w:t>
      </w:r>
      <w:r w:rsidRPr="00565299">
        <w:rPr>
          <w:szCs w:val="22"/>
        </w:rPr>
        <w:t>been proposed or are being tested in industry programmes</w:t>
      </w:r>
      <w:r w:rsidR="008D6CDF" w:rsidRPr="00565299">
        <w:rPr>
          <w:szCs w:val="22"/>
        </w:rPr>
        <w:t>,</w:t>
      </w:r>
      <w:r w:rsidRPr="00565299">
        <w:rPr>
          <w:szCs w:val="22"/>
        </w:rPr>
        <w:t xml:space="preserve"> or are pending publication</w:t>
      </w:r>
      <w:r w:rsidR="008D6CDF" w:rsidRPr="00565299">
        <w:rPr>
          <w:szCs w:val="22"/>
        </w:rPr>
        <w:t>,</w:t>
      </w:r>
      <w:r w:rsidRPr="00565299">
        <w:rPr>
          <w:szCs w:val="22"/>
        </w:rPr>
        <w:t xml:space="preserve"> or ha</w:t>
      </w:r>
      <w:r w:rsidR="008D6CDF" w:rsidRPr="00565299">
        <w:rPr>
          <w:szCs w:val="22"/>
        </w:rPr>
        <w:t xml:space="preserve">ve </w:t>
      </w:r>
      <w:r w:rsidRPr="00565299">
        <w:rPr>
          <w:szCs w:val="22"/>
        </w:rPr>
        <w:t xml:space="preserve">been published in ISO 817 and ASHRAE 34 refrigerant standards since the 2014 RTOC </w:t>
      </w:r>
      <w:r w:rsidR="00BA448F" w:rsidRPr="00565299">
        <w:rPr>
          <w:szCs w:val="22"/>
        </w:rPr>
        <w:t>Assessment R</w:t>
      </w:r>
      <w:r w:rsidRPr="00565299">
        <w:rPr>
          <w:szCs w:val="22"/>
        </w:rPr>
        <w:t xml:space="preserve">eport. The majority </w:t>
      </w:r>
      <w:r w:rsidR="007E0C94" w:rsidRPr="00565299">
        <w:rPr>
          <w:szCs w:val="22"/>
        </w:rPr>
        <w:t>o</w:t>
      </w:r>
      <w:r w:rsidRPr="00565299">
        <w:rPr>
          <w:szCs w:val="22"/>
        </w:rPr>
        <w:t xml:space="preserve">f these are new mixtures, but traditional fluids and two new molecules are also included. </w:t>
      </w:r>
      <w:r w:rsidR="008D6CDF" w:rsidRPr="00565299">
        <w:rPr>
          <w:szCs w:val="22"/>
        </w:rPr>
        <w:t>C</w:t>
      </w:r>
      <w:r w:rsidRPr="00565299">
        <w:rPr>
          <w:szCs w:val="22"/>
        </w:rPr>
        <w:t xml:space="preserve">hapter </w:t>
      </w:r>
      <w:r w:rsidR="008D6CDF" w:rsidRPr="00565299">
        <w:rPr>
          <w:szCs w:val="22"/>
        </w:rPr>
        <w:t xml:space="preserve">2 </w:t>
      </w:r>
      <w:r w:rsidRPr="00565299">
        <w:rPr>
          <w:szCs w:val="22"/>
        </w:rPr>
        <w:t xml:space="preserve">includes discussions on how refrigerants are classified in refrigerant standards and </w:t>
      </w:r>
      <w:r w:rsidR="00565299" w:rsidRPr="00565299">
        <w:rPr>
          <w:szCs w:val="22"/>
        </w:rPr>
        <w:t>increased safety risks of some of low-GWP refrigerants that need to be addressed.</w:t>
      </w:r>
    </w:p>
    <w:p w:rsidR="001859F7" w:rsidRPr="00565299" w:rsidRDefault="007E0C94" w:rsidP="00DF7BFA">
      <w:pPr>
        <w:numPr>
          <w:ilvl w:val="0"/>
          <w:numId w:val="32"/>
        </w:numPr>
        <w:spacing w:after="120"/>
        <w:rPr>
          <w:szCs w:val="22"/>
        </w:rPr>
      </w:pPr>
      <w:r w:rsidRPr="00565299">
        <w:rPr>
          <w:szCs w:val="22"/>
        </w:rPr>
        <w:t>T</w:t>
      </w:r>
      <w:r w:rsidR="001859F7" w:rsidRPr="00565299">
        <w:rPr>
          <w:szCs w:val="22"/>
        </w:rPr>
        <w:t xml:space="preserve">here are alternative refrigerants available today with negligible ODP and lower GWP, </w:t>
      </w:r>
      <w:r w:rsidR="00D45400" w:rsidRPr="00565299">
        <w:rPr>
          <w:szCs w:val="22"/>
        </w:rPr>
        <w:t xml:space="preserve">however, </w:t>
      </w:r>
      <w:r w:rsidR="001859F7" w:rsidRPr="00565299">
        <w:rPr>
          <w:szCs w:val="22"/>
        </w:rPr>
        <w:t xml:space="preserve">for some applications it can be challenging to </w:t>
      </w:r>
      <w:r w:rsidR="00B85F61">
        <w:rPr>
          <w:szCs w:val="22"/>
        </w:rPr>
        <w:t>achieve</w:t>
      </w:r>
      <w:r w:rsidR="001859F7" w:rsidRPr="00565299">
        <w:rPr>
          <w:szCs w:val="22"/>
        </w:rPr>
        <w:t xml:space="preserve"> the same lifetime cost level of </w:t>
      </w:r>
      <w:r w:rsidRPr="00565299">
        <w:rPr>
          <w:szCs w:val="22"/>
        </w:rPr>
        <w:t xml:space="preserve">conventional </w:t>
      </w:r>
      <w:r w:rsidR="001859F7" w:rsidRPr="00565299">
        <w:rPr>
          <w:szCs w:val="22"/>
        </w:rPr>
        <w:t xml:space="preserve">systems while keeping the same performance and size. The search for new alternative fluids may yield more economical solutions, but the prospects of discovering </w:t>
      </w:r>
      <w:r w:rsidR="007104C0" w:rsidRPr="00565299">
        <w:rPr>
          <w:szCs w:val="22"/>
        </w:rPr>
        <w:t xml:space="preserve">new, </w:t>
      </w:r>
      <w:r w:rsidR="001859F7" w:rsidRPr="00565299">
        <w:rPr>
          <w:szCs w:val="22"/>
        </w:rPr>
        <w:t xml:space="preserve">radically </w:t>
      </w:r>
      <w:r w:rsidR="00CF27EA" w:rsidRPr="00565299">
        <w:rPr>
          <w:szCs w:val="22"/>
        </w:rPr>
        <w:t>different</w:t>
      </w:r>
      <w:r w:rsidR="001859F7" w:rsidRPr="00565299">
        <w:rPr>
          <w:szCs w:val="22"/>
        </w:rPr>
        <w:t xml:space="preserve"> fluids are minimal.</w:t>
      </w:r>
    </w:p>
    <w:p w:rsidR="004F6A8A" w:rsidRDefault="008D6CDF" w:rsidP="009840D4">
      <w:pPr>
        <w:numPr>
          <w:ilvl w:val="0"/>
          <w:numId w:val="32"/>
        </w:numPr>
        <w:spacing w:after="120"/>
        <w:rPr>
          <w:szCs w:val="22"/>
        </w:rPr>
      </w:pPr>
      <w:r>
        <w:rPr>
          <w:szCs w:val="22"/>
        </w:rPr>
        <w:t xml:space="preserve">Market dynamics are critical in the rate of adoption of new refrigerants. </w:t>
      </w:r>
      <w:r w:rsidRPr="00C577FA">
        <w:rPr>
          <w:szCs w:val="22"/>
        </w:rPr>
        <w:t xml:space="preserve">There is a limit to </w:t>
      </w:r>
      <w:r>
        <w:rPr>
          <w:szCs w:val="22"/>
        </w:rPr>
        <w:t>the number of different</w:t>
      </w:r>
      <w:r w:rsidRPr="00C577FA">
        <w:rPr>
          <w:szCs w:val="22"/>
        </w:rPr>
        <w:t xml:space="preserve"> refrigerants </w:t>
      </w:r>
      <w:r>
        <w:rPr>
          <w:szCs w:val="22"/>
        </w:rPr>
        <w:t>that a market (</w:t>
      </w:r>
      <w:r w:rsidRPr="00C577FA">
        <w:rPr>
          <w:szCs w:val="22"/>
        </w:rPr>
        <w:t>customers, sales channels</w:t>
      </w:r>
      <w:r>
        <w:rPr>
          <w:szCs w:val="22"/>
        </w:rPr>
        <w:t>,</w:t>
      </w:r>
      <w:r w:rsidRPr="00C577FA">
        <w:rPr>
          <w:szCs w:val="22"/>
        </w:rPr>
        <w:t xml:space="preserve"> </w:t>
      </w:r>
      <w:r>
        <w:rPr>
          <w:szCs w:val="22"/>
        </w:rPr>
        <w:t>se</w:t>
      </w:r>
      <w:r w:rsidRPr="00C577FA">
        <w:rPr>
          <w:szCs w:val="22"/>
        </w:rPr>
        <w:t>rvice companies</w:t>
      </w:r>
      <w:r>
        <w:rPr>
          <w:szCs w:val="22"/>
        </w:rPr>
        <w:t xml:space="preserve">) can manage. </w:t>
      </w:r>
      <w:r w:rsidR="00D45400">
        <w:rPr>
          <w:szCs w:val="22"/>
        </w:rPr>
        <w:t>Hence, c</w:t>
      </w:r>
      <w:r w:rsidRPr="00C577FA">
        <w:rPr>
          <w:szCs w:val="22"/>
        </w:rPr>
        <w:t xml:space="preserve">ompanies </w:t>
      </w:r>
      <w:r>
        <w:rPr>
          <w:szCs w:val="22"/>
        </w:rPr>
        <w:t xml:space="preserve">will be selective </w:t>
      </w:r>
      <w:r w:rsidRPr="00C577FA">
        <w:rPr>
          <w:szCs w:val="22"/>
        </w:rPr>
        <w:t xml:space="preserve">about where </w:t>
      </w:r>
      <w:r>
        <w:rPr>
          <w:szCs w:val="22"/>
        </w:rPr>
        <w:t>they</w:t>
      </w:r>
      <w:r w:rsidRPr="00C577FA">
        <w:rPr>
          <w:szCs w:val="22"/>
        </w:rPr>
        <w:t xml:space="preserve"> launch a product</w:t>
      </w:r>
      <w:r>
        <w:rPr>
          <w:szCs w:val="22"/>
        </w:rPr>
        <w:t>, avoiding areas which are saturated</w:t>
      </w:r>
      <w:r w:rsidRPr="00C577FA">
        <w:rPr>
          <w:szCs w:val="22"/>
        </w:rPr>
        <w:t xml:space="preserve">, and </w:t>
      </w:r>
      <w:r>
        <w:rPr>
          <w:szCs w:val="22"/>
        </w:rPr>
        <w:t xml:space="preserve">promoting </w:t>
      </w:r>
      <w:r w:rsidRPr="00C577FA">
        <w:rPr>
          <w:szCs w:val="22"/>
        </w:rPr>
        <w:t>sales where they see the greatest market potential</w:t>
      </w:r>
      <w:r>
        <w:rPr>
          <w:szCs w:val="22"/>
        </w:rPr>
        <w:t>.</w:t>
      </w:r>
      <w:r w:rsidRPr="00C577FA" w:rsidDel="00B70A5E">
        <w:rPr>
          <w:szCs w:val="22"/>
        </w:rPr>
        <w:t xml:space="preserve"> </w:t>
      </w:r>
    </w:p>
    <w:p w:rsidR="0098603A" w:rsidRPr="00C577FA" w:rsidRDefault="00D45400" w:rsidP="009840D4">
      <w:pPr>
        <w:numPr>
          <w:ilvl w:val="0"/>
          <w:numId w:val="32"/>
        </w:numPr>
        <w:spacing w:after="120"/>
        <w:rPr>
          <w:szCs w:val="22"/>
        </w:rPr>
      </w:pPr>
      <w:r>
        <w:rPr>
          <w:szCs w:val="22"/>
        </w:rPr>
        <w:t xml:space="preserve">It is </w:t>
      </w:r>
      <w:r w:rsidRPr="00C577FA">
        <w:rPr>
          <w:szCs w:val="22"/>
        </w:rPr>
        <w:t>difficult to assign energy efficiency to a refrigerant</w:t>
      </w:r>
      <w:r>
        <w:rPr>
          <w:szCs w:val="22"/>
        </w:rPr>
        <w:t>, b</w:t>
      </w:r>
      <w:r w:rsidR="007E0C94">
        <w:rPr>
          <w:szCs w:val="22"/>
        </w:rPr>
        <w:t>ecause e</w:t>
      </w:r>
      <w:r w:rsidR="001859F7" w:rsidRPr="00C577FA">
        <w:rPr>
          <w:szCs w:val="22"/>
        </w:rPr>
        <w:t xml:space="preserve">nergy efficiency of refrigeration systems is </w:t>
      </w:r>
      <w:r w:rsidR="00B85F61">
        <w:rPr>
          <w:szCs w:val="22"/>
        </w:rPr>
        <w:t xml:space="preserve">an </w:t>
      </w:r>
      <w:r w:rsidR="001859F7" w:rsidRPr="00C577FA">
        <w:rPr>
          <w:szCs w:val="22"/>
        </w:rPr>
        <w:t>addition</w:t>
      </w:r>
      <w:r w:rsidR="00B85F61">
        <w:rPr>
          <w:szCs w:val="22"/>
        </w:rPr>
        <w:t xml:space="preserve">al variable </w:t>
      </w:r>
      <w:r w:rsidR="001859F7" w:rsidRPr="00C577FA">
        <w:rPr>
          <w:szCs w:val="22"/>
        </w:rPr>
        <w:t xml:space="preserve">to the refrigerant choice </w:t>
      </w:r>
      <w:r w:rsidR="007E0C94">
        <w:rPr>
          <w:szCs w:val="22"/>
        </w:rPr>
        <w:t>a</w:t>
      </w:r>
      <w:r w:rsidR="00565299">
        <w:rPr>
          <w:szCs w:val="22"/>
        </w:rPr>
        <w:t xml:space="preserve">lso </w:t>
      </w:r>
      <w:r w:rsidR="001859F7" w:rsidRPr="00C577FA">
        <w:rPr>
          <w:szCs w:val="22"/>
        </w:rPr>
        <w:t>related to system configuration and component efficiencies</w:t>
      </w:r>
      <w:r>
        <w:rPr>
          <w:szCs w:val="22"/>
        </w:rPr>
        <w:t>.</w:t>
      </w:r>
      <w:r w:rsidR="001859F7" w:rsidRPr="00C577FA">
        <w:rPr>
          <w:szCs w:val="22"/>
        </w:rPr>
        <w:t xml:space="preserve"> </w:t>
      </w:r>
      <w:r w:rsidR="0098603A" w:rsidRPr="00C577FA">
        <w:rPr>
          <w:szCs w:val="22"/>
        </w:rPr>
        <w:t xml:space="preserve">One approach </w:t>
      </w:r>
      <w:r>
        <w:rPr>
          <w:szCs w:val="22"/>
        </w:rPr>
        <w:t xml:space="preserve">when </w:t>
      </w:r>
      <w:r w:rsidR="0098603A" w:rsidRPr="00C577FA">
        <w:rPr>
          <w:szCs w:val="22"/>
        </w:rPr>
        <w:t>assess</w:t>
      </w:r>
      <w:r>
        <w:rPr>
          <w:szCs w:val="22"/>
        </w:rPr>
        <w:t>ing</w:t>
      </w:r>
      <w:r w:rsidR="0098603A" w:rsidRPr="00C577FA">
        <w:rPr>
          <w:szCs w:val="22"/>
        </w:rPr>
        <w:t xml:space="preserve"> the energy efficiency related to a refrigerant is to start with a </w:t>
      </w:r>
      <w:r>
        <w:rPr>
          <w:szCs w:val="22"/>
        </w:rPr>
        <w:t xml:space="preserve">specific </w:t>
      </w:r>
      <w:r w:rsidR="0098603A" w:rsidRPr="00C577FA">
        <w:rPr>
          <w:szCs w:val="22"/>
        </w:rPr>
        <w:t xml:space="preserve">refrigerant and use a system architecture suitable for this refrigerant, while comparing </w:t>
      </w:r>
      <w:r w:rsidR="00B85F61">
        <w:rPr>
          <w:szCs w:val="22"/>
        </w:rPr>
        <w:t xml:space="preserve">to </w:t>
      </w:r>
      <w:r w:rsidR="0098603A" w:rsidRPr="00C577FA">
        <w:rPr>
          <w:szCs w:val="22"/>
        </w:rPr>
        <w:t xml:space="preserve">a reference system for the refrigerant to be replaced. Other approaches </w:t>
      </w:r>
      <w:r w:rsidR="00B85F61">
        <w:rPr>
          <w:szCs w:val="22"/>
        </w:rPr>
        <w:t>s</w:t>
      </w:r>
      <w:r w:rsidR="0098603A" w:rsidRPr="00C577FA">
        <w:rPr>
          <w:szCs w:val="22"/>
        </w:rPr>
        <w:t>creen</w:t>
      </w:r>
      <w:r w:rsidR="00BA448F">
        <w:rPr>
          <w:szCs w:val="22"/>
        </w:rPr>
        <w:t xml:space="preserve"> </w:t>
      </w:r>
      <w:r w:rsidR="0098603A" w:rsidRPr="00C577FA">
        <w:rPr>
          <w:szCs w:val="22"/>
        </w:rPr>
        <w:t xml:space="preserve">alternative refrigerants suitable for a given system architecture. The common methods can be divided into </w:t>
      </w:r>
      <w:r w:rsidR="0098603A">
        <w:rPr>
          <w:szCs w:val="22"/>
        </w:rPr>
        <w:t>t</w:t>
      </w:r>
      <w:r w:rsidR="0098603A" w:rsidRPr="00C577FA">
        <w:rPr>
          <w:szCs w:val="22"/>
        </w:rPr>
        <w:t>heoretical and semi-theoretical cycle simulations, detailed equipment simulation models, and laboratory tests of the equipment. In practice</w:t>
      </w:r>
      <w:r w:rsidR="00BB69AA">
        <w:rPr>
          <w:szCs w:val="22"/>
        </w:rPr>
        <w:t>,</w:t>
      </w:r>
      <w:r w:rsidR="0098603A" w:rsidRPr="00C577FA">
        <w:rPr>
          <w:szCs w:val="22"/>
        </w:rPr>
        <w:t xml:space="preserve"> the achievable energy efficiency is limited by the cost of the system, as the success in the market depends on a cost</w:t>
      </w:r>
      <w:r w:rsidR="004F6A8A">
        <w:rPr>
          <w:szCs w:val="22"/>
        </w:rPr>
        <w:t>-</w:t>
      </w:r>
      <w:r w:rsidR="0098603A" w:rsidRPr="00C577FA">
        <w:rPr>
          <w:szCs w:val="22"/>
        </w:rPr>
        <w:t>performance trade-off.</w:t>
      </w:r>
    </w:p>
    <w:p w:rsidR="001859F7" w:rsidRDefault="001859F7" w:rsidP="009840D4">
      <w:pPr>
        <w:numPr>
          <w:ilvl w:val="0"/>
          <w:numId w:val="32"/>
        </w:numPr>
        <w:spacing w:after="120"/>
        <w:rPr>
          <w:szCs w:val="22"/>
        </w:rPr>
      </w:pPr>
      <w:r w:rsidRPr="00C577FA">
        <w:rPr>
          <w:szCs w:val="22"/>
        </w:rPr>
        <w:lastRenderedPageBreak/>
        <w:t xml:space="preserve">The difficulties </w:t>
      </w:r>
      <w:r w:rsidR="00D45400">
        <w:rPr>
          <w:szCs w:val="22"/>
        </w:rPr>
        <w:t xml:space="preserve">in </w:t>
      </w:r>
      <w:r w:rsidRPr="00C577FA">
        <w:rPr>
          <w:szCs w:val="22"/>
        </w:rPr>
        <w:t xml:space="preserve">assessing the total warming impact related to refrigerants is discussed, including the difficulty of defining </w:t>
      </w:r>
      <w:r w:rsidR="00BB69AA">
        <w:rPr>
          <w:szCs w:val="22"/>
        </w:rPr>
        <w:t>“</w:t>
      </w:r>
      <w:r w:rsidRPr="00C577FA">
        <w:rPr>
          <w:szCs w:val="22"/>
        </w:rPr>
        <w:t>low global warming potential</w:t>
      </w:r>
      <w:r w:rsidR="00BB69AA">
        <w:rPr>
          <w:szCs w:val="22"/>
        </w:rPr>
        <w:t>”</w:t>
      </w:r>
      <w:r w:rsidR="00B85F61">
        <w:rPr>
          <w:szCs w:val="22"/>
        </w:rPr>
        <w:t>,</w:t>
      </w:r>
      <w:r w:rsidRPr="00C577FA">
        <w:rPr>
          <w:szCs w:val="22"/>
        </w:rPr>
        <w:t xml:space="preserve"> and assessing the energy efficiency related to the use of a refrigerant.</w:t>
      </w:r>
    </w:p>
    <w:p w:rsidR="0098603A" w:rsidRPr="00565299" w:rsidRDefault="00565299" w:rsidP="00DF7BFA">
      <w:pPr>
        <w:numPr>
          <w:ilvl w:val="0"/>
          <w:numId w:val="32"/>
        </w:numPr>
        <w:spacing w:before="100" w:beforeAutospacing="1" w:after="100" w:afterAutospacing="1"/>
        <w:ind w:left="714" w:hanging="357"/>
        <w:rPr>
          <w:szCs w:val="22"/>
        </w:rPr>
      </w:pPr>
      <w:r w:rsidRPr="00565299">
        <w:rPr>
          <w:szCs w:val="22"/>
        </w:rPr>
        <w:t>T</w:t>
      </w:r>
      <w:r w:rsidR="001859F7" w:rsidRPr="00565299">
        <w:rPr>
          <w:szCs w:val="22"/>
        </w:rPr>
        <w:t>otal climate impact related to refrigerants consists of direct and indirect contributions. The direct contribution is a function of a refrigerant’s GWP, charge amount</w:t>
      </w:r>
      <w:r w:rsidR="007A14A8" w:rsidRPr="00565299">
        <w:rPr>
          <w:szCs w:val="22"/>
        </w:rPr>
        <w:t xml:space="preserve">, emissions due to </w:t>
      </w:r>
      <w:r w:rsidR="001859F7" w:rsidRPr="00565299">
        <w:rPr>
          <w:szCs w:val="22"/>
        </w:rPr>
        <w:t>leakage from equipment</w:t>
      </w:r>
      <w:r w:rsidR="007A14A8" w:rsidRPr="00565299">
        <w:rPr>
          <w:szCs w:val="22"/>
        </w:rPr>
        <w:t xml:space="preserve"> and those associated with the service and disposal of the equipment.</w:t>
      </w:r>
      <w:r w:rsidR="001859F7" w:rsidRPr="00565299">
        <w:rPr>
          <w:szCs w:val="22"/>
        </w:rPr>
        <w:t xml:space="preserve"> The definition of the qualifiers “high”, “medium” and “low” in relation to GWP is a </w:t>
      </w:r>
      <w:r w:rsidR="00D45400" w:rsidRPr="00565299">
        <w:rPr>
          <w:szCs w:val="22"/>
        </w:rPr>
        <w:t xml:space="preserve">qualitative, </w:t>
      </w:r>
      <w:r w:rsidR="001859F7" w:rsidRPr="00565299">
        <w:rPr>
          <w:szCs w:val="22"/>
        </w:rPr>
        <w:t>non-technical choice related to what is acceptable in specific applications.</w:t>
      </w:r>
      <w:r w:rsidR="0098603A" w:rsidRPr="00565299">
        <w:rPr>
          <w:szCs w:val="22"/>
        </w:rPr>
        <w:t xml:space="preserve"> </w:t>
      </w:r>
      <w:r w:rsidRPr="00565299">
        <w:rPr>
          <w:rFonts w:eastAsia="Times New Roman"/>
          <w:szCs w:val="22"/>
          <w:lang w:val="en-US"/>
        </w:rPr>
        <w:t>The indirect contribution accounts for the CO</w:t>
      </w:r>
      <w:r w:rsidRPr="00565299">
        <w:rPr>
          <w:rFonts w:eastAsia="Times New Roman"/>
          <w:szCs w:val="22"/>
          <w:vertAlign w:val="subscript"/>
          <w:lang w:val="en-US"/>
        </w:rPr>
        <w:t>2</w:t>
      </w:r>
      <w:r w:rsidRPr="00565299">
        <w:rPr>
          <w:rFonts w:eastAsia="Times New Roman"/>
          <w:szCs w:val="22"/>
          <w:lang w:val="en-US"/>
        </w:rPr>
        <w:t>-equivalent emissions generated during the production of energy consumed by the refrigeration, air-conditioning, and heat pump</w:t>
      </w:r>
      <w:r w:rsidR="00BB69AA">
        <w:rPr>
          <w:rFonts w:eastAsia="Times New Roman"/>
          <w:szCs w:val="22"/>
          <w:lang w:val="en-US"/>
        </w:rPr>
        <w:t xml:space="preserve"> </w:t>
      </w:r>
      <w:r w:rsidRPr="00565299">
        <w:rPr>
          <w:rFonts w:eastAsia="Times New Roman"/>
          <w:szCs w:val="22"/>
          <w:lang w:val="en-US"/>
        </w:rPr>
        <w:t>equipment</w:t>
      </w:r>
      <w:r w:rsidR="00BB69AA">
        <w:rPr>
          <w:rFonts w:eastAsia="Times New Roman"/>
          <w:szCs w:val="22"/>
          <w:lang w:val="en-US"/>
        </w:rPr>
        <w:t>.</w:t>
      </w:r>
      <w:r w:rsidRPr="00565299">
        <w:rPr>
          <w:rFonts w:eastAsia="Times New Roman"/>
          <w:szCs w:val="22"/>
          <w:lang w:val="en-US"/>
        </w:rPr>
        <w:t xml:space="preserve"> These emissions are affected by equipment's operating characteristics and the emission factor of the local electricity production. Operating characteristics include operating conditions, operating profile, system capacity, system hardware, among others, which makes a comparison difficult in many instances. The indirect contribution is the dominant contributor in very low to no leakage or “tight systems”.</w:t>
      </w:r>
    </w:p>
    <w:p w:rsidR="00573112" w:rsidRPr="00EC433A" w:rsidRDefault="00573112" w:rsidP="00573112">
      <w:pPr>
        <w:spacing w:line="260" w:lineRule="atLeast"/>
      </w:pPr>
    </w:p>
    <w:p w:rsidR="0022048F" w:rsidRDefault="00573112" w:rsidP="004C7602">
      <w:pPr>
        <w:pStyle w:val="Heading2"/>
        <w:ind w:left="680" w:hanging="680"/>
      </w:pPr>
      <w:bookmarkStart w:id="12" w:name="_Toc452653346"/>
      <w:r w:rsidRPr="00EC433A">
        <w:t>ES3.</w:t>
      </w:r>
      <w:r w:rsidRPr="00EC433A">
        <w:tab/>
        <w:t xml:space="preserve">  </w:t>
      </w:r>
      <w:r w:rsidR="0022048F">
        <w:t xml:space="preserve">Update on R/AC </w:t>
      </w:r>
      <w:r w:rsidR="001500A5">
        <w:t xml:space="preserve">alternative refrigerants and </w:t>
      </w:r>
      <w:r w:rsidR="0022048F">
        <w:t>technologies</w:t>
      </w:r>
      <w:bookmarkEnd w:id="12"/>
    </w:p>
    <w:p w:rsidR="00475DC3" w:rsidRPr="00DF1E74" w:rsidRDefault="001500A5" w:rsidP="00DF1E74">
      <w:pPr>
        <w:numPr>
          <w:ilvl w:val="0"/>
          <w:numId w:val="65"/>
        </w:numPr>
        <w:rPr>
          <w:b/>
          <w:lang w:eastAsia="ja-JP"/>
        </w:rPr>
      </w:pPr>
      <w:r w:rsidRPr="00DF1E74">
        <w:rPr>
          <w:b/>
          <w:lang w:eastAsia="ja-JP"/>
        </w:rPr>
        <w:t xml:space="preserve">Based on comments from Parties on TEAP’s first report to OEWG-37, </w:t>
      </w:r>
      <w:r w:rsidR="00475DC3" w:rsidRPr="00DF1E74">
        <w:rPr>
          <w:b/>
          <w:lang w:eastAsia="ja-JP"/>
        </w:rPr>
        <w:t xml:space="preserve">this new chapter provides updates on refrigerant alternatives and technologies, including discussion of </w:t>
      </w:r>
      <w:r w:rsidR="00F97D6D">
        <w:rPr>
          <w:b/>
          <w:lang w:eastAsia="ja-JP"/>
        </w:rPr>
        <w:t>N</w:t>
      </w:r>
      <w:r w:rsidR="00475DC3" w:rsidRPr="00DF1E74">
        <w:rPr>
          <w:b/>
          <w:lang w:eastAsia="ja-JP"/>
        </w:rPr>
        <w:t>ot-</w:t>
      </w:r>
      <w:r w:rsidR="00F97D6D">
        <w:rPr>
          <w:b/>
          <w:lang w:eastAsia="ja-JP"/>
        </w:rPr>
        <w:t>In-K</w:t>
      </w:r>
      <w:r w:rsidR="00475DC3" w:rsidRPr="00DF1E74">
        <w:rPr>
          <w:b/>
          <w:lang w:eastAsia="ja-JP"/>
        </w:rPr>
        <w:t xml:space="preserve">ind-technologies and </w:t>
      </w:r>
      <w:r w:rsidR="00F97D6D">
        <w:rPr>
          <w:b/>
          <w:lang w:eastAsia="ja-JP"/>
        </w:rPr>
        <w:t xml:space="preserve">the </w:t>
      </w:r>
      <w:r w:rsidR="00475DC3" w:rsidRPr="00DF1E74">
        <w:rPr>
          <w:b/>
          <w:lang w:eastAsia="ja-JP"/>
        </w:rPr>
        <w:t>status of CO</w:t>
      </w:r>
      <w:r w:rsidR="00475DC3" w:rsidRPr="00DF1E74">
        <w:rPr>
          <w:b/>
          <w:vertAlign w:val="subscript"/>
          <w:lang w:eastAsia="ja-JP"/>
        </w:rPr>
        <w:t>2</w:t>
      </w:r>
      <w:r w:rsidR="00475DC3" w:rsidRPr="00DF1E74">
        <w:rPr>
          <w:b/>
          <w:lang w:eastAsia="ja-JP"/>
        </w:rPr>
        <w:t xml:space="preserve"> technologies, </w:t>
      </w:r>
      <w:r w:rsidR="007579F8">
        <w:rPr>
          <w:b/>
          <w:lang w:eastAsia="ja-JP"/>
        </w:rPr>
        <w:t xml:space="preserve">and </w:t>
      </w:r>
      <w:r w:rsidR="00475DC3" w:rsidRPr="00DF1E74">
        <w:rPr>
          <w:b/>
          <w:lang w:eastAsia="ja-JP"/>
        </w:rPr>
        <w:t>also discusses standards within the R/AC sector; also included is an elaboration on the technical perspective related to safe use of the alternative refrigerants as covered in relevant standards</w:t>
      </w:r>
      <w:r w:rsidR="00DF1E74">
        <w:rPr>
          <w:b/>
          <w:lang w:eastAsia="ja-JP"/>
        </w:rPr>
        <w:t>.</w:t>
      </w:r>
    </w:p>
    <w:p w:rsidR="001500A5" w:rsidRPr="00475DC3" w:rsidRDefault="001500A5" w:rsidP="00DF1E74">
      <w:pPr>
        <w:rPr>
          <w:b/>
          <w:bCs/>
          <w:sz w:val="24"/>
          <w:lang w:eastAsia="ja-JP"/>
        </w:rPr>
      </w:pPr>
      <w:r w:rsidRPr="00475DC3">
        <w:rPr>
          <w:b/>
          <w:bCs/>
          <w:sz w:val="24"/>
          <w:lang w:eastAsia="ja-JP"/>
        </w:rPr>
        <w:t xml:space="preserve"> </w:t>
      </w:r>
    </w:p>
    <w:p w:rsidR="009A4785" w:rsidRPr="00DF1E74" w:rsidRDefault="009A4785" w:rsidP="00DF1E74">
      <w:pPr>
        <w:numPr>
          <w:ilvl w:val="0"/>
          <w:numId w:val="64"/>
        </w:numPr>
        <w:rPr>
          <w:lang w:eastAsia="ja-JP"/>
        </w:rPr>
      </w:pPr>
      <w:r w:rsidRPr="00DF1E74">
        <w:rPr>
          <w:lang w:eastAsia="ja-JP"/>
        </w:rPr>
        <w:t xml:space="preserve">HC-600a </w:t>
      </w:r>
      <w:r w:rsidR="00565299">
        <w:rPr>
          <w:lang w:eastAsia="ja-JP"/>
        </w:rPr>
        <w:t xml:space="preserve">and </w:t>
      </w:r>
      <w:r w:rsidRPr="00DF1E74">
        <w:rPr>
          <w:lang w:eastAsia="ja-JP"/>
        </w:rPr>
        <w:t>HFC-134a continue to be the primary refrigerant options for production of new domestic refrigeration appliances. It is projected that, by 2020, about 75% of new refrigerator production will use HC-600a, most of the rest will use HFC-134a, and a small share may apply unsaturated HFC refrigerants such as HF</w:t>
      </w:r>
      <w:r w:rsidR="00B85F61">
        <w:rPr>
          <w:lang w:eastAsia="ja-JP"/>
        </w:rPr>
        <w:t>O</w:t>
      </w:r>
      <w:r w:rsidRPr="00DF1E74">
        <w:rPr>
          <w:lang w:eastAsia="ja-JP"/>
        </w:rPr>
        <w:t>-1234yf.</w:t>
      </w:r>
    </w:p>
    <w:p w:rsidR="009A4785" w:rsidRPr="00DF1E74" w:rsidRDefault="009A4785" w:rsidP="00DF1E74">
      <w:pPr>
        <w:numPr>
          <w:ilvl w:val="0"/>
          <w:numId w:val="64"/>
        </w:numPr>
        <w:spacing w:before="120"/>
        <w:ind w:left="714" w:hanging="357"/>
        <w:rPr>
          <w:lang w:eastAsia="ja-JP"/>
        </w:rPr>
      </w:pPr>
      <w:r w:rsidRPr="00DF1E74">
        <w:rPr>
          <w:lang w:eastAsia="ja-JP"/>
        </w:rPr>
        <w:t xml:space="preserve">In supermarkets, blends such as R-448A, </w:t>
      </w:r>
      <w:r w:rsidR="00E63AFD">
        <w:rPr>
          <w:lang w:eastAsia="ja-JP"/>
        </w:rPr>
        <w:t>R-4</w:t>
      </w:r>
      <w:r w:rsidRPr="00DF1E74">
        <w:rPr>
          <w:lang w:eastAsia="ja-JP"/>
        </w:rPr>
        <w:t>49-A, R-449B, R-450A, and R-513A are now beginning to grow in use, starting with Europe and the United States. The same holds true for condensing units and self</w:t>
      </w:r>
      <w:r>
        <w:rPr>
          <w:lang w:eastAsia="ja-JP"/>
        </w:rPr>
        <w:t>-</w:t>
      </w:r>
      <w:r w:rsidRPr="00DF1E74">
        <w:rPr>
          <w:lang w:eastAsia="ja-JP"/>
        </w:rPr>
        <w:t>contained equipment. In the self-contained equipment category, early trials with HF</w:t>
      </w:r>
      <w:r w:rsidR="00B57BCB">
        <w:rPr>
          <w:lang w:eastAsia="ja-JP"/>
        </w:rPr>
        <w:t>O</w:t>
      </w:r>
      <w:r w:rsidRPr="00DF1E74">
        <w:rPr>
          <w:lang w:eastAsia="ja-JP"/>
        </w:rPr>
        <w:t>-1234yf and HF</w:t>
      </w:r>
      <w:r w:rsidR="00B57BCB">
        <w:rPr>
          <w:lang w:eastAsia="ja-JP"/>
        </w:rPr>
        <w:t>O</w:t>
      </w:r>
      <w:r w:rsidRPr="00DF1E74">
        <w:rPr>
          <w:lang w:eastAsia="ja-JP"/>
        </w:rPr>
        <w:t>-1234ze have started. The use of R-407A and R-407F continues to grow further in many parts of the world.</w:t>
      </w:r>
    </w:p>
    <w:p w:rsidR="009A4785" w:rsidRPr="00DF1E74" w:rsidRDefault="00F97D6D" w:rsidP="00DF1E74">
      <w:pPr>
        <w:numPr>
          <w:ilvl w:val="0"/>
          <w:numId w:val="64"/>
        </w:numPr>
        <w:spacing w:before="120"/>
        <w:ind w:left="714" w:hanging="357"/>
        <w:rPr>
          <w:lang w:eastAsia="ja-JP"/>
        </w:rPr>
      </w:pPr>
      <w:r>
        <w:rPr>
          <w:lang w:eastAsia="ja-JP"/>
        </w:rPr>
        <w:t>R</w:t>
      </w:r>
      <w:r w:rsidR="009A4785" w:rsidRPr="00DF1E74">
        <w:rPr>
          <w:lang w:eastAsia="ja-JP"/>
        </w:rPr>
        <w:t xml:space="preserve">efrigerants </w:t>
      </w:r>
      <w:r w:rsidR="007F2716">
        <w:rPr>
          <w:lang w:eastAsia="ja-JP"/>
        </w:rPr>
        <w:t xml:space="preserve">such as </w:t>
      </w:r>
      <w:r w:rsidR="009A4785" w:rsidRPr="00DF1E74">
        <w:rPr>
          <w:lang w:eastAsia="ja-JP"/>
        </w:rPr>
        <w:t xml:space="preserve">R-744 are increasingly being used in supermarket systems worldwide – both in cascaded systems (R-744 for low temperature cascaded with a second refrigerant </w:t>
      </w:r>
      <w:r w:rsidR="00A055C7">
        <w:rPr>
          <w:lang w:eastAsia="ja-JP"/>
        </w:rPr>
        <w:t xml:space="preserve">such as </w:t>
      </w:r>
      <w:r w:rsidR="009A4785" w:rsidRPr="00DF1E74">
        <w:rPr>
          <w:lang w:eastAsia="ja-JP"/>
        </w:rPr>
        <w:t>HFC-134a or similar and R-717 in limited cases) and in transcritical systems. Transcritical systems are being researched extensively to reduce their energy penalty at high ambient conditions through the use of component and system technologies such as ejector, adiabatic condensing, sub-cooling and parallel compression.</w:t>
      </w:r>
    </w:p>
    <w:p w:rsidR="009A4785" w:rsidRPr="00DF1E74" w:rsidRDefault="00B85F61" w:rsidP="00DF1E74">
      <w:pPr>
        <w:numPr>
          <w:ilvl w:val="0"/>
          <w:numId w:val="64"/>
        </w:numPr>
        <w:spacing w:before="120"/>
        <w:ind w:left="714" w:hanging="357"/>
        <w:rPr>
          <w:lang w:eastAsia="ja-JP"/>
        </w:rPr>
      </w:pPr>
      <w:r>
        <w:rPr>
          <w:lang w:eastAsia="ja-JP"/>
        </w:rPr>
        <w:t xml:space="preserve">In </w:t>
      </w:r>
      <w:r w:rsidR="009A4785" w:rsidRPr="00DF1E74">
        <w:rPr>
          <w:lang w:eastAsia="ja-JP"/>
        </w:rPr>
        <w:t>industrial refrigeration</w:t>
      </w:r>
      <w:r>
        <w:rPr>
          <w:lang w:eastAsia="ja-JP"/>
        </w:rPr>
        <w:t xml:space="preserve"> the major trend, which also is a major </w:t>
      </w:r>
      <w:r w:rsidR="009A4785" w:rsidRPr="00DF1E74">
        <w:rPr>
          <w:lang w:eastAsia="ja-JP"/>
        </w:rPr>
        <w:t xml:space="preserve">challenge, is the focus on refrigerant charge reduction. </w:t>
      </w:r>
      <w:r>
        <w:rPr>
          <w:lang w:eastAsia="ja-JP"/>
        </w:rPr>
        <w:t xml:space="preserve">The market for </w:t>
      </w:r>
      <w:r w:rsidR="009A4785" w:rsidRPr="00DF1E74">
        <w:rPr>
          <w:lang w:eastAsia="ja-JP"/>
        </w:rPr>
        <w:t>heat pump</w:t>
      </w:r>
      <w:r>
        <w:rPr>
          <w:lang w:eastAsia="ja-JP"/>
        </w:rPr>
        <w:t>s is increasing rapidly</w:t>
      </w:r>
      <w:r w:rsidR="009A4785" w:rsidRPr="00DF1E74">
        <w:rPr>
          <w:lang w:eastAsia="ja-JP"/>
        </w:rPr>
        <w:t>. Industrial heat pumps use heat that is considered waste in other parts of production processes.</w:t>
      </w:r>
    </w:p>
    <w:p w:rsidR="009A4785" w:rsidRPr="00DF1E74" w:rsidRDefault="009A4785" w:rsidP="00DF1E74">
      <w:pPr>
        <w:numPr>
          <w:ilvl w:val="0"/>
          <w:numId w:val="64"/>
        </w:numPr>
        <w:spacing w:before="120"/>
        <w:ind w:left="714" w:hanging="357"/>
        <w:rPr>
          <w:lang w:eastAsia="ja-JP"/>
        </w:rPr>
      </w:pPr>
      <w:r w:rsidRPr="00DF1E74">
        <w:rPr>
          <w:lang w:eastAsia="ja-JP"/>
        </w:rPr>
        <w:t xml:space="preserve">In </w:t>
      </w:r>
      <w:r>
        <w:rPr>
          <w:lang w:eastAsia="ja-JP"/>
        </w:rPr>
        <w:t>t</w:t>
      </w:r>
      <w:r w:rsidRPr="00DF1E74">
        <w:rPr>
          <w:lang w:eastAsia="ja-JP"/>
        </w:rPr>
        <w:t xml:space="preserve">ransport </w:t>
      </w:r>
      <w:r>
        <w:rPr>
          <w:lang w:eastAsia="ja-JP"/>
        </w:rPr>
        <w:t>r</w:t>
      </w:r>
      <w:r w:rsidRPr="00DF1E74">
        <w:rPr>
          <w:lang w:eastAsia="ja-JP"/>
        </w:rPr>
        <w:t>efrigeration</w:t>
      </w:r>
      <w:r w:rsidR="00A055C7">
        <w:rPr>
          <w:lang w:eastAsia="ja-JP"/>
        </w:rPr>
        <w:t>,</w:t>
      </w:r>
      <w:r w:rsidRPr="00DF1E74">
        <w:rPr>
          <w:lang w:eastAsia="ja-JP"/>
        </w:rPr>
        <w:t xml:space="preserve"> R-452A has been introduced during 2015 as a customer option on new truck and trailer refrigeration units. R-404A </w:t>
      </w:r>
      <w:r w:rsidR="00B85F61">
        <w:rPr>
          <w:lang w:eastAsia="ja-JP"/>
        </w:rPr>
        <w:t>remains widely available</w:t>
      </w:r>
      <w:r w:rsidRPr="00DF1E74">
        <w:rPr>
          <w:lang w:eastAsia="ja-JP"/>
        </w:rPr>
        <w:t xml:space="preserve">. </w:t>
      </w:r>
      <w:r w:rsidR="00C0514B">
        <w:rPr>
          <w:rFonts w:ascii="Times-Roman" w:hAnsi="Times-Roman"/>
          <w:szCs w:val="22"/>
        </w:rPr>
        <w:t xml:space="preserve">Activities are </w:t>
      </w:r>
      <w:r w:rsidR="00A055C7">
        <w:rPr>
          <w:rFonts w:ascii="Times-Roman" w:hAnsi="Times-Roman"/>
          <w:szCs w:val="22"/>
        </w:rPr>
        <w:t>on</w:t>
      </w:r>
      <w:r w:rsidR="00C0514B">
        <w:rPr>
          <w:rFonts w:ascii="Times-Roman" w:hAnsi="Times-Roman"/>
          <w:szCs w:val="22"/>
        </w:rPr>
        <w:t>going to assess R-744 and other non-flammable (</w:t>
      </w:r>
      <w:r w:rsidR="00B85F61">
        <w:rPr>
          <w:rFonts w:ascii="Times-Roman" w:hAnsi="Times-Roman"/>
          <w:szCs w:val="22"/>
        </w:rPr>
        <w:t xml:space="preserve">class </w:t>
      </w:r>
      <w:r w:rsidR="00C0514B">
        <w:rPr>
          <w:rFonts w:ascii="Times-Roman" w:hAnsi="Times-Roman"/>
          <w:szCs w:val="22"/>
        </w:rPr>
        <w:t>A1) lower GWP solutions such as R-448A and R-449A.</w:t>
      </w:r>
      <w:r w:rsidRPr="00DF1E74">
        <w:rPr>
          <w:lang w:eastAsia="ja-JP"/>
        </w:rPr>
        <w:t xml:space="preserve"> R-513A, R-513B, and R-456A are </w:t>
      </w:r>
      <w:r w:rsidRPr="00DF1E74">
        <w:rPr>
          <w:lang w:eastAsia="ja-JP"/>
        </w:rPr>
        <w:lastRenderedPageBreak/>
        <w:t>being considered as future drop</w:t>
      </w:r>
      <w:r w:rsidR="00565299">
        <w:rPr>
          <w:lang w:eastAsia="ja-JP"/>
        </w:rPr>
        <w:t>-</w:t>
      </w:r>
      <w:r w:rsidRPr="00DF1E74">
        <w:rPr>
          <w:lang w:eastAsia="ja-JP"/>
        </w:rPr>
        <w:t>in solution</w:t>
      </w:r>
      <w:r w:rsidR="00C0514B">
        <w:rPr>
          <w:lang w:eastAsia="ja-JP"/>
        </w:rPr>
        <w:t>s</w:t>
      </w:r>
      <w:r w:rsidRPr="00DF1E74">
        <w:rPr>
          <w:lang w:eastAsia="ja-JP"/>
        </w:rPr>
        <w:t xml:space="preserve"> for </w:t>
      </w:r>
      <w:r w:rsidR="00C0514B">
        <w:rPr>
          <w:lang w:eastAsia="ja-JP"/>
        </w:rPr>
        <w:t>HFC</w:t>
      </w:r>
      <w:r w:rsidRPr="00DF1E74">
        <w:rPr>
          <w:lang w:eastAsia="ja-JP"/>
        </w:rPr>
        <w:t xml:space="preserve">-134a. Flammable (A3) and </w:t>
      </w:r>
      <w:r w:rsidR="00FD6BC8">
        <w:rPr>
          <w:lang w:eastAsia="ja-JP"/>
        </w:rPr>
        <w:t xml:space="preserve">lower </w:t>
      </w:r>
      <w:r w:rsidRPr="00DF1E74">
        <w:rPr>
          <w:lang w:eastAsia="ja-JP"/>
        </w:rPr>
        <w:t xml:space="preserve">flammable (A2L) refrigerant research </w:t>
      </w:r>
      <w:r w:rsidR="00710ABE">
        <w:rPr>
          <w:lang w:eastAsia="ja-JP"/>
        </w:rPr>
        <w:t>is continuing</w:t>
      </w:r>
      <w:r w:rsidRPr="00DF1E74">
        <w:rPr>
          <w:lang w:eastAsia="ja-JP"/>
        </w:rPr>
        <w:t>, aiming at producing publicly available and technically sound references to support code and standard activities.</w:t>
      </w:r>
    </w:p>
    <w:p w:rsidR="009A4785" w:rsidRPr="00DF1E74" w:rsidRDefault="009A4785" w:rsidP="00DF1E74">
      <w:pPr>
        <w:numPr>
          <w:ilvl w:val="0"/>
          <w:numId w:val="64"/>
        </w:numPr>
        <w:spacing w:before="120"/>
        <w:ind w:left="714" w:hanging="357"/>
        <w:rPr>
          <w:lang w:eastAsia="ja-JP"/>
        </w:rPr>
      </w:pPr>
      <w:r w:rsidRPr="00DF1E74">
        <w:rPr>
          <w:lang w:eastAsia="ja-JP"/>
        </w:rPr>
        <w:t>For air-to-air air conditioners and heat pumps</w:t>
      </w:r>
      <w:r w:rsidR="00710ABE">
        <w:rPr>
          <w:lang w:eastAsia="ja-JP"/>
        </w:rPr>
        <w:t>,</w:t>
      </w:r>
      <w:r w:rsidRPr="00DF1E74">
        <w:rPr>
          <w:lang w:eastAsia="ja-JP"/>
        </w:rPr>
        <w:t xml:space="preserve"> the most substantial recent developments are related to the increased rate of substitution of HCFC-22 and the greater consideration of use of medium and low GWP alternatives. Some manufacturers are adopting HCs and there is also uptake of HFC-32. </w:t>
      </w:r>
    </w:p>
    <w:p w:rsidR="009A4785" w:rsidRPr="00DF1E74" w:rsidRDefault="00B85F61" w:rsidP="00DF1E74">
      <w:pPr>
        <w:numPr>
          <w:ilvl w:val="0"/>
          <w:numId w:val="64"/>
        </w:numPr>
        <w:spacing w:before="120"/>
        <w:ind w:left="714" w:hanging="357"/>
        <w:rPr>
          <w:lang w:eastAsia="ja-JP"/>
        </w:rPr>
      </w:pPr>
      <w:r>
        <w:rPr>
          <w:lang w:eastAsia="ja-JP"/>
        </w:rPr>
        <w:t>F</w:t>
      </w:r>
      <w:r w:rsidRPr="00DF1E74">
        <w:rPr>
          <w:lang w:eastAsia="ja-JP"/>
        </w:rPr>
        <w:t>or space heating and water heating heat pumps</w:t>
      </w:r>
      <w:r>
        <w:rPr>
          <w:lang w:eastAsia="ja-JP"/>
        </w:rPr>
        <w:t xml:space="preserve">, </w:t>
      </w:r>
      <w:r w:rsidR="009A4785" w:rsidRPr="00DF1E74">
        <w:rPr>
          <w:lang w:eastAsia="ja-JP"/>
        </w:rPr>
        <w:t xml:space="preserve">legislation on minimum energy efficiency </w:t>
      </w:r>
      <w:r w:rsidR="00710ABE">
        <w:rPr>
          <w:lang w:eastAsia="ja-JP"/>
        </w:rPr>
        <w:t xml:space="preserve">has entered into force </w:t>
      </w:r>
      <w:r>
        <w:rPr>
          <w:lang w:eastAsia="ja-JP"/>
        </w:rPr>
        <w:t>in Europe, Japan and the USA</w:t>
      </w:r>
      <w:r w:rsidR="00533B57">
        <w:rPr>
          <w:lang w:eastAsia="ja-JP"/>
        </w:rPr>
        <w:t>,</w:t>
      </w:r>
      <w:r>
        <w:rPr>
          <w:lang w:eastAsia="ja-JP"/>
        </w:rPr>
        <w:t xml:space="preserve"> </w:t>
      </w:r>
      <w:r w:rsidR="009A4785" w:rsidRPr="00DF1E74">
        <w:rPr>
          <w:lang w:eastAsia="ja-JP"/>
        </w:rPr>
        <w:t xml:space="preserve">and has </w:t>
      </w:r>
      <w:r w:rsidR="00710ABE">
        <w:rPr>
          <w:lang w:eastAsia="ja-JP"/>
        </w:rPr>
        <w:t xml:space="preserve">decreased the </w:t>
      </w:r>
      <w:r w:rsidR="009A4785" w:rsidRPr="00DF1E74">
        <w:rPr>
          <w:lang w:eastAsia="ja-JP"/>
        </w:rPr>
        <w:t>number of air to water heat pumps that can be placed on the market.</w:t>
      </w:r>
    </w:p>
    <w:p w:rsidR="009A4785" w:rsidRDefault="009A4785" w:rsidP="00DF1E74">
      <w:pPr>
        <w:numPr>
          <w:ilvl w:val="0"/>
          <w:numId w:val="64"/>
        </w:numPr>
        <w:spacing w:before="120"/>
        <w:ind w:left="714" w:hanging="357"/>
        <w:rPr>
          <w:lang w:eastAsia="ja-JP"/>
        </w:rPr>
      </w:pPr>
      <w:r w:rsidRPr="00DF1E74">
        <w:rPr>
          <w:lang w:eastAsia="ja-JP"/>
        </w:rPr>
        <w:t>In chillers, after years of research and screening tests, an array of choices is emerging</w:t>
      </w:r>
      <w:r w:rsidR="00533B57">
        <w:rPr>
          <w:lang w:eastAsia="ja-JP"/>
        </w:rPr>
        <w:t xml:space="preserve"> and s</w:t>
      </w:r>
      <w:r w:rsidRPr="00DF1E74">
        <w:rPr>
          <w:lang w:eastAsia="ja-JP"/>
        </w:rPr>
        <w:t>ome commerciali</w:t>
      </w:r>
      <w:r w:rsidR="00533B57">
        <w:rPr>
          <w:lang w:eastAsia="ja-JP"/>
        </w:rPr>
        <w:t>s</w:t>
      </w:r>
      <w:r w:rsidRPr="00DF1E74">
        <w:rPr>
          <w:lang w:eastAsia="ja-JP"/>
        </w:rPr>
        <w:t xml:space="preserve">ation has </w:t>
      </w:r>
      <w:r w:rsidR="00533B57">
        <w:rPr>
          <w:lang w:eastAsia="ja-JP"/>
        </w:rPr>
        <w:t xml:space="preserve">begun. </w:t>
      </w:r>
      <w:r w:rsidRPr="00DF1E74">
        <w:rPr>
          <w:lang w:eastAsia="ja-JP"/>
        </w:rPr>
        <w:t xml:space="preserve">Emerging refrigerants are: HCFO-1233zd, </w:t>
      </w:r>
      <w:r w:rsidR="00710ABE">
        <w:rPr>
          <w:lang w:eastAsia="ja-JP"/>
        </w:rPr>
        <w:t>H</w:t>
      </w:r>
      <w:r w:rsidR="00710ABE" w:rsidRPr="00DF1E74">
        <w:rPr>
          <w:lang w:eastAsia="ja-JP"/>
        </w:rPr>
        <w:t>FC-32</w:t>
      </w:r>
      <w:r w:rsidR="00710ABE">
        <w:rPr>
          <w:lang w:eastAsia="ja-JP"/>
        </w:rPr>
        <w:t xml:space="preserve">, </w:t>
      </w:r>
      <w:r w:rsidR="00710ABE" w:rsidRPr="00DF1E74">
        <w:rPr>
          <w:lang w:eastAsia="ja-JP"/>
        </w:rPr>
        <w:t>R-452B</w:t>
      </w:r>
      <w:r w:rsidR="00710ABE">
        <w:rPr>
          <w:lang w:eastAsia="ja-JP"/>
        </w:rPr>
        <w:t xml:space="preserve">, R-513A, </w:t>
      </w:r>
      <w:r w:rsidRPr="00DF1E74">
        <w:rPr>
          <w:lang w:eastAsia="ja-JP"/>
        </w:rPr>
        <w:t>R-514A, HFO-1234yf</w:t>
      </w:r>
      <w:r w:rsidR="00710ABE">
        <w:rPr>
          <w:lang w:eastAsia="ja-JP"/>
        </w:rPr>
        <w:t xml:space="preserve"> and H</w:t>
      </w:r>
      <w:r w:rsidRPr="00DF1E74">
        <w:rPr>
          <w:lang w:eastAsia="ja-JP"/>
        </w:rPr>
        <w:t>F</w:t>
      </w:r>
      <w:r>
        <w:rPr>
          <w:lang w:eastAsia="ja-JP"/>
        </w:rPr>
        <w:t>O</w:t>
      </w:r>
      <w:r w:rsidRPr="00DF1E74">
        <w:rPr>
          <w:lang w:eastAsia="ja-JP"/>
        </w:rPr>
        <w:t>-1234z</w:t>
      </w:r>
      <w:r>
        <w:rPr>
          <w:lang w:eastAsia="ja-JP"/>
        </w:rPr>
        <w:t>e(E)</w:t>
      </w:r>
      <w:r w:rsidR="00710ABE">
        <w:rPr>
          <w:lang w:eastAsia="ja-JP"/>
        </w:rPr>
        <w:t>.</w:t>
      </w:r>
      <w:r w:rsidRPr="00DF1E74">
        <w:rPr>
          <w:lang w:eastAsia="ja-JP"/>
        </w:rPr>
        <w:t xml:space="preserve"> </w:t>
      </w:r>
    </w:p>
    <w:p w:rsidR="009A4785" w:rsidRPr="00DF1E74" w:rsidRDefault="00533B57" w:rsidP="00DF1E74">
      <w:pPr>
        <w:numPr>
          <w:ilvl w:val="0"/>
          <w:numId w:val="64"/>
        </w:numPr>
        <w:spacing w:before="120"/>
        <w:ind w:left="714" w:hanging="357"/>
        <w:rPr>
          <w:lang w:eastAsia="ja-JP"/>
        </w:rPr>
      </w:pPr>
      <w:r>
        <w:rPr>
          <w:lang w:eastAsia="ja-JP"/>
        </w:rPr>
        <w:t xml:space="preserve">In </w:t>
      </w:r>
      <w:r w:rsidR="009A4785" w:rsidRPr="00DF1E74">
        <w:rPr>
          <w:lang w:eastAsia="ja-JP"/>
        </w:rPr>
        <w:t>mobile air conditioners</w:t>
      </w:r>
      <w:r w:rsidR="00A055C7">
        <w:rPr>
          <w:lang w:eastAsia="ja-JP"/>
        </w:rPr>
        <w:t xml:space="preserve"> (MACs)</w:t>
      </w:r>
      <w:r w:rsidR="009A4785" w:rsidRPr="00DF1E74">
        <w:rPr>
          <w:lang w:eastAsia="ja-JP"/>
        </w:rPr>
        <w:t>, the penetration of HF</w:t>
      </w:r>
      <w:r w:rsidR="00B57BCB">
        <w:rPr>
          <w:lang w:eastAsia="ja-JP"/>
        </w:rPr>
        <w:t>O</w:t>
      </w:r>
      <w:r w:rsidR="009A4785" w:rsidRPr="00DF1E74">
        <w:rPr>
          <w:lang w:eastAsia="ja-JP"/>
        </w:rPr>
        <w:t xml:space="preserve">-1234yf for new vehicles has continued and has spread to many additional models, primarily in non-Article 5 countries, but is still far from complete. In addition, development of R-744 MACs has continued and </w:t>
      </w:r>
      <w:r>
        <w:rPr>
          <w:lang w:eastAsia="ja-JP"/>
        </w:rPr>
        <w:t xml:space="preserve">commercialisation </w:t>
      </w:r>
      <w:r w:rsidR="009A4785" w:rsidRPr="00DF1E74">
        <w:rPr>
          <w:lang w:eastAsia="ja-JP"/>
        </w:rPr>
        <w:t xml:space="preserve">appears imminent. Other alternatives </w:t>
      </w:r>
      <w:r>
        <w:rPr>
          <w:lang w:eastAsia="ja-JP"/>
        </w:rPr>
        <w:t xml:space="preserve">- </w:t>
      </w:r>
      <w:r w:rsidR="009A4785" w:rsidRPr="00DF1E74">
        <w:rPr>
          <w:lang w:eastAsia="ja-JP"/>
        </w:rPr>
        <w:t>including hydrocarbons, HFC-152a and additional HFC/HFO blends R-444A and R-445A</w:t>
      </w:r>
      <w:r>
        <w:rPr>
          <w:lang w:eastAsia="ja-JP"/>
        </w:rPr>
        <w:t xml:space="preserve"> - h</w:t>
      </w:r>
      <w:r w:rsidR="009A4785" w:rsidRPr="00DF1E74">
        <w:rPr>
          <w:lang w:eastAsia="ja-JP"/>
        </w:rPr>
        <w:t>ave not received much additional consideration and appear unlikely to be chosen for new vehicles in the near future.</w:t>
      </w:r>
    </w:p>
    <w:p w:rsidR="009A4785" w:rsidRPr="00DF1E74" w:rsidRDefault="00710ABE" w:rsidP="00DF1E74">
      <w:pPr>
        <w:numPr>
          <w:ilvl w:val="0"/>
          <w:numId w:val="64"/>
        </w:numPr>
        <w:spacing w:before="120"/>
        <w:ind w:left="714" w:hanging="357"/>
        <w:rPr>
          <w:lang w:eastAsia="ja-JP"/>
        </w:rPr>
      </w:pPr>
      <w:r w:rsidRPr="00DF1E74">
        <w:rPr>
          <w:lang w:eastAsia="ja-JP"/>
        </w:rPr>
        <w:t xml:space="preserve">Vapour compression technology has been the </w:t>
      </w:r>
      <w:r w:rsidR="00A055C7">
        <w:rPr>
          <w:lang w:eastAsia="ja-JP"/>
        </w:rPr>
        <w:t xml:space="preserve">primary </w:t>
      </w:r>
      <w:r w:rsidRPr="00DF1E74">
        <w:rPr>
          <w:lang w:eastAsia="ja-JP"/>
        </w:rPr>
        <w:t>technology for all R/AC applications in the last 100 years</w:t>
      </w:r>
      <w:r>
        <w:rPr>
          <w:lang w:eastAsia="ja-JP"/>
        </w:rPr>
        <w:t>.</w:t>
      </w:r>
      <w:r w:rsidRPr="00DF1E74">
        <w:rPr>
          <w:lang w:eastAsia="ja-JP"/>
        </w:rPr>
        <w:t xml:space="preserve"> </w:t>
      </w:r>
      <w:r w:rsidR="009A4785" w:rsidRPr="00DF1E74">
        <w:rPr>
          <w:lang w:eastAsia="ja-JP"/>
        </w:rPr>
        <w:t>Technologies that do not employ vapour compression technology are called Not-In</w:t>
      </w:r>
      <w:r>
        <w:rPr>
          <w:lang w:eastAsia="ja-JP"/>
        </w:rPr>
        <w:t>-</w:t>
      </w:r>
      <w:r w:rsidR="009A4785" w:rsidRPr="00DF1E74">
        <w:rPr>
          <w:lang w:eastAsia="ja-JP"/>
        </w:rPr>
        <w:t>Kind</w:t>
      </w:r>
      <w:r>
        <w:rPr>
          <w:lang w:eastAsia="ja-JP"/>
        </w:rPr>
        <w:t xml:space="preserve"> t</w:t>
      </w:r>
      <w:r w:rsidR="009A4785" w:rsidRPr="00DF1E74">
        <w:rPr>
          <w:lang w:eastAsia="ja-JP"/>
        </w:rPr>
        <w:t>echnologies (NIK)</w:t>
      </w:r>
      <w:r>
        <w:rPr>
          <w:lang w:eastAsia="ja-JP"/>
        </w:rPr>
        <w:t xml:space="preserve">, of which, during </w:t>
      </w:r>
      <w:r w:rsidR="009A4785" w:rsidRPr="00DF1E74">
        <w:rPr>
          <w:lang w:eastAsia="ja-JP"/>
        </w:rPr>
        <w:t>past years</w:t>
      </w:r>
      <w:r>
        <w:rPr>
          <w:lang w:eastAsia="ja-JP"/>
        </w:rPr>
        <w:t xml:space="preserve">, </w:t>
      </w:r>
      <w:r w:rsidR="009A4785" w:rsidRPr="00DF1E74">
        <w:rPr>
          <w:lang w:eastAsia="ja-JP"/>
        </w:rPr>
        <w:t xml:space="preserve">several have </w:t>
      </w:r>
      <w:r>
        <w:rPr>
          <w:lang w:eastAsia="ja-JP"/>
        </w:rPr>
        <w:t xml:space="preserve">been under </w:t>
      </w:r>
      <w:r w:rsidR="009A4785" w:rsidRPr="00DF1E74">
        <w:rPr>
          <w:lang w:eastAsia="ja-JP"/>
        </w:rPr>
        <w:t>develop</w:t>
      </w:r>
      <w:r>
        <w:rPr>
          <w:lang w:eastAsia="ja-JP"/>
        </w:rPr>
        <w:t>ment</w:t>
      </w:r>
      <w:r w:rsidR="009A4785" w:rsidRPr="00DF1E74">
        <w:rPr>
          <w:lang w:eastAsia="ja-JP"/>
        </w:rPr>
        <w:t xml:space="preserve">. Some studies have classified </w:t>
      </w:r>
      <w:r>
        <w:rPr>
          <w:lang w:eastAsia="ja-JP"/>
        </w:rPr>
        <w:t xml:space="preserve">the </w:t>
      </w:r>
      <w:r w:rsidR="009A4785" w:rsidRPr="00DF1E74">
        <w:rPr>
          <w:lang w:eastAsia="ja-JP"/>
        </w:rPr>
        <w:t xml:space="preserve">development status of those technologies as: </w:t>
      </w:r>
      <w:r>
        <w:rPr>
          <w:lang w:eastAsia="ja-JP"/>
        </w:rPr>
        <w:t xml:space="preserve">(1) </w:t>
      </w:r>
      <w:r w:rsidR="009A4785" w:rsidRPr="00DF1E74">
        <w:rPr>
          <w:lang w:eastAsia="ja-JP"/>
        </w:rPr>
        <w:t xml:space="preserve">most promising (membrane heat pump, thermo-elastic); </w:t>
      </w:r>
      <w:r w:rsidR="00B770DA">
        <w:rPr>
          <w:lang w:eastAsia="ja-JP"/>
        </w:rPr>
        <w:t xml:space="preserve">(2) </w:t>
      </w:r>
      <w:r w:rsidR="009A4785" w:rsidRPr="00DF1E74">
        <w:rPr>
          <w:lang w:eastAsia="ja-JP"/>
        </w:rPr>
        <w:t>very promising (evaporative liquid desiccant A/C, magneto-caloric, V</w:t>
      </w:r>
      <w:r w:rsidR="009A4785">
        <w:rPr>
          <w:lang w:eastAsia="ja-JP"/>
        </w:rPr>
        <w:t>ui</w:t>
      </w:r>
      <w:r w:rsidR="009A4785" w:rsidRPr="00DF1E74">
        <w:rPr>
          <w:lang w:eastAsia="ja-JP"/>
        </w:rPr>
        <w:t>lle</w:t>
      </w:r>
      <w:r w:rsidR="009A4785">
        <w:rPr>
          <w:lang w:eastAsia="ja-JP"/>
        </w:rPr>
        <w:t>u</w:t>
      </w:r>
      <w:r w:rsidR="009A4785" w:rsidRPr="00DF1E74">
        <w:rPr>
          <w:lang w:eastAsia="ja-JP"/>
        </w:rPr>
        <w:t xml:space="preserve">mier heat pump); </w:t>
      </w:r>
      <w:r>
        <w:rPr>
          <w:lang w:eastAsia="ja-JP"/>
        </w:rPr>
        <w:t>(</w:t>
      </w:r>
      <w:r w:rsidR="00B770DA">
        <w:rPr>
          <w:lang w:eastAsia="ja-JP"/>
        </w:rPr>
        <w:t>3</w:t>
      </w:r>
      <w:r>
        <w:rPr>
          <w:lang w:eastAsia="ja-JP"/>
        </w:rPr>
        <w:t xml:space="preserve">) </w:t>
      </w:r>
      <w:r w:rsidR="009A4785" w:rsidRPr="00DF1E74">
        <w:rPr>
          <w:lang w:eastAsia="ja-JP"/>
        </w:rPr>
        <w:t xml:space="preserve">moderately promising (evaporative cooling, thermo-electric, ground-coupled solid desiccant A/C, absorption heat pump, duplex-Stirling heat pump, thermo-acoustic, adsorption heat pump, thermo-tunneling); and </w:t>
      </w:r>
      <w:r>
        <w:rPr>
          <w:lang w:eastAsia="ja-JP"/>
        </w:rPr>
        <w:t>(</w:t>
      </w:r>
      <w:r w:rsidR="00B770DA">
        <w:rPr>
          <w:lang w:eastAsia="ja-JP"/>
        </w:rPr>
        <w:t>4</w:t>
      </w:r>
      <w:r>
        <w:rPr>
          <w:lang w:eastAsia="ja-JP"/>
        </w:rPr>
        <w:t xml:space="preserve">) </w:t>
      </w:r>
      <w:r w:rsidR="009A4785" w:rsidRPr="00DF1E74">
        <w:rPr>
          <w:lang w:eastAsia="ja-JP"/>
        </w:rPr>
        <w:t>least promising (stand-alone solid desiccant A/C, stand-alone liquid desiccant A/C, ejector heat pump, Brayton heat pump).</w:t>
      </w:r>
    </w:p>
    <w:p w:rsidR="009A4785" w:rsidRPr="00DF1E74" w:rsidRDefault="009A4785" w:rsidP="00DF1E74">
      <w:pPr>
        <w:rPr>
          <w:lang w:eastAsia="ja-JP"/>
        </w:rPr>
      </w:pPr>
    </w:p>
    <w:p w:rsidR="0022048F" w:rsidRDefault="0022048F" w:rsidP="004C7602">
      <w:pPr>
        <w:pStyle w:val="Heading2"/>
        <w:ind w:left="680" w:hanging="680"/>
      </w:pPr>
      <w:bookmarkStart w:id="13" w:name="_Toc452653347"/>
      <w:r>
        <w:t>ES4.</w:t>
      </w:r>
      <w:r>
        <w:tab/>
      </w:r>
      <w:r>
        <w:tab/>
        <w:t>Alternatives to refrigeration systems on fishing vessels</w:t>
      </w:r>
      <w:bookmarkEnd w:id="13"/>
    </w:p>
    <w:p w:rsidR="00DE0DE9" w:rsidRPr="00DF1E74" w:rsidRDefault="001500A5" w:rsidP="00710ABE">
      <w:pPr>
        <w:numPr>
          <w:ilvl w:val="0"/>
          <w:numId w:val="61"/>
        </w:numPr>
        <w:spacing w:after="60"/>
        <w:ind w:left="714" w:hanging="357"/>
        <w:rPr>
          <w:b/>
          <w:lang w:eastAsia="ja-JP"/>
        </w:rPr>
      </w:pPr>
      <w:r w:rsidRPr="00DF1E74">
        <w:rPr>
          <w:b/>
          <w:lang w:eastAsia="ja-JP"/>
        </w:rPr>
        <w:t>This new chapter responds to the decision request to provide new and updated information, as this is available, related to the availability of alternatives for replacement and retrofit of refrigeration systems in</w:t>
      </w:r>
      <w:r w:rsidR="009C2ACF">
        <w:rPr>
          <w:b/>
          <w:lang w:eastAsia="ja-JP"/>
        </w:rPr>
        <w:t xml:space="preserve"> </w:t>
      </w:r>
      <w:r w:rsidRPr="00DF1E74">
        <w:rPr>
          <w:b/>
          <w:lang w:eastAsia="ja-JP"/>
        </w:rPr>
        <w:t>fishing vessels, including in small island countries</w:t>
      </w:r>
      <w:r w:rsidR="00DF1E74">
        <w:rPr>
          <w:b/>
          <w:lang w:eastAsia="ja-JP"/>
        </w:rPr>
        <w:t>.</w:t>
      </w:r>
    </w:p>
    <w:p w:rsidR="00DE0DE9" w:rsidRPr="00DE0DE9" w:rsidRDefault="00DE0DE9" w:rsidP="00710ABE">
      <w:pPr>
        <w:numPr>
          <w:ilvl w:val="0"/>
          <w:numId w:val="61"/>
        </w:numPr>
        <w:spacing w:after="60"/>
        <w:ind w:left="714" w:hanging="357"/>
        <w:rPr>
          <w:b/>
          <w:bCs/>
          <w:lang w:eastAsia="ja-JP"/>
        </w:rPr>
      </w:pPr>
      <w:r w:rsidRPr="00DE0DE9">
        <w:t>70% of the global fishing fleet continues to use HCFC-22 as its main refrigerant. Therefore the main challenge for the industry is to find a feasible transition from HCFC-22 to low-GWP alternatives. Considering that 70% of the global fishing fleet is based in Asia/Pacific, this challenge becomes even more important for Asia/Pacific countries and specifically for the Pacific Island region, whose economy is heavily dependent on their fishing industry. For this reason, particular attention was paid to the situation in this region</w:t>
      </w:r>
      <w:r w:rsidR="00A055C7">
        <w:t>.</w:t>
      </w:r>
    </w:p>
    <w:p w:rsidR="00DE0DE9" w:rsidRPr="00DE0DE9" w:rsidRDefault="00DE0DE9" w:rsidP="00DF1E74">
      <w:pPr>
        <w:numPr>
          <w:ilvl w:val="0"/>
          <w:numId w:val="61"/>
        </w:numPr>
        <w:spacing w:after="120"/>
        <w:ind w:left="714" w:hanging="357"/>
        <w:rPr>
          <w:b/>
          <w:bCs/>
          <w:lang w:eastAsia="ja-JP"/>
        </w:rPr>
      </w:pPr>
      <w:r w:rsidRPr="00DE0DE9">
        <w:t>Based on several parameters (age of vessels, availability of alternatives, technical and economic feasibility of conversions, meeting regulatory requirements of product importer), the transition from HCFC-22 to low-GWP alternatives can be implemented following four different options:</w:t>
      </w:r>
    </w:p>
    <w:p w:rsidR="00DE0DE9" w:rsidRPr="00DF1E74" w:rsidRDefault="00DE0DE9" w:rsidP="00A055C7">
      <w:pPr>
        <w:spacing w:after="120"/>
        <w:ind w:left="1440"/>
      </w:pPr>
      <w:r w:rsidRPr="00DF1E74">
        <w:t>Option 1 – Non-halocarbon refrigerants</w:t>
      </w:r>
      <w:r w:rsidR="007F2716">
        <w:t xml:space="preserve"> (i.e., R-717 and R-744)</w:t>
      </w:r>
      <w:r w:rsidRPr="00DF1E74">
        <w:t>;</w:t>
      </w:r>
    </w:p>
    <w:p w:rsidR="00DE0DE9" w:rsidRPr="00DF1E74" w:rsidRDefault="00DE0DE9" w:rsidP="00A055C7">
      <w:pPr>
        <w:spacing w:after="120"/>
        <w:ind w:left="1440"/>
      </w:pPr>
      <w:r w:rsidRPr="00DF1E74">
        <w:lastRenderedPageBreak/>
        <w:t>Option 2 -  Refrigerant replacement with plant adjustments;</w:t>
      </w:r>
    </w:p>
    <w:p w:rsidR="00DE0DE9" w:rsidRPr="00DF1E74" w:rsidRDefault="00DE0DE9" w:rsidP="00A055C7">
      <w:pPr>
        <w:spacing w:after="120"/>
        <w:ind w:left="1440"/>
      </w:pPr>
      <w:r w:rsidRPr="00DF1E74">
        <w:t xml:space="preserve">Option </w:t>
      </w:r>
      <w:r w:rsidR="00A06663">
        <w:t>3</w:t>
      </w:r>
      <w:r w:rsidRPr="00DF1E74">
        <w:t xml:space="preserve"> – Refrigerant drop-in; and</w:t>
      </w:r>
    </w:p>
    <w:p w:rsidR="00DE0DE9" w:rsidRPr="00DF1E74" w:rsidRDefault="00DE0DE9" w:rsidP="00A055C7">
      <w:pPr>
        <w:spacing w:after="120"/>
        <w:ind w:left="1440"/>
      </w:pPr>
      <w:r w:rsidRPr="00DF1E74">
        <w:t>Option 4 -  Maintaining HCFC-22 systems.</w:t>
      </w:r>
    </w:p>
    <w:p w:rsidR="00573112" w:rsidRPr="00EC433A" w:rsidRDefault="0022048F" w:rsidP="004C7602">
      <w:pPr>
        <w:pStyle w:val="Heading2"/>
        <w:ind w:left="680" w:hanging="680"/>
      </w:pPr>
      <w:bookmarkStart w:id="14" w:name="_Toc452653348"/>
      <w:r>
        <w:t>ES5.</w:t>
      </w:r>
      <w:r>
        <w:tab/>
      </w:r>
      <w:r>
        <w:tab/>
      </w:r>
      <w:r w:rsidR="000E1ADA" w:rsidRPr="00EC433A">
        <w:t xml:space="preserve">Suitability of alternatives under </w:t>
      </w:r>
      <w:r w:rsidR="00B164DD" w:rsidRPr="00EC433A">
        <w:t>h</w:t>
      </w:r>
      <w:r w:rsidR="007C0AE3" w:rsidRPr="00EC433A">
        <w:t xml:space="preserve">igh </w:t>
      </w:r>
      <w:r w:rsidR="00B164DD" w:rsidRPr="00EC433A">
        <w:t>a</w:t>
      </w:r>
      <w:r w:rsidR="007C0AE3" w:rsidRPr="00EC433A">
        <w:t>mbien</w:t>
      </w:r>
      <w:r w:rsidR="00CE42E3" w:rsidRPr="00EC433A">
        <w:t>t</w:t>
      </w:r>
      <w:r w:rsidR="007C0AE3" w:rsidRPr="00EC433A">
        <w:t xml:space="preserve"> </w:t>
      </w:r>
      <w:r w:rsidR="00B164DD" w:rsidRPr="00EC433A">
        <w:t>t</w:t>
      </w:r>
      <w:r w:rsidR="007C0AE3" w:rsidRPr="00EC433A">
        <w:t xml:space="preserve">emperature </w:t>
      </w:r>
      <w:r w:rsidR="00CE42E3" w:rsidRPr="00EC433A">
        <w:t xml:space="preserve">(HAT) </w:t>
      </w:r>
      <w:r w:rsidR="000E1ADA" w:rsidRPr="00EC433A">
        <w:t>conditions</w:t>
      </w:r>
      <w:bookmarkEnd w:id="14"/>
      <w:r w:rsidR="000E1ADA" w:rsidRPr="00EC433A">
        <w:t xml:space="preserve"> </w:t>
      </w:r>
    </w:p>
    <w:p w:rsidR="007B5E9A" w:rsidRPr="007B5E9A" w:rsidRDefault="007B5E9A" w:rsidP="00710ABE">
      <w:pPr>
        <w:numPr>
          <w:ilvl w:val="0"/>
          <w:numId w:val="33"/>
        </w:numPr>
        <w:ind w:left="714" w:hanging="357"/>
        <w:rPr>
          <w:b/>
        </w:rPr>
      </w:pPr>
      <w:r w:rsidRPr="007B5E9A">
        <w:rPr>
          <w:b/>
        </w:rPr>
        <w:t>Based on comments from Parties on TEAP’s first report to OEWG-37, this revised chapter provides a more balanced discussion (both positive and negative) of the results as well as additional information on the three testing programs for refrigerants under HAT conditions and includes the following changes and additions:</w:t>
      </w:r>
    </w:p>
    <w:p w:rsidR="007B5E9A" w:rsidRPr="007B5E9A" w:rsidRDefault="007B5E9A" w:rsidP="007B5E9A">
      <w:pPr>
        <w:numPr>
          <w:ilvl w:val="1"/>
          <w:numId w:val="33"/>
        </w:numPr>
        <w:spacing w:before="120"/>
        <w:rPr>
          <w:b/>
        </w:rPr>
      </w:pPr>
      <w:r w:rsidRPr="007B5E9A">
        <w:rPr>
          <w:b/>
        </w:rPr>
        <w:t>Further discussion of the methods for considering the impact of the ambient temperatures on the design of R/AC equipment; and</w:t>
      </w:r>
    </w:p>
    <w:p w:rsidR="0022048F" w:rsidRPr="0022048F" w:rsidRDefault="007B5E9A" w:rsidP="007B5E9A">
      <w:pPr>
        <w:numPr>
          <w:ilvl w:val="1"/>
          <w:numId w:val="33"/>
        </w:numPr>
        <w:spacing w:before="120"/>
        <w:rPr>
          <w:b/>
        </w:rPr>
      </w:pPr>
      <w:r w:rsidRPr="007B5E9A">
        <w:rPr>
          <w:b/>
        </w:rPr>
        <w:t xml:space="preserve">Further information on the reports published for the three projects </w:t>
      </w:r>
      <w:r w:rsidR="00A055C7">
        <w:rPr>
          <w:b/>
        </w:rPr>
        <w:t xml:space="preserve">that </w:t>
      </w:r>
      <w:r w:rsidRPr="007B5E9A">
        <w:rPr>
          <w:b/>
        </w:rPr>
        <w:t xml:space="preserve">tested alternative refrigerants at temperatures above 35°C including tabulated summaries of each of the three projects. </w:t>
      </w:r>
    </w:p>
    <w:p w:rsidR="00B27BA2" w:rsidRPr="00EC433A" w:rsidRDefault="004F6A8A" w:rsidP="009840D4">
      <w:pPr>
        <w:numPr>
          <w:ilvl w:val="0"/>
          <w:numId w:val="33"/>
        </w:numPr>
        <w:spacing w:before="120"/>
        <w:ind w:left="714" w:hanging="357"/>
      </w:pPr>
      <w:r w:rsidRPr="00EC433A">
        <w:t xml:space="preserve">Chapter </w:t>
      </w:r>
      <w:r w:rsidR="007B5E9A">
        <w:t>5</w:t>
      </w:r>
      <w:r w:rsidR="005A5EBD" w:rsidRPr="00EC433A">
        <w:t xml:space="preserve"> </w:t>
      </w:r>
      <w:r w:rsidR="00B27BA2" w:rsidRPr="00EC433A">
        <w:t xml:space="preserve">updates information on </w:t>
      </w:r>
      <w:r w:rsidR="007F2716">
        <w:t xml:space="preserve">three </w:t>
      </w:r>
      <w:r w:rsidR="00B27BA2" w:rsidRPr="00EC433A">
        <w:t xml:space="preserve">research projects </w:t>
      </w:r>
      <w:r w:rsidR="007F2716">
        <w:t xml:space="preserve">(where more projects will currently be ongoing) </w:t>
      </w:r>
      <w:r w:rsidR="00B27BA2" w:rsidRPr="00EC433A">
        <w:t xml:space="preserve">testing alternative refrigerants at HAT conditions and </w:t>
      </w:r>
      <w:r w:rsidRPr="00EC433A">
        <w:t xml:space="preserve">on the </w:t>
      </w:r>
      <w:r w:rsidR="00B27BA2" w:rsidRPr="00EC433A">
        <w:t>design</w:t>
      </w:r>
      <w:r w:rsidRPr="00EC433A">
        <w:t xml:space="preserve"> of </w:t>
      </w:r>
      <w:r w:rsidR="00B27BA2" w:rsidRPr="00EC433A">
        <w:t>products using alternatives in new and retrofit applications.</w:t>
      </w:r>
    </w:p>
    <w:p w:rsidR="00B27BA2" w:rsidRPr="00EC433A" w:rsidRDefault="00B27BA2" w:rsidP="009840D4">
      <w:pPr>
        <w:numPr>
          <w:ilvl w:val="0"/>
          <w:numId w:val="33"/>
        </w:numPr>
        <w:spacing w:before="120"/>
        <w:ind w:left="714" w:hanging="357"/>
      </w:pPr>
      <w:r w:rsidRPr="00EC433A">
        <w:t xml:space="preserve">Results </w:t>
      </w:r>
      <w:r w:rsidRPr="00AE5615">
        <w:t>from the three</w:t>
      </w:r>
      <w:r w:rsidRPr="004E0F08">
        <w:t xml:space="preserve"> projects, PRAHA, AREP-II, and ORNL, indicate a way forward in the search for efficient low-GWP</w:t>
      </w:r>
      <w:r w:rsidRPr="00EC433A">
        <w:t xml:space="preserve"> alternatives for high ambient temperature conditions especially when coupled with a full system redesign</w:t>
      </w:r>
      <w:r w:rsidR="00FE51D6">
        <w:t xml:space="preserve">. </w:t>
      </w:r>
      <w:r w:rsidRPr="00EC433A">
        <w:t xml:space="preserve">The scope of the research for ORNL </w:t>
      </w:r>
      <w:r w:rsidR="00B770DA">
        <w:t xml:space="preserve">and that for the reports from AREP-II analysed here </w:t>
      </w:r>
      <w:r w:rsidRPr="00EC433A">
        <w:t>mostly covered soft-optimized testing</w:t>
      </w:r>
      <w:r w:rsidR="00BA448F" w:rsidRPr="00EC433A">
        <w:t xml:space="preserve"> (i.e., adjusted expansion device or adjusted charge amount).</w:t>
      </w:r>
      <w:r w:rsidRPr="00EC433A">
        <w:t xml:space="preserve"> While </w:t>
      </w:r>
      <w:r w:rsidR="004F6A8A" w:rsidRPr="00EC433A">
        <w:t xml:space="preserve">the </w:t>
      </w:r>
      <w:r w:rsidRPr="00EC433A">
        <w:t xml:space="preserve">PRAHA project included a change of compressors, suppliers did not </w:t>
      </w:r>
      <w:r w:rsidR="00BA448F" w:rsidRPr="00EC433A">
        <w:t>custom-</w:t>
      </w:r>
      <w:r w:rsidRPr="00EC433A">
        <w:t xml:space="preserve">design those compressors for the particular applications. </w:t>
      </w:r>
    </w:p>
    <w:p w:rsidR="00B27BA2" w:rsidRPr="00EC433A" w:rsidRDefault="004F6A8A" w:rsidP="009840D4">
      <w:pPr>
        <w:numPr>
          <w:ilvl w:val="0"/>
          <w:numId w:val="33"/>
        </w:numPr>
        <w:spacing w:before="120"/>
        <w:ind w:left="714" w:hanging="357"/>
      </w:pPr>
      <w:r w:rsidRPr="00EC433A">
        <w:t xml:space="preserve">Further improvements are likely </w:t>
      </w:r>
      <w:r w:rsidR="00B27BA2" w:rsidRPr="00EC433A">
        <w:t xml:space="preserve">through </w:t>
      </w:r>
      <w:r w:rsidRPr="00EC433A">
        <w:t>op</w:t>
      </w:r>
      <w:r w:rsidR="00B27BA2" w:rsidRPr="00EC433A">
        <w:t>timiz</w:t>
      </w:r>
      <w:r w:rsidRPr="00EC433A">
        <w:t xml:space="preserve">ing </w:t>
      </w:r>
      <w:r w:rsidR="00B27BA2" w:rsidRPr="00EC433A">
        <w:t xml:space="preserve">heat </w:t>
      </w:r>
      <w:r w:rsidRPr="00EC433A">
        <w:t xml:space="preserve">exchangers </w:t>
      </w:r>
      <w:r w:rsidR="00B27BA2" w:rsidRPr="00EC433A">
        <w:t>circuit</w:t>
      </w:r>
      <w:r w:rsidRPr="00EC433A">
        <w:t xml:space="preserve">ry for heat transfer </w:t>
      </w:r>
      <w:r w:rsidR="00EA7E60" w:rsidRPr="00EC433A">
        <w:t xml:space="preserve">properties </w:t>
      </w:r>
      <w:r w:rsidR="00B27BA2" w:rsidRPr="00EC433A">
        <w:t>and proper compressor sizing and selection.</w:t>
      </w:r>
    </w:p>
    <w:p w:rsidR="00BA448F" w:rsidRPr="00EC433A" w:rsidRDefault="00BA448F" w:rsidP="009840D4">
      <w:pPr>
        <w:numPr>
          <w:ilvl w:val="0"/>
          <w:numId w:val="33"/>
        </w:numPr>
        <w:spacing w:before="120"/>
        <w:ind w:left="714" w:hanging="357"/>
      </w:pPr>
      <w:r w:rsidRPr="00EC433A">
        <w:t>Full</w:t>
      </w:r>
      <w:r w:rsidR="009C2ACF">
        <w:t xml:space="preserve"> </w:t>
      </w:r>
      <w:r w:rsidRPr="00EC433A">
        <w:t>redesign of systems, including new components, will likely be needed to realise systems</w:t>
      </w:r>
      <w:r w:rsidR="00B164DD" w:rsidRPr="00EC433A">
        <w:t>,</w:t>
      </w:r>
      <w:r w:rsidRPr="00EC433A">
        <w:t xml:space="preserve"> using new alternative refrigerants to match </w:t>
      </w:r>
      <w:r w:rsidR="00B770DA">
        <w:t xml:space="preserve">or exceed </w:t>
      </w:r>
      <w:r w:rsidRPr="00EC433A">
        <w:t>the performance of existing systems in both capacity as well as energy efficiency. When selecting new refrigerants it is important to consider further increases on the current energy efficiency requirements.</w:t>
      </w:r>
    </w:p>
    <w:p w:rsidR="00B27BA2" w:rsidRPr="00EC433A" w:rsidRDefault="00B27BA2" w:rsidP="009840D4">
      <w:pPr>
        <w:numPr>
          <w:ilvl w:val="0"/>
          <w:numId w:val="33"/>
        </w:numPr>
        <w:spacing w:before="120"/>
      </w:pPr>
      <w:r w:rsidRPr="00EC433A">
        <w:t>While the commercialization process of refrigerants can take up to ten years, the commercialization of products using these alternatives will take further time</w:t>
      </w:r>
      <w:r w:rsidR="00EA7E60" w:rsidRPr="00EC433A">
        <w:t>.</w:t>
      </w:r>
    </w:p>
    <w:p w:rsidR="00B27BA2" w:rsidRPr="00EC433A" w:rsidRDefault="00B27BA2" w:rsidP="009840D4">
      <w:pPr>
        <w:numPr>
          <w:ilvl w:val="0"/>
          <w:numId w:val="33"/>
        </w:numPr>
        <w:spacing w:before="120"/>
      </w:pPr>
      <w:r w:rsidRPr="00EC433A">
        <w:t>In HAT conditions, the cooling load of a conditioned space can be up to three times that for moderate climates. Therefore larger capacity refrigeration systems may be needed</w:t>
      </w:r>
      <w:r w:rsidR="00A055C7">
        <w:t>,</w:t>
      </w:r>
      <w:r w:rsidRPr="00EC433A">
        <w:t xml:space="preserve"> which implies a larger refrigerant charge. Due to the requirements for charge limitation according to certain safety standards, the possible product portfolio suitable for </w:t>
      </w:r>
      <w:r w:rsidR="00BA448F" w:rsidRPr="00EC433A">
        <w:t xml:space="preserve">HAT </w:t>
      </w:r>
      <w:r w:rsidRPr="00EC433A">
        <w:t>conditions is more limited than for average climate conditions when using the same safety standards.</w:t>
      </w:r>
    </w:p>
    <w:p w:rsidR="00B27BA2" w:rsidRPr="00EC433A" w:rsidRDefault="00B27BA2" w:rsidP="009840D4">
      <w:pPr>
        <w:numPr>
          <w:ilvl w:val="0"/>
          <w:numId w:val="33"/>
        </w:numPr>
        <w:spacing w:before="120"/>
        <w:ind w:left="714" w:hanging="357"/>
      </w:pPr>
      <w:r w:rsidRPr="00EC433A">
        <w:t xml:space="preserve">Although risk assessment work on flammable refrigerants is an on-going research in some countries, there is a need for a comprehensive risk assessment for A2L </w:t>
      </w:r>
      <w:r w:rsidR="00051977">
        <w:t xml:space="preserve">and </w:t>
      </w:r>
      <w:r w:rsidRPr="00EC433A">
        <w:t xml:space="preserve">A3 alternatives at installation, servicing and decommissioning at </w:t>
      </w:r>
      <w:r w:rsidR="00B164DD" w:rsidRPr="00EC433A">
        <w:t>HAT</w:t>
      </w:r>
      <w:r w:rsidRPr="00EC433A">
        <w:t xml:space="preserve"> conditions</w:t>
      </w:r>
      <w:r w:rsidR="00FE51D6">
        <w:t xml:space="preserve">. </w:t>
      </w:r>
    </w:p>
    <w:p w:rsidR="001859F7" w:rsidRPr="00EC433A" w:rsidRDefault="001859F7" w:rsidP="001859F7">
      <w:pPr>
        <w:pStyle w:val="ColorfulList-Accent11"/>
      </w:pPr>
    </w:p>
    <w:p w:rsidR="00573112" w:rsidRPr="00EC433A" w:rsidRDefault="0022048F" w:rsidP="004C7602">
      <w:pPr>
        <w:pStyle w:val="Heading2"/>
      </w:pPr>
      <w:bookmarkStart w:id="15" w:name="_Toc452653349"/>
      <w:r>
        <w:t>ES6</w:t>
      </w:r>
      <w:r w:rsidR="00573112" w:rsidRPr="00EC433A">
        <w:t>.</w:t>
      </w:r>
      <w:r w:rsidR="00573112" w:rsidRPr="00EC433A">
        <w:tab/>
        <w:t xml:space="preserve">  BAU and mitigation demand scenarios </w:t>
      </w:r>
      <w:r w:rsidR="000E1ADA" w:rsidRPr="00EC433A">
        <w:t>for R/AC</w:t>
      </w:r>
      <w:bookmarkEnd w:id="15"/>
    </w:p>
    <w:p w:rsidR="00EA1A02" w:rsidRPr="00EA1A02" w:rsidRDefault="00EA1A02" w:rsidP="00EA1A02">
      <w:pPr>
        <w:numPr>
          <w:ilvl w:val="0"/>
          <w:numId w:val="21"/>
        </w:numPr>
        <w:rPr>
          <w:b/>
          <w:szCs w:val="22"/>
        </w:rPr>
      </w:pPr>
      <w:bookmarkStart w:id="16" w:name="_Toc431249355"/>
      <w:bookmarkEnd w:id="6"/>
      <w:bookmarkEnd w:id="7"/>
      <w:r w:rsidRPr="00EA1A02">
        <w:rPr>
          <w:b/>
          <w:szCs w:val="22"/>
        </w:rPr>
        <w:t xml:space="preserve">This chapter contains the same scenarios as the TEAP Decision XXVII/4 Task Force Report (March 2016). Based on comments received by TEAP on its report </w:t>
      </w:r>
      <w:r w:rsidRPr="00EA1A02">
        <w:rPr>
          <w:b/>
          <w:szCs w:val="22"/>
        </w:rPr>
        <w:lastRenderedPageBreak/>
        <w:t>to OEWG-37, this revised chapter also contains the following changes and additions:</w:t>
      </w:r>
    </w:p>
    <w:p w:rsidR="00EA1A02" w:rsidRPr="00EA1A02" w:rsidRDefault="00EA1A02" w:rsidP="00EA1A02">
      <w:pPr>
        <w:numPr>
          <w:ilvl w:val="1"/>
          <w:numId w:val="21"/>
        </w:numPr>
        <w:rPr>
          <w:b/>
          <w:szCs w:val="22"/>
        </w:rPr>
      </w:pPr>
      <w:r w:rsidRPr="00EA1A02">
        <w:rPr>
          <w:b/>
          <w:szCs w:val="22"/>
        </w:rPr>
        <w:t xml:space="preserve">Consideration of existing regulations as well pending regulations in non-Article 5 </w:t>
      </w:r>
      <w:r w:rsidR="004F17AF">
        <w:rPr>
          <w:b/>
          <w:szCs w:val="22"/>
        </w:rPr>
        <w:t>P</w:t>
      </w:r>
      <w:r w:rsidRPr="00EA1A02">
        <w:rPr>
          <w:b/>
          <w:szCs w:val="22"/>
        </w:rPr>
        <w:t>arties and the impact of the latter;</w:t>
      </w:r>
    </w:p>
    <w:p w:rsidR="00EA1A02" w:rsidRPr="00EA1A02" w:rsidRDefault="00EA1A02" w:rsidP="00EA1A02">
      <w:pPr>
        <w:numPr>
          <w:ilvl w:val="1"/>
          <w:numId w:val="21"/>
        </w:numPr>
        <w:rPr>
          <w:b/>
          <w:szCs w:val="22"/>
        </w:rPr>
      </w:pPr>
      <w:r w:rsidRPr="00EA1A02">
        <w:rPr>
          <w:b/>
          <w:szCs w:val="22"/>
        </w:rPr>
        <w:t xml:space="preserve">Comparison of the demand in non-Article 5 </w:t>
      </w:r>
      <w:r w:rsidR="004F17AF">
        <w:rPr>
          <w:b/>
          <w:szCs w:val="22"/>
        </w:rPr>
        <w:t>P</w:t>
      </w:r>
      <w:r w:rsidRPr="00EA1A02">
        <w:rPr>
          <w:b/>
          <w:szCs w:val="22"/>
        </w:rPr>
        <w:t>arties between a BAU scenario with regulations considered (up to 2050) and without regulations considered (up to 2030);</w:t>
      </w:r>
    </w:p>
    <w:p w:rsidR="00EA1A02" w:rsidRPr="008A52E4" w:rsidRDefault="00EA1A02" w:rsidP="00EA1A02">
      <w:pPr>
        <w:numPr>
          <w:ilvl w:val="1"/>
          <w:numId w:val="21"/>
        </w:numPr>
        <w:rPr>
          <w:b/>
          <w:szCs w:val="22"/>
        </w:rPr>
      </w:pPr>
      <w:r w:rsidRPr="00EA1A02">
        <w:rPr>
          <w:b/>
          <w:szCs w:val="22"/>
        </w:rPr>
        <w:t xml:space="preserve">A revised table on growth </w:t>
      </w:r>
      <w:r w:rsidRPr="00AE5615">
        <w:rPr>
          <w:b/>
          <w:szCs w:val="22"/>
        </w:rPr>
        <w:t>percentages for the various R/AC su</w:t>
      </w:r>
      <w:r w:rsidRPr="004E0F08">
        <w:rPr>
          <w:b/>
          <w:szCs w:val="22"/>
        </w:rPr>
        <w:t xml:space="preserve">bsectors, for both the new manufacturing and the total demand </w:t>
      </w:r>
      <w:r w:rsidRPr="008A52E4">
        <w:rPr>
          <w:b/>
          <w:szCs w:val="22"/>
        </w:rPr>
        <w:t>(</w:t>
      </w:r>
      <w:r w:rsidR="00035F3B" w:rsidRPr="008A52E4">
        <w:rPr>
          <w:b/>
          <w:szCs w:val="22"/>
        </w:rPr>
        <w:t xml:space="preserve">correcting </w:t>
      </w:r>
      <w:r w:rsidRPr="008A52E4">
        <w:rPr>
          <w:b/>
          <w:szCs w:val="22"/>
        </w:rPr>
        <w:t xml:space="preserve">certain percentages of decreasing HCFC demand </w:t>
      </w:r>
      <w:r w:rsidR="00AE5615" w:rsidRPr="008A52E4">
        <w:rPr>
          <w:b/>
          <w:szCs w:val="22"/>
        </w:rPr>
        <w:t xml:space="preserve">that were included </w:t>
      </w:r>
      <w:r w:rsidR="00035F3B" w:rsidRPr="008A52E4">
        <w:rPr>
          <w:b/>
          <w:szCs w:val="22"/>
        </w:rPr>
        <w:t xml:space="preserve">in the </w:t>
      </w:r>
      <w:r w:rsidR="00AE5615" w:rsidRPr="008A52E4">
        <w:rPr>
          <w:b/>
          <w:szCs w:val="22"/>
        </w:rPr>
        <w:t xml:space="preserve">growth percentages in the </w:t>
      </w:r>
      <w:r w:rsidR="00035F3B" w:rsidRPr="008A52E4">
        <w:rPr>
          <w:b/>
          <w:szCs w:val="22"/>
        </w:rPr>
        <w:t>March 2016 version of the XXVII/4 TF report</w:t>
      </w:r>
      <w:r w:rsidRPr="008A52E4">
        <w:rPr>
          <w:b/>
          <w:szCs w:val="22"/>
        </w:rPr>
        <w:t>);</w:t>
      </w:r>
    </w:p>
    <w:p w:rsidR="00EA1A02" w:rsidRPr="00EA1A02" w:rsidRDefault="00EA1A02" w:rsidP="00EA1A02">
      <w:pPr>
        <w:numPr>
          <w:ilvl w:val="1"/>
          <w:numId w:val="21"/>
        </w:numPr>
        <w:rPr>
          <w:b/>
          <w:szCs w:val="22"/>
        </w:rPr>
      </w:pPr>
      <w:r w:rsidRPr="00EA1A02">
        <w:rPr>
          <w:b/>
          <w:szCs w:val="22"/>
        </w:rPr>
        <w:t xml:space="preserve">Additional information on the production of various HFCs, not only the </w:t>
      </w:r>
      <w:r w:rsidR="00B770DA">
        <w:rPr>
          <w:b/>
          <w:szCs w:val="22"/>
        </w:rPr>
        <w:t xml:space="preserve">currently most </w:t>
      </w:r>
      <w:r w:rsidRPr="00EA1A02">
        <w:rPr>
          <w:b/>
          <w:szCs w:val="22"/>
        </w:rPr>
        <w:t>important ones for the R/AC sector</w:t>
      </w:r>
      <w:r w:rsidR="001B2FAF">
        <w:rPr>
          <w:b/>
          <w:szCs w:val="22"/>
        </w:rPr>
        <w:t>, and a comparison with the global calculated demand for the R/AC sector</w:t>
      </w:r>
      <w:r w:rsidRPr="00EA1A02">
        <w:rPr>
          <w:b/>
          <w:szCs w:val="22"/>
        </w:rPr>
        <w:t>;</w:t>
      </w:r>
    </w:p>
    <w:p w:rsidR="00EA1A02" w:rsidRPr="00EA1A02" w:rsidRDefault="00EA1A02" w:rsidP="00EA1A02">
      <w:pPr>
        <w:numPr>
          <w:ilvl w:val="1"/>
          <w:numId w:val="21"/>
        </w:numPr>
        <w:rPr>
          <w:b/>
          <w:szCs w:val="22"/>
          <w:lang w:val="en-US"/>
        </w:rPr>
      </w:pPr>
      <w:r w:rsidRPr="00EA1A02">
        <w:rPr>
          <w:b/>
          <w:szCs w:val="22"/>
        </w:rPr>
        <w:t>Addition of an 18</w:t>
      </w:r>
      <w:r w:rsidR="00035F3B">
        <w:rPr>
          <w:b/>
          <w:szCs w:val="22"/>
        </w:rPr>
        <w:t>-</w:t>
      </w:r>
      <w:r w:rsidRPr="00EA1A02">
        <w:rPr>
          <w:b/>
          <w:szCs w:val="22"/>
        </w:rPr>
        <w:t>year manufacturing conversion period for the Article 5 MIT-3 scenario and its impact on total demand; and</w:t>
      </w:r>
    </w:p>
    <w:p w:rsidR="00014A31" w:rsidRPr="00EA1A02" w:rsidRDefault="00EA1A02" w:rsidP="00EA1A02">
      <w:pPr>
        <w:numPr>
          <w:ilvl w:val="1"/>
          <w:numId w:val="21"/>
        </w:numPr>
        <w:rPr>
          <w:b/>
          <w:szCs w:val="22"/>
          <w:lang w:val="en-US"/>
        </w:rPr>
      </w:pPr>
      <w:r w:rsidRPr="00EA1A02">
        <w:rPr>
          <w:b/>
          <w:szCs w:val="22"/>
          <w:lang w:val="en-US"/>
        </w:rPr>
        <w:t xml:space="preserve">Related to this chapter, Annex </w:t>
      </w:r>
      <w:r w:rsidR="00E11D71">
        <w:rPr>
          <w:b/>
          <w:szCs w:val="22"/>
          <w:lang w:val="en-US"/>
        </w:rPr>
        <w:t>4</w:t>
      </w:r>
      <w:r w:rsidR="00014A31" w:rsidRPr="00EA1A02">
        <w:rPr>
          <w:b/>
          <w:szCs w:val="22"/>
          <w:lang w:val="en-US"/>
        </w:rPr>
        <w:t xml:space="preserve"> of this report contains updated tables for total, new manufacturing, and servicing demand.</w:t>
      </w:r>
    </w:p>
    <w:p w:rsidR="001859F7" w:rsidRPr="00EC433A" w:rsidRDefault="001859F7" w:rsidP="004A4E5F">
      <w:pPr>
        <w:numPr>
          <w:ilvl w:val="0"/>
          <w:numId w:val="21"/>
        </w:numPr>
        <w:spacing w:before="120" w:after="60" w:line="260" w:lineRule="atLeast"/>
        <w:ind w:left="714" w:hanging="357"/>
        <w:rPr>
          <w:b/>
          <w:i/>
        </w:rPr>
      </w:pPr>
      <w:r w:rsidRPr="00EC433A">
        <w:rPr>
          <w:szCs w:val="22"/>
          <w:lang w:val="en-US"/>
        </w:rPr>
        <w:t>T</w:t>
      </w:r>
      <w:r w:rsidRPr="00EC433A">
        <w:t xml:space="preserve">he revised scenarios in this report include an </w:t>
      </w:r>
      <w:r w:rsidR="00706210" w:rsidRPr="00EC433A">
        <w:t xml:space="preserve">extension </w:t>
      </w:r>
      <w:r w:rsidRPr="00EC433A">
        <w:t xml:space="preserve">of the timescale used from the year 2030 to 2050 and a consideration of the BAU scenario for non-Article 5 countries that includes the EU F-gas regulation as well as the US HFC regulations for </w:t>
      </w:r>
      <w:r w:rsidR="00EA7E60" w:rsidRPr="00EC433A">
        <w:t xml:space="preserve">specific </w:t>
      </w:r>
      <w:r w:rsidRPr="00EC433A">
        <w:t xml:space="preserve">sectors and sub-sectors. </w:t>
      </w:r>
      <w:r w:rsidR="00706210" w:rsidRPr="00EC433A">
        <w:t xml:space="preserve">The mitigation scenarios remain the same as in the </w:t>
      </w:r>
      <w:r w:rsidR="005B7231" w:rsidRPr="00EC433A">
        <w:t>September</w:t>
      </w:r>
      <w:r w:rsidR="00706210" w:rsidRPr="00EC433A">
        <w:t xml:space="preserve"> 2015 XXVI/9 report as follows:</w:t>
      </w:r>
    </w:p>
    <w:p w:rsidR="001859F7" w:rsidRPr="00EC433A" w:rsidRDefault="001859F7" w:rsidP="004A4E5F">
      <w:pPr>
        <w:numPr>
          <w:ilvl w:val="1"/>
          <w:numId w:val="31"/>
        </w:numPr>
        <w:spacing w:line="260" w:lineRule="atLeast"/>
        <w:rPr>
          <w:b/>
          <w:i/>
        </w:rPr>
      </w:pPr>
      <w:r w:rsidRPr="00EC433A">
        <w:t>MIT-3: conversion of new manufacturing by 2020 (</w:t>
      </w:r>
      <w:r w:rsidR="00706210" w:rsidRPr="00EC433A">
        <w:t xml:space="preserve">completed in non-Article 5 Parties; </w:t>
      </w:r>
      <w:r w:rsidRPr="00EC433A">
        <w:t>start</w:t>
      </w:r>
      <w:r w:rsidR="00706210" w:rsidRPr="00EC433A">
        <w:t>ing</w:t>
      </w:r>
      <w:r w:rsidRPr="00EC433A">
        <w:t xml:space="preserve"> in Article 5 Parties) </w:t>
      </w:r>
    </w:p>
    <w:p w:rsidR="001859F7" w:rsidRPr="00EC433A" w:rsidRDefault="001859F7" w:rsidP="004A4E5F">
      <w:pPr>
        <w:numPr>
          <w:ilvl w:val="1"/>
          <w:numId w:val="31"/>
        </w:numPr>
        <w:spacing w:line="260" w:lineRule="atLeast"/>
        <w:rPr>
          <w:b/>
          <w:i/>
        </w:rPr>
      </w:pPr>
      <w:r w:rsidRPr="00EC433A">
        <w:t xml:space="preserve">MIT-4: same as MIT-3 with delayed conversion of stationary AC to 2025 </w:t>
      </w:r>
    </w:p>
    <w:p w:rsidR="001859F7" w:rsidRPr="00EC433A" w:rsidRDefault="001859F7" w:rsidP="004A4E5F">
      <w:pPr>
        <w:numPr>
          <w:ilvl w:val="1"/>
          <w:numId w:val="31"/>
        </w:numPr>
        <w:spacing w:line="260" w:lineRule="atLeast"/>
        <w:rPr>
          <w:b/>
          <w:i/>
        </w:rPr>
      </w:pPr>
      <w:r w:rsidRPr="00EC433A">
        <w:t>MIT-5: conversion of new manufacturing by 2025 (</w:t>
      </w:r>
      <w:r w:rsidR="00706210" w:rsidRPr="00EC433A">
        <w:t xml:space="preserve">completed in non-Article 5 Parties; </w:t>
      </w:r>
      <w:r w:rsidRPr="00EC433A">
        <w:t>start</w:t>
      </w:r>
      <w:r w:rsidR="00706210" w:rsidRPr="00EC433A">
        <w:t>ing</w:t>
      </w:r>
      <w:r w:rsidRPr="00EC433A">
        <w:t xml:space="preserve"> in Article 5 Parties)</w:t>
      </w:r>
    </w:p>
    <w:p w:rsidR="001859F7" w:rsidRDefault="001859F7" w:rsidP="00F4494C">
      <w:pPr>
        <w:pStyle w:val="BodyText"/>
        <w:numPr>
          <w:ilvl w:val="0"/>
          <w:numId w:val="31"/>
        </w:numPr>
        <w:spacing w:before="120" w:after="240" w:line="260" w:lineRule="atLeast"/>
        <w:ind w:left="714" w:hanging="357"/>
      </w:pPr>
      <w:r w:rsidRPr="00EC433A">
        <w:t xml:space="preserve">These scenarios (in principle for the R/AC sector only) were cross-checked against current estimated HFC production data that became available in May 2015 (June and September XXVI/9 Task Force report) and shortly thereafter. </w:t>
      </w:r>
      <w:r w:rsidR="006C6EE4">
        <w:t xml:space="preserve">Most recent estimates </w:t>
      </w:r>
      <w:r w:rsidRPr="00EC433A">
        <w:t>made for the 2015 global production of the four main HFCs</w:t>
      </w:r>
      <w:r w:rsidRPr="00EC433A">
        <w:rPr>
          <w:rStyle w:val="FootnoteReference"/>
        </w:rPr>
        <w:footnoteReference w:id="1"/>
      </w:r>
      <w:r w:rsidRPr="00EC433A">
        <w:t xml:space="preserve"> are presented in the table below (some revisions were made in this </w:t>
      </w:r>
      <w:r w:rsidR="006C1A7D">
        <w:t xml:space="preserve">June </w:t>
      </w:r>
      <w:r w:rsidRPr="00EC433A">
        <w:t xml:space="preserve">report); it shows </w:t>
      </w:r>
      <w:r w:rsidR="006C1A7D">
        <w:t xml:space="preserve">a </w:t>
      </w:r>
      <w:r w:rsidRPr="00EC433A">
        <w:t xml:space="preserve">combined total </w:t>
      </w:r>
      <w:r w:rsidR="006C1A7D">
        <w:t xml:space="preserve">for the four main HFCs </w:t>
      </w:r>
      <w:r w:rsidRPr="00EC433A">
        <w:t xml:space="preserve">of about </w:t>
      </w:r>
      <w:r w:rsidR="00BD3DCB">
        <w:t>5</w:t>
      </w:r>
      <w:r w:rsidR="006C6EE4">
        <w:t>10</w:t>
      </w:r>
      <w:r w:rsidRPr="00EC433A">
        <w:t xml:space="preserve"> ktonnes.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43"/>
      </w:tblGrid>
      <w:tr w:rsidR="001859F7" w:rsidRPr="00EC433A" w:rsidTr="00DF1E74">
        <w:trPr>
          <w:trHeight w:val="287"/>
        </w:trPr>
        <w:tc>
          <w:tcPr>
            <w:tcW w:w="1985" w:type="dxa"/>
            <w:tcBorders>
              <w:top w:val="single" w:sz="4" w:space="0" w:color="auto"/>
              <w:left w:val="single" w:sz="4" w:space="0" w:color="auto"/>
              <w:bottom w:val="single" w:sz="4" w:space="0" w:color="auto"/>
              <w:right w:val="single" w:sz="4" w:space="0" w:color="auto"/>
            </w:tcBorders>
            <w:hideMark/>
          </w:tcPr>
          <w:p w:rsidR="001859F7" w:rsidRPr="00DF1E74" w:rsidRDefault="001859F7" w:rsidP="00506207">
            <w:pPr>
              <w:spacing w:line="260" w:lineRule="atLeast"/>
              <w:rPr>
                <w:b/>
                <w:szCs w:val="22"/>
                <w:lang w:eastAsia="ja-JP"/>
              </w:rPr>
            </w:pPr>
            <w:r w:rsidRPr="00DF1E74">
              <w:rPr>
                <w:b/>
                <w:szCs w:val="22"/>
                <w:lang w:eastAsia="ja-JP"/>
              </w:rPr>
              <w:t>Chemical</w:t>
            </w:r>
          </w:p>
        </w:tc>
        <w:tc>
          <w:tcPr>
            <w:tcW w:w="3543" w:type="dxa"/>
            <w:tcBorders>
              <w:top w:val="single" w:sz="4" w:space="0" w:color="auto"/>
              <w:left w:val="single" w:sz="4" w:space="0" w:color="auto"/>
              <w:bottom w:val="single" w:sz="4" w:space="0" w:color="auto"/>
              <w:right w:val="single" w:sz="4" w:space="0" w:color="auto"/>
            </w:tcBorders>
            <w:hideMark/>
          </w:tcPr>
          <w:p w:rsidR="001859F7" w:rsidRPr="00DF1E74" w:rsidRDefault="001859F7" w:rsidP="00506207">
            <w:pPr>
              <w:spacing w:line="260" w:lineRule="atLeast"/>
              <w:jc w:val="right"/>
              <w:rPr>
                <w:b/>
                <w:szCs w:val="22"/>
                <w:lang w:eastAsia="ja-JP"/>
              </w:rPr>
            </w:pPr>
            <w:r w:rsidRPr="00DF1E74">
              <w:rPr>
                <w:b/>
                <w:szCs w:val="22"/>
                <w:lang w:eastAsia="ja-JP"/>
              </w:rPr>
              <w:t>Best estimate for global HFC production in year 2015 (ktonnes)</w:t>
            </w:r>
          </w:p>
        </w:tc>
      </w:tr>
      <w:tr w:rsidR="001859F7" w:rsidRPr="00EC433A" w:rsidTr="00DF1E74">
        <w:tc>
          <w:tcPr>
            <w:tcW w:w="1985"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rPr>
                <w:szCs w:val="22"/>
                <w:lang w:eastAsia="ja-JP"/>
              </w:rPr>
            </w:pPr>
            <w:r w:rsidRPr="00EC433A">
              <w:rPr>
                <w:szCs w:val="22"/>
                <w:lang w:eastAsia="ja-JP"/>
              </w:rPr>
              <w:t>HFC-32</w:t>
            </w:r>
          </w:p>
        </w:tc>
        <w:tc>
          <w:tcPr>
            <w:tcW w:w="3543"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jc w:val="right"/>
              <w:rPr>
                <w:szCs w:val="22"/>
                <w:lang w:eastAsia="ja-JP"/>
              </w:rPr>
            </w:pPr>
            <w:r w:rsidRPr="00EC433A">
              <w:rPr>
                <w:szCs w:val="22"/>
                <w:lang w:eastAsia="ja-JP"/>
              </w:rPr>
              <w:t>94</w:t>
            </w:r>
          </w:p>
        </w:tc>
      </w:tr>
      <w:tr w:rsidR="001859F7" w:rsidRPr="00EC433A" w:rsidTr="00DF1E74">
        <w:tc>
          <w:tcPr>
            <w:tcW w:w="1985"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rPr>
                <w:szCs w:val="22"/>
                <w:lang w:eastAsia="ja-JP"/>
              </w:rPr>
            </w:pPr>
            <w:r w:rsidRPr="00EC433A">
              <w:rPr>
                <w:szCs w:val="22"/>
                <w:lang w:eastAsia="ja-JP"/>
              </w:rPr>
              <w:t>HFC-125</w:t>
            </w:r>
          </w:p>
        </w:tc>
        <w:tc>
          <w:tcPr>
            <w:tcW w:w="3543"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jc w:val="right"/>
              <w:rPr>
                <w:szCs w:val="22"/>
                <w:lang w:eastAsia="ja-JP"/>
              </w:rPr>
            </w:pPr>
            <w:r w:rsidRPr="00EC433A">
              <w:rPr>
                <w:szCs w:val="22"/>
                <w:lang w:eastAsia="ja-JP"/>
              </w:rPr>
              <w:t>130</w:t>
            </w:r>
          </w:p>
        </w:tc>
      </w:tr>
      <w:tr w:rsidR="001859F7" w:rsidRPr="00EC433A" w:rsidTr="00DF1E74">
        <w:tc>
          <w:tcPr>
            <w:tcW w:w="1985"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rPr>
                <w:szCs w:val="22"/>
                <w:lang w:eastAsia="ja-JP"/>
              </w:rPr>
            </w:pPr>
            <w:r w:rsidRPr="00EC433A">
              <w:rPr>
                <w:szCs w:val="22"/>
                <w:lang w:eastAsia="ja-JP"/>
              </w:rPr>
              <w:t>HFC-134a</w:t>
            </w:r>
          </w:p>
        </w:tc>
        <w:tc>
          <w:tcPr>
            <w:tcW w:w="3543" w:type="dxa"/>
            <w:tcBorders>
              <w:top w:val="single" w:sz="4" w:space="0" w:color="auto"/>
              <w:left w:val="single" w:sz="4" w:space="0" w:color="auto"/>
              <w:bottom w:val="single" w:sz="4" w:space="0" w:color="auto"/>
              <w:right w:val="single" w:sz="4" w:space="0" w:color="auto"/>
            </w:tcBorders>
            <w:hideMark/>
          </w:tcPr>
          <w:p w:rsidR="001859F7" w:rsidRPr="00EC433A" w:rsidRDefault="001859F7" w:rsidP="006C6EE4">
            <w:pPr>
              <w:spacing w:line="260" w:lineRule="atLeast"/>
              <w:jc w:val="right"/>
              <w:rPr>
                <w:szCs w:val="22"/>
                <w:lang w:eastAsia="ja-JP"/>
              </w:rPr>
            </w:pPr>
            <w:r w:rsidRPr="00EC433A">
              <w:rPr>
                <w:szCs w:val="22"/>
                <w:lang w:eastAsia="ja-JP"/>
              </w:rPr>
              <w:t>2</w:t>
            </w:r>
            <w:r w:rsidR="00EC433A">
              <w:rPr>
                <w:szCs w:val="22"/>
                <w:lang w:eastAsia="ja-JP"/>
              </w:rPr>
              <w:t>5</w:t>
            </w:r>
            <w:r w:rsidR="006C6EE4">
              <w:rPr>
                <w:szCs w:val="22"/>
                <w:lang w:eastAsia="ja-JP"/>
              </w:rPr>
              <w:t>8</w:t>
            </w:r>
          </w:p>
        </w:tc>
      </w:tr>
      <w:tr w:rsidR="001859F7" w:rsidRPr="00EC433A" w:rsidTr="00DF1E74">
        <w:trPr>
          <w:trHeight w:val="58"/>
        </w:trPr>
        <w:tc>
          <w:tcPr>
            <w:tcW w:w="1985"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rPr>
                <w:szCs w:val="22"/>
                <w:lang w:eastAsia="ja-JP"/>
              </w:rPr>
            </w:pPr>
            <w:r w:rsidRPr="00EC433A">
              <w:rPr>
                <w:szCs w:val="22"/>
                <w:lang w:eastAsia="ja-JP"/>
              </w:rPr>
              <w:t>HFC-143a</w:t>
            </w:r>
          </w:p>
        </w:tc>
        <w:tc>
          <w:tcPr>
            <w:tcW w:w="3543" w:type="dxa"/>
            <w:tcBorders>
              <w:top w:val="single" w:sz="4" w:space="0" w:color="auto"/>
              <w:left w:val="single" w:sz="4" w:space="0" w:color="auto"/>
              <w:bottom w:val="single" w:sz="4" w:space="0" w:color="auto"/>
              <w:right w:val="single" w:sz="4" w:space="0" w:color="auto"/>
            </w:tcBorders>
            <w:hideMark/>
          </w:tcPr>
          <w:p w:rsidR="001859F7" w:rsidRPr="00EC433A" w:rsidRDefault="001859F7" w:rsidP="00506207">
            <w:pPr>
              <w:spacing w:line="260" w:lineRule="atLeast"/>
              <w:jc w:val="right"/>
              <w:rPr>
                <w:szCs w:val="22"/>
                <w:lang w:eastAsia="ja-JP"/>
              </w:rPr>
            </w:pPr>
            <w:r w:rsidRPr="00EC433A">
              <w:rPr>
                <w:szCs w:val="22"/>
                <w:lang w:eastAsia="ja-JP"/>
              </w:rPr>
              <w:t>28</w:t>
            </w:r>
          </w:p>
        </w:tc>
      </w:tr>
    </w:tbl>
    <w:p w:rsidR="00F30838" w:rsidRPr="00EC433A" w:rsidRDefault="00F30838" w:rsidP="00F30838">
      <w:pPr>
        <w:ind w:left="720"/>
        <w:rPr>
          <w:szCs w:val="22"/>
          <w:lang w:val="en-US"/>
        </w:rPr>
      </w:pPr>
    </w:p>
    <w:p w:rsidR="00F4494C" w:rsidRPr="00F4494C" w:rsidRDefault="006C6EE4" w:rsidP="00E11D71">
      <w:pPr>
        <w:numPr>
          <w:ilvl w:val="0"/>
          <w:numId w:val="31"/>
        </w:numPr>
        <w:spacing w:after="120"/>
        <w:ind w:left="714" w:hanging="357"/>
        <w:rPr>
          <w:szCs w:val="22"/>
          <w:lang w:val="en-US"/>
        </w:rPr>
      </w:pPr>
      <w:r w:rsidRPr="00F4494C">
        <w:rPr>
          <w:szCs w:val="22"/>
          <w:lang w:val="en-US"/>
        </w:rPr>
        <w:t>The global calculated bottom-up demand for the R/AC sectors in 2015 amounts to 473 ktonnes (of which 220 ktonnes in non-Article 5, 27</w:t>
      </w:r>
      <w:r w:rsidR="00051977">
        <w:rPr>
          <w:szCs w:val="22"/>
          <w:lang w:val="en-US"/>
        </w:rPr>
        <w:t>3</w:t>
      </w:r>
      <w:r w:rsidRPr="00F4494C">
        <w:rPr>
          <w:szCs w:val="22"/>
          <w:lang w:val="en-US"/>
        </w:rPr>
        <w:t xml:space="preserve"> ktonnes in Art</w:t>
      </w:r>
      <w:r w:rsidR="00F4494C" w:rsidRPr="00F4494C">
        <w:rPr>
          <w:szCs w:val="22"/>
          <w:lang w:val="en-US"/>
        </w:rPr>
        <w:t xml:space="preserve">icle 5 Parties). Compared to the total of 510 ktonnes it would imply that the demand from other sectors than R/AC </w:t>
      </w:r>
      <w:r w:rsidR="006C1A7D" w:rsidRPr="00F4494C">
        <w:rPr>
          <w:szCs w:val="22"/>
          <w:lang w:val="en-US"/>
        </w:rPr>
        <w:t xml:space="preserve">would amount to about 37 ktonnes </w:t>
      </w:r>
      <w:r w:rsidR="00F4494C" w:rsidRPr="00F4494C">
        <w:rPr>
          <w:szCs w:val="22"/>
          <w:lang w:val="en-US"/>
        </w:rPr>
        <w:t>(this would mainly, but not only</w:t>
      </w:r>
      <w:r w:rsidR="00735938">
        <w:rPr>
          <w:szCs w:val="22"/>
          <w:lang w:val="en-US"/>
        </w:rPr>
        <w:t>,</w:t>
      </w:r>
      <w:r w:rsidR="00F4494C" w:rsidRPr="00F4494C">
        <w:rPr>
          <w:szCs w:val="22"/>
          <w:lang w:val="en-US"/>
        </w:rPr>
        <w:t xml:space="preserve"> concern HFC-134a</w:t>
      </w:r>
      <w:r w:rsidR="00735938">
        <w:rPr>
          <w:szCs w:val="22"/>
          <w:lang w:val="en-US"/>
        </w:rPr>
        <w:t>,</w:t>
      </w:r>
      <w:r w:rsidR="00F4494C" w:rsidRPr="00F4494C">
        <w:rPr>
          <w:szCs w:val="22"/>
          <w:lang w:val="en-US"/>
        </w:rPr>
        <w:t xml:space="preserve"> used as </w:t>
      </w:r>
      <w:r w:rsidR="00B7269A">
        <w:rPr>
          <w:szCs w:val="22"/>
          <w:lang w:val="en-US"/>
        </w:rPr>
        <w:t xml:space="preserve">a </w:t>
      </w:r>
      <w:r w:rsidR="00F4494C" w:rsidRPr="00F4494C">
        <w:rPr>
          <w:szCs w:val="22"/>
          <w:lang w:val="en-US"/>
        </w:rPr>
        <w:t>foam blowing agent</w:t>
      </w:r>
      <w:r w:rsidR="00E11D71">
        <w:rPr>
          <w:szCs w:val="22"/>
          <w:lang w:val="en-US"/>
        </w:rPr>
        <w:t xml:space="preserve"> and </w:t>
      </w:r>
      <w:r w:rsidR="00B7269A">
        <w:rPr>
          <w:szCs w:val="22"/>
          <w:lang w:val="en-US"/>
        </w:rPr>
        <w:t xml:space="preserve">used in </w:t>
      </w:r>
      <w:r w:rsidR="00F4494C" w:rsidRPr="00F4494C">
        <w:rPr>
          <w:szCs w:val="22"/>
          <w:lang w:val="en-US"/>
        </w:rPr>
        <w:t>medical and technical aerosols</w:t>
      </w:r>
      <w:r w:rsidR="006C1A7D">
        <w:rPr>
          <w:szCs w:val="22"/>
          <w:lang w:val="en-US"/>
        </w:rPr>
        <w:t>,</w:t>
      </w:r>
      <w:r w:rsidR="00B7269A">
        <w:rPr>
          <w:szCs w:val="22"/>
          <w:lang w:val="en-US"/>
        </w:rPr>
        <w:t xml:space="preserve"> </w:t>
      </w:r>
      <w:r w:rsidR="00735938">
        <w:rPr>
          <w:szCs w:val="22"/>
          <w:lang w:val="en-US"/>
        </w:rPr>
        <w:t xml:space="preserve">as well as </w:t>
      </w:r>
      <w:r w:rsidR="007C0CCE">
        <w:rPr>
          <w:szCs w:val="22"/>
          <w:lang w:val="en-US"/>
        </w:rPr>
        <w:t xml:space="preserve">some </w:t>
      </w:r>
      <w:r w:rsidR="00E11D71">
        <w:rPr>
          <w:szCs w:val="22"/>
          <w:lang w:val="en-US"/>
        </w:rPr>
        <w:t xml:space="preserve">minor </w:t>
      </w:r>
      <w:r w:rsidR="006C1A7D">
        <w:rPr>
          <w:szCs w:val="22"/>
          <w:lang w:val="en-US"/>
        </w:rPr>
        <w:t xml:space="preserve">use of the </w:t>
      </w:r>
      <w:r w:rsidR="00B7269A">
        <w:rPr>
          <w:szCs w:val="22"/>
          <w:lang w:val="en-US"/>
        </w:rPr>
        <w:t xml:space="preserve">other </w:t>
      </w:r>
      <w:r w:rsidR="007C0CCE">
        <w:rPr>
          <w:szCs w:val="22"/>
          <w:lang w:val="en-US"/>
        </w:rPr>
        <w:t xml:space="preserve">HFCs in </w:t>
      </w:r>
      <w:r w:rsidR="00F4494C" w:rsidRPr="00F4494C">
        <w:rPr>
          <w:szCs w:val="22"/>
          <w:lang w:val="en-US"/>
        </w:rPr>
        <w:t>other sectors)</w:t>
      </w:r>
      <w:r w:rsidR="006C1A7D">
        <w:rPr>
          <w:szCs w:val="22"/>
          <w:lang w:val="en-US"/>
        </w:rPr>
        <w:t>.</w:t>
      </w:r>
    </w:p>
    <w:p w:rsidR="00EA7E60" w:rsidRPr="00EC433A" w:rsidRDefault="00F30838" w:rsidP="00F30838">
      <w:pPr>
        <w:numPr>
          <w:ilvl w:val="0"/>
          <w:numId w:val="31"/>
        </w:numPr>
        <w:rPr>
          <w:szCs w:val="22"/>
          <w:lang w:val="en-US"/>
        </w:rPr>
      </w:pPr>
      <w:r w:rsidRPr="00EC433A">
        <w:rPr>
          <w:szCs w:val="22"/>
          <w:lang w:val="en-US"/>
        </w:rPr>
        <w:lastRenderedPageBreak/>
        <w:t xml:space="preserve">Over the period 2015-2050, the revised BAU scenario shows  </w:t>
      </w:r>
    </w:p>
    <w:p w:rsidR="007A1888" w:rsidRPr="00EC433A" w:rsidRDefault="007A1888" w:rsidP="007A1888">
      <w:pPr>
        <w:numPr>
          <w:ilvl w:val="1"/>
          <w:numId w:val="31"/>
        </w:numPr>
        <w:rPr>
          <w:szCs w:val="22"/>
          <w:lang w:val="en-US"/>
        </w:rPr>
      </w:pPr>
      <w:r w:rsidRPr="00EC433A">
        <w:rPr>
          <w:szCs w:val="22"/>
          <w:lang w:val="en-US"/>
        </w:rPr>
        <w:t>250% growth in the demand in tonnes and in tonnes CO</w:t>
      </w:r>
      <w:r w:rsidRPr="00EC433A">
        <w:rPr>
          <w:szCs w:val="22"/>
          <w:vertAlign w:val="subscript"/>
          <w:lang w:val="en-US"/>
        </w:rPr>
        <w:t>2</w:t>
      </w:r>
      <w:r w:rsidRPr="00EC433A">
        <w:rPr>
          <w:szCs w:val="22"/>
          <w:lang w:val="en-US"/>
        </w:rPr>
        <w:t>-eq. in non-Article 5 Parties;</w:t>
      </w:r>
    </w:p>
    <w:p w:rsidR="007A1888" w:rsidRPr="00EC433A" w:rsidRDefault="007A1888" w:rsidP="007A1888">
      <w:pPr>
        <w:numPr>
          <w:ilvl w:val="1"/>
          <w:numId w:val="31"/>
        </w:numPr>
        <w:rPr>
          <w:szCs w:val="22"/>
          <w:lang w:val="en-US"/>
        </w:rPr>
      </w:pPr>
      <w:r w:rsidRPr="00EC433A">
        <w:rPr>
          <w:szCs w:val="22"/>
          <w:lang w:val="en-US"/>
        </w:rPr>
        <w:t>700% growth in tonnes and a 800% growth in tonnes CO</w:t>
      </w:r>
      <w:r w:rsidRPr="00EC433A">
        <w:rPr>
          <w:szCs w:val="22"/>
          <w:vertAlign w:val="subscript"/>
          <w:lang w:val="en-US"/>
        </w:rPr>
        <w:t>2</w:t>
      </w:r>
      <w:r w:rsidRPr="00EC433A">
        <w:rPr>
          <w:szCs w:val="22"/>
          <w:lang w:val="en-US"/>
        </w:rPr>
        <w:t>-eq. in Article 5 Parties;</w:t>
      </w:r>
    </w:p>
    <w:p w:rsidR="007A1888" w:rsidRPr="00EC433A" w:rsidRDefault="00B770DA" w:rsidP="007A1888">
      <w:pPr>
        <w:numPr>
          <w:ilvl w:val="1"/>
          <w:numId w:val="31"/>
        </w:numPr>
        <w:rPr>
          <w:szCs w:val="22"/>
          <w:lang w:val="en-US"/>
        </w:rPr>
      </w:pPr>
      <w:r>
        <w:rPr>
          <w:szCs w:val="22"/>
          <w:lang w:val="en-US"/>
        </w:rPr>
        <w:t xml:space="preserve">The increase in total demand for the four main HFCs currently used </w:t>
      </w:r>
      <w:r w:rsidR="008A5D03">
        <w:rPr>
          <w:szCs w:val="22"/>
          <w:lang w:val="en-US"/>
        </w:rPr>
        <w:t xml:space="preserve">in R/AC is due primarily to the growth in </w:t>
      </w:r>
      <w:r w:rsidR="007A1888" w:rsidRPr="00EC433A">
        <w:rPr>
          <w:szCs w:val="22"/>
          <w:lang w:val="en-US"/>
        </w:rPr>
        <w:t xml:space="preserve">demand in the stationary AC </w:t>
      </w:r>
      <w:r w:rsidR="008A5D03">
        <w:rPr>
          <w:szCs w:val="22"/>
          <w:lang w:val="en-US"/>
        </w:rPr>
        <w:t xml:space="preserve">sub-sector </w:t>
      </w:r>
      <w:r w:rsidR="007A1888" w:rsidRPr="00EC433A">
        <w:rPr>
          <w:szCs w:val="22"/>
          <w:lang w:val="en-US"/>
        </w:rPr>
        <w:t xml:space="preserve">and </w:t>
      </w:r>
      <w:r w:rsidR="008A5D03">
        <w:rPr>
          <w:szCs w:val="22"/>
          <w:lang w:val="en-US"/>
        </w:rPr>
        <w:t xml:space="preserve">secondly, to the growth in demand in </w:t>
      </w:r>
      <w:r w:rsidR="007A1888" w:rsidRPr="00EC433A">
        <w:rPr>
          <w:szCs w:val="22"/>
          <w:lang w:val="en-US"/>
        </w:rPr>
        <w:t xml:space="preserve">the commercial refrigeration sub-sector. </w:t>
      </w:r>
      <w:r w:rsidR="00E11D71">
        <w:rPr>
          <w:szCs w:val="22"/>
          <w:lang w:val="en-US"/>
        </w:rPr>
        <w:t xml:space="preserve">As mentioned, </w:t>
      </w:r>
      <w:r w:rsidR="007A1888" w:rsidRPr="00EC433A">
        <w:rPr>
          <w:szCs w:val="22"/>
          <w:lang w:val="en-US"/>
        </w:rPr>
        <w:t xml:space="preserve">total global R/AC demand is </w:t>
      </w:r>
      <w:r w:rsidR="00B94581">
        <w:rPr>
          <w:szCs w:val="22"/>
          <w:lang w:val="en-US"/>
        </w:rPr>
        <w:t xml:space="preserve">in the order of </w:t>
      </w:r>
      <w:r w:rsidR="007A1888" w:rsidRPr="00EC433A">
        <w:rPr>
          <w:szCs w:val="22"/>
          <w:lang w:val="en-US"/>
        </w:rPr>
        <w:t>5</w:t>
      </w:r>
      <w:r w:rsidR="00E11D71">
        <w:rPr>
          <w:szCs w:val="22"/>
          <w:lang w:val="en-US"/>
        </w:rPr>
        <w:t>10</w:t>
      </w:r>
      <w:r w:rsidR="007A1888" w:rsidRPr="00EC433A">
        <w:rPr>
          <w:szCs w:val="22"/>
          <w:lang w:val="en-US"/>
        </w:rPr>
        <w:t xml:space="preserve"> ktonnes for the year 2015 for the four </w:t>
      </w:r>
      <w:r w:rsidR="00E11D71">
        <w:rPr>
          <w:szCs w:val="22"/>
          <w:lang w:val="en-US"/>
        </w:rPr>
        <w:t xml:space="preserve">main </w:t>
      </w:r>
      <w:r w:rsidR="007A1888" w:rsidRPr="00EC433A">
        <w:rPr>
          <w:szCs w:val="22"/>
          <w:lang w:val="en-US"/>
        </w:rPr>
        <w:t>HFCs.</w:t>
      </w:r>
    </w:p>
    <w:p w:rsidR="001859F7" w:rsidRPr="00EC433A" w:rsidRDefault="00BF7001" w:rsidP="009029A9">
      <w:pPr>
        <w:numPr>
          <w:ilvl w:val="0"/>
          <w:numId w:val="31"/>
        </w:numPr>
        <w:spacing w:before="120" w:line="260" w:lineRule="atLeast"/>
        <w:ind w:left="714" w:hanging="357"/>
      </w:pPr>
      <w:r w:rsidRPr="00BF7001">
        <w:rPr>
          <w:i/>
          <w:szCs w:val="22"/>
          <w:lang w:val="en-US"/>
        </w:rPr>
        <w:t>D</w:t>
      </w:r>
      <w:r>
        <w:rPr>
          <w:i/>
          <w:szCs w:val="22"/>
          <w:lang w:val="en-US"/>
        </w:rPr>
        <w:t>e</w:t>
      </w:r>
      <w:r w:rsidR="00D155B0" w:rsidRPr="00BF7001">
        <w:rPr>
          <w:i/>
        </w:rPr>
        <w:t xml:space="preserve">laying the start of conversion: </w:t>
      </w:r>
      <w:r w:rsidR="001859F7" w:rsidRPr="00EC433A">
        <w:t xml:space="preserve">MIT-3 assumes that conversion in all sub-sectors starts in 2020, MIT-5 assumes that conversion starts in 2025. In terms of overall climate impact, the </w:t>
      </w:r>
      <w:r w:rsidR="001859F7" w:rsidRPr="00BF7001">
        <w:rPr>
          <w:i/>
        </w:rPr>
        <w:t>total</w:t>
      </w:r>
      <w:r w:rsidR="001859F7" w:rsidRPr="00EC433A">
        <w:t xml:space="preserve"> integrated HFC demand for the R/AC sector in Article 5 Parties over the period 2020-2030 </w:t>
      </w:r>
      <w:r w:rsidR="00F30838" w:rsidRPr="00EC433A">
        <w:t xml:space="preserve">was previously </w:t>
      </w:r>
      <w:r w:rsidR="001859F7" w:rsidRPr="00EC433A">
        <w:t>estimated in the different scenarios</w:t>
      </w:r>
      <w:r w:rsidR="00F30838" w:rsidRPr="00EC433A">
        <w:t xml:space="preserve"> as follows</w:t>
      </w:r>
      <w:r w:rsidR="00E11D71">
        <w:t xml:space="preserve"> (assuming a 6 years transition)</w:t>
      </w:r>
      <w:r w:rsidR="00F30838" w:rsidRPr="00EC433A">
        <w:t>:</w:t>
      </w:r>
    </w:p>
    <w:p w:rsidR="001859F7" w:rsidRPr="00EC433A" w:rsidRDefault="001859F7" w:rsidP="0034620F">
      <w:pPr>
        <w:numPr>
          <w:ilvl w:val="1"/>
          <w:numId w:val="31"/>
        </w:numPr>
        <w:spacing w:before="120" w:line="260" w:lineRule="atLeast"/>
        <w:ind w:left="1434" w:hanging="357"/>
      </w:pPr>
      <w:r w:rsidRPr="00EC433A">
        <w:t xml:space="preserve">BAU: </w:t>
      </w:r>
      <w:r w:rsidRPr="00EC433A">
        <w:tab/>
      </w:r>
      <w:r w:rsidRPr="00EC433A">
        <w:tab/>
        <w:t>16,000 Mt CO</w:t>
      </w:r>
      <w:r w:rsidRPr="00EC433A">
        <w:rPr>
          <w:vertAlign w:val="subscript"/>
        </w:rPr>
        <w:t>2</w:t>
      </w:r>
      <w:r w:rsidRPr="00EC433A">
        <w:t xml:space="preserve"> eq.</w:t>
      </w:r>
    </w:p>
    <w:p w:rsidR="001859F7" w:rsidRPr="00EC433A" w:rsidRDefault="001859F7" w:rsidP="004A4E5F">
      <w:pPr>
        <w:numPr>
          <w:ilvl w:val="1"/>
          <w:numId w:val="31"/>
        </w:numPr>
      </w:pPr>
      <w:r w:rsidRPr="00EC433A">
        <w:t xml:space="preserve">MIT-3:   </w:t>
      </w:r>
      <w:r w:rsidRPr="00EC433A">
        <w:tab/>
        <w:t xml:space="preserve">  6,500 Mt CO</w:t>
      </w:r>
      <w:r w:rsidRPr="00EC433A">
        <w:rPr>
          <w:vertAlign w:val="subscript"/>
        </w:rPr>
        <w:t xml:space="preserve">2 </w:t>
      </w:r>
      <w:r w:rsidRPr="00EC433A">
        <w:t>eq.; a 60% reduction to BAU (2020-2030)</w:t>
      </w:r>
    </w:p>
    <w:p w:rsidR="001859F7" w:rsidRPr="00EC433A" w:rsidRDefault="001859F7" w:rsidP="004A4E5F">
      <w:pPr>
        <w:numPr>
          <w:ilvl w:val="1"/>
          <w:numId w:val="31"/>
        </w:numPr>
      </w:pPr>
      <w:r w:rsidRPr="00EC433A">
        <w:t xml:space="preserve">MIT-4:   </w:t>
      </w:r>
      <w:r w:rsidRPr="00EC433A">
        <w:tab/>
        <w:t xml:space="preserve">  9,800 Mt CO</w:t>
      </w:r>
      <w:r w:rsidRPr="00EC433A">
        <w:rPr>
          <w:vertAlign w:val="subscript"/>
        </w:rPr>
        <w:t xml:space="preserve">2 </w:t>
      </w:r>
      <w:r w:rsidRPr="00EC433A">
        <w:t>eq.; a 40% reduction to BAU (2020-2030)</w:t>
      </w:r>
    </w:p>
    <w:p w:rsidR="001859F7" w:rsidRPr="00EC433A" w:rsidRDefault="001859F7" w:rsidP="004A4E5F">
      <w:pPr>
        <w:numPr>
          <w:ilvl w:val="1"/>
          <w:numId w:val="31"/>
        </w:numPr>
      </w:pPr>
      <w:r w:rsidRPr="00EC433A">
        <w:t>MIT-5:</w:t>
      </w:r>
      <w:r w:rsidRPr="00EC433A">
        <w:tab/>
      </w:r>
      <w:r w:rsidRPr="00EC433A">
        <w:tab/>
        <w:t>12,000 Mt CO</w:t>
      </w:r>
      <w:r w:rsidRPr="00EC433A">
        <w:rPr>
          <w:vertAlign w:val="subscript"/>
        </w:rPr>
        <w:t>2</w:t>
      </w:r>
      <w:r w:rsidRPr="00EC433A">
        <w:t xml:space="preserve"> eq.; a 30% reduction to BAU (2020-2030)</w:t>
      </w:r>
    </w:p>
    <w:p w:rsidR="008B1EC3" w:rsidRPr="00EC433A" w:rsidRDefault="00F30838" w:rsidP="007A14A8">
      <w:pPr>
        <w:numPr>
          <w:ilvl w:val="0"/>
          <w:numId w:val="22"/>
        </w:numPr>
        <w:spacing w:before="120"/>
        <w:ind w:left="714" w:hanging="357"/>
        <w:rPr>
          <w:lang w:eastAsia="ja-JP"/>
        </w:rPr>
      </w:pPr>
      <w:r w:rsidRPr="00EC433A">
        <w:rPr>
          <w:lang w:eastAsia="ja-JP"/>
        </w:rPr>
        <w:t>With the scenarios extended to 2050 in this report, t</w:t>
      </w:r>
      <w:r w:rsidR="001859F7" w:rsidRPr="00EC433A">
        <w:rPr>
          <w:lang w:eastAsia="ja-JP"/>
        </w:rPr>
        <w:t xml:space="preserve">he BAU demand for the </w:t>
      </w:r>
      <w:r w:rsidR="00D155B0" w:rsidRPr="00EC433A">
        <w:rPr>
          <w:lang w:eastAsia="ja-JP"/>
        </w:rPr>
        <w:t xml:space="preserve">extended </w:t>
      </w:r>
      <w:r w:rsidR="001859F7" w:rsidRPr="00EC433A">
        <w:rPr>
          <w:lang w:eastAsia="ja-JP"/>
        </w:rPr>
        <w:t xml:space="preserve">period 2020-2050 </w:t>
      </w:r>
      <w:r w:rsidR="00D155B0" w:rsidRPr="00EC433A">
        <w:rPr>
          <w:lang w:eastAsia="ja-JP"/>
        </w:rPr>
        <w:t xml:space="preserve">increases almost five-fold. In this context, although </w:t>
      </w:r>
      <w:r w:rsidR="001859F7" w:rsidRPr="00EC433A">
        <w:rPr>
          <w:lang w:eastAsia="ja-JP"/>
        </w:rPr>
        <w:t xml:space="preserve">the differences in reduction between the various mitigation scenarios MIT-3, -4 and -5 </w:t>
      </w:r>
      <w:r w:rsidR="00D155B0" w:rsidRPr="00EC433A">
        <w:rPr>
          <w:lang w:eastAsia="ja-JP"/>
        </w:rPr>
        <w:t xml:space="preserve">remain large, they become proportionately </w:t>
      </w:r>
      <w:r w:rsidR="001859F7" w:rsidRPr="00EC433A">
        <w:rPr>
          <w:lang w:eastAsia="ja-JP"/>
        </w:rPr>
        <w:t xml:space="preserve">less </w:t>
      </w:r>
      <w:r w:rsidR="00D155B0" w:rsidRPr="00EC433A">
        <w:rPr>
          <w:lang w:eastAsia="ja-JP"/>
        </w:rPr>
        <w:t xml:space="preserve">compared to BAU. </w:t>
      </w:r>
      <w:r w:rsidRPr="00EC433A">
        <w:rPr>
          <w:lang w:eastAsia="ja-JP"/>
        </w:rPr>
        <w:t>C</w:t>
      </w:r>
      <w:r w:rsidR="001859F7" w:rsidRPr="00EC433A">
        <w:rPr>
          <w:lang w:eastAsia="ja-JP"/>
        </w:rPr>
        <w:t xml:space="preserve">onsideration of the </w:t>
      </w:r>
      <w:r w:rsidR="00D155B0" w:rsidRPr="00EC433A">
        <w:rPr>
          <w:lang w:eastAsia="ja-JP"/>
        </w:rPr>
        <w:t xml:space="preserve">intermediate </w:t>
      </w:r>
      <w:r w:rsidR="001859F7" w:rsidRPr="00EC433A">
        <w:rPr>
          <w:lang w:eastAsia="ja-JP"/>
        </w:rPr>
        <w:t xml:space="preserve">period 2020-2040 </w:t>
      </w:r>
      <w:r w:rsidRPr="00EC433A">
        <w:rPr>
          <w:lang w:eastAsia="ja-JP"/>
        </w:rPr>
        <w:t xml:space="preserve">may </w:t>
      </w:r>
      <w:r w:rsidR="00D155B0" w:rsidRPr="00EC433A">
        <w:rPr>
          <w:lang w:eastAsia="ja-JP"/>
        </w:rPr>
        <w:t xml:space="preserve">provide </w:t>
      </w:r>
      <w:r w:rsidRPr="00EC433A">
        <w:rPr>
          <w:lang w:eastAsia="ja-JP"/>
        </w:rPr>
        <w:t xml:space="preserve">a more realistic </w:t>
      </w:r>
      <w:r w:rsidR="008B1EC3" w:rsidRPr="00EC433A">
        <w:rPr>
          <w:lang w:eastAsia="ja-JP"/>
        </w:rPr>
        <w:t xml:space="preserve">estimate of the savings that can be realised via the various MIT scenarios </w:t>
      </w:r>
      <w:r w:rsidR="00315D48" w:rsidRPr="00EC433A">
        <w:rPr>
          <w:lang w:eastAsia="ja-JP"/>
        </w:rPr>
        <w:t xml:space="preserve">in Article 5 </w:t>
      </w:r>
      <w:r w:rsidR="00B94581">
        <w:rPr>
          <w:lang w:eastAsia="ja-JP"/>
        </w:rPr>
        <w:t>Part</w:t>
      </w:r>
      <w:r w:rsidR="00315D48" w:rsidRPr="00EC433A">
        <w:rPr>
          <w:lang w:eastAsia="ja-JP"/>
        </w:rPr>
        <w:t>ies</w:t>
      </w:r>
      <w:r w:rsidR="00DD0DB7" w:rsidRPr="00EC433A">
        <w:rPr>
          <w:lang w:eastAsia="ja-JP"/>
        </w:rPr>
        <w:t>. T</w:t>
      </w:r>
      <w:r w:rsidR="00DD0DB7" w:rsidRPr="00EC433A">
        <w:t xml:space="preserve">he </w:t>
      </w:r>
      <w:r w:rsidR="00DD0DB7" w:rsidRPr="00EC433A">
        <w:rPr>
          <w:i/>
        </w:rPr>
        <w:t>total</w:t>
      </w:r>
      <w:r w:rsidR="00DD0DB7" w:rsidRPr="00EC433A">
        <w:t xml:space="preserve"> integrated HFC demand for the R/AC sector in Article 5 Parties over </w:t>
      </w:r>
      <w:r w:rsidR="00D155B0" w:rsidRPr="00EC433A">
        <w:t xml:space="preserve">2020-2040 </w:t>
      </w:r>
      <w:r w:rsidR="00DD0DB7" w:rsidRPr="00EC433A">
        <w:t>is as follows</w:t>
      </w:r>
      <w:r w:rsidR="00E11D71">
        <w:t xml:space="preserve"> (assuming a 6 years transition)</w:t>
      </w:r>
      <w:r w:rsidR="00DD0DB7" w:rsidRPr="00EC433A">
        <w:t>:</w:t>
      </w:r>
      <w:r w:rsidR="008B1EC3" w:rsidRPr="00EC433A">
        <w:rPr>
          <w:lang w:eastAsia="ja-JP"/>
        </w:rPr>
        <w:t xml:space="preserve">  </w:t>
      </w:r>
    </w:p>
    <w:p w:rsidR="008B1EC3" w:rsidRPr="00EC433A" w:rsidRDefault="008B1EC3" w:rsidP="009840D4">
      <w:pPr>
        <w:keepNext/>
        <w:keepLines/>
        <w:numPr>
          <w:ilvl w:val="0"/>
          <w:numId w:val="40"/>
        </w:numPr>
        <w:spacing w:before="120"/>
        <w:ind w:left="1434" w:hanging="357"/>
        <w:rPr>
          <w:lang w:eastAsia="ja-JP"/>
        </w:rPr>
      </w:pPr>
      <w:r w:rsidRPr="00EC433A">
        <w:rPr>
          <w:lang w:eastAsia="ja-JP"/>
        </w:rPr>
        <w:t xml:space="preserve">BAU: </w:t>
      </w:r>
      <w:r w:rsidRPr="00EC433A">
        <w:rPr>
          <w:lang w:eastAsia="ja-JP"/>
        </w:rPr>
        <w:tab/>
      </w:r>
      <w:r w:rsidRPr="00EC433A">
        <w:rPr>
          <w:lang w:eastAsia="ja-JP"/>
        </w:rPr>
        <w:tab/>
        <w:t>42,300 Mt CO</w:t>
      </w:r>
      <w:r w:rsidRPr="00EC433A">
        <w:rPr>
          <w:vertAlign w:val="subscript"/>
          <w:lang w:eastAsia="ja-JP"/>
        </w:rPr>
        <w:t>2</w:t>
      </w:r>
      <w:r w:rsidRPr="00EC433A">
        <w:rPr>
          <w:lang w:eastAsia="ja-JP"/>
        </w:rPr>
        <w:t xml:space="preserve">-eq. </w:t>
      </w:r>
    </w:p>
    <w:p w:rsidR="008B1EC3" w:rsidRPr="00EC433A" w:rsidRDefault="008B1EC3" w:rsidP="009840D4">
      <w:pPr>
        <w:keepNext/>
        <w:keepLines/>
        <w:numPr>
          <w:ilvl w:val="0"/>
          <w:numId w:val="40"/>
        </w:numPr>
        <w:rPr>
          <w:lang w:eastAsia="ja-JP"/>
        </w:rPr>
      </w:pPr>
      <w:r w:rsidRPr="00EC433A">
        <w:rPr>
          <w:lang w:eastAsia="ja-JP"/>
        </w:rPr>
        <w:t>MIT-3:</w:t>
      </w:r>
      <w:r w:rsidRPr="00EC433A">
        <w:rPr>
          <w:lang w:eastAsia="ja-JP"/>
        </w:rPr>
        <w:tab/>
      </w:r>
      <w:r w:rsidR="00315D48" w:rsidRPr="00EC433A">
        <w:rPr>
          <w:lang w:eastAsia="ja-JP"/>
        </w:rPr>
        <w:tab/>
        <w:t>1</w:t>
      </w:r>
      <w:r w:rsidRPr="00EC433A">
        <w:rPr>
          <w:lang w:eastAsia="ja-JP"/>
        </w:rPr>
        <w:t>0,600 Mt CO</w:t>
      </w:r>
      <w:r w:rsidRPr="00EC433A">
        <w:rPr>
          <w:vertAlign w:val="subscript"/>
          <w:lang w:eastAsia="ja-JP"/>
        </w:rPr>
        <w:t>2</w:t>
      </w:r>
      <w:r w:rsidRPr="00EC433A">
        <w:rPr>
          <w:lang w:eastAsia="ja-JP"/>
        </w:rPr>
        <w:t>-eq.</w:t>
      </w:r>
      <w:r w:rsidR="00315D48" w:rsidRPr="00EC433A">
        <w:rPr>
          <w:lang w:eastAsia="ja-JP"/>
        </w:rPr>
        <w:t>; a 7</w:t>
      </w:r>
      <w:r w:rsidRPr="00EC433A">
        <w:rPr>
          <w:lang w:eastAsia="ja-JP"/>
        </w:rPr>
        <w:t xml:space="preserve">5% </w:t>
      </w:r>
      <w:r w:rsidR="00315D48" w:rsidRPr="00EC433A">
        <w:rPr>
          <w:lang w:eastAsia="ja-JP"/>
        </w:rPr>
        <w:t xml:space="preserve">reduction </w:t>
      </w:r>
      <w:r w:rsidRPr="00EC433A">
        <w:rPr>
          <w:lang w:eastAsia="ja-JP"/>
        </w:rPr>
        <w:t>to BAU</w:t>
      </w:r>
      <w:r w:rsidR="00315D48" w:rsidRPr="00EC433A">
        <w:rPr>
          <w:lang w:eastAsia="ja-JP"/>
        </w:rPr>
        <w:t xml:space="preserve"> (2020-2040)</w:t>
      </w:r>
    </w:p>
    <w:p w:rsidR="00315D48" w:rsidRPr="00EC433A" w:rsidRDefault="008B1EC3" w:rsidP="009840D4">
      <w:pPr>
        <w:keepNext/>
        <w:keepLines/>
        <w:numPr>
          <w:ilvl w:val="0"/>
          <w:numId w:val="40"/>
        </w:numPr>
        <w:rPr>
          <w:lang w:eastAsia="ja-JP"/>
        </w:rPr>
      </w:pPr>
      <w:r w:rsidRPr="00EC433A">
        <w:rPr>
          <w:lang w:eastAsia="ja-JP"/>
        </w:rPr>
        <w:t xml:space="preserve">MIT-4:   </w:t>
      </w:r>
      <w:r w:rsidRPr="00EC433A">
        <w:rPr>
          <w:lang w:eastAsia="ja-JP"/>
        </w:rPr>
        <w:tab/>
        <w:t>15,600 Mt CO</w:t>
      </w:r>
      <w:r w:rsidRPr="00EC433A">
        <w:rPr>
          <w:vertAlign w:val="subscript"/>
          <w:lang w:eastAsia="ja-JP"/>
        </w:rPr>
        <w:t>2</w:t>
      </w:r>
      <w:r w:rsidRPr="00EC433A">
        <w:rPr>
          <w:lang w:eastAsia="ja-JP"/>
        </w:rPr>
        <w:t>-eq.</w:t>
      </w:r>
      <w:r w:rsidR="00315D48" w:rsidRPr="00EC433A">
        <w:rPr>
          <w:lang w:eastAsia="ja-JP"/>
        </w:rPr>
        <w:t xml:space="preserve">: a </w:t>
      </w:r>
      <w:r w:rsidRPr="00EC433A">
        <w:rPr>
          <w:lang w:eastAsia="ja-JP"/>
        </w:rPr>
        <w:t xml:space="preserve">63% </w:t>
      </w:r>
      <w:r w:rsidR="00315D48" w:rsidRPr="00EC433A">
        <w:rPr>
          <w:lang w:eastAsia="ja-JP"/>
        </w:rPr>
        <w:t>reduction to BAU (2020-2040)</w:t>
      </w:r>
    </w:p>
    <w:p w:rsidR="00315D48" w:rsidRPr="00EC433A" w:rsidRDefault="008B1EC3" w:rsidP="009840D4">
      <w:pPr>
        <w:keepNext/>
        <w:keepLines/>
        <w:numPr>
          <w:ilvl w:val="0"/>
          <w:numId w:val="40"/>
        </w:numPr>
        <w:rPr>
          <w:lang w:eastAsia="ja-JP"/>
        </w:rPr>
      </w:pPr>
      <w:r w:rsidRPr="00EC433A">
        <w:rPr>
          <w:lang w:eastAsia="ja-JP"/>
        </w:rPr>
        <w:t>MIT-5:</w:t>
      </w:r>
      <w:r w:rsidRPr="00EC433A">
        <w:rPr>
          <w:lang w:eastAsia="ja-JP"/>
        </w:rPr>
        <w:tab/>
      </w:r>
      <w:r w:rsidR="00315D48" w:rsidRPr="00EC433A">
        <w:rPr>
          <w:lang w:eastAsia="ja-JP"/>
        </w:rPr>
        <w:tab/>
      </w:r>
      <w:r w:rsidRPr="00EC433A">
        <w:rPr>
          <w:lang w:eastAsia="ja-JP"/>
        </w:rPr>
        <w:t>18,800 Mt CO</w:t>
      </w:r>
      <w:r w:rsidRPr="00EC433A">
        <w:rPr>
          <w:vertAlign w:val="subscript"/>
          <w:lang w:eastAsia="ja-JP"/>
        </w:rPr>
        <w:t>2</w:t>
      </w:r>
      <w:r w:rsidRPr="00EC433A">
        <w:rPr>
          <w:lang w:eastAsia="ja-JP"/>
        </w:rPr>
        <w:t>-eq.</w:t>
      </w:r>
      <w:r w:rsidR="00315D48" w:rsidRPr="00EC433A">
        <w:rPr>
          <w:lang w:eastAsia="ja-JP"/>
        </w:rPr>
        <w:t>; a 5</w:t>
      </w:r>
      <w:r w:rsidRPr="00EC433A">
        <w:rPr>
          <w:lang w:eastAsia="ja-JP"/>
        </w:rPr>
        <w:t xml:space="preserve">6% </w:t>
      </w:r>
      <w:r w:rsidR="00315D48" w:rsidRPr="00EC433A">
        <w:rPr>
          <w:lang w:eastAsia="ja-JP"/>
        </w:rPr>
        <w:t>reduction to BAU (2020-2040)</w:t>
      </w:r>
    </w:p>
    <w:p w:rsidR="001859F7" w:rsidRPr="00EC433A" w:rsidRDefault="001859F7" w:rsidP="00DD0DB7">
      <w:pPr>
        <w:numPr>
          <w:ilvl w:val="0"/>
          <w:numId w:val="22"/>
        </w:numPr>
        <w:spacing w:before="120" w:after="120" w:line="260" w:lineRule="atLeast"/>
        <w:ind w:left="714" w:hanging="357"/>
      </w:pPr>
      <w:r w:rsidRPr="00EC433A">
        <w:t xml:space="preserve">The MIT-3 and MIT-5 scenarios are given for all Parties, but </w:t>
      </w:r>
      <w:r w:rsidR="00D155B0" w:rsidRPr="00EC433A">
        <w:t xml:space="preserve">predominantly reflect </w:t>
      </w:r>
      <w:r w:rsidRPr="00EC433A">
        <w:t xml:space="preserve">demand in Article 5 Parties: </w:t>
      </w:r>
    </w:p>
    <w:p w:rsidR="001859F7" w:rsidRPr="00EC433A" w:rsidRDefault="001859F7" w:rsidP="00565299">
      <w:pPr>
        <w:numPr>
          <w:ilvl w:val="0"/>
          <w:numId w:val="66"/>
        </w:numPr>
        <w:spacing w:after="120" w:line="260" w:lineRule="atLeast"/>
      </w:pPr>
      <w:r w:rsidRPr="00EC433A">
        <w:t xml:space="preserve">MIT-3 substantially reduces the high-GWP HFC demand compared to BAU since it addresses all manufacturing conversions in all R/AC sub-sectors as of 2020. As </w:t>
      </w:r>
      <w:r w:rsidR="00EA7538">
        <w:t xml:space="preserve">the R/AC </w:t>
      </w:r>
      <w:r w:rsidRPr="00EC433A">
        <w:t xml:space="preserve">manufacturing with high-GWP refrigerants is phased </w:t>
      </w:r>
      <w:r w:rsidR="00EA7538">
        <w:t>out</w:t>
      </w:r>
      <w:r w:rsidRPr="00EC433A">
        <w:t xml:space="preserve">, the servicing demand becomes dominant. The stationary AC sub-sector </w:t>
      </w:r>
      <w:r w:rsidR="007A14A8" w:rsidRPr="00EC433A">
        <w:t xml:space="preserve">is the principal source of </w:t>
      </w:r>
      <w:r w:rsidRPr="00EC433A">
        <w:t xml:space="preserve">the HFC demand. </w:t>
      </w:r>
    </w:p>
    <w:p w:rsidR="00EA7538" w:rsidRPr="00BF7001" w:rsidRDefault="001859F7" w:rsidP="009277E5">
      <w:pPr>
        <w:numPr>
          <w:ilvl w:val="0"/>
          <w:numId w:val="66"/>
        </w:numPr>
        <w:spacing w:after="120" w:line="260" w:lineRule="atLeast"/>
        <w:rPr>
          <w:b/>
          <w:i/>
        </w:rPr>
      </w:pPr>
      <w:r w:rsidRPr="00EC433A">
        <w:t>MIT-5 delays manufacturing conversion of all sub-sectors, including the rapidly expanding stationary AC sector from 2020 until 2025, so that HFC demand initially rises, but then falls as of the year 2025. Servicing rises substantially as a consequence, and persists for much longer than in MIT-3. MIT-5 shows the impact of per</w:t>
      </w:r>
      <w:r w:rsidR="0061039D" w:rsidRPr="00EC433A">
        <w:t xml:space="preserve">sisting </w:t>
      </w:r>
      <w:r w:rsidRPr="00EC433A">
        <w:t>servicing needs as a result.</w:t>
      </w:r>
    </w:p>
    <w:p w:rsidR="00BF7001" w:rsidRDefault="00BF7001" w:rsidP="009029A9">
      <w:pPr>
        <w:numPr>
          <w:ilvl w:val="0"/>
          <w:numId w:val="66"/>
        </w:numPr>
        <w:spacing w:after="120" w:line="260" w:lineRule="atLeast"/>
        <w:ind w:left="1066" w:hanging="357"/>
      </w:pPr>
      <w:r w:rsidRPr="00BF7001">
        <w:rPr>
          <w:i/>
          <w:szCs w:val="22"/>
          <w:lang w:val="en-US"/>
        </w:rPr>
        <w:t xml:space="preserve">Conversion period: </w:t>
      </w:r>
      <w:r w:rsidRPr="00BF7001">
        <w:rPr>
          <w:szCs w:val="22"/>
          <w:lang w:val="en-US"/>
        </w:rPr>
        <w:t>the longer the conversion period in mitigation scenarios, the greater the climate impacts (see MIT-3 or MIT-5 from 6 to 12 years) and the resulting overall costs in particular because of continuing servicing needs. A</w:t>
      </w:r>
      <w:r w:rsidR="002461BB">
        <w:rPr>
          <w:szCs w:val="22"/>
          <w:lang w:val="en-US"/>
        </w:rPr>
        <w:t>n</w:t>
      </w:r>
      <w:r w:rsidRPr="00BF7001">
        <w:rPr>
          <w:szCs w:val="22"/>
          <w:lang w:val="en-US"/>
        </w:rPr>
        <w:t xml:space="preserve"> 18 years conversion period has been studied</w:t>
      </w:r>
      <w:r w:rsidR="002A477C">
        <w:rPr>
          <w:szCs w:val="22"/>
          <w:lang w:val="en-US"/>
        </w:rPr>
        <w:t xml:space="preserve"> for the MIT-3 scenario</w:t>
      </w:r>
      <w:r w:rsidR="00051977">
        <w:rPr>
          <w:szCs w:val="22"/>
          <w:lang w:val="en-US"/>
        </w:rPr>
        <w:t xml:space="preserve"> (costs have not been further addressed compared to what was available in the XXVI/9 TF report)</w:t>
      </w:r>
      <w:r w:rsidRPr="00BF7001">
        <w:rPr>
          <w:szCs w:val="22"/>
          <w:lang w:val="en-US"/>
        </w:rPr>
        <w:t xml:space="preserve">. </w:t>
      </w:r>
      <w:r>
        <w:t xml:space="preserve">Whereas the 6 and 12 years conversion periods result in a demand decrease </w:t>
      </w:r>
      <w:r w:rsidR="00051977">
        <w:t xml:space="preserve">starting </w:t>
      </w:r>
      <w:r>
        <w:t>after 2020</w:t>
      </w:r>
      <w:r w:rsidR="002A477C">
        <w:t>-2024</w:t>
      </w:r>
      <w:r>
        <w:t xml:space="preserve">, the 18 years conversion period yields a </w:t>
      </w:r>
      <w:r w:rsidR="002A477C">
        <w:t>10</w:t>
      </w:r>
      <w:r>
        <w:t xml:space="preserve">% increase in </w:t>
      </w:r>
      <w:r>
        <w:lastRenderedPageBreak/>
        <w:t>demand first, until the year 20</w:t>
      </w:r>
      <w:r w:rsidR="002A477C">
        <w:t>30</w:t>
      </w:r>
      <w:r>
        <w:t xml:space="preserve">, then starts to decrease and reaches the 2020 </w:t>
      </w:r>
      <w:r w:rsidR="00051977">
        <w:t xml:space="preserve">demand </w:t>
      </w:r>
      <w:r>
        <w:t>value again in the year 2037. For the 18 years conversion period there is still some high GWP servicing demand after 2050. The demand for the period 2020-2050 for a 6 years conversion period is about 15,800 Mt CO</w:t>
      </w:r>
      <w:r w:rsidRPr="00BF7001">
        <w:rPr>
          <w:vertAlign w:val="subscript"/>
        </w:rPr>
        <w:t>2</w:t>
      </w:r>
      <w:r>
        <w:t>-eq., increases to 20,500 Mt CO</w:t>
      </w:r>
      <w:r w:rsidRPr="00BF7001">
        <w:rPr>
          <w:vertAlign w:val="subscript"/>
        </w:rPr>
        <w:t>2</w:t>
      </w:r>
      <w:r>
        <w:t>-eq. for a 12 years, and to 2</w:t>
      </w:r>
      <w:r w:rsidR="002A477C">
        <w:t>7</w:t>
      </w:r>
      <w:r>
        <w:t>,000 Mt CO</w:t>
      </w:r>
      <w:r w:rsidRPr="00BF7001">
        <w:rPr>
          <w:vertAlign w:val="subscript"/>
        </w:rPr>
        <w:t>2</w:t>
      </w:r>
      <w:r>
        <w:t>-eq. for an 18 years conversion period</w:t>
      </w:r>
      <w:r w:rsidR="00051977">
        <w:t>. T</w:t>
      </w:r>
      <w:r w:rsidR="002A477C">
        <w:t xml:space="preserve">he latter implies </w:t>
      </w:r>
      <w:r>
        <w:t xml:space="preserve">a </w:t>
      </w:r>
      <w:r w:rsidR="002A477C">
        <w:t>7</w:t>
      </w:r>
      <w:r w:rsidR="000D26B8">
        <w:t>0</w:t>
      </w:r>
      <w:r>
        <w:t xml:space="preserve">% increase </w:t>
      </w:r>
      <w:r w:rsidR="000D26B8">
        <w:t xml:space="preserve">in demand </w:t>
      </w:r>
      <w:r>
        <w:t xml:space="preserve">compared to </w:t>
      </w:r>
      <w:r w:rsidR="00051977">
        <w:t xml:space="preserve">demand for </w:t>
      </w:r>
      <w:r>
        <w:t xml:space="preserve">a 6 years conversion period. </w:t>
      </w:r>
    </w:p>
    <w:p w:rsidR="001859F7" w:rsidRPr="00EA7538" w:rsidRDefault="00160D4B" w:rsidP="009277E5">
      <w:pPr>
        <w:numPr>
          <w:ilvl w:val="0"/>
          <w:numId w:val="66"/>
        </w:numPr>
        <w:spacing w:after="120" w:line="260" w:lineRule="atLeast"/>
        <w:rPr>
          <w:b/>
          <w:i/>
        </w:rPr>
      </w:pPr>
      <w:r w:rsidRPr="00EC433A">
        <w:t>For demand in Article 5 Parties, t</w:t>
      </w:r>
      <w:r w:rsidR="001859F7" w:rsidRPr="00EC433A">
        <w:t xml:space="preserve">he following is also of importance: </w:t>
      </w:r>
    </w:p>
    <w:p w:rsidR="00C769B5" w:rsidRPr="00EC433A" w:rsidRDefault="00C769B5" w:rsidP="009840D4">
      <w:pPr>
        <w:keepLines/>
        <w:numPr>
          <w:ilvl w:val="1"/>
          <w:numId w:val="41"/>
        </w:numPr>
        <w:spacing w:after="120"/>
        <w:rPr>
          <w:b/>
          <w:lang w:eastAsia="ja-JP"/>
        </w:rPr>
      </w:pPr>
      <w:r w:rsidRPr="00EC433A">
        <w:rPr>
          <w:lang w:eastAsia="ja-JP"/>
        </w:rPr>
        <w:t xml:space="preserve">Peak values </w:t>
      </w:r>
      <w:r w:rsidR="00D155B0" w:rsidRPr="00EC433A">
        <w:rPr>
          <w:lang w:eastAsia="ja-JP"/>
        </w:rPr>
        <w:t xml:space="preserve">determined for the refrigerant </w:t>
      </w:r>
      <w:r w:rsidRPr="00EC433A">
        <w:rPr>
          <w:lang w:eastAsia="ja-JP"/>
        </w:rPr>
        <w:t xml:space="preserve">demand increase with later start of conversion. The peak value for MIT-3 in </w:t>
      </w:r>
      <w:r w:rsidRPr="00EC433A">
        <w:rPr>
          <w:i/>
          <w:lang w:eastAsia="ja-JP"/>
        </w:rPr>
        <w:t>2020</w:t>
      </w:r>
      <w:r w:rsidRPr="00EC433A">
        <w:rPr>
          <w:lang w:eastAsia="ja-JP"/>
        </w:rPr>
        <w:t xml:space="preserve"> is about 820 Mt CO</w:t>
      </w:r>
      <w:r w:rsidRPr="00EC433A">
        <w:rPr>
          <w:vertAlign w:val="subscript"/>
          <w:lang w:eastAsia="ja-JP"/>
        </w:rPr>
        <w:t>2</w:t>
      </w:r>
      <w:r w:rsidRPr="00EC433A">
        <w:rPr>
          <w:lang w:eastAsia="ja-JP"/>
        </w:rPr>
        <w:t xml:space="preserve">-eq. The peak value for MIT-4 in the year </w:t>
      </w:r>
      <w:r w:rsidRPr="00EC433A">
        <w:rPr>
          <w:i/>
          <w:lang w:eastAsia="ja-JP"/>
        </w:rPr>
        <w:t>2023</w:t>
      </w:r>
      <w:r w:rsidRPr="00EC433A">
        <w:rPr>
          <w:lang w:eastAsia="ja-JP"/>
        </w:rPr>
        <w:t>, with conversion of stationary AC starting in 2025, is 25% higher (at 1025 Mt CO</w:t>
      </w:r>
      <w:r w:rsidRPr="00EC433A">
        <w:rPr>
          <w:vertAlign w:val="subscript"/>
          <w:lang w:eastAsia="ja-JP"/>
        </w:rPr>
        <w:t>2</w:t>
      </w:r>
      <w:r w:rsidRPr="00EC433A">
        <w:rPr>
          <w:lang w:eastAsia="ja-JP"/>
        </w:rPr>
        <w:t>-eq.), whereas the peak value for demand for MIT-5</w:t>
      </w:r>
      <w:r w:rsidR="00D155B0" w:rsidRPr="00EC433A">
        <w:rPr>
          <w:lang w:eastAsia="ja-JP"/>
        </w:rPr>
        <w:t xml:space="preserve"> </w:t>
      </w:r>
      <w:r w:rsidRPr="00EC433A">
        <w:rPr>
          <w:lang w:eastAsia="ja-JP"/>
        </w:rPr>
        <w:t xml:space="preserve">in the year </w:t>
      </w:r>
      <w:r w:rsidRPr="00EC433A">
        <w:rPr>
          <w:i/>
          <w:lang w:eastAsia="ja-JP"/>
        </w:rPr>
        <w:t>2025</w:t>
      </w:r>
      <w:r w:rsidRPr="00EC433A">
        <w:rPr>
          <w:lang w:eastAsia="ja-JP"/>
        </w:rPr>
        <w:t xml:space="preserve"> is 62% higher than the one for MIT-3 (at 1330 Mt CO</w:t>
      </w:r>
      <w:r w:rsidRPr="00EC433A">
        <w:rPr>
          <w:vertAlign w:val="subscript"/>
          <w:lang w:eastAsia="ja-JP"/>
        </w:rPr>
        <w:t>2</w:t>
      </w:r>
      <w:r w:rsidRPr="00EC433A">
        <w:rPr>
          <w:lang w:eastAsia="ja-JP"/>
        </w:rPr>
        <w:t>-eq.).</w:t>
      </w:r>
      <w:r w:rsidRPr="00EC433A">
        <w:rPr>
          <w:b/>
          <w:lang w:eastAsia="ja-JP"/>
        </w:rPr>
        <w:t xml:space="preserve"> </w:t>
      </w:r>
    </w:p>
    <w:p w:rsidR="00EA7538" w:rsidRDefault="00C769B5" w:rsidP="009277E5">
      <w:pPr>
        <w:keepNext/>
        <w:keepLines/>
        <w:numPr>
          <w:ilvl w:val="1"/>
          <w:numId w:val="41"/>
        </w:numPr>
        <w:spacing w:before="120" w:after="120"/>
        <w:ind w:left="1434" w:hanging="357"/>
      </w:pPr>
      <w:r w:rsidRPr="00EC433A">
        <w:rPr>
          <w:lang w:eastAsia="ja-JP"/>
        </w:rPr>
        <w:t xml:space="preserve">For MIT-3, the </w:t>
      </w:r>
      <w:r w:rsidR="00D155B0" w:rsidRPr="00EC433A">
        <w:rPr>
          <w:lang w:eastAsia="ja-JP"/>
        </w:rPr>
        <w:t xml:space="preserve">average decline </w:t>
      </w:r>
      <w:r w:rsidRPr="00EC433A">
        <w:rPr>
          <w:lang w:eastAsia="ja-JP"/>
        </w:rPr>
        <w:t>over a period of 10 years after the peak year is 5.3% per year (from 820 down to 390 Mt CO</w:t>
      </w:r>
      <w:r w:rsidRPr="00EA7538">
        <w:rPr>
          <w:vertAlign w:val="subscript"/>
          <w:lang w:eastAsia="ja-JP"/>
        </w:rPr>
        <w:t>2</w:t>
      </w:r>
      <w:r w:rsidRPr="00EC433A">
        <w:rPr>
          <w:lang w:eastAsia="ja-JP"/>
        </w:rPr>
        <w:t>-eq. in 2030)</w:t>
      </w:r>
      <w:r w:rsidR="00D155B0" w:rsidRPr="00EC433A">
        <w:rPr>
          <w:lang w:eastAsia="ja-JP"/>
        </w:rPr>
        <w:t>, for</w:t>
      </w:r>
      <w:r w:rsidRPr="00EC433A">
        <w:rPr>
          <w:lang w:eastAsia="ja-JP"/>
        </w:rPr>
        <w:t xml:space="preserve"> MIT-4 </w:t>
      </w:r>
      <w:r w:rsidR="00D155B0" w:rsidRPr="00EC433A">
        <w:rPr>
          <w:lang w:eastAsia="ja-JP"/>
        </w:rPr>
        <w:t xml:space="preserve">it is 4.5% per year </w:t>
      </w:r>
      <w:r w:rsidRPr="00EC433A">
        <w:rPr>
          <w:lang w:eastAsia="ja-JP"/>
        </w:rPr>
        <w:t>(from 1025 down to 570 Mt CO</w:t>
      </w:r>
      <w:r w:rsidRPr="00EA7538">
        <w:rPr>
          <w:vertAlign w:val="subscript"/>
          <w:lang w:eastAsia="ja-JP"/>
        </w:rPr>
        <w:t>2</w:t>
      </w:r>
      <w:r w:rsidRPr="00EC433A">
        <w:rPr>
          <w:lang w:eastAsia="ja-JP"/>
        </w:rPr>
        <w:t xml:space="preserve">-eq. in 2033) and </w:t>
      </w:r>
      <w:r w:rsidR="00D155B0" w:rsidRPr="00EC433A">
        <w:rPr>
          <w:lang w:eastAsia="ja-JP"/>
        </w:rPr>
        <w:t>for</w:t>
      </w:r>
      <w:r w:rsidRPr="00EC433A">
        <w:rPr>
          <w:lang w:eastAsia="ja-JP"/>
        </w:rPr>
        <w:t xml:space="preserve"> MIT-5 </w:t>
      </w:r>
      <w:r w:rsidR="00D155B0" w:rsidRPr="00EC433A">
        <w:rPr>
          <w:lang w:eastAsia="ja-JP"/>
        </w:rPr>
        <w:t>it is 5.5% per year</w:t>
      </w:r>
      <w:r w:rsidRPr="00EC433A">
        <w:rPr>
          <w:lang w:eastAsia="ja-JP"/>
        </w:rPr>
        <w:t xml:space="preserve"> (from 1330 down to 605 Mt CO</w:t>
      </w:r>
      <w:r w:rsidRPr="00EA7538">
        <w:rPr>
          <w:vertAlign w:val="subscript"/>
          <w:lang w:eastAsia="ja-JP"/>
        </w:rPr>
        <w:t>2</w:t>
      </w:r>
      <w:r w:rsidRPr="00EC433A">
        <w:rPr>
          <w:lang w:eastAsia="ja-JP"/>
        </w:rPr>
        <w:t>-eq.</w:t>
      </w:r>
      <w:r w:rsidR="00EA7538">
        <w:rPr>
          <w:lang w:eastAsia="ja-JP"/>
        </w:rPr>
        <w:t xml:space="preserve"> in 2035</w:t>
      </w:r>
      <w:r w:rsidRPr="00EC433A">
        <w:rPr>
          <w:lang w:eastAsia="ja-JP"/>
        </w:rPr>
        <w:t xml:space="preserve">). </w:t>
      </w:r>
    </w:p>
    <w:p w:rsidR="00EC433A" w:rsidRPr="00611764" w:rsidRDefault="00EC433A" w:rsidP="009277E5">
      <w:pPr>
        <w:keepNext/>
        <w:keepLines/>
        <w:numPr>
          <w:ilvl w:val="1"/>
          <w:numId w:val="41"/>
        </w:numPr>
        <w:spacing w:before="120" w:after="120"/>
        <w:ind w:left="1434" w:hanging="357"/>
      </w:pPr>
      <w:r w:rsidRPr="00611764">
        <w:t xml:space="preserve">For each separate Article 5 </w:t>
      </w:r>
      <w:r w:rsidR="00B94581">
        <w:t>Party</w:t>
      </w:r>
      <w:r w:rsidRPr="00611764">
        <w:t xml:space="preserve"> the peak (freeze) values will still be in the same years for the various MIT scenarios considered, however, annual reduction percentages achievable thereafter may be significantly different per country. </w:t>
      </w:r>
    </w:p>
    <w:p w:rsidR="00C71567" w:rsidRDefault="002413E5" w:rsidP="00C32CE4">
      <w:pPr>
        <w:pStyle w:val="Heading1"/>
        <w:ind w:left="630" w:hanging="630"/>
      </w:pPr>
      <w:r>
        <w:br w:type="page"/>
      </w:r>
      <w:bookmarkStart w:id="17" w:name="_Toc452653350"/>
      <w:r w:rsidR="00C71567">
        <w:lastRenderedPageBreak/>
        <w:t>1</w:t>
      </w:r>
      <w:r w:rsidR="00C71567">
        <w:tab/>
        <w:t>Introduction</w:t>
      </w:r>
      <w:bookmarkEnd w:id="16"/>
      <w:bookmarkEnd w:id="17"/>
    </w:p>
    <w:p w:rsidR="00C71567" w:rsidRDefault="00C71567" w:rsidP="00C71567">
      <w:pPr>
        <w:pStyle w:val="Heading2"/>
      </w:pPr>
      <w:bookmarkStart w:id="18" w:name="_Toc431249356"/>
      <w:bookmarkStart w:id="19" w:name="_Toc452653351"/>
      <w:r>
        <w:t>1</w:t>
      </w:r>
      <w:r w:rsidRPr="003043AC">
        <w:t>.1</w:t>
      </w:r>
      <w:r w:rsidRPr="003043AC">
        <w:tab/>
        <w:t>Terms</w:t>
      </w:r>
      <w:r>
        <w:t xml:space="preserve"> of Reference for the XXVII/4 Task Force report</w:t>
      </w:r>
      <w:bookmarkEnd w:id="18"/>
      <w:bookmarkEnd w:id="19"/>
    </w:p>
    <w:p w:rsidR="00DB3EF8" w:rsidRDefault="00C71567" w:rsidP="00C71567">
      <w:pPr>
        <w:tabs>
          <w:tab w:val="left" w:pos="2160"/>
          <w:tab w:val="left" w:pos="2880"/>
          <w:tab w:val="left" w:pos="3600"/>
          <w:tab w:val="left" w:pos="4320"/>
          <w:tab w:val="left" w:pos="5040"/>
          <w:tab w:val="left" w:pos="6480"/>
          <w:tab w:val="left" w:pos="7200"/>
          <w:tab w:val="left" w:pos="7920"/>
        </w:tabs>
        <w:spacing w:after="240"/>
      </w:pPr>
      <w:r>
        <w:t xml:space="preserve">Decision XXVII/4 of the Twenty-seventh Meeting of the Parties requested the Technology and Economic Assessment Panel (TEAP) to prepare a draft report for consideration by the Open-ended Working Group (OEWG) at its </w:t>
      </w:r>
      <w:r w:rsidRPr="00A0405F">
        <w:t>thirty–seventh meeting</w:t>
      </w:r>
      <w:r>
        <w:t>,</w:t>
      </w:r>
      <w:r w:rsidRPr="00A0405F">
        <w:t xml:space="preserve"> and thereafter an updated report to be submitted to the Twenty Eighth Meeting of the Parties</w:t>
      </w:r>
      <w:r>
        <w:t xml:space="preserve"> in 2016.</w:t>
      </w:r>
      <w:r w:rsidRPr="00E9200D">
        <w:t xml:space="preserve"> </w:t>
      </w:r>
      <w:r>
        <w:t xml:space="preserve">In their discussions prior to adoption of this decision, Parties considered a focus primarily on areas where updates to the September 2015 report of the task force of the TEAP addressing the issues of decision XXVI/9, including with regard to information on the availability of alternatives and to extending the mitigation scenarios </w:t>
      </w:r>
      <w:r w:rsidR="007C243D">
        <w:t xml:space="preserve">from </w:t>
      </w:r>
      <w:r>
        <w:t>the previous report to 2050</w:t>
      </w:r>
      <w:r w:rsidR="00DB3EF8">
        <w:t>.</w:t>
      </w:r>
    </w:p>
    <w:p w:rsidR="00C71567" w:rsidRDefault="00C71567" w:rsidP="00C71567">
      <w:pPr>
        <w:tabs>
          <w:tab w:val="left" w:pos="2160"/>
          <w:tab w:val="left" w:pos="2880"/>
          <w:tab w:val="left" w:pos="3600"/>
          <w:tab w:val="left" w:pos="4320"/>
          <w:tab w:val="left" w:pos="5040"/>
          <w:tab w:val="left" w:pos="6480"/>
          <w:tab w:val="left" w:pos="7200"/>
          <w:tab w:val="left" w:pos="7920"/>
        </w:tabs>
        <w:spacing w:after="240"/>
      </w:pPr>
      <w:r>
        <w:t>In Decision XXVII/1, paragraph 1, Parties agreed to “</w:t>
      </w:r>
      <w:r w:rsidRPr="00D42AC8">
        <w:t>work within the Montreal Protocol to an HFC amendment in 2016 by first resolving challenges by generating solutions in the contact group on the feasibility and ways of managing HFCs during Montreal Protocol meetings</w:t>
      </w:r>
      <w:r>
        <w:t>.” Further, in paragraph 4 of that decision, Parties agreed to</w:t>
      </w:r>
      <w:r w:rsidRPr="00D42AC8">
        <w:t xml:space="preserve"> </w:t>
      </w:r>
      <w:r>
        <w:t>“</w:t>
      </w:r>
      <w:r w:rsidRPr="00D42AC8">
        <w:t>hold in 2016 a series of Open-ended Working Group meetings and other meetings, including an extraordinary meeting of the parties</w:t>
      </w:r>
      <w:r>
        <w:t xml:space="preserve">.” Subsequently, in 2016, Parties will hold the thirty-seventh and thirty-eighth OEWG meetings on 4-8 April and 18-21 July, respectively, along with the third Extraordinary Meeting of the Parties 22-23 July. </w:t>
      </w:r>
      <w:r w:rsidR="009D2CB6">
        <w:t xml:space="preserve">A resumed OEWG-37 meeting has since been planned for 15-16 July. </w:t>
      </w:r>
      <w:r>
        <w:t>TEAP</w:t>
      </w:r>
      <w:r w:rsidR="005B7231">
        <w:t xml:space="preserve"> is</w:t>
      </w:r>
      <w:r>
        <w:t xml:space="preserve"> providing its response to Decision XXVII/4 in </w:t>
      </w:r>
      <w:r w:rsidR="009D2CB6">
        <w:t xml:space="preserve">three </w:t>
      </w:r>
      <w:r>
        <w:t xml:space="preserve">parts: </w:t>
      </w:r>
      <w:r w:rsidR="009D2CB6">
        <w:t>a</w:t>
      </w:r>
      <w:r>
        <w:t xml:space="preserve"> first report submitted to OEWG-37 primarily focuse</w:t>
      </w:r>
      <w:r w:rsidR="00AB3587">
        <w:t>d</w:t>
      </w:r>
      <w:r>
        <w:t xml:space="preserve"> on the </w:t>
      </w:r>
      <w:r w:rsidR="009D2CB6">
        <w:t xml:space="preserve">R/AC </w:t>
      </w:r>
      <w:r>
        <w:t>sector; th</w:t>
      </w:r>
      <w:r w:rsidR="009D2CB6">
        <w:t>is</w:t>
      </w:r>
      <w:r>
        <w:t xml:space="preserve"> second report </w:t>
      </w:r>
      <w:r w:rsidR="00AB3587">
        <w:t xml:space="preserve">now </w:t>
      </w:r>
      <w:r>
        <w:t>submitted to OEWG-38 address</w:t>
      </w:r>
      <w:r w:rsidR="008A7239">
        <w:t>es</w:t>
      </w:r>
      <w:r>
        <w:t xml:space="preserve"> comments received at OEWG-37 </w:t>
      </w:r>
      <w:r w:rsidR="009D2CB6">
        <w:t>with the focus remaining on the R/AC sector. U</w:t>
      </w:r>
      <w:r>
        <w:t>pdates related to the other sectors including medical aerosols, non-medical or technical aerosols, and solvents, where updated information is available to the TEAP</w:t>
      </w:r>
      <w:r w:rsidR="009D2CB6">
        <w:t xml:space="preserve">, as well as responding to comments on the second report from Parties at OEWG-38, as appropriate, </w:t>
      </w:r>
      <w:r>
        <w:t>will be submitted to the Twenty-eighth Meeting of the Parties (MOP-28). The approach taken by TEAP is further discussed below.</w:t>
      </w:r>
    </w:p>
    <w:p w:rsidR="00C71567" w:rsidRDefault="00C71567" w:rsidP="00C71567">
      <w:pPr>
        <w:pStyle w:val="Heading2"/>
      </w:pPr>
      <w:bookmarkStart w:id="20" w:name="_Toc431249357"/>
      <w:bookmarkStart w:id="21" w:name="_Toc452653352"/>
      <w:r>
        <w:t>1</w:t>
      </w:r>
      <w:r w:rsidRPr="003043AC">
        <w:t>.2</w:t>
      </w:r>
      <w:r w:rsidRPr="003043AC">
        <w:tab/>
        <w:t>Scope</w:t>
      </w:r>
      <w:r>
        <w:t xml:space="preserve"> and coverage</w:t>
      </w:r>
      <w:bookmarkEnd w:id="20"/>
      <w:bookmarkEnd w:id="21"/>
    </w:p>
    <w:p w:rsidR="00C71567" w:rsidRPr="00B56C79" w:rsidRDefault="00C71567" w:rsidP="00C71567">
      <w:pPr>
        <w:pStyle w:val="CH2"/>
        <w:tabs>
          <w:tab w:val="clear" w:pos="1247"/>
          <w:tab w:val="left" w:pos="0"/>
        </w:tabs>
        <w:spacing w:before="0" w:line="240" w:lineRule="exact"/>
        <w:ind w:left="0" w:right="289" w:firstLine="0"/>
        <w:rPr>
          <w:b w:val="0"/>
          <w:sz w:val="22"/>
          <w:szCs w:val="22"/>
        </w:rPr>
      </w:pPr>
      <w:r w:rsidRPr="00B56C79">
        <w:rPr>
          <w:b w:val="0"/>
          <w:sz w:val="22"/>
          <w:szCs w:val="22"/>
        </w:rPr>
        <w:t xml:space="preserve">The text of Decision XXVII/4 (“Response to the report by the Technology and Economic Assessment Panel on information on alternatives to ozone-depleting substances”), as it relates to this report is as follows: </w:t>
      </w:r>
    </w:p>
    <w:p w:rsidR="00C71567" w:rsidRPr="00B56C79" w:rsidRDefault="00C71567" w:rsidP="00C71567">
      <w:pPr>
        <w:keepNext/>
        <w:keepLines/>
        <w:suppressAutoHyphens/>
        <w:spacing w:before="120" w:after="120" w:line="220" w:lineRule="atLeast"/>
        <w:ind w:left="1" w:right="567" w:firstLine="1"/>
        <w:rPr>
          <w:rFonts w:eastAsia="Times New Roman"/>
          <w:b/>
          <w:color w:val="auto"/>
          <w:szCs w:val="22"/>
        </w:rPr>
      </w:pPr>
      <w:r w:rsidRPr="00B56C79">
        <w:rPr>
          <w:rFonts w:eastAsia="Times New Roman"/>
          <w:b/>
          <w:color w:val="auto"/>
          <w:szCs w:val="22"/>
        </w:rPr>
        <w:t>Decision XXVII/4: Response to the report by the Technology and Economic Assessment Panel on information on alternatives to ozone-depleting substances</w:t>
      </w:r>
    </w:p>
    <w:p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val="en-CA" w:eastAsia="en-CA"/>
        </w:rPr>
      </w:pPr>
      <w:r w:rsidRPr="00B56C79">
        <w:rPr>
          <w:rFonts w:eastAsia="Times New Roman"/>
          <w:i/>
          <w:iCs/>
          <w:color w:val="auto"/>
          <w:szCs w:val="22"/>
          <w:lang w:val="en-US"/>
        </w:rPr>
        <w:t xml:space="preserve">Noting with </w:t>
      </w:r>
      <w:r w:rsidRPr="00B56C79">
        <w:rPr>
          <w:rFonts w:eastAsia="Times New Roman"/>
          <w:i/>
          <w:iCs/>
          <w:color w:val="auto"/>
          <w:szCs w:val="22"/>
        </w:rPr>
        <w:t>appreciation</w:t>
      </w:r>
      <w:r w:rsidRPr="00B56C79">
        <w:rPr>
          <w:rFonts w:eastAsia="Times New Roman"/>
          <w:iCs/>
          <w:color w:val="auto"/>
          <w:szCs w:val="22"/>
          <w:lang w:val="en-US"/>
        </w:rPr>
        <w:t xml:space="preserve"> the </w:t>
      </w:r>
      <w:r w:rsidRPr="00B56C79">
        <w:rPr>
          <w:rFonts w:eastAsia="Times New Roman"/>
          <w:color w:val="auto"/>
          <w:szCs w:val="22"/>
          <w:lang w:val="en-CA" w:eastAsia="en-CA"/>
        </w:rPr>
        <w:t xml:space="preserve">September 2015 report of the task force of the Technology and Economic Assessment Panel addressing the issues listed in subparagraphs 1 (a)–(c) of decision XXVI/9,    </w:t>
      </w:r>
      <w:r w:rsidRPr="00B56C79">
        <w:rPr>
          <w:rFonts w:eastAsia="Times New Roman"/>
          <w:color w:val="auto"/>
          <w:szCs w:val="22"/>
          <w:lang w:val="en-CA"/>
        </w:rPr>
        <w:t xml:space="preserve"> </w:t>
      </w:r>
    </w:p>
    <w:p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eastAsia="en-AU"/>
        </w:rPr>
      </w:pPr>
      <w:r w:rsidRPr="00B56C79">
        <w:rPr>
          <w:rFonts w:eastAsia="Times New Roman"/>
          <w:color w:val="auto"/>
          <w:szCs w:val="22"/>
        </w:rPr>
        <w:t>1.</w:t>
      </w:r>
      <w:r w:rsidRPr="00B56C79">
        <w:rPr>
          <w:rFonts w:eastAsia="Times New Roman"/>
          <w:color w:val="auto"/>
          <w:szCs w:val="22"/>
        </w:rPr>
        <w:tab/>
      </w:r>
      <w:r w:rsidRPr="00B56C79">
        <w:rPr>
          <w:rFonts w:eastAsia="Times New Roman"/>
          <w:i/>
          <w:iCs/>
          <w:color w:val="auto"/>
          <w:szCs w:val="22"/>
        </w:rPr>
        <w:t>To request</w:t>
      </w:r>
      <w:r w:rsidRPr="00B56C79">
        <w:rPr>
          <w:rFonts w:eastAsia="Times New Roman"/>
          <w:color w:val="auto"/>
          <w:szCs w:val="22"/>
        </w:rPr>
        <w:t xml:space="preserve"> the Technology and Economic Assessment Panel</w:t>
      </w:r>
      <w:r w:rsidRPr="00B56C79">
        <w:rPr>
          <w:rFonts w:eastAsia="Times New Roman"/>
          <w:color w:val="auto"/>
          <w:szCs w:val="22"/>
          <w:lang w:eastAsia="en-AU"/>
        </w:rPr>
        <w:t xml:space="preserve">, if necessary in consultation with external experts, </w:t>
      </w:r>
      <w:r w:rsidRPr="00B56C79">
        <w:rPr>
          <w:rFonts w:eastAsia="Times New Roman"/>
          <w:color w:val="auto"/>
          <w:szCs w:val="22"/>
        </w:rPr>
        <w:t xml:space="preserve">to prepare </w:t>
      </w:r>
      <w:r w:rsidRPr="00B56C79">
        <w:rPr>
          <w:rFonts w:eastAsia="Times New Roman"/>
          <w:color w:val="auto"/>
          <w:szCs w:val="22"/>
          <w:lang w:eastAsia="en-AU"/>
        </w:rPr>
        <w:t>a report for consideration by the Open-ended Working Group at its thirty–seventh meeting, and thereafter an updated report to be submitted to the Twenty</w:t>
      </w:r>
      <w:r w:rsidRPr="00B56C79">
        <w:rPr>
          <w:rFonts w:eastAsia="Times New Roman"/>
          <w:color w:val="auto"/>
          <w:szCs w:val="22"/>
          <w:lang w:eastAsia="en-AU"/>
        </w:rPr>
        <w:noBreakHyphen/>
        <w:t>Eighth Meeting of the Parties to the Montreal Protocol on Substances that Deplete the Ozone Layer in 2016, that would:</w:t>
      </w:r>
      <w:r w:rsidRPr="00B56C79">
        <w:rPr>
          <w:rFonts w:eastAsia="Times New Roman"/>
          <w:color w:val="auto"/>
          <w:szCs w:val="22"/>
        </w:rPr>
        <w:t xml:space="preserve"> </w:t>
      </w:r>
    </w:p>
    <w:p w:rsidR="00C71567" w:rsidRPr="00B56C79" w:rsidRDefault="00C71567" w:rsidP="00C71567">
      <w:pPr>
        <w:tabs>
          <w:tab w:val="left" w:pos="1247"/>
          <w:tab w:val="left" w:pos="1814"/>
          <w:tab w:val="left" w:pos="2381"/>
          <w:tab w:val="left" w:pos="2948"/>
          <w:tab w:val="left" w:pos="3515"/>
        </w:tabs>
        <w:spacing w:after="120" w:line="220" w:lineRule="atLeast"/>
        <w:ind w:left="1" w:firstLine="624"/>
        <w:rPr>
          <w:rFonts w:eastAsia="Times New Roman"/>
          <w:color w:val="auto"/>
          <w:szCs w:val="22"/>
          <w:lang w:eastAsia="en-AU"/>
        </w:rPr>
      </w:pPr>
      <w:r w:rsidRPr="00B56C79">
        <w:rPr>
          <w:rFonts w:eastAsia="Times New Roman"/>
          <w:color w:val="auto"/>
          <w:szCs w:val="22"/>
          <w:lang w:eastAsia="en-AU"/>
        </w:rPr>
        <w:t>(a)</w:t>
      </w:r>
      <w:r w:rsidRPr="00B56C79">
        <w:rPr>
          <w:rFonts w:eastAsia="Times New Roman"/>
          <w:color w:val="auto"/>
          <w:szCs w:val="22"/>
          <w:lang w:eastAsia="en-AU"/>
        </w:rPr>
        <w:tab/>
        <w:t xml:space="preserve">Update, where necessary, and provide new information on alternatives to ozone-depleting substances, including not-in-kind alternatives, based on </w:t>
      </w:r>
      <w:r w:rsidRPr="00B56C79">
        <w:rPr>
          <w:rFonts w:eastAsia="Times New Roman"/>
          <w:color w:val="auto"/>
          <w:szCs w:val="22"/>
        </w:rPr>
        <w:t>the</w:t>
      </w:r>
      <w:r w:rsidRPr="00B56C79">
        <w:rPr>
          <w:rFonts w:eastAsia="Times New Roman"/>
          <w:color w:val="auto"/>
          <w:szCs w:val="22"/>
          <w:lang w:eastAsia="en-AU"/>
        </w:rPr>
        <w:t xml:space="preserve"> guidance and assessment criteria provided in subparagraph 1 (a) of decision XXVI/9, and taking into account the most recent findings on the suitability of alternatives under high-ambient temperatures, highlighting in particular: </w:t>
      </w:r>
    </w:p>
    <w:p w:rsidR="00C71567" w:rsidRPr="00B56C79" w:rsidRDefault="00C71567" w:rsidP="001F2FDB">
      <w:pPr>
        <w:tabs>
          <w:tab w:val="left" w:pos="1247"/>
          <w:tab w:val="left" w:pos="1814"/>
          <w:tab w:val="left" w:pos="2381"/>
          <w:tab w:val="left" w:pos="2948"/>
          <w:tab w:val="left" w:pos="3515"/>
        </w:tabs>
        <w:spacing w:after="120" w:line="220" w:lineRule="atLeast"/>
        <w:ind w:left="1440"/>
        <w:rPr>
          <w:rFonts w:eastAsia="Times New Roman"/>
          <w:color w:val="auto"/>
          <w:szCs w:val="22"/>
          <w:lang w:eastAsia="en-AU"/>
        </w:rPr>
      </w:pPr>
      <w:r w:rsidRPr="00B56C79">
        <w:rPr>
          <w:rFonts w:eastAsia="Times New Roman"/>
          <w:color w:val="auto"/>
          <w:szCs w:val="22"/>
          <w:lang w:eastAsia="en-AU"/>
        </w:rPr>
        <w:t xml:space="preserve">(i) the availability and market penetration of these alternatives in different regions; </w:t>
      </w:r>
    </w:p>
    <w:p w:rsidR="00C71567" w:rsidRPr="00B56C79"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Pr>
          <w:rFonts w:eastAsia="Times New Roman"/>
          <w:color w:val="auto"/>
          <w:szCs w:val="22"/>
          <w:lang w:eastAsia="en-AU"/>
        </w:rPr>
        <w:lastRenderedPageBreak/>
        <w:tab/>
      </w:r>
      <w:r w:rsidRPr="00B56C79">
        <w:rPr>
          <w:rFonts w:eastAsia="Times New Roman"/>
          <w:color w:val="auto"/>
          <w:szCs w:val="22"/>
          <w:lang w:eastAsia="en-AU"/>
        </w:rPr>
        <w:t>(ii) the availability of alternatives for replacement and retrofit of refrigeration systems in  fishing vessels, including in small island countries;</w:t>
      </w:r>
    </w:p>
    <w:p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tab/>
        <w:t>(iii) new substances in development that could be used as alternatives to ODS and that could become available in the near-future;</w:t>
      </w:r>
    </w:p>
    <w:p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tab/>
        <w:t xml:space="preserve">(iv) the energy efficiency associated with the use of these alternatives; </w:t>
      </w:r>
    </w:p>
    <w:p w:rsidR="00C71567" w:rsidRPr="00FF6894" w:rsidRDefault="00C71567" w:rsidP="00C71567">
      <w:pPr>
        <w:tabs>
          <w:tab w:val="left" w:pos="1814"/>
          <w:tab w:val="left" w:pos="2381"/>
          <w:tab w:val="left" w:pos="2694"/>
          <w:tab w:val="left" w:pos="2948"/>
          <w:tab w:val="left" w:pos="3515"/>
        </w:tabs>
        <w:spacing w:after="120" w:line="220" w:lineRule="atLeast"/>
        <w:ind w:left="1448" w:hanging="823"/>
        <w:rPr>
          <w:rFonts w:eastAsia="Times New Roman"/>
          <w:color w:val="auto"/>
          <w:szCs w:val="22"/>
          <w:lang w:eastAsia="en-AU"/>
        </w:rPr>
      </w:pPr>
      <w:r w:rsidRPr="00FF6894">
        <w:rPr>
          <w:rFonts w:eastAsia="Times New Roman"/>
          <w:color w:val="auto"/>
          <w:szCs w:val="22"/>
          <w:lang w:eastAsia="en-AU"/>
        </w:rPr>
        <w:tab/>
        <w:t>(v) The total warming impact and total costs associated with these alternatives and the systems where they are used;</w:t>
      </w:r>
    </w:p>
    <w:p w:rsidR="00C71567" w:rsidRDefault="00C71567" w:rsidP="00C71567">
      <w:pPr>
        <w:keepNext/>
        <w:keepLines/>
        <w:suppressAutoHyphens/>
        <w:spacing w:before="120" w:after="120" w:line="220" w:lineRule="atLeast"/>
        <w:ind w:right="567" w:firstLine="1"/>
        <w:rPr>
          <w:rFonts w:eastAsia="Times New Roman"/>
          <w:color w:val="auto"/>
          <w:szCs w:val="22"/>
          <w:lang w:eastAsia="en-AU"/>
        </w:rPr>
      </w:pPr>
      <w:r w:rsidRPr="00FF6894">
        <w:rPr>
          <w:rFonts w:eastAsia="Times New Roman"/>
          <w:color w:val="auto"/>
          <w:szCs w:val="22"/>
          <w:lang w:eastAsia="en-AU"/>
        </w:rPr>
        <w:t>(b)</w:t>
      </w:r>
      <w:r w:rsidRPr="00FF6894">
        <w:rPr>
          <w:rFonts w:eastAsia="Times New Roman"/>
          <w:color w:val="auto"/>
          <w:szCs w:val="22"/>
          <w:lang w:eastAsia="en-AU"/>
        </w:rPr>
        <w:tab/>
        <w:t>Update and extend to 2050 all the scenarios in the Decision XXVI/9 report.</w:t>
      </w:r>
    </w:p>
    <w:p w:rsidR="00C71567" w:rsidRDefault="00C71567" w:rsidP="00C71567">
      <w:pPr>
        <w:pStyle w:val="Indentedbodytext"/>
        <w:rPr>
          <w:lang w:eastAsia="zh-CN"/>
        </w:rPr>
      </w:pPr>
    </w:p>
    <w:p w:rsidR="00C71567" w:rsidRDefault="00C71567" w:rsidP="00C71567">
      <w:pPr>
        <w:pStyle w:val="Heading2"/>
      </w:pPr>
      <w:bookmarkStart w:id="22" w:name="_Toc431249358"/>
      <w:bookmarkStart w:id="23" w:name="_Toc452653353"/>
      <w:r>
        <w:t>1</w:t>
      </w:r>
      <w:r w:rsidRPr="003043AC">
        <w:t>.3</w:t>
      </w:r>
      <w:r w:rsidRPr="003043AC">
        <w:tab/>
        <w:t>Composition</w:t>
      </w:r>
      <w:r>
        <w:t xml:space="preserve"> of the Task Force</w:t>
      </w:r>
      <w:bookmarkEnd w:id="22"/>
      <w:r>
        <w:t xml:space="preserve"> and </w:t>
      </w:r>
      <w:r w:rsidR="00CE42E3">
        <w:t>a</w:t>
      </w:r>
      <w:r>
        <w:t>pproach</w:t>
      </w:r>
      <w:bookmarkEnd w:id="23"/>
    </w:p>
    <w:p w:rsidR="00C71567" w:rsidRPr="00EC433A" w:rsidRDefault="00C71567" w:rsidP="00C71567">
      <w:pPr>
        <w:tabs>
          <w:tab w:val="left" w:pos="2160"/>
          <w:tab w:val="left" w:pos="2880"/>
          <w:tab w:val="left" w:pos="3600"/>
          <w:tab w:val="left" w:pos="4320"/>
          <w:tab w:val="left" w:pos="5040"/>
          <w:tab w:val="left" w:pos="6480"/>
          <w:tab w:val="left" w:pos="7200"/>
          <w:tab w:val="left" w:pos="7920"/>
        </w:tabs>
        <w:spacing w:after="120"/>
      </w:pPr>
      <w:r>
        <w:t xml:space="preserve">The TEAP established a Task Force to prepare the reports responding to Decision XXVII/4. </w:t>
      </w:r>
      <w:r w:rsidRPr="00EC433A">
        <w:t xml:space="preserve">The </w:t>
      </w:r>
      <w:r w:rsidR="009D2CB6">
        <w:t xml:space="preserve">updated </w:t>
      </w:r>
      <w:r w:rsidRPr="00EC433A">
        <w:t>composition of the Task Force is as follows:</w:t>
      </w:r>
    </w:p>
    <w:p w:rsidR="00C71567" w:rsidRPr="00EC433A" w:rsidRDefault="00C71567" w:rsidP="00C71567">
      <w:pPr>
        <w:tabs>
          <w:tab w:val="left" w:pos="2160"/>
          <w:tab w:val="left" w:pos="2880"/>
          <w:tab w:val="left" w:pos="3600"/>
          <w:tab w:val="left" w:pos="4320"/>
          <w:tab w:val="left" w:pos="5040"/>
          <w:tab w:val="left" w:pos="6480"/>
          <w:tab w:val="left" w:pos="7200"/>
          <w:tab w:val="left" w:pos="7920"/>
        </w:tabs>
      </w:pPr>
      <w:r w:rsidRPr="00EC433A">
        <w:t>Co-chairs</w:t>
      </w:r>
    </w:p>
    <w:p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Lambert Kuijpers (The Netherlands, S</w:t>
      </w:r>
      <w:r w:rsidR="007C4A66" w:rsidRPr="00EC433A">
        <w:t xml:space="preserve">enior </w:t>
      </w:r>
      <w:r w:rsidRPr="00EC433A">
        <w:t>E</w:t>
      </w:r>
      <w:r w:rsidR="007C4A66" w:rsidRPr="00EC433A">
        <w:t>xpert</w:t>
      </w:r>
      <w:r w:rsidRPr="00EC433A">
        <w:t xml:space="preserve"> member TEAP, RTOC)</w:t>
      </w:r>
    </w:p>
    <w:p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 xml:space="preserve">Bella Maranion (USA, co-chair TEAP) </w:t>
      </w:r>
    </w:p>
    <w:p w:rsidR="00C71567" w:rsidRPr="00EC433A"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Roberto Peixoto (Brazil, co-chair RTOC)</w:t>
      </w:r>
    </w:p>
    <w:p w:rsidR="00C71567" w:rsidRPr="00EC433A" w:rsidRDefault="00C71567" w:rsidP="00C71567">
      <w:pPr>
        <w:keepNext/>
        <w:tabs>
          <w:tab w:val="left" w:pos="720"/>
          <w:tab w:val="center" w:pos="3870"/>
          <w:tab w:val="left" w:pos="4320"/>
          <w:tab w:val="left" w:pos="5040"/>
          <w:tab w:val="left" w:pos="6480"/>
          <w:tab w:val="left" w:pos="7200"/>
          <w:tab w:val="left" w:pos="7920"/>
        </w:tabs>
      </w:pPr>
      <w:r w:rsidRPr="00EC433A">
        <w:t>Members:</w:t>
      </w:r>
    </w:p>
    <w:p w:rsidR="003A3F19" w:rsidRDefault="003A3F19" w:rsidP="00C71567">
      <w:pPr>
        <w:numPr>
          <w:ilvl w:val="0"/>
          <w:numId w:val="2"/>
        </w:numPr>
        <w:tabs>
          <w:tab w:val="clear" w:pos="360"/>
        </w:tabs>
        <w:ind w:left="180" w:firstLine="0"/>
        <w:rPr>
          <w:szCs w:val="22"/>
        </w:rPr>
      </w:pPr>
      <w:r>
        <w:rPr>
          <w:szCs w:val="22"/>
        </w:rPr>
        <w:t>Radim Cermak (CZ, member RTOC)</w:t>
      </w:r>
    </w:p>
    <w:p w:rsidR="00C71567" w:rsidRPr="00EC433A" w:rsidRDefault="00C71567" w:rsidP="00C71567">
      <w:pPr>
        <w:numPr>
          <w:ilvl w:val="0"/>
          <w:numId w:val="2"/>
        </w:numPr>
        <w:tabs>
          <w:tab w:val="clear" w:pos="360"/>
        </w:tabs>
        <w:ind w:left="180" w:firstLine="0"/>
        <w:rPr>
          <w:szCs w:val="22"/>
        </w:rPr>
      </w:pPr>
      <w:r w:rsidRPr="00EC433A">
        <w:rPr>
          <w:szCs w:val="22"/>
        </w:rPr>
        <w:t>Denis Clodic (F</w:t>
      </w:r>
      <w:r w:rsidR="007118F9" w:rsidRPr="00EC433A">
        <w:rPr>
          <w:szCs w:val="22"/>
        </w:rPr>
        <w:t>rance</w:t>
      </w:r>
      <w:r w:rsidRPr="00EC433A">
        <w:rPr>
          <w:szCs w:val="22"/>
        </w:rPr>
        <w:t xml:space="preserve">, outside expert) </w:t>
      </w:r>
    </w:p>
    <w:p w:rsidR="00C71567" w:rsidRPr="00EC433A" w:rsidRDefault="00C71567" w:rsidP="00C71567">
      <w:pPr>
        <w:numPr>
          <w:ilvl w:val="0"/>
          <w:numId w:val="2"/>
        </w:numPr>
        <w:tabs>
          <w:tab w:val="clear" w:pos="360"/>
        </w:tabs>
        <w:ind w:left="180" w:firstLine="0"/>
        <w:rPr>
          <w:szCs w:val="22"/>
        </w:rPr>
      </w:pPr>
      <w:r w:rsidRPr="00EC433A">
        <w:rPr>
          <w:szCs w:val="22"/>
        </w:rPr>
        <w:t>Daniel Colbourne (UK, member RTOC)</w:t>
      </w:r>
    </w:p>
    <w:p w:rsidR="00C71567" w:rsidRPr="00EC433A" w:rsidRDefault="00C71567" w:rsidP="00C71567">
      <w:pPr>
        <w:numPr>
          <w:ilvl w:val="0"/>
          <w:numId w:val="2"/>
        </w:numPr>
        <w:tabs>
          <w:tab w:val="clear" w:pos="360"/>
        </w:tabs>
        <w:ind w:left="180" w:firstLine="0"/>
        <w:rPr>
          <w:color w:val="auto"/>
          <w:szCs w:val="22"/>
        </w:rPr>
      </w:pPr>
      <w:r w:rsidRPr="00EC433A">
        <w:rPr>
          <w:color w:val="auto"/>
          <w:szCs w:val="22"/>
        </w:rPr>
        <w:t>Martin</w:t>
      </w:r>
      <w:r w:rsidR="00EC433A">
        <w:rPr>
          <w:color w:val="auto"/>
          <w:szCs w:val="22"/>
        </w:rPr>
        <w:t xml:space="preserve"> Dieryckx </w:t>
      </w:r>
      <w:r w:rsidRPr="00EC433A">
        <w:rPr>
          <w:szCs w:val="22"/>
        </w:rPr>
        <w:t>(Belgium, member RTOC)</w:t>
      </w:r>
    </w:p>
    <w:p w:rsidR="00C71567" w:rsidRPr="00EC433A" w:rsidRDefault="00C71567" w:rsidP="00C71567">
      <w:pPr>
        <w:numPr>
          <w:ilvl w:val="0"/>
          <w:numId w:val="2"/>
        </w:numPr>
        <w:tabs>
          <w:tab w:val="clear" w:pos="360"/>
        </w:tabs>
        <w:ind w:left="180" w:firstLine="0"/>
        <w:rPr>
          <w:szCs w:val="22"/>
        </w:rPr>
      </w:pPr>
      <w:r w:rsidRPr="00EC433A">
        <w:rPr>
          <w:szCs w:val="22"/>
        </w:rPr>
        <w:t>Piotr Domanski (USA, outside expert (NIST))</w:t>
      </w:r>
    </w:p>
    <w:p w:rsidR="00C71567" w:rsidRPr="00EC433A" w:rsidRDefault="00C71567" w:rsidP="00C71567">
      <w:pPr>
        <w:numPr>
          <w:ilvl w:val="0"/>
          <w:numId w:val="2"/>
        </w:numPr>
        <w:tabs>
          <w:tab w:val="clear" w:pos="360"/>
        </w:tabs>
        <w:ind w:left="180" w:firstLine="0"/>
        <w:rPr>
          <w:szCs w:val="22"/>
        </w:rPr>
      </w:pPr>
      <w:r w:rsidRPr="00EC433A">
        <w:rPr>
          <w:szCs w:val="22"/>
        </w:rPr>
        <w:t>Dave Godwin (USA, member RTOC)</w:t>
      </w:r>
    </w:p>
    <w:p w:rsidR="00C71567" w:rsidRPr="00EC433A" w:rsidRDefault="00C71567" w:rsidP="00C71567">
      <w:pPr>
        <w:numPr>
          <w:ilvl w:val="0"/>
          <w:numId w:val="2"/>
        </w:numPr>
        <w:tabs>
          <w:tab w:val="clear" w:pos="360"/>
        </w:tabs>
        <w:ind w:left="180" w:firstLine="0"/>
        <w:rPr>
          <w:szCs w:val="22"/>
        </w:rPr>
      </w:pPr>
      <w:r w:rsidRPr="00EC433A">
        <w:rPr>
          <w:szCs w:val="22"/>
        </w:rPr>
        <w:t>Bassam Elassaad (Lebanon, member RTOC)</w:t>
      </w:r>
    </w:p>
    <w:p w:rsidR="00C71567" w:rsidRPr="00EC433A" w:rsidRDefault="00C71567" w:rsidP="00C71567">
      <w:pPr>
        <w:numPr>
          <w:ilvl w:val="0"/>
          <w:numId w:val="2"/>
        </w:numPr>
        <w:tabs>
          <w:tab w:val="clear" w:pos="360"/>
        </w:tabs>
        <w:ind w:left="180" w:firstLine="0"/>
        <w:rPr>
          <w:szCs w:val="22"/>
        </w:rPr>
      </w:pPr>
      <w:r w:rsidRPr="00EC433A">
        <w:rPr>
          <w:szCs w:val="22"/>
        </w:rPr>
        <w:t>Armin Hafner (Norway, outside expert)</w:t>
      </w:r>
    </w:p>
    <w:p w:rsidR="00C71567" w:rsidRPr="00EC433A" w:rsidRDefault="00C71567" w:rsidP="00C71567">
      <w:pPr>
        <w:numPr>
          <w:ilvl w:val="0"/>
          <w:numId w:val="2"/>
        </w:numPr>
        <w:tabs>
          <w:tab w:val="clear" w:pos="360"/>
        </w:tabs>
        <w:ind w:left="180" w:firstLine="0"/>
        <w:rPr>
          <w:szCs w:val="22"/>
        </w:rPr>
      </w:pPr>
      <w:r w:rsidRPr="00EC433A">
        <w:rPr>
          <w:szCs w:val="22"/>
        </w:rPr>
        <w:t>Samir Hamed (Jordan, member RTOC)</w:t>
      </w:r>
    </w:p>
    <w:p w:rsidR="00C71567" w:rsidRPr="00EC433A" w:rsidRDefault="00C71567" w:rsidP="00C71567">
      <w:pPr>
        <w:numPr>
          <w:ilvl w:val="0"/>
          <w:numId w:val="2"/>
        </w:numPr>
        <w:tabs>
          <w:tab w:val="clear" w:pos="360"/>
        </w:tabs>
        <w:ind w:left="180" w:firstLine="0"/>
      </w:pPr>
      <w:r w:rsidRPr="00EC433A">
        <w:t xml:space="preserve">D. Mohin Lal (India, member RTOC) </w:t>
      </w:r>
    </w:p>
    <w:p w:rsidR="00C71567" w:rsidRPr="00EC433A" w:rsidRDefault="00C71567" w:rsidP="00C71567">
      <w:pPr>
        <w:numPr>
          <w:ilvl w:val="0"/>
          <w:numId w:val="2"/>
        </w:numPr>
        <w:tabs>
          <w:tab w:val="clear" w:pos="360"/>
        </w:tabs>
        <w:ind w:left="180" w:firstLine="0"/>
      </w:pPr>
      <w:r w:rsidRPr="00EC433A">
        <w:rPr>
          <w:szCs w:val="22"/>
        </w:rPr>
        <w:t>Richard Lawton (UK, member RTOC)</w:t>
      </w:r>
    </w:p>
    <w:p w:rsidR="00C71567" w:rsidRPr="00EC433A" w:rsidRDefault="00C71567" w:rsidP="00C71567">
      <w:pPr>
        <w:numPr>
          <w:ilvl w:val="0"/>
          <w:numId w:val="2"/>
        </w:numPr>
        <w:tabs>
          <w:tab w:val="clear" w:pos="360"/>
        </w:tabs>
        <w:ind w:left="180" w:firstLine="0"/>
        <w:rPr>
          <w:lang w:val="nl-NL"/>
        </w:rPr>
      </w:pPr>
      <w:r w:rsidRPr="00EC433A">
        <w:rPr>
          <w:szCs w:val="22"/>
          <w:lang w:val="nl-NL"/>
        </w:rPr>
        <w:t>Simon Lee (UK, member FTOC)</w:t>
      </w:r>
    </w:p>
    <w:p w:rsidR="00C71567" w:rsidRPr="00EC433A" w:rsidRDefault="00C71567" w:rsidP="00C71567">
      <w:pPr>
        <w:numPr>
          <w:ilvl w:val="0"/>
          <w:numId w:val="2"/>
        </w:numPr>
        <w:tabs>
          <w:tab w:val="clear" w:pos="360"/>
        </w:tabs>
        <w:ind w:left="180" w:firstLine="0"/>
      </w:pPr>
      <w:r w:rsidRPr="00EC433A">
        <w:rPr>
          <w:szCs w:val="22"/>
        </w:rPr>
        <w:t>T</w:t>
      </w:r>
      <w:r w:rsidRPr="00EC433A">
        <w:t xml:space="preserve">ingxun Li (PR China, </w:t>
      </w:r>
      <w:r w:rsidR="007C4A66" w:rsidRPr="00EC433A">
        <w:t xml:space="preserve">member </w:t>
      </w:r>
      <w:r w:rsidRPr="00EC433A">
        <w:t>RTOC)</w:t>
      </w:r>
    </w:p>
    <w:p w:rsidR="00C71567" w:rsidRPr="00EC433A" w:rsidRDefault="00C71567" w:rsidP="00C71567">
      <w:pPr>
        <w:numPr>
          <w:ilvl w:val="0"/>
          <w:numId w:val="2"/>
        </w:numPr>
        <w:tabs>
          <w:tab w:val="clear" w:pos="360"/>
        </w:tabs>
        <w:ind w:left="180" w:firstLine="0"/>
        <w:rPr>
          <w:szCs w:val="22"/>
        </w:rPr>
      </w:pPr>
      <w:r w:rsidRPr="00EC433A">
        <w:rPr>
          <w:szCs w:val="22"/>
        </w:rPr>
        <w:t>Richard Lord (USA, outside expert)</w:t>
      </w:r>
    </w:p>
    <w:p w:rsidR="00C71567" w:rsidRDefault="00C71567" w:rsidP="00C71567">
      <w:pPr>
        <w:numPr>
          <w:ilvl w:val="0"/>
          <w:numId w:val="2"/>
        </w:numPr>
        <w:tabs>
          <w:tab w:val="clear" w:pos="360"/>
        </w:tabs>
        <w:ind w:left="180" w:firstLine="0"/>
      </w:pPr>
      <w:r w:rsidRPr="00EC433A">
        <w:t>Carloandrea Malvicino (Italy, member RTOC)</w:t>
      </w:r>
    </w:p>
    <w:p w:rsidR="00C40D49" w:rsidRPr="00EC433A" w:rsidRDefault="00C40D49" w:rsidP="00C40D49">
      <w:pPr>
        <w:numPr>
          <w:ilvl w:val="0"/>
          <w:numId w:val="2"/>
        </w:numPr>
        <w:tabs>
          <w:tab w:val="clear" w:pos="360"/>
        </w:tabs>
        <w:ind w:left="180" w:firstLine="0"/>
      </w:pPr>
      <w:r w:rsidRPr="00C40D49">
        <w:t>Petter Nekså</w:t>
      </w:r>
      <w:r>
        <w:t xml:space="preserve"> (Norway, member RTOC)</w:t>
      </w:r>
    </w:p>
    <w:p w:rsidR="00C71567" w:rsidRPr="00EC433A" w:rsidRDefault="00C71567" w:rsidP="00C71567">
      <w:pPr>
        <w:numPr>
          <w:ilvl w:val="0"/>
          <w:numId w:val="2"/>
        </w:numPr>
        <w:tabs>
          <w:tab w:val="clear" w:pos="360"/>
        </w:tabs>
        <w:ind w:left="180" w:firstLine="0"/>
      </w:pPr>
      <w:r w:rsidRPr="00EC433A">
        <w:t xml:space="preserve">Keiichi Ohnishi (Japan, co-chair </w:t>
      </w:r>
      <w:r w:rsidR="007C4A66" w:rsidRPr="00EC433A">
        <w:t>M</w:t>
      </w:r>
      <w:r w:rsidRPr="00EC433A">
        <w:t>CTOC)</w:t>
      </w:r>
    </w:p>
    <w:p w:rsidR="008A7239" w:rsidRDefault="00C71567"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rsidRPr="00EC433A">
        <w:t xml:space="preserve">Alaa A. Olama (Egypt, </w:t>
      </w:r>
      <w:r w:rsidR="007C4A66" w:rsidRPr="00EC433A">
        <w:t xml:space="preserve">member </w:t>
      </w:r>
      <w:r w:rsidRPr="00EC433A">
        <w:t>RTOC)</w:t>
      </w:r>
    </w:p>
    <w:p w:rsidR="00C71567" w:rsidRPr="00EC433A" w:rsidRDefault="008A7239" w:rsidP="00C71567">
      <w:pPr>
        <w:numPr>
          <w:ilvl w:val="0"/>
          <w:numId w:val="2"/>
        </w:numPr>
        <w:tabs>
          <w:tab w:val="clear" w:pos="360"/>
          <w:tab w:val="left" w:pos="720"/>
          <w:tab w:val="center" w:pos="3870"/>
          <w:tab w:val="left" w:pos="4320"/>
          <w:tab w:val="left" w:pos="5040"/>
          <w:tab w:val="left" w:pos="6480"/>
          <w:tab w:val="left" w:pos="7200"/>
          <w:tab w:val="left" w:pos="7920"/>
        </w:tabs>
        <w:ind w:left="180" w:firstLine="0"/>
      </w:pPr>
      <w:r>
        <w:t>Alexander C. Pachai (Denmark, member RTOC)</w:t>
      </w:r>
      <w:r w:rsidR="00C71567" w:rsidRPr="00EC433A">
        <w:t xml:space="preserve"> </w:t>
      </w:r>
    </w:p>
    <w:p w:rsidR="00C71567" w:rsidRPr="00EC433A" w:rsidRDefault="00C71567" w:rsidP="00C71567">
      <w:pPr>
        <w:numPr>
          <w:ilvl w:val="0"/>
          <w:numId w:val="2"/>
        </w:numPr>
        <w:tabs>
          <w:tab w:val="clear" w:pos="360"/>
        </w:tabs>
        <w:ind w:left="180" w:firstLine="0"/>
      </w:pPr>
      <w:r w:rsidRPr="00EC433A">
        <w:t xml:space="preserve">Xueqin Pan (France, outside </w:t>
      </w:r>
      <w:r w:rsidR="007118F9" w:rsidRPr="00EC433A">
        <w:t>expert</w:t>
      </w:r>
      <w:r w:rsidRPr="00EC433A">
        <w:t>)</w:t>
      </w:r>
    </w:p>
    <w:p w:rsidR="00C71567" w:rsidRPr="00EC433A" w:rsidRDefault="00C71567" w:rsidP="00C71567">
      <w:pPr>
        <w:numPr>
          <w:ilvl w:val="0"/>
          <w:numId w:val="2"/>
        </w:numPr>
        <w:tabs>
          <w:tab w:val="clear" w:pos="360"/>
        </w:tabs>
        <w:ind w:left="180" w:firstLine="0"/>
      </w:pPr>
      <w:r w:rsidRPr="00EC433A">
        <w:t xml:space="preserve">Fabio Polonara (Italy, co-chair RTOC) </w:t>
      </w:r>
    </w:p>
    <w:p w:rsidR="00C71567" w:rsidRPr="00EC433A" w:rsidRDefault="00C71567" w:rsidP="00C71567">
      <w:pPr>
        <w:numPr>
          <w:ilvl w:val="0"/>
          <w:numId w:val="2"/>
        </w:numPr>
        <w:tabs>
          <w:tab w:val="clear" w:pos="360"/>
        </w:tabs>
        <w:ind w:left="180" w:firstLine="0"/>
      </w:pPr>
      <w:r w:rsidRPr="00EC433A">
        <w:t xml:space="preserve">Rajan Rajendran (USA, </w:t>
      </w:r>
      <w:r w:rsidR="007C4A66" w:rsidRPr="00EC433A">
        <w:t xml:space="preserve">member </w:t>
      </w:r>
      <w:r w:rsidRPr="00EC433A">
        <w:t>RTOC)</w:t>
      </w:r>
    </w:p>
    <w:p w:rsidR="00C71567" w:rsidRPr="00EC433A" w:rsidRDefault="00C71567" w:rsidP="00C71567">
      <w:pPr>
        <w:numPr>
          <w:ilvl w:val="0"/>
          <w:numId w:val="2"/>
        </w:numPr>
        <w:tabs>
          <w:tab w:val="clear" w:pos="360"/>
        </w:tabs>
        <w:ind w:left="180" w:firstLine="0"/>
      </w:pPr>
      <w:r w:rsidRPr="00EC433A">
        <w:t>Helen Tope (Australia, co-chair M</w:t>
      </w:r>
      <w:r w:rsidR="007C4A66" w:rsidRPr="00EC433A">
        <w:t>C</w:t>
      </w:r>
      <w:r w:rsidRPr="00EC433A">
        <w:t>TOC)</w:t>
      </w:r>
    </w:p>
    <w:p w:rsidR="00C71567" w:rsidRPr="00EC433A" w:rsidRDefault="00C71567" w:rsidP="00C71567">
      <w:pPr>
        <w:numPr>
          <w:ilvl w:val="0"/>
          <w:numId w:val="2"/>
        </w:numPr>
        <w:tabs>
          <w:tab w:val="clear" w:pos="360"/>
        </w:tabs>
        <w:ind w:left="180" w:firstLine="0"/>
      </w:pPr>
      <w:r w:rsidRPr="00EC433A">
        <w:t>Dan Verdonik (USA, co-chair HTOC)</w:t>
      </w:r>
    </w:p>
    <w:p w:rsidR="00C71567" w:rsidRPr="00EC433A" w:rsidRDefault="00C71567" w:rsidP="00C71567">
      <w:pPr>
        <w:numPr>
          <w:ilvl w:val="0"/>
          <w:numId w:val="2"/>
        </w:numPr>
        <w:tabs>
          <w:tab w:val="clear" w:pos="360"/>
        </w:tabs>
        <w:ind w:left="180" w:firstLine="0"/>
      </w:pPr>
      <w:r w:rsidRPr="00EC433A">
        <w:t>Samuel Yana-Motta (Peru, member RTOC)</w:t>
      </w:r>
    </w:p>
    <w:p w:rsidR="00C71567" w:rsidRPr="00EC433A" w:rsidRDefault="00C71567" w:rsidP="00C71567">
      <w:pPr>
        <w:numPr>
          <w:ilvl w:val="0"/>
          <w:numId w:val="2"/>
        </w:numPr>
        <w:tabs>
          <w:tab w:val="clear" w:pos="360"/>
        </w:tabs>
        <w:ind w:left="180" w:firstLine="0"/>
      </w:pPr>
      <w:r w:rsidRPr="00EC433A">
        <w:t>Asbjørn Vonsild (Denmark, member RTOC)</w:t>
      </w:r>
    </w:p>
    <w:p w:rsidR="00C71567" w:rsidRPr="00EC433A" w:rsidRDefault="00C71567" w:rsidP="00C71567">
      <w:pPr>
        <w:numPr>
          <w:ilvl w:val="0"/>
          <w:numId w:val="2"/>
        </w:numPr>
        <w:tabs>
          <w:tab w:val="clear" w:pos="360"/>
        </w:tabs>
        <w:ind w:left="180" w:firstLine="0"/>
      </w:pPr>
      <w:r w:rsidRPr="00EC433A">
        <w:t>Jianjun Zhang (PR China, c</w:t>
      </w:r>
      <w:r w:rsidR="008A7239">
        <w:t>o</w:t>
      </w:r>
      <w:r w:rsidRPr="00EC433A">
        <w:t>-chair M</w:t>
      </w:r>
      <w:r w:rsidR="007C4A66" w:rsidRPr="00EC433A">
        <w:t>C</w:t>
      </w:r>
      <w:r w:rsidRPr="00EC433A">
        <w:t>TOC)</w:t>
      </w:r>
    </w:p>
    <w:p w:rsidR="00C71567" w:rsidRPr="00EC433A" w:rsidRDefault="00C71567" w:rsidP="00C71567">
      <w:pPr>
        <w:numPr>
          <w:ilvl w:val="0"/>
          <w:numId w:val="2"/>
        </w:numPr>
        <w:tabs>
          <w:tab w:val="clear" w:pos="360"/>
        </w:tabs>
        <w:ind w:left="180" w:firstLine="0"/>
      </w:pPr>
      <w:r w:rsidRPr="00EC433A">
        <w:t xml:space="preserve">Shiqiu Zhang (PR China, Senior Expert </w:t>
      </w:r>
      <w:r w:rsidR="007C4A66" w:rsidRPr="00EC433A">
        <w:t xml:space="preserve">member </w:t>
      </w:r>
      <w:r w:rsidRPr="00EC433A">
        <w:t>TEAP)</w:t>
      </w:r>
      <w:r w:rsidRPr="00EC433A">
        <w:rPr>
          <w:sz w:val="16"/>
          <w:szCs w:val="16"/>
        </w:rPr>
        <w:t xml:space="preserve"> </w:t>
      </w:r>
    </w:p>
    <w:p w:rsidR="00C71567" w:rsidRPr="00EC433A" w:rsidRDefault="00C71567" w:rsidP="00C71567">
      <w:pPr>
        <w:tabs>
          <w:tab w:val="left" w:pos="720"/>
          <w:tab w:val="center" w:pos="3870"/>
          <w:tab w:val="left" w:pos="4320"/>
          <w:tab w:val="left" w:pos="5040"/>
          <w:tab w:val="left" w:pos="6480"/>
          <w:tab w:val="left" w:pos="7200"/>
          <w:tab w:val="left" w:pos="7920"/>
        </w:tabs>
        <w:ind w:left="180"/>
      </w:pPr>
    </w:p>
    <w:p w:rsidR="00C71567" w:rsidRPr="00EC433A" w:rsidRDefault="00C71567" w:rsidP="00C71567">
      <w:pPr>
        <w:spacing w:after="120"/>
      </w:pPr>
      <w:r w:rsidRPr="00EC433A">
        <w:t xml:space="preserve">The structure of the TEAP XXVII/4 Task Force Report was considered by the Task Force and also by TEAP prior to the final formulation of this </w:t>
      </w:r>
      <w:r w:rsidR="008A7239">
        <w:t xml:space="preserve">second </w:t>
      </w:r>
      <w:r w:rsidRPr="00EC433A">
        <w:t>report. The factors considered include:</w:t>
      </w:r>
    </w:p>
    <w:p w:rsidR="00C71567" w:rsidRPr="00EC433A" w:rsidRDefault="00C71567" w:rsidP="00400378">
      <w:pPr>
        <w:numPr>
          <w:ilvl w:val="0"/>
          <w:numId w:val="16"/>
        </w:numPr>
        <w:spacing w:after="120"/>
        <w:ind w:left="714" w:hanging="357"/>
      </w:pPr>
      <w:r w:rsidRPr="00EC433A">
        <w:lastRenderedPageBreak/>
        <w:t>The relatively short period between</w:t>
      </w:r>
      <w:r w:rsidR="002F3542">
        <w:t xml:space="preserve"> the delivery of the final XXVI</w:t>
      </w:r>
      <w:r w:rsidRPr="00EC433A">
        <w:t xml:space="preserve">/9 Report (September 2015) and the preparation of the first </w:t>
      </w:r>
      <w:r w:rsidR="009D2CB6">
        <w:t xml:space="preserve">report to OEWG-37 </w:t>
      </w:r>
      <w:r w:rsidR="008A7239">
        <w:t xml:space="preserve">and second </w:t>
      </w:r>
      <w:r w:rsidRPr="00EC433A">
        <w:t>XXVII/4 Report to be submitted for OEWG-3</w:t>
      </w:r>
      <w:r w:rsidR="008A7239">
        <w:t>8</w:t>
      </w:r>
      <w:r w:rsidRPr="00EC433A">
        <w:t>.</w:t>
      </w:r>
    </w:p>
    <w:p w:rsidR="00C71567" w:rsidRPr="00EC433A" w:rsidRDefault="00C71567" w:rsidP="00400378">
      <w:pPr>
        <w:numPr>
          <w:ilvl w:val="0"/>
          <w:numId w:val="16"/>
        </w:numPr>
        <w:spacing w:after="120"/>
        <w:ind w:left="714" w:hanging="357"/>
      </w:pPr>
      <w:r w:rsidRPr="00EC433A">
        <w:t>The similarity of the criteria set out within Decision XXVII/4 and Decision XXVI/9.</w:t>
      </w:r>
    </w:p>
    <w:p w:rsidR="00C71567" w:rsidRPr="00EC433A" w:rsidRDefault="00C71567" w:rsidP="00400378">
      <w:pPr>
        <w:numPr>
          <w:ilvl w:val="0"/>
          <w:numId w:val="16"/>
        </w:numPr>
        <w:spacing w:after="120"/>
        <w:ind w:left="714" w:hanging="357"/>
      </w:pPr>
      <w:r w:rsidRPr="00EC433A">
        <w:t xml:space="preserve">The importance of avoiding too much repetition and bringing focus on updated information from the previous report. </w:t>
      </w:r>
    </w:p>
    <w:p w:rsidR="00C71567" w:rsidRPr="00EC433A" w:rsidRDefault="00C71567" w:rsidP="00C71567">
      <w:pPr>
        <w:numPr>
          <w:ilvl w:val="0"/>
          <w:numId w:val="16"/>
        </w:numPr>
        <w:spacing w:after="120"/>
      </w:pPr>
      <w:r w:rsidRPr="00EC433A">
        <w:t xml:space="preserve">Recognition that some sectors (specifically refrigeration, air conditioning and foam) have data which allow for the characterisation of a Business-As-Usual (BAU) case and related mitigation scenarios. Recognition that other sectors (specifically fire protection, solvents and medical uses) do not have reliable data from which relevant mitigation scenarios can be derived or for which mitigation scenarios were not derived. </w:t>
      </w:r>
    </w:p>
    <w:p w:rsidR="00C71567" w:rsidRPr="00EC433A" w:rsidRDefault="00C71567" w:rsidP="00C71567">
      <w:pPr>
        <w:spacing w:after="240"/>
      </w:pPr>
      <w:r w:rsidRPr="00EC433A">
        <w:t xml:space="preserve">Given the two OEWG meetings, TEAP has taken an approach of providing </w:t>
      </w:r>
      <w:r w:rsidRPr="00AD5DD6">
        <w:t>a</w:t>
      </w:r>
      <w:r w:rsidR="00DB3EF8">
        <w:t xml:space="preserve"> </w:t>
      </w:r>
      <w:r w:rsidRPr="00AD5DD6">
        <w:t>r</w:t>
      </w:r>
      <w:r w:rsidRPr="006D7E05">
        <w:t>esponse</w:t>
      </w:r>
      <w:r w:rsidRPr="00EC433A">
        <w:t xml:space="preserve"> to Decision XXVII/4 as follows:</w:t>
      </w:r>
    </w:p>
    <w:p w:rsidR="00C71567" w:rsidRPr="00EC433A" w:rsidRDefault="00C71567" w:rsidP="00400378">
      <w:pPr>
        <w:numPr>
          <w:ilvl w:val="0"/>
          <w:numId w:val="27"/>
        </w:numPr>
        <w:spacing w:after="120"/>
        <w:ind w:left="720" w:hanging="357"/>
      </w:pPr>
      <w:r w:rsidRPr="00EC433A">
        <w:t>For OEWG-37, TEAP provid</w:t>
      </w:r>
      <w:r w:rsidR="008A7239">
        <w:t>ed</w:t>
      </w:r>
      <w:r w:rsidRPr="00EC433A">
        <w:t xml:space="preserve"> </w:t>
      </w:r>
      <w:r w:rsidR="008A7239">
        <w:t>a</w:t>
      </w:r>
      <w:r w:rsidRPr="00EC433A">
        <w:t xml:space="preserve"> first Task Force report focused on R</w:t>
      </w:r>
      <w:r w:rsidR="007C4A66" w:rsidRPr="00EC433A">
        <w:t>/</w:t>
      </w:r>
      <w:r w:rsidRPr="00EC433A">
        <w:t>AC only addressing the relevant paragraphs under paragraph 1(a) of the decision including updates on alternatives, research studies on alternatives under high ambient temperature conditions, and extension of mitigation scenarios to 2050.</w:t>
      </w:r>
    </w:p>
    <w:p w:rsidR="00C71567" w:rsidRPr="00EC433A" w:rsidRDefault="00C71567" w:rsidP="00400378">
      <w:pPr>
        <w:numPr>
          <w:ilvl w:val="0"/>
          <w:numId w:val="27"/>
        </w:numPr>
        <w:spacing w:after="120"/>
        <w:ind w:left="720" w:hanging="357"/>
      </w:pPr>
      <w:r w:rsidRPr="00EC433A">
        <w:t xml:space="preserve">For OEWG-38, TEAP is </w:t>
      </w:r>
      <w:r w:rsidR="008A7239">
        <w:t xml:space="preserve">now </w:t>
      </w:r>
      <w:r w:rsidRPr="00EC433A">
        <w:t>providing a second Task Force report that incorporate</w:t>
      </w:r>
      <w:r w:rsidR="008A7239">
        <w:t>s</w:t>
      </w:r>
      <w:r w:rsidRPr="00EC433A">
        <w:t xml:space="preserve"> updates to </w:t>
      </w:r>
      <w:r w:rsidR="00EB634B">
        <w:t xml:space="preserve">the </w:t>
      </w:r>
      <w:r w:rsidR="007C4A66" w:rsidRPr="00EC433A">
        <w:t>R/AC</w:t>
      </w:r>
      <w:r w:rsidRPr="00EC433A">
        <w:t xml:space="preserve"> sector information </w:t>
      </w:r>
      <w:r w:rsidR="009D2CB6">
        <w:t xml:space="preserve">only </w:t>
      </w:r>
      <w:r w:rsidRPr="00EC433A">
        <w:t>based on discussions at OEWG-37, and responds to other parts of the decision, including information on alternatives to refrigeration systems on fishing vessels.</w:t>
      </w:r>
    </w:p>
    <w:p w:rsidR="00C71567" w:rsidRPr="00EC433A" w:rsidRDefault="00C71567" w:rsidP="009D2CB6">
      <w:pPr>
        <w:numPr>
          <w:ilvl w:val="0"/>
          <w:numId w:val="27"/>
        </w:numPr>
        <w:spacing w:after="120"/>
      </w:pPr>
      <w:r w:rsidRPr="00EC433A">
        <w:t>For MOP-28, TEAP will provide a Task Force update report, as appropriate, following discussions during OEWG-38.</w:t>
      </w:r>
      <w:r w:rsidR="00F72D7F">
        <w:t xml:space="preserve"> This will also include update chapters on foam alternatives (and scenarios), fire protection and medical and technical aerosols,  </w:t>
      </w:r>
      <w:r w:rsidR="009D2CB6" w:rsidRPr="009D2CB6">
        <w:t>to the extent new information is available</w:t>
      </w:r>
      <w:r w:rsidR="009D2CB6">
        <w:t>.</w:t>
      </w:r>
    </w:p>
    <w:p w:rsidR="00C71567" w:rsidRPr="00EC433A" w:rsidRDefault="00C71567" w:rsidP="00C71567">
      <w:pPr>
        <w:spacing w:after="240"/>
      </w:pPr>
      <w:r w:rsidRPr="00EC433A">
        <w:t xml:space="preserve">The chapter layout of this </w:t>
      </w:r>
      <w:r w:rsidR="00F72D7F">
        <w:t xml:space="preserve">June </w:t>
      </w:r>
      <w:r w:rsidRPr="00EC433A">
        <w:t>XXVII/4 Task Force report is as follows:</w:t>
      </w:r>
    </w:p>
    <w:p w:rsidR="00C71567" w:rsidRPr="00EC433A" w:rsidRDefault="00C71567" w:rsidP="00C71567">
      <w:pPr>
        <w:spacing w:after="240"/>
        <w:ind w:left="2552" w:hanging="2410"/>
        <w:rPr>
          <w:i/>
        </w:rPr>
      </w:pPr>
      <w:r w:rsidRPr="00EC433A">
        <w:rPr>
          <w:i/>
        </w:rPr>
        <w:t>Executive Summary</w:t>
      </w:r>
    </w:p>
    <w:p w:rsidR="00C71567" w:rsidRPr="00EC433A" w:rsidRDefault="00C71567" w:rsidP="00ED4435">
      <w:pPr>
        <w:spacing w:after="120"/>
        <w:ind w:left="2552" w:hanging="2410"/>
        <w:rPr>
          <w:i/>
        </w:rPr>
      </w:pPr>
      <w:r w:rsidRPr="00EC433A">
        <w:rPr>
          <w:i/>
        </w:rPr>
        <w:t>Chapter 1</w:t>
      </w:r>
      <w:r w:rsidR="00184E7E">
        <w:rPr>
          <w:i/>
        </w:rPr>
        <w:t xml:space="preserve"> -</w:t>
      </w:r>
      <w:r w:rsidRPr="00EC433A">
        <w:rPr>
          <w:i/>
        </w:rPr>
        <w:t xml:space="preserve"> Intro</w:t>
      </w:r>
      <w:r w:rsidR="002D7F91">
        <w:rPr>
          <w:i/>
        </w:rPr>
        <w:t>duction</w:t>
      </w:r>
    </w:p>
    <w:p w:rsidR="00C71567" w:rsidRPr="00EC433A" w:rsidRDefault="00C71567" w:rsidP="00ED4435">
      <w:pPr>
        <w:spacing w:after="120"/>
        <w:ind w:left="2552" w:hanging="2410"/>
        <w:rPr>
          <w:i/>
        </w:rPr>
      </w:pPr>
      <w:r w:rsidRPr="00EC433A">
        <w:rPr>
          <w:i/>
        </w:rPr>
        <w:t>Chapter 2</w:t>
      </w:r>
      <w:r w:rsidR="00184E7E">
        <w:rPr>
          <w:i/>
        </w:rPr>
        <w:t xml:space="preserve"> - </w:t>
      </w:r>
      <w:r w:rsidRPr="00EC433A">
        <w:rPr>
          <w:i/>
        </w:rPr>
        <w:t>Update on the status of refrigerants</w:t>
      </w:r>
    </w:p>
    <w:p w:rsidR="008A7239" w:rsidRDefault="00C71567" w:rsidP="00ED4435">
      <w:pPr>
        <w:spacing w:after="120"/>
        <w:ind w:left="2552" w:hanging="2410"/>
        <w:rPr>
          <w:i/>
        </w:rPr>
      </w:pPr>
      <w:r w:rsidRPr="00EC433A">
        <w:rPr>
          <w:i/>
        </w:rPr>
        <w:t>Chapter 3</w:t>
      </w:r>
      <w:r w:rsidR="00184E7E">
        <w:rPr>
          <w:i/>
        </w:rPr>
        <w:t xml:space="preserve"> - </w:t>
      </w:r>
      <w:r w:rsidR="008A7239">
        <w:rPr>
          <w:i/>
        </w:rPr>
        <w:t xml:space="preserve">Update on R/AC </w:t>
      </w:r>
      <w:r w:rsidR="00482188">
        <w:rPr>
          <w:i/>
        </w:rPr>
        <w:t>alternative refrigerants and technologies</w:t>
      </w:r>
    </w:p>
    <w:p w:rsidR="008A7239" w:rsidRDefault="008A7239" w:rsidP="00ED4435">
      <w:pPr>
        <w:spacing w:after="120"/>
        <w:ind w:left="2552" w:hanging="2410"/>
        <w:rPr>
          <w:i/>
        </w:rPr>
      </w:pPr>
      <w:r>
        <w:rPr>
          <w:i/>
        </w:rPr>
        <w:t>Chapter 4</w:t>
      </w:r>
      <w:r w:rsidR="00184E7E">
        <w:rPr>
          <w:i/>
        </w:rPr>
        <w:t xml:space="preserve"> - </w:t>
      </w:r>
      <w:r w:rsidR="00C40D49">
        <w:rPr>
          <w:i/>
        </w:rPr>
        <w:t xml:space="preserve">Alternatives to refrigeration systems </w:t>
      </w:r>
      <w:r>
        <w:rPr>
          <w:i/>
        </w:rPr>
        <w:t xml:space="preserve">on </w:t>
      </w:r>
      <w:r w:rsidR="00C40D49">
        <w:rPr>
          <w:i/>
        </w:rPr>
        <w:t xml:space="preserve">fishing </w:t>
      </w:r>
      <w:r>
        <w:rPr>
          <w:i/>
        </w:rPr>
        <w:t>vessels</w:t>
      </w:r>
    </w:p>
    <w:p w:rsidR="00C71567" w:rsidRDefault="008A7239" w:rsidP="00ED4435">
      <w:pPr>
        <w:spacing w:after="120"/>
        <w:ind w:left="2552" w:hanging="2410"/>
        <w:rPr>
          <w:i/>
        </w:rPr>
      </w:pPr>
      <w:r>
        <w:rPr>
          <w:i/>
        </w:rPr>
        <w:t>Chapter 5 -</w:t>
      </w:r>
      <w:r w:rsidR="00184E7E">
        <w:rPr>
          <w:i/>
        </w:rPr>
        <w:t xml:space="preserve"> </w:t>
      </w:r>
      <w:r w:rsidR="00C71567" w:rsidRPr="00EC433A">
        <w:rPr>
          <w:i/>
        </w:rPr>
        <w:t>Suitability of alternatives under high ambient temperature</w:t>
      </w:r>
      <w:r w:rsidR="00FE5164">
        <w:rPr>
          <w:i/>
        </w:rPr>
        <w:t xml:space="preserve"> </w:t>
      </w:r>
      <w:r w:rsidR="007954A2">
        <w:rPr>
          <w:i/>
        </w:rPr>
        <w:t xml:space="preserve">(HAT) </w:t>
      </w:r>
      <w:r w:rsidR="00FE5164">
        <w:rPr>
          <w:i/>
        </w:rPr>
        <w:t>condition</w:t>
      </w:r>
      <w:r w:rsidR="00C71567" w:rsidRPr="00EC433A">
        <w:rPr>
          <w:i/>
        </w:rPr>
        <w:t>s</w:t>
      </w:r>
    </w:p>
    <w:p w:rsidR="008A7239" w:rsidRDefault="008A7239" w:rsidP="00ED4435">
      <w:pPr>
        <w:spacing w:after="120"/>
        <w:ind w:left="2552" w:hanging="2410"/>
        <w:rPr>
          <w:i/>
        </w:rPr>
      </w:pPr>
      <w:r w:rsidRPr="00EC433A">
        <w:rPr>
          <w:i/>
        </w:rPr>
        <w:t xml:space="preserve">Chapter </w:t>
      </w:r>
      <w:r>
        <w:rPr>
          <w:i/>
        </w:rPr>
        <w:t>6</w:t>
      </w:r>
      <w:r w:rsidRPr="00EC433A">
        <w:rPr>
          <w:i/>
        </w:rPr>
        <w:t xml:space="preserve"> </w:t>
      </w:r>
      <w:r>
        <w:rPr>
          <w:i/>
        </w:rPr>
        <w:t xml:space="preserve">- </w:t>
      </w:r>
      <w:r w:rsidRPr="00EC433A">
        <w:rPr>
          <w:i/>
        </w:rPr>
        <w:t>BAU and MIT scenarios for A5/non-A5 countries for 1990-2050: R/AC</w:t>
      </w:r>
    </w:p>
    <w:p w:rsidR="009D2CB6" w:rsidRDefault="009D2CB6" w:rsidP="00ED4435">
      <w:pPr>
        <w:spacing w:after="120"/>
        <w:ind w:left="1163" w:hanging="1021"/>
        <w:rPr>
          <w:i/>
        </w:rPr>
      </w:pPr>
      <w:r>
        <w:rPr>
          <w:i/>
        </w:rPr>
        <w:t>Annex 1</w:t>
      </w:r>
      <w:r w:rsidR="00184E7E">
        <w:rPr>
          <w:i/>
        </w:rPr>
        <w:t xml:space="preserve">   -</w:t>
      </w:r>
      <w:r>
        <w:rPr>
          <w:i/>
        </w:rPr>
        <w:t xml:space="preserve"> Summary of informal discussion on the TEAP Decision XXVII/4 Task Force Report for OEWG-37</w:t>
      </w:r>
    </w:p>
    <w:p w:rsidR="009D2CB6" w:rsidRDefault="009D2CB6" w:rsidP="00ED4435">
      <w:pPr>
        <w:spacing w:after="120"/>
        <w:ind w:left="2552" w:hanging="2410"/>
        <w:rPr>
          <w:i/>
        </w:rPr>
      </w:pPr>
      <w:r w:rsidRPr="009D2CB6">
        <w:rPr>
          <w:i/>
        </w:rPr>
        <w:t>A</w:t>
      </w:r>
      <w:r>
        <w:rPr>
          <w:i/>
        </w:rPr>
        <w:t>nnex 2</w:t>
      </w:r>
      <w:r w:rsidR="00184E7E">
        <w:rPr>
          <w:i/>
        </w:rPr>
        <w:t xml:space="preserve">   -</w:t>
      </w:r>
      <w:r w:rsidRPr="009D2CB6">
        <w:rPr>
          <w:i/>
        </w:rPr>
        <w:t xml:space="preserve"> </w:t>
      </w:r>
      <w:r>
        <w:rPr>
          <w:i/>
        </w:rPr>
        <w:t>Background information about refrigeration in the fishing industry</w:t>
      </w:r>
    </w:p>
    <w:p w:rsidR="007954A2" w:rsidRPr="007954A2" w:rsidRDefault="00184E7E" w:rsidP="00ED4435">
      <w:pPr>
        <w:spacing w:after="120"/>
        <w:ind w:left="2552" w:hanging="2410"/>
        <w:rPr>
          <w:i/>
        </w:rPr>
      </w:pPr>
      <w:r>
        <w:rPr>
          <w:i/>
        </w:rPr>
        <w:t xml:space="preserve">Annex 3   - </w:t>
      </w:r>
      <w:r w:rsidR="007954A2" w:rsidRPr="007954A2">
        <w:rPr>
          <w:i/>
        </w:rPr>
        <w:t>EU (F-</w:t>
      </w:r>
      <w:r w:rsidR="007954A2">
        <w:rPr>
          <w:i/>
        </w:rPr>
        <w:t>gas</w:t>
      </w:r>
      <w:r w:rsidR="007954A2" w:rsidRPr="007954A2">
        <w:rPr>
          <w:i/>
        </w:rPr>
        <w:t>, MAC D</w:t>
      </w:r>
      <w:r w:rsidR="007954A2">
        <w:rPr>
          <w:i/>
        </w:rPr>
        <w:t>irective)</w:t>
      </w:r>
      <w:r w:rsidR="007954A2" w:rsidRPr="007954A2">
        <w:rPr>
          <w:i/>
        </w:rPr>
        <w:t xml:space="preserve">, USA (EPA SNAP </w:t>
      </w:r>
      <w:r w:rsidR="007954A2">
        <w:rPr>
          <w:i/>
        </w:rPr>
        <w:t>Program</w:t>
      </w:r>
      <w:r w:rsidR="007954A2" w:rsidRPr="007954A2">
        <w:rPr>
          <w:i/>
        </w:rPr>
        <w:t>) AND J</w:t>
      </w:r>
      <w:r w:rsidR="007954A2">
        <w:rPr>
          <w:i/>
        </w:rPr>
        <w:t>apan</w:t>
      </w:r>
      <w:r w:rsidR="007954A2" w:rsidRPr="007954A2">
        <w:rPr>
          <w:i/>
        </w:rPr>
        <w:t xml:space="preserve"> </w:t>
      </w:r>
      <w:r w:rsidR="007954A2">
        <w:rPr>
          <w:i/>
        </w:rPr>
        <w:t>regulatory prohibition</w:t>
      </w:r>
    </w:p>
    <w:p w:rsidR="008A7239" w:rsidRPr="00EC433A" w:rsidRDefault="007954A2" w:rsidP="00ED4435">
      <w:pPr>
        <w:spacing w:after="120"/>
        <w:ind w:left="2552" w:hanging="2410"/>
        <w:rPr>
          <w:i/>
        </w:rPr>
      </w:pPr>
      <w:r w:rsidRPr="007954A2">
        <w:rPr>
          <w:i/>
        </w:rPr>
        <w:t>A</w:t>
      </w:r>
      <w:r w:rsidR="00ED4435">
        <w:rPr>
          <w:i/>
        </w:rPr>
        <w:t>nnex</w:t>
      </w:r>
      <w:r w:rsidRPr="007954A2">
        <w:rPr>
          <w:i/>
        </w:rPr>
        <w:t xml:space="preserve"> 4</w:t>
      </w:r>
      <w:r w:rsidR="00ED4435">
        <w:rPr>
          <w:i/>
        </w:rPr>
        <w:t xml:space="preserve">  -</w:t>
      </w:r>
      <w:r>
        <w:rPr>
          <w:i/>
        </w:rPr>
        <w:t xml:space="preserve"> </w:t>
      </w:r>
      <w:r w:rsidR="008F1F3F">
        <w:rPr>
          <w:i/>
        </w:rPr>
        <w:t>Updated tables for total, new, manufacturing, and servicing demand</w:t>
      </w:r>
    </w:p>
    <w:p w:rsidR="00FC618D" w:rsidRDefault="00FC618D" w:rsidP="008A52E4">
      <w:pPr>
        <w:pStyle w:val="Heading1"/>
        <w:sectPr w:rsidR="00FC618D" w:rsidSect="00FC618D">
          <w:footerReference w:type="even" r:id="rId24"/>
          <w:footerReference w:type="default" r:id="rId25"/>
          <w:type w:val="oddPage"/>
          <w:pgSz w:w="11900" w:h="16840"/>
          <w:pgMar w:top="1440" w:right="1800" w:bottom="1440" w:left="1800" w:header="708" w:footer="708" w:gutter="0"/>
          <w:pgNumType w:start="1"/>
          <w:cols w:space="708"/>
          <w:docGrid w:linePitch="360"/>
        </w:sectPr>
      </w:pPr>
      <w:bookmarkStart w:id="24" w:name="_Toc445666285"/>
    </w:p>
    <w:p w:rsidR="00F82BCB" w:rsidRPr="007B0C5E" w:rsidRDefault="00F82BCB" w:rsidP="008A52E4">
      <w:pPr>
        <w:pStyle w:val="Heading1"/>
      </w:pPr>
      <w:bookmarkStart w:id="25" w:name="_Toc452653354"/>
      <w:r>
        <w:lastRenderedPageBreak/>
        <w:t>2</w:t>
      </w:r>
      <w:r>
        <w:tab/>
      </w:r>
      <w:r w:rsidRPr="007B0C5E">
        <w:t>Update of the status on refrigerants</w:t>
      </w:r>
      <w:bookmarkEnd w:id="24"/>
      <w:bookmarkEnd w:id="25"/>
    </w:p>
    <w:p w:rsidR="003D28D4" w:rsidRPr="00CB78A4" w:rsidRDefault="003D28D4" w:rsidP="003D28D4">
      <w:pPr>
        <w:rPr>
          <w:color w:val="7030A0"/>
        </w:rPr>
      </w:pPr>
      <w:bookmarkStart w:id="26" w:name="_Toc445666286"/>
      <w:r w:rsidRPr="00CB78A4">
        <w:rPr>
          <w:color w:val="7030A0"/>
        </w:rPr>
        <w:t>This chapter essentially contains the same information as the March 2016 version of the XXVII/4 Task Force report, apart from the addition of a subchapter on the definition of “environmentally acceptable” and “environmentally sound</w:t>
      </w:r>
      <w:r w:rsidR="0074448D" w:rsidRPr="00CB78A4">
        <w:rPr>
          <w:color w:val="7030A0"/>
        </w:rPr>
        <w:t>”</w:t>
      </w:r>
      <w:r w:rsidR="00CB78A4" w:rsidRPr="00CB78A4">
        <w:rPr>
          <w:color w:val="7030A0"/>
        </w:rPr>
        <w:t xml:space="preserve"> (see 2.9)</w:t>
      </w:r>
      <w:r w:rsidRPr="00CB78A4">
        <w:rPr>
          <w:color w:val="7030A0"/>
        </w:rPr>
        <w:t>.</w:t>
      </w:r>
      <w:r w:rsidR="0074448D" w:rsidRPr="00CB78A4">
        <w:rPr>
          <w:color w:val="7030A0"/>
        </w:rPr>
        <w:t xml:space="preserve"> No new refrigerants or blends have been added to the tables.</w:t>
      </w:r>
    </w:p>
    <w:p w:rsidR="0074448D" w:rsidRPr="002926ED" w:rsidRDefault="0074448D" w:rsidP="003D28D4">
      <w:pPr>
        <w:rPr>
          <w:i/>
          <w:color w:val="7030A0"/>
        </w:rPr>
      </w:pPr>
    </w:p>
    <w:p w:rsidR="00F82BCB" w:rsidRPr="00400378" w:rsidRDefault="00F82BCB" w:rsidP="00F82BCB">
      <w:pPr>
        <w:pStyle w:val="Heading2"/>
      </w:pPr>
      <w:bookmarkStart w:id="27" w:name="_Toc452653355"/>
      <w:r w:rsidRPr="00400378">
        <w:t>2.1</w:t>
      </w:r>
      <w:r w:rsidRPr="00400378">
        <w:tab/>
      </w:r>
      <w:r w:rsidRPr="00400378">
        <w:tab/>
        <w:t>Introduction</w:t>
      </w:r>
      <w:bookmarkEnd w:id="26"/>
      <w:bookmarkEnd w:id="27"/>
    </w:p>
    <w:p w:rsidR="00F82BCB" w:rsidRPr="00CE42E3" w:rsidRDefault="00F82BCB" w:rsidP="00DF1E74">
      <w:pPr>
        <w:spacing w:after="60"/>
        <w:rPr>
          <w:szCs w:val="22"/>
        </w:rPr>
      </w:pPr>
      <w:r w:rsidRPr="00CE42E3">
        <w:rPr>
          <w:szCs w:val="22"/>
        </w:rPr>
        <w:t xml:space="preserve">This chapter </w:t>
      </w:r>
      <w:r w:rsidR="00C40D49">
        <w:rPr>
          <w:szCs w:val="22"/>
        </w:rPr>
        <w:t xml:space="preserve">in the first report </w:t>
      </w:r>
      <w:r w:rsidRPr="00CE42E3">
        <w:rPr>
          <w:szCs w:val="22"/>
        </w:rPr>
        <w:t>provide</w:t>
      </w:r>
      <w:r w:rsidR="00C40D49">
        <w:rPr>
          <w:szCs w:val="22"/>
        </w:rPr>
        <w:t>d</w:t>
      </w:r>
      <w:r w:rsidRPr="00CE42E3">
        <w:rPr>
          <w:szCs w:val="22"/>
        </w:rPr>
        <w:t xml:space="preserve"> updated information on alternatives in the refrigeration and air conditioning sectors since the TEAP Task Force Decision XXVI/9 report</w:t>
      </w:r>
      <w:r>
        <w:rPr>
          <w:szCs w:val="22"/>
        </w:rPr>
        <w:t xml:space="preserve">, </w:t>
      </w:r>
      <w:r w:rsidRPr="00CE42E3">
        <w:rPr>
          <w:szCs w:val="22"/>
        </w:rPr>
        <w:t>September 2015</w:t>
      </w:r>
      <w:r>
        <w:rPr>
          <w:szCs w:val="22"/>
        </w:rPr>
        <w:t xml:space="preserve"> (UNEP, 2015)</w:t>
      </w:r>
      <w:r w:rsidRPr="00CE42E3">
        <w:rPr>
          <w:szCs w:val="22"/>
        </w:rPr>
        <w:t xml:space="preserve"> and as requested in Decision XXVII/4. It include</w:t>
      </w:r>
      <w:r w:rsidR="00C40D49">
        <w:rPr>
          <w:szCs w:val="22"/>
        </w:rPr>
        <w:t>d</w:t>
      </w:r>
      <w:r w:rsidRPr="00CE42E3">
        <w:rPr>
          <w:szCs w:val="22"/>
        </w:rPr>
        <w:t>:</w:t>
      </w:r>
    </w:p>
    <w:p w:rsidR="00F82BCB" w:rsidRPr="00B05AEE" w:rsidRDefault="00F82BCB" w:rsidP="00DF1E74">
      <w:pPr>
        <w:pStyle w:val="ListParagraph"/>
        <w:numPr>
          <w:ilvl w:val="0"/>
          <w:numId w:val="30"/>
        </w:numPr>
        <w:autoSpaceDE/>
        <w:autoSpaceDN/>
        <w:spacing w:after="60"/>
        <w:rPr>
          <w:rFonts w:ascii="Times New Roman" w:hAnsi="Times New Roman"/>
          <w:szCs w:val="22"/>
        </w:rPr>
      </w:pPr>
      <w:r w:rsidRPr="00CE42E3">
        <w:rPr>
          <w:rFonts w:ascii="Times New Roman" w:hAnsi="Times New Roman"/>
          <w:szCs w:val="22"/>
        </w:rPr>
        <w:t xml:space="preserve">A presentation of 80 fluids that have been proposed for testing or are being tested in industry programmes, are pending publication, or have been published in ISO 817 and ASHRAE 34 refrigerant standards since the 2014 RTOC </w:t>
      </w:r>
      <w:r w:rsidRPr="00B05AEE">
        <w:rPr>
          <w:rFonts w:ascii="Times New Roman" w:hAnsi="Times New Roman"/>
          <w:szCs w:val="22"/>
        </w:rPr>
        <w:t xml:space="preserve">Assessment Report. The majority of these are new mixtures, but traditional fluids and </w:t>
      </w:r>
      <w:r w:rsidRPr="00B05AEE">
        <w:rPr>
          <w:rFonts w:ascii="Times New Roman" w:hAnsi="Times New Roman"/>
          <w:color w:val="000000"/>
        </w:rPr>
        <w:t>two new refrigerants based on a new molecule are also included</w:t>
      </w:r>
      <w:r w:rsidRPr="00B05AEE">
        <w:rPr>
          <w:rFonts w:ascii="Times New Roman" w:hAnsi="Times New Roman"/>
          <w:szCs w:val="22"/>
        </w:rPr>
        <w:t xml:space="preserve">. </w:t>
      </w:r>
    </w:p>
    <w:p w:rsidR="00F82BCB" w:rsidRPr="00565299" w:rsidRDefault="00F82BCB" w:rsidP="00DF1E74">
      <w:pPr>
        <w:pStyle w:val="ListParagraph"/>
        <w:numPr>
          <w:ilvl w:val="0"/>
          <w:numId w:val="30"/>
        </w:numPr>
        <w:autoSpaceDE/>
        <w:autoSpaceDN/>
        <w:spacing w:after="60"/>
        <w:rPr>
          <w:rFonts w:ascii="Times New Roman" w:hAnsi="Times New Roman"/>
          <w:szCs w:val="22"/>
        </w:rPr>
      </w:pPr>
      <w:r w:rsidRPr="00CE42E3">
        <w:rPr>
          <w:rFonts w:ascii="Times New Roman" w:hAnsi="Times New Roman"/>
          <w:szCs w:val="22"/>
        </w:rPr>
        <w:t xml:space="preserve">A description of how refrigerants are classified in the refrigerant standards, </w:t>
      </w:r>
      <w:r>
        <w:rPr>
          <w:rFonts w:ascii="Times New Roman" w:hAnsi="Times New Roman"/>
          <w:szCs w:val="22"/>
        </w:rPr>
        <w:t xml:space="preserve">while also </w:t>
      </w:r>
      <w:r w:rsidRPr="00CE42E3">
        <w:rPr>
          <w:rFonts w:ascii="Times New Roman" w:hAnsi="Times New Roman"/>
          <w:szCs w:val="22"/>
        </w:rPr>
        <w:t xml:space="preserve">noting that with the introduction and potential widespread adaptation of refrigerants which are flammable, have higher toxicity and/or operate at notably higher pressures </w:t>
      </w:r>
      <w:r w:rsidRPr="00565299">
        <w:rPr>
          <w:rFonts w:ascii="Times New Roman" w:hAnsi="Times New Roman"/>
          <w:szCs w:val="22"/>
        </w:rPr>
        <w:t>than the conventional ODS refrigerants or alternative non-flammable HFC refrigerants,</w:t>
      </w:r>
      <w:r w:rsidR="00565299" w:rsidRPr="00565299">
        <w:rPr>
          <w:rFonts w:ascii="Times New Roman" w:hAnsi="Times New Roman"/>
          <w:color w:val="000000"/>
          <w:szCs w:val="22"/>
        </w:rPr>
        <w:t xml:space="preserve"> as well as increased safety risks of some of low-GWP refrigerants that need to be addressed.</w:t>
      </w:r>
    </w:p>
    <w:p w:rsidR="00F82BCB" w:rsidRPr="00CE42E3" w:rsidRDefault="00F82BCB" w:rsidP="00DF1E74">
      <w:pPr>
        <w:pStyle w:val="ListParagraph"/>
        <w:numPr>
          <w:ilvl w:val="0"/>
          <w:numId w:val="30"/>
        </w:numPr>
        <w:autoSpaceDE/>
        <w:autoSpaceDN/>
        <w:spacing w:after="60"/>
        <w:rPr>
          <w:rFonts w:ascii="Times New Roman" w:hAnsi="Times New Roman"/>
          <w:szCs w:val="22"/>
        </w:rPr>
      </w:pPr>
      <w:r w:rsidRPr="00CE42E3">
        <w:rPr>
          <w:rFonts w:ascii="Times New Roman" w:hAnsi="Times New Roman"/>
          <w:szCs w:val="22"/>
        </w:rPr>
        <w:t xml:space="preserve">A discussion of the process of making refrigerants available to the market, including the market mechanisms </w:t>
      </w:r>
      <w:r>
        <w:rPr>
          <w:rFonts w:ascii="Times New Roman" w:hAnsi="Times New Roman"/>
          <w:szCs w:val="22"/>
        </w:rPr>
        <w:t xml:space="preserve">that </w:t>
      </w:r>
      <w:r w:rsidRPr="00CE42E3">
        <w:rPr>
          <w:rFonts w:ascii="Times New Roman" w:hAnsi="Times New Roman"/>
          <w:szCs w:val="22"/>
        </w:rPr>
        <w:t>decides where a refrigerant will be available.</w:t>
      </w:r>
    </w:p>
    <w:p w:rsidR="00F82BCB" w:rsidRPr="00CE42E3" w:rsidRDefault="00F82BCB" w:rsidP="00DF1E74">
      <w:pPr>
        <w:pStyle w:val="ListParagraph"/>
        <w:numPr>
          <w:ilvl w:val="0"/>
          <w:numId w:val="30"/>
        </w:numPr>
        <w:autoSpaceDE/>
        <w:autoSpaceDN/>
        <w:spacing w:after="60"/>
        <w:rPr>
          <w:rFonts w:ascii="Times New Roman" w:hAnsi="Times New Roman"/>
          <w:szCs w:val="22"/>
        </w:rPr>
      </w:pPr>
      <w:r w:rsidRPr="00CE42E3">
        <w:rPr>
          <w:rFonts w:ascii="Times New Roman" w:hAnsi="Times New Roman"/>
          <w:szCs w:val="22"/>
        </w:rPr>
        <w:t xml:space="preserve">A discussion </w:t>
      </w:r>
      <w:r w:rsidR="00B94581">
        <w:rPr>
          <w:rFonts w:ascii="Times New Roman" w:hAnsi="Times New Roman"/>
          <w:szCs w:val="22"/>
        </w:rPr>
        <w:t xml:space="preserve">on </w:t>
      </w:r>
      <w:r w:rsidRPr="00CE42E3">
        <w:rPr>
          <w:rFonts w:ascii="Times New Roman" w:hAnsi="Times New Roman"/>
          <w:szCs w:val="22"/>
        </w:rPr>
        <w:t>the methods of assessing the energy efficiency related to the use of a refrigerant.</w:t>
      </w:r>
    </w:p>
    <w:p w:rsidR="00F82BCB" w:rsidRPr="00CE42E3" w:rsidRDefault="00F82BCB" w:rsidP="00DF1E74">
      <w:pPr>
        <w:pStyle w:val="ListParagraph"/>
        <w:numPr>
          <w:ilvl w:val="0"/>
          <w:numId w:val="30"/>
        </w:numPr>
        <w:autoSpaceDE/>
        <w:autoSpaceDN/>
        <w:spacing w:after="60"/>
        <w:rPr>
          <w:rFonts w:ascii="Times New Roman" w:hAnsi="Times New Roman"/>
          <w:szCs w:val="22"/>
        </w:rPr>
      </w:pPr>
      <w:r w:rsidRPr="00CE42E3">
        <w:rPr>
          <w:rFonts w:ascii="Times New Roman" w:hAnsi="Times New Roman"/>
          <w:szCs w:val="22"/>
        </w:rPr>
        <w:t>A discussion o</w:t>
      </w:r>
      <w:r>
        <w:rPr>
          <w:rFonts w:ascii="Times New Roman" w:hAnsi="Times New Roman"/>
          <w:szCs w:val="22"/>
        </w:rPr>
        <w:t xml:space="preserve">n the </w:t>
      </w:r>
      <w:r w:rsidRPr="00CE42E3">
        <w:rPr>
          <w:rFonts w:ascii="Times New Roman" w:hAnsi="Times New Roman"/>
          <w:szCs w:val="22"/>
        </w:rPr>
        <w:t>discover</w:t>
      </w:r>
      <w:r>
        <w:rPr>
          <w:rFonts w:ascii="Times New Roman" w:hAnsi="Times New Roman"/>
          <w:szCs w:val="22"/>
        </w:rPr>
        <w:t>y of</w:t>
      </w:r>
      <w:r w:rsidRPr="00CE42E3">
        <w:rPr>
          <w:rFonts w:ascii="Times New Roman" w:hAnsi="Times New Roman"/>
          <w:szCs w:val="22"/>
        </w:rPr>
        <w:t xml:space="preserve"> </w:t>
      </w:r>
      <w:r>
        <w:rPr>
          <w:rFonts w:ascii="Times New Roman" w:hAnsi="Times New Roman"/>
          <w:szCs w:val="22"/>
        </w:rPr>
        <w:t xml:space="preserve">new </w:t>
      </w:r>
      <w:r w:rsidRPr="00CE42E3">
        <w:rPr>
          <w:rFonts w:ascii="Times New Roman" w:hAnsi="Times New Roman"/>
          <w:szCs w:val="22"/>
        </w:rPr>
        <w:t xml:space="preserve">refrigerants is included. There are alternative refrigerants available today with negligible ODP and lower GWP, but for some applications it can be challenging to reach the same lifetime cost level of the systems while keeping the same performance or to keep the equipment within a reasonable size. The search for new alternative fluids may yield more economical system designs, but the prospects of discovering </w:t>
      </w:r>
      <w:r>
        <w:rPr>
          <w:rFonts w:ascii="Times New Roman" w:hAnsi="Times New Roman"/>
          <w:szCs w:val="22"/>
        </w:rPr>
        <w:t xml:space="preserve">new, </w:t>
      </w:r>
      <w:r w:rsidRPr="00CE42E3">
        <w:rPr>
          <w:rFonts w:ascii="Times New Roman" w:hAnsi="Times New Roman"/>
          <w:szCs w:val="22"/>
        </w:rPr>
        <w:t xml:space="preserve">radically </w:t>
      </w:r>
      <w:r>
        <w:rPr>
          <w:rFonts w:ascii="Times New Roman" w:hAnsi="Times New Roman"/>
          <w:szCs w:val="22"/>
        </w:rPr>
        <w:t xml:space="preserve">different </w:t>
      </w:r>
      <w:r w:rsidRPr="00CE42E3">
        <w:rPr>
          <w:rFonts w:ascii="Times New Roman" w:hAnsi="Times New Roman"/>
          <w:szCs w:val="22"/>
        </w:rPr>
        <w:t>fluids are minimal.</w:t>
      </w:r>
    </w:p>
    <w:p w:rsidR="00F82BCB" w:rsidRDefault="00F82BCB" w:rsidP="00DF1E74">
      <w:pPr>
        <w:pStyle w:val="ListParagraph"/>
        <w:numPr>
          <w:ilvl w:val="0"/>
          <w:numId w:val="30"/>
        </w:numPr>
        <w:autoSpaceDE/>
        <w:autoSpaceDN/>
        <w:spacing w:after="60"/>
        <w:ind w:left="714" w:hanging="357"/>
        <w:rPr>
          <w:rFonts w:ascii="Times New Roman" w:hAnsi="Times New Roman"/>
          <w:szCs w:val="22"/>
        </w:rPr>
      </w:pPr>
      <w:r w:rsidRPr="00CE42E3">
        <w:rPr>
          <w:rFonts w:ascii="Times New Roman" w:hAnsi="Times New Roman"/>
          <w:szCs w:val="22"/>
        </w:rPr>
        <w:t xml:space="preserve">A discussion of the total warming impact related to refrigerants is discussed, including the difficulty of defining low global warming potential, which plays an essential role in the total warming impact calculation. </w:t>
      </w:r>
    </w:p>
    <w:p w:rsidR="00C40D49" w:rsidRPr="00CE42E3" w:rsidRDefault="00C40D49" w:rsidP="00C40D49">
      <w:pPr>
        <w:pStyle w:val="ListParagraph"/>
        <w:autoSpaceDE/>
        <w:autoSpaceDN/>
        <w:contextualSpacing/>
        <w:rPr>
          <w:rFonts w:ascii="Times New Roman" w:hAnsi="Times New Roman"/>
          <w:szCs w:val="22"/>
        </w:rPr>
      </w:pPr>
    </w:p>
    <w:p w:rsidR="00F82BCB" w:rsidRPr="00F42B63" w:rsidRDefault="00F82BCB" w:rsidP="00F82BCB">
      <w:pPr>
        <w:pStyle w:val="Heading2"/>
      </w:pPr>
      <w:bookmarkStart w:id="28" w:name="_Toc430640523"/>
      <w:bookmarkStart w:id="29" w:name="_Toc445666287"/>
      <w:bookmarkStart w:id="30" w:name="_Toc452653356"/>
      <w:r w:rsidRPr="00F42B63">
        <w:t>2.2</w:t>
      </w:r>
      <w:r>
        <w:tab/>
      </w:r>
      <w:r>
        <w:tab/>
      </w:r>
      <w:r w:rsidRPr="00F42B63">
        <w:t>Refrigerant data</w:t>
      </w:r>
      <w:bookmarkEnd w:id="28"/>
      <w:bookmarkEnd w:id="29"/>
      <w:bookmarkEnd w:id="30"/>
    </w:p>
    <w:p w:rsidR="00B94581" w:rsidRDefault="00F82BCB" w:rsidP="00F82BCB">
      <w:pPr>
        <w:rPr>
          <w:szCs w:val="22"/>
          <w:lang w:eastAsia="en-US"/>
        </w:rPr>
      </w:pPr>
      <w:r w:rsidRPr="0059136A">
        <w:rPr>
          <w:szCs w:val="22"/>
          <w:lang w:eastAsia="en-US"/>
        </w:rPr>
        <w:t xml:space="preserve">A total of 80 fluids, new and “old”, are under investigation as alternatives to ODS refrigerants or higher GWP refrigerants (see </w:t>
      </w:r>
      <w:r w:rsidRPr="007A023D">
        <w:rPr>
          <w:szCs w:val="22"/>
          <w:lang w:eastAsia="en-US"/>
        </w:rPr>
        <w:t>(</w:t>
      </w:r>
      <w:r w:rsidRPr="0059136A">
        <w:rPr>
          <w:szCs w:val="22"/>
          <w:lang w:eastAsia="en-US"/>
        </w:rPr>
        <w:t>UNEP, 2014) for comparison). The fluids have been proposed for testing</w:t>
      </w:r>
      <w:r>
        <w:rPr>
          <w:szCs w:val="22"/>
          <w:lang w:eastAsia="en-US"/>
        </w:rPr>
        <w:t xml:space="preserve">, </w:t>
      </w:r>
      <w:r w:rsidRPr="0059136A">
        <w:rPr>
          <w:szCs w:val="22"/>
          <w:lang w:eastAsia="en-US"/>
        </w:rPr>
        <w:t>are being tested in industry programmes or are pending publication or have been published in ISO 817 (ISO 817:2014) or ASHRAE 34 (ASHRAE 34:2013) since the 2014 RTOC Assessment report (UNEP, 201</w:t>
      </w:r>
      <w:r>
        <w:rPr>
          <w:szCs w:val="22"/>
          <w:lang w:eastAsia="en-US"/>
        </w:rPr>
        <w:t>4</w:t>
      </w:r>
      <w:r w:rsidRPr="0059136A">
        <w:rPr>
          <w:szCs w:val="22"/>
          <w:lang w:eastAsia="en-US"/>
        </w:rPr>
        <w:t xml:space="preserve">). </w:t>
      </w:r>
    </w:p>
    <w:p w:rsidR="00B94581" w:rsidRDefault="00B94581" w:rsidP="00F82BCB">
      <w:pPr>
        <w:rPr>
          <w:szCs w:val="22"/>
          <w:lang w:eastAsia="en-US"/>
        </w:rPr>
      </w:pPr>
    </w:p>
    <w:p w:rsidR="00F82BCB" w:rsidRPr="0059136A" w:rsidRDefault="00F82BCB" w:rsidP="00F82BCB">
      <w:pPr>
        <w:rPr>
          <w:szCs w:val="22"/>
          <w:lang w:eastAsia="en-US"/>
        </w:rPr>
      </w:pPr>
      <w:r w:rsidRPr="0059136A">
        <w:rPr>
          <w:szCs w:val="22"/>
          <w:lang w:eastAsia="en-US"/>
        </w:rPr>
        <w:t>Of the 80 fluids, 11 are pure substances, of which 10 have been published in ISO 817 or ASHRAE 34, while of the 69 mixtures, 55 have publicly know</w:t>
      </w:r>
      <w:r>
        <w:rPr>
          <w:szCs w:val="22"/>
          <w:lang w:eastAsia="en-US"/>
        </w:rPr>
        <w:t>n</w:t>
      </w:r>
      <w:r w:rsidRPr="0059136A">
        <w:rPr>
          <w:szCs w:val="22"/>
          <w:lang w:eastAsia="en-US"/>
        </w:rPr>
        <w:t xml:space="preserve"> compositions, but only 17 have been published in the ISO 817 or ASHRAE 34 standards, and of these</w:t>
      </w:r>
      <w:r>
        <w:rPr>
          <w:szCs w:val="22"/>
          <w:lang w:eastAsia="en-US"/>
        </w:rPr>
        <w:t>,</w:t>
      </w:r>
      <w:r w:rsidRPr="0059136A">
        <w:rPr>
          <w:szCs w:val="22"/>
          <w:lang w:eastAsia="en-US"/>
        </w:rPr>
        <w:t xml:space="preserve"> 11 were included in the RTOC report (UNEP, 201</w:t>
      </w:r>
      <w:r>
        <w:rPr>
          <w:szCs w:val="22"/>
          <w:lang w:eastAsia="en-US"/>
        </w:rPr>
        <w:t>4</w:t>
      </w:r>
      <w:r w:rsidRPr="0059136A">
        <w:rPr>
          <w:szCs w:val="22"/>
          <w:lang w:eastAsia="en-US"/>
        </w:rPr>
        <w:t>).</w:t>
      </w:r>
    </w:p>
    <w:p w:rsidR="00F82BCB" w:rsidRPr="0059136A" w:rsidRDefault="00F82BCB" w:rsidP="00F82BCB">
      <w:pPr>
        <w:rPr>
          <w:szCs w:val="22"/>
          <w:lang w:eastAsia="en-US"/>
        </w:rPr>
      </w:pPr>
    </w:p>
    <w:p w:rsidR="00B94581" w:rsidRPr="0059136A" w:rsidRDefault="00B94581" w:rsidP="00B94581">
      <w:pPr>
        <w:rPr>
          <w:szCs w:val="22"/>
          <w:lang w:eastAsia="en-US"/>
        </w:rPr>
      </w:pPr>
      <w:r w:rsidRPr="0059136A">
        <w:rPr>
          <w:szCs w:val="22"/>
          <w:lang w:eastAsia="en-US"/>
        </w:rPr>
        <w:t>It is expected that, testing, development and commercialization will decrease the number of viable candidates</w:t>
      </w:r>
      <w:r>
        <w:rPr>
          <w:szCs w:val="22"/>
          <w:lang w:eastAsia="en-US"/>
        </w:rPr>
        <w:t xml:space="preserve"> and that</w:t>
      </w:r>
      <w:r w:rsidRPr="0059136A">
        <w:rPr>
          <w:szCs w:val="22"/>
          <w:lang w:eastAsia="en-US"/>
        </w:rPr>
        <w:t xml:space="preserve"> market </w:t>
      </w:r>
      <w:r>
        <w:rPr>
          <w:szCs w:val="22"/>
          <w:lang w:eastAsia="en-US"/>
        </w:rPr>
        <w:t xml:space="preserve">experience </w:t>
      </w:r>
      <w:r w:rsidRPr="0059136A">
        <w:rPr>
          <w:szCs w:val="22"/>
          <w:lang w:eastAsia="en-US"/>
        </w:rPr>
        <w:t>will likely further narrow down the number of viable lower GWP candidates in the future.</w:t>
      </w:r>
    </w:p>
    <w:p w:rsidR="00F82BCB" w:rsidRPr="0059136A" w:rsidRDefault="00F82BCB" w:rsidP="00F82BCB">
      <w:pPr>
        <w:rPr>
          <w:szCs w:val="22"/>
          <w:lang w:eastAsia="en-US"/>
        </w:rPr>
      </w:pPr>
    </w:p>
    <w:p w:rsidR="00F82BCB" w:rsidRPr="00BE7913" w:rsidRDefault="00F82BCB" w:rsidP="00F82BCB">
      <w:pPr>
        <w:pStyle w:val="Footer"/>
        <w:tabs>
          <w:tab w:val="left" w:pos="993"/>
          <w:tab w:val="center" w:pos="3870"/>
          <w:tab w:val="left" w:pos="4320"/>
          <w:tab w:val="left" w:pos="5040"/>
          <w:tab w:val="left" w:pos="6480"/>
          <w:tab w:val="left" w:pos="7200"/>
          <w:tab w:val="left" w:pos="7920"/>
        </w:tabs>
        <w:spacing w:after="120"/>
        <w:rPr>
          <w:color w:val="auto"/>
          <w:szCs w:val="22"/>
        </w:rPr>
      </w:pPr>
      <w:r w:rsidRPr="0059136A">
        <w:rPr>
          <w:color w:val="auto"/>
          <w:szCs w:val="22"/>
        </w:rPr>
        <w:lastRenderedPageBreak/>
        <w:t xml:space="preserve">For ease of reference, the names </w:t>
      </w:r>
      <w:r w:rsidRPr="00AE5615">
        <w:rPr>
          <w:color w:val="auto"/>
          <w:szCs w:val="22"/>
        </w:rPr>
        <w:t>of the</w:t>
      </w:r>
      <w:r w:rsidR="00ED4435" w:rsidRPr="00AE5615">
        <w:rPr>
          <w:color w:val="auto"/>
          <w:szCs w:val="22"/>
        </w:rPr>
        <w:t xml:space="preserve"> four</w:t>
      </w:r>
      <w:r w:rsidRPr="00AE5615">
        <w:rPr>
          <w:color w:val="auto"/>
          <w:szCs w:val="22"/>
        </w:rPr>
        <w:t xml:space="preserve"> largest </w:t>
      </w:r>
      <w:r w:rsidRPr="004E0F08">
        <w:rPr>
          <w:color w:val="auto"/>
          <w:szCs w:val="22"/>
        </w:rPr>
        <w:t>test</w:t>
      </w:r>
      <w:r w:rsidRPr="0059136A">
        <w:rPr>
          <w:color w:val="auto"/>
          <w:szCs w:val="22"/>
        </w:rPr>
        <w:t xml:space="preserve"> programs are </w:t>
      </w:r>
      <w:r>
        <w:rPr>
          <w:color w:val="auto"/>
          <w:szCs w:val="22"/>
        </w:rPr>
        <w:t>provided below</w:t>
      </w:r>
      <w:r w:rsidR="00ED4435">
        <w:rPr>
          <w:color w:val="auto"/>
          <w:szCs w:val="22"/>
        </w:rPr>
        <w:t>.</w:t>
      </w:r>
    </w:p>
    <w:p w:rsidR="00F82BCB" w:rsidRPr="00BE7913" w:rsidRDefault="00F82BCB" w:rsidP="00F82BCB">
      <w:pPr>
        <w:numPr>
          <w:ilvl w:val="0"/>
          <w:numId w:val="28"/>
        </w:numPr>
        <w:spacing w:after="120"/>
        <w:ind w:left="357" w:hanging="357"/>
        <w:rPr>
          <w:szCs w:val="22"/>
        </w:rPr>
      </w:pPr>
      <w:r w:rsidRPr="00BE7913">
        <w:rPr>
          <w:szCs w:val="22"/>
        </w:rPr>
        <w:t xml:space="preserve">AHRI Low-GWP Alternative Refrigerants Evaluation Program (AREP). This project is divided into two phases: Phase I </w:t>
      </w:r>
      <w:r>
        <w:rPr>
          <w:szCs w:val="22"/>
        </w:rPr>
        <w:t xml:space="preserve">(AREP-I), </w:t>
      </w:r>
      <w:r w:rsidRPr="00BE7913">
        <w:rPr>
          <w:szCs w:val="22"/>
        </w:rPr>
        <w:t>which is finished</w:t>
      </w:r>
      <w:r>
        <w:rPr>
          <w:szCs w:val="22"/>
        </w:rPr>
        <w:t>,</w:t>
      </w:r>
      <w:r w:rsidRPr="00BE7913">
        <w:rPr>
          <w:szCs w:val="22"/>
        </w:rPr>
        <w:t xml:space="preserve"> and phase II </w:t>
      </w:r>
      <w:r>
        <w:rPr>
          <w:szCs w:val="22"/>
        </w:rPr>
        <w:t xml:space="preserve">(AREP-II), </w:t>
      </w:r>
      <w:r w:rsidRPr="00BE7913">
        <w:rPr>
          <w:szCs w:val="22"/>
        </w:rPr>
        <w:t xml:space="preserve">which is </w:t>
      </w:r>
      <w:r>
        <w:rPr>
          <w:szCs w:val="22"/>
        </w:rPr>
        <w:t xml:space="preserve">still </w:t>
      </w:r>
      <w:r w:rsidRPr="00BE7913">
        <w:rPr>
          <w:szCs w:val="22"/>
        </w:rPr>
        <w:t>ongoing</w:t>
      </w:r>
      <w:r w:rsidR="00051977">
        <w:rPr>
          <w:szCs w:val="22"/>
        </w:rPr>
        <w:t>;</w:t>
      </w:r>
    </w:p>
    <w:p w:rsidR="00F82BCB" w:rsidRDefault="00F82BCB" w:rsidP="00F82BCB">
      <w:pPr>
        <w:numPr>
          <w:ilvl w:val="0"/>
          <w:numId w:val="28"/>
        </w:numPr>
        <w:spacing w:after="120"/>
        <w:ind w:left="357" w:hanging="357"/>
        <w:rPr>
          <w:szCs w:val="22"/>
        </w:rPr>
      </w:pPr>
      <w:r w:rsidRPr="00BE7913">
        <w:rPr>
          <w:szCs w:val="22"/>
        </w:rPr>
        <w:t>“Promoting low-GWP Refrigerants for Air-Conditioning Sectors in High-Ambient Temperature Countries” (PRAHA)</w:t>
      </w:r>
      <w:r w:rsidR="00051977">
        <w:rPr>
          <w:szCs w:val="22"/>
        </w:rPr>
        <w:t>;</w:t>
      </w:r>
    </w:p>
    <w:p w:rsidR="00F82BCB" w:rsidRPr="00BE7913" w:rsidRDefault="00F82BCB" w:rsidP="00F82BCB">
      <w:pPr>
        <w:numPr>
          <w:ilvl w:val="0"/>
          <w:numId w:val="28"/>
        </w:numPr>
        <w:spacing w:after="120"/>
        <w:ind w:left="357" w:hanging="357"/>
        <w:rPr>
          <w:szCs w:val="22"/>
        </w:rPr>
      </w:pPr>
      <w:r w:rsidRPr="009F1DCB">
        <w:t>“Egyptian Project for Refrigerant Alternatives” (EGYPRA)</w:t>
      </w:r>
      <w:r w:rsidR="00051977">
        <w:t>;</w:t>
      </w:r>
    </w:p>
    <w:p w:rsidR="00F82BCB" w:rsidRPr="00BE7913" w:rsidRDefault="00F82BCB" w:rsidP="00F82BCB">
      <w:pPr>
        <w:numPr>
          <w:ilvl w:val="0"/>
          <w:numId w:val="28"/>
        </w:numPr>
        <w:spacing w:after="120"/>
        <w:ind w:left="357" w:hanging="357"/>
        <w:rPr>
          <w:szCs w:val="22"/>
        </w:rPr>
      </w:pPr>
      <w:r>
        <w:t>t</w:t>
      </w:r>
      <w:r w:rsidRPr="004A495E">
        <w:t xml:space="preserve">he Oak Ridge National Laboratory (ORNL) </w:t>
      </w:r>
      <w:r>
        <w:t>“</w:t>
      </w:r>
      <w:r w:rsidRPr="004A495E">
        <w:t xml:space="preserve">High-Ambient-Temperature Evaluation Program for </w:t>
      </w:r>
      <w:r>
        <w:t>L</w:t>
      </w:r>
      <w:r w:rsidRPr="004A495E">
        <w:t>ow</w:t>
      </w:r>
      <w:r>
        <w:t>-G</w:t>
      </w:r>
      <w:r w:rsidRPr="004A495E">
        <w:t xml:space="preserve">lobal </w:t>
      </w:r>
      <w:r>
        <w:t>W</w:t>
      </w:r>
      <w:r w:rsidRPr="004A495E">
        <w:t xml:space="preserve">arming </w:t>
      </w:r>
      <w:r>
        <w:t>P</w:t>
      </w:r>
      <w:r w:rsidRPr="004A495E">
        <w:t>otential (Low-GWP) Refrigerants</w:t>
      </w:r>
      <w:r>
        <w:t>”, Phase I (and a new Phase II)</w:t>
      </w:r>
      <w:r w:rsidR="00051977">
        <w:t>.</w:t>
      </w:r>
    </w:p>
    <w:p w:rsidR="00F82BCB" w:rsidRPr="00BE7913" w:rsidRDefault="007954A2" w:rsidP="00F82BCB">
      <w:pPr>
        <w:rPr>
          <w:szCs w:val="22"/>
          <w:lang w:eastAsia="ja-JP"/>
        </w:rPr>
      </w:pPr>
      <w:r>
        <w:rPr>
          <w:szCs w:val="22"/>
          <w:lang w:eastAsia="ja-JP"/>
        </w:rPr>
        <w:t>The results of th</w:t>
      </w:r>
      <w:r w:rsidR="00ED4435">
        <w:rPr>
          <w:szCs w:val="22"/>
          <w:lang w:eastAsia="ja-JP"/>
        </w:rPr>
        <w:t>e</w:t>
      </w:r>
      <w:r w:rsidR="003E7DE3">
        <w:rPr>
          <w:szCs w:val="22"/>
          <w:lang w:eastAsia="ja-JP"/>
        </w:rPr>
        <w:t xml:space="preserve"> above programs’ </w:t>
      </w:r>
      <w:r>
        <w:rPr>
          <w:szCs w:val="22"/>
          <w:lang w:eastAsia="ja-JP"/>
        </w:rPr>
        <w:t xml:space="preserve">testing of alternatives at high ambient temperature (HAT) conditions </w:t>
      </w:r>
      <w:r w:rsidR="003E7DE3">
        <w:rPr>
          <w:szCs w:val="22"/>
          <w:lang w:eastAsia="ja-JP"/>
        </w:rPr>
        <w:t xml:space="preserve">are further discussed in Chapter 5. </w:t>
      </w:r>
      <w:r w:rsidR="00F82BCB" w:rsidRPr="00BE7913">
        <w:rPr>
          <w:szCs w:val="22"/>
          <w:lang w:eastAsia="ja-JP"/>
        </w:rPr>
        <w:t>In addition to the programs listed above, several independent or industry</w:t>
      </w:r>
      <w:r w:rsidR="00F82BCB">
        <w:rPr>
          <w:szCs w:val="22"/>
          <w:lang w:eastAsia="ja-JP"/>
        </w:rPr>
        <w:t xml:space="preserve">-led </w:t>
      </w:r>
      <w:r w:rsidR="00F82BCB" w:rsidRPr="00BE7913">
        <w:rPr>
          <w:szCs w:val="22"/>
          <w:lang w:eastAsia="ja-JP"/>
        </w:rPr>
        <w:t>test campaigns for specific refrigerants are being performed for various applications and climate conditions</w:t>
      </w:r>
      <w:r w:rsidR="00B94581">
        <w:rPr>
          <w:szCs w:val="22"/>
          <w:lang w:eastAsia="ja-JP"/>
        </w:rPr>
        <w:t>.</w:t>
      </w:r>
      <w:r w:rsidR="00F82BCB" w:rsidRPr="00BE7913">
        <w:rPr>
          <w:szCs w:val="22"/>
          <w:lang w:eastAsia="ja-JP"/>
        </w:rPr>
        <w:t xml:space="preserve"> </w:t>
      </w:r>
      <w:r w:rsidR="00B94581">
        <w:rPr>
          <w:szCs w:val="22"/>
          <w:lang w:eastAsia="ja-JP"/>
        </w:rPr>
        <w:t>R</w:t>
      </w:r>
      <w:r w:rsidR="00F82BCB" w:rsidRPr="00BE7913">
        <w:rPr>
          <w:szCs w:val="22"/>
          <w:lang w:eastAsia="ja-JP"/>
        </w:rPr>
        <w:t>esults will be published when available.</w:t>
      </w:r>
    </w:p>
    <w:p w:rsidR="00F82BCB" w:rsidRPr="00BE7913" w:rsidRDefault="00F82BCB" w:rsidP="00F82BCB">
      <w:pPr>
        <w:rPr>
          <w:szCs w:val="22"/>
          <w:lang w:eastAsia="ja-JP"/>
        </w:rPr>
      </w:pPr>
    </w:p>
    <w:p w:rsidR="00F82BCB" w:rsidRPr="00BE7913" w:rsidRDefault="00F82BCB" w:rsidP="00F82BCB">
      <w:pPr>
        <w:rPr>
          <w:szCs w:val="22"/>
          <w:lang w:eastAsia="ja-JP"/>
        </w:rPr>
      </w:pPr>
      <w:r w:rsidRPr="00BE7913">
        <w:rPr>
          <w:szCs w:val="22"/>
          <w:lang w:eastAsia="ja-JP"/>
        </w:rPr>
        <w:t>The fluids participating in the</w:t>
      </w:r>
      <w:r w:rsidR="00ED4435">
        <w:rPr>
          <w:szCs w:val="22"/>
          <w:lang w:eastAsia="ja-JP"/>
        </w:rPr>
        <w:t xml:space="preserve"> four </w:t>
      </w:r>
      <w:r w:rsidRPr="00BE7913">
        <w:rPr>
          <w:szCs w:val="22"/>
          <w:lang w:eastAsia="ja-JP"/>
        </w:rPr>
        <w:t xml:space="preserve">programmes named above and the refrigerants proposed under ASHRAE (ASHRAE, 2015), are presented in Table 2-3 for pure fluids and </w:t>
      </w:r>
      <w:r>
        <w:rPr>
          <w:szCs w:val="22"/>
          <w:lang w:eastAsia="ja-JP"/>
        </w:rPr>
        <w:t xml:space="preserve">in </w:t>
      </w:r>
      <w:r w:rsidRPr="00BE7913">
        <w:rPr>
          <w:szCs w:val="22"/>
          <w:lang w:eastAsia="ja-JP"/>
        </w:rPr>
        <w:t>Table 2-4 for blends with publicly known compositions. For ease of reference, key properties for selected commonly used refrigerants are given in Table 2-5 and Table 2-6.</w:t>
      </w:r>
    </w:p>
    <w:p w:rsidR="00F82BCB" w:rsidRPr="00BE7913" w:rsidRDefault="00F82BCB" w:rsidP="00F82BCB">
      <w:pPr>
        <w:rPr>
          <w:szCs w:val="22"/>
          <w:lang w:eastAsia="ja-JP"/>
        </w:rPr>
      </w:pPr>
    </w:p>
    <w:p w:rsidR="00F82BCB" w:rsidRPr="00BE7913" w:rsidRDefault="00F82BCB" w:rsidP="00F82BCB">
      <w:pPr>
        <w:rPr>
          <w:szCs w:val="22"/>
          <w:lang w:eastAsia="ja-JP"/>
        </w:rPr>
      </w:pPr>
      <w:r w:rsidRPr="00BE7913">
        <w:rPr>
          <w:szCs w:val="22"/>
          <w:lang w:eastAsia="ja-JP"/>
        </w:rPr>
        <w:t xml:space="preserve">The fluids </w:t>
      </w:r>
      <w:r>
        <w:rPr>
          <w:szCs w:val="22"/>
          <w:lang w:eastAsia="ja-JP"/>
        </w:rPr>
        <w:t xml:space="preserve">which </w:t>
      </w:r>
      <w:r w:rsidRPr="00BE7913">
        <w:rPr>
          <w:szCs w:val="22"/>
          <w:lang w:eastAsia="ja-JP"/>
        </w:rPr>
        <w:t xml:space="preserve">composition is not yet public are (with </w:t>
      </w:r>
      <w:r w:rsidR="00B94581">
        <w:rPr>
          <w:szCs w:val="22"/>
          <w:lang w:eastAsia="ja-JP"/>
        </w:rPr>
        <w:t xml:space="preserve">the </w:t>
      </w:r>
      <w:r w:rsidRPr="00BE7913">
        <w:rPr>
          <w:szCs w:val="22"/>
          <w:lang w:eastAsia="ja-JP"/>
        </w:rPr>
        <w:t>safety class in brackets):</w:t>
      </w:r>
    </w:p>
    <w:p w:rsidR="00F82BCB" w:rsidRPr="00BE7913" w:rsidRDefault="00F82BCB" w:rsidP="00F82BCB">
      <w:pPr>
        <w:rPr>
          <w:szCs w:val="22"/>
          <w:lang w:eastAsia="ja-JP"/>
        </w:rPr>
      </w:pPr>
    </w:p>
    <w:p w:rsidR="00F82BCB" w:rsidRPr="00BE7913" w:rsidRDefault="00F82BCB" w:rsidP="00F82BCB">
      <w:pPr>
        <w:numPr>
          <w:ilvl w:val="0"/>
          <w:numId w:val="28"/>
        </w:numPr>
        <w:spacing w:after="120"/>
        <w:ind w:left="357" w:hanging="357"/>
        <w:rPr>
          <w:szCs w:val="22"/>
        </w:rPr>
      </w:pPr>
      <w:r w:rsidRPr="00BE7913">
        <w:rPr>
          <w:szCs w:val="22"/>
        </w:rPr>
        <w:t>ARC-1 (A1) and LPR1A (A2L) for replacing HCFC-123;</w:t>
      </w:r>
    </w:p>
    <w:p w:rsidR="00F82BCB" w:rsidRPr="00BE7913" w:rsidRDefault="00F82BCB" w:rsidP="00F82BCB">
      <w:pPr>
        <w:numPr>
          <w:ilvl w:val="0"/>
          <w:numId w:val="28"/>
        </w:numPr>
        <w:spacing w:after="120"/>
        <w:ind w:left="357" w:hanging="357"/>
        <w:rPr>
          <w:szCs w:val="22"/>
        </w:rPr>
      </w:pPr>
      <w:r w:rsidRPr="00BE7913">
        <w:rPr>
          <w:szCs w:val="22"/>
        </w:rPr>
        <w:t>BRB36 (A1) for replacing HFC-134a;</w:t>
      </w:r>
    </w:p>
    <w:p w:rsidR="00F82BCB" w:rsidRPr="00BE7913" w:rsidRDefault="00F82BCB" w:rsidP="00F82BCB">
      <w:pPr>
        <w:numPr>
          <w:ilvl w:val="0"/>
          <w:numId w:val="28"/>
        </w:numPr>
        <w:spacing w:after="120"/>
        <w:ind w:left="357" w:hanging="357"/>
        <w:rPr>
          <w:szCs w:val="22"/>
        </w:rPr>
      </w:pPr>
      <w:r w:rsidRPr="00BE7913">
        <w:rPr>
          <w:szCs w:val="22"/>
        </w:rPr>
        <w:t xml:space="preserve">ARM-32c (A1), D542HT (A1), DR-91 (A1), and N-20b (A1) for replacing HCFC-22, </w:t>
      </w:r>
      <w:r>
        <w:rPr>
          <w:szCs w:val="22"/>
        </w:rPr>
        <w:t xml:space="preserve">   </w:t>
      </w:r>
      <w:r w:rsidR="00825037">
        <w:rPr>
          <w:szCs w:val="22"/>
        </w:rPr>
        <w:t xml:space="preserve"> </w:t>
      </w:r>
      <w:r w:rsidRPr="00BE7913">
        <w:rPr>
          <w:szCs w:val="22"/>
        </w:rPr>
        <w:t>R-407C;</w:t>
      </w:r>
    </w:p>
    <w:p w:rsidR="00F82BCB" w:rsidRPr="00BE7913" w:rsidRDefault="00F82BCB" w:rsidP="00F82BCB">
      <w:pPr>
        <w:numPr>
          <w:ilvl w:val="0"/>
          <w:numId w:val="28"/>
        </w:numPr>
        <w:spacing w:after="120"/>
        <w:ind w:left="357" w:hanging="357"/>
        <w:rPr>
          <w:szCs w:val="22"/>
        </w:rPr>
      </w:pPr>
      <w:r w:rsidRPr="00BE7913">
        <w:rPr>
          <w:szCs w:val="22"/>
        </w:rPr>
        <w:t>ARM-20b (A2L) for replacing HCFC-22, R-404A, R-407C;</w:t>
      </w:r>
    </w:p>
    <w:p w:rsidR="00F82BCB" w:rsidRPr="00BE7913" w:rsidRDefault="00F82BCB" w:rsidP="00F82BCB">
      <w:pPr>
        <w:numPr>
          <w:ilvl w:val="0"/>
          <w:numId w:val="28"/>
        </w:numPr>
        <w:spacing w:after="120"/>
        <w:ind w:left="357" w:hanging="357"/>
        <w:rPr>
          <w:szCs w:val="22"/>
        </w:rPr>
      </w:pPr>
      <w:r w:rsidRPr="00BE7913">
        <w:rPr>
          <w:szCs w:val="22"/>
        </w:rPr>
        <w:t>ARM-32b (A1), D42Yb (A1), D42Yz (A1), and ARM-25a (A2) for replacing R-404A;</w:t>
      </w:r>
    </w:p>
    <w:p w:rsidR="00F82BCB" w:rsidRPr="00BE7913" w:rsidRDefault="00F82BCB" w:rsidP="00F82BCB">
      <w:pPr>
        <w:numPr>
          <w:ilvl w:val="0"/>
          <w:numId w:val="28"/>
        </w:numPr>
        <w:spacing w:after="120"/>
        <w:ind w:left="357" w:hanging="357"/>
        <w:rPr>
          <w:szCs w:val="22"/>
        </w:rPr>
      </w:pPr>
      <w:r w:rsidRPr="00BE7913">
        <w:rPr>
          <w:szCs w:val="22"/>
        </w:rPr>
        <w:t>ARM-71a (A2L) and HPR2A (A2L) for replacing R-410A.</w:t>
      </w:r>
    </w:p>
    <w:p w:rsidR="00F82BCB" w:rsidRDefault="00F82BCB" w:rsidP="00F82BCB">
      <w:pPr>
        <w:spacing w:after="120"/>
        <w:rPr>
          <w:b/>
          <w:i/>
        </w:rPr>
      </w:pPr>
    </w:p>
    <w:p w:rsidR="00F82BCB" w:rsidRDefault="00F82BCB" w:rsidP="00F82BCB">
      <w:pPr>
        <w:rPr>
          <w:b/>
          <w:i/>
        </w:rPr>
      </w:pPr>
      <w:r>
        <w:rPr>
          <w:b/>
          <w:i/>
        </w:rPr>
        <w:br w:type="page"/>
      </w:r>
      <w:r w:rsidRPr="00BE69D9">
        <w:rPr>
          <w:b/>
          <w:i/>
        </w:rPr>
        <w:lastRenderedPageBreak/>
        <w:t xml:space="preserve">Table 2-3: Pure substances proposed under various test programs and in </w:t>
      </w:r>
      <w:r>
        <w:rPr>
          <w:b/>
          <w:i/>
        </w:rPr>
        <w:t>A</w:t>
      </w:r>
      <w:r w:rsidRPr="00BE69D9">
        <w:rPr>
          <w:b/>
          <w:i/>
        </w:rPr>
        <w:t>SHRAE 34</w:t>
      </w:r>
    </w:p>
    <w:p w:rsidR="00F82BCB" w:rsidRPr="00BE69D9" w:rsidRDefault="00F82BCB" w:rsidP="00F82BCB">
      <w:pPr>
        <w:rPr>
          <w:b/>
          <w:i/>
        </w:rPr>
      </w:pPr>
    </w:p>
    <w:tbl>
      <w:tblPr>
        <w:tblW w:w="9531" w:type="dxa"/>
        <w:tblBorders>
          <w:top w:val="single" w:sz="18" w:space="0" w:color="A6A6A6"/>
          <w:bottom w:val="single" w:sz="18" w:space="0" w:color="A6A6A6"/>
        </w:tblBorders>
        <w:tblLayout w:type="fixed"/>
        <w:tblCellMar>
          <w:left w:w="0" w:type="dxa"/>
          <w:right w:w="0" w:type="dxa"/>
        </w:tblCellMar>
        <w:tblLook w:val="04A0" w:firstRow="1" w:lastRow="0" w:firstColumn="1" w:lastColumn="0" w:noHBand="0" w:noVBand="1"/>
      </w:tblPr>
      <w:tblGrid>
        <w:gridCol w:w="937"/>
        <w:gridCol w:w="783"/>
        <w:gridCol w:w="504"/>
        <w:gridCol w:w="196"/>
        <w:gridCol w:w="210"/>
        <w:gridCol w:w="210"/>
        <w:gridCol w:w="210"/>
        <w:gridCol w:w="238"/>
        <w:gridCol w:w="1132"/>
        <w:gridCol w:w="1204"/>
        <w:gridCol w:w="517"/>
        <w:gridCol w:w="639"/>
        <w:gridCol w:w="873"/>
        <w:gridCol w:w="546"/>
        <w:gridCol w:w="462"/>
        <w:gridCol w:w="435"/>
        <w:gridCol w:w="435"/>
      </w:tblGrid>
      <w:tr w:rsidR="00F82BCB" w:rsidRPr="00BB7CBF" w:rsidTr="00BA6AD6">
        <w:trPr>
          <w:cantSplit/>
          <w:trHeight w:val="2555"/>
        </w:trPr>
        <w:tc>
          <w:tcPr>
            <w:tcW w:w="937"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BB7CBF" w:rsidRDefault="00F82BCB" w:rsidP="00BA6AD6">
            <w:pPr>
              <w:spacing w:line="256" w:lineRule="auto"/>
              <w:ind w:left="57" w:right="57"/>
              <w:jc w:val="right"/>
              <w:rPr>
                <w:b/>
                <w:sz w:val="19"/>
                <w:szCs w:val="19"/>
              </w:rPr>
            </w:pPr>
            <w:r w:rsidRPr="00BB7CBF">
              <w:rPr>
                <w:b/>
                <w:sz w:val="19"/>
                <w:szCs w:val="19"/>
              </w:rPr>
              <w:t>Refrigerant Designation</w:t>
            </w:r>
          </w:p>
        </w:tc>
        <w:tc>
          <w:tcPr>
            <w:tcW w:w="783" w:type="dxa"/>
            <w:vMerge w:val="restart"/>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Proposed to replace</w:t>
            </w:r>
            <w:r w:rsidRPr="00BB7CBF">
              <w:rPr>
                <w:b/>
                <w:sz w:val="19"/>
                <w:szCs w:val="19"/>
              </w:rPr>
              <w:br/>
              <w:t xml:space="preserve"> (from AREP phase I)</w:t>
            </w:r>
          </w:p>
        </w:tc>
        <w:tc>
          <w:tcPr>
            <w:tcW w:w="504" w:type="dxa"/>
            <w:vMerge w:val="restart"/>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Safety Class</w:t>
            </w:r>
          </w:p>
        </w:tc>
        <w:tc>
          <w:tcPr>
            <w:tcW w:w="406" w:type="dxa"/>
            <w:gridSpan w:val="2"/>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Participation in</w:t>
            </w:r>
            <w:r w:rsidRPr="00BB7CBF">
              <w:rPr>
                <w:b/>
                <w:sz w:val="19"/>
                <w:szCs w:val="19"/>
              </w:rPr>
              <w:br/>
              <w:t xml:space="preserve"> AREP program</w:t>
            </w:r>
          </w:p>
        </w:tc>
        <w:tc>
          <w:tcPr>
            <w:tcW w:w="658" w:type="dxa"/>
            <w:gridSpan w:val="3"/>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High ambient programmes for HCFC-22 and R-410A alternatives</w:t>
            </w:r>
          </w:p>
        </w:tc>
        <w:tc>
          <w:tcPr>
            <w:tcW w:w="1132"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BB7CBF" w:rsidRDefault="00F82BCB" w:rsidP="00BA6AD6">
            <w:pPr>
              <w:spacing w:line="256" w:lineRule="auto"/>
              <w:ind w:left="57" w:right="57"/>
              <w:jc w:val="right"/>
              <w:rPr>
                <w:b/>
                <w:sz w:val="19"/>
                <w:szCs w:val="19"/>
              </w:rPr>
            </w:pPr>
            <w:r w:rsidRPr="00BB7CBF">
              <w:rPr>
                <w:b/>
                <w:sz w:val="19"/>
                <w:szCs w:val="19"/>
              </w:rPr>
              <w:t>Chemical Formula</w:t>
            </w:r>
          </w:p>
        </w:tc>
        <w:tc>
          <w:tcPr>
            <w:tcW w:w="1204"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BB7CBF" w:rsidRDefault="00F82BCB" w:rsidP="00BA6AD6">
            <w:pPr>
              <w:spacing w:line="256" w:lineRule="auto"/>
              <w:ind w:left="57" w:right="57"/>
              <w:jc w:val="right"/>
              <w:rPr>
                <w:b/>
                <w:sz w:val="19"/>
                <w:szCs w:val="19"/>
              </w:rPr>
            </w:pPr>
            <w:r w:rsidRPr="00BB7CBF">
              <w:rPr>
                <w:b/>
                <w:sz w:val="19"/>
                <w:szCs w:val="19"/>
              </w:rPr>
              <w:t>Chemical Name</w:t>
            </w:r>
          </w:p>
        </w:tc>
        <w:tc>
          <w:tcPr>
            <w:tcW w:w="517"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Molecular Weight</w:t>
            </w:r>
          </w:p>
        </w:tc>
        <w:tc>
          <w:tcPr>
            <w:tcW w:w="639"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Boiling Point (°C)</w:t>
            </w:r>
          </w:p>
        </w:tc>
        <w:tc>
          <w:tcPr>
            <w:tcW w:w="87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ATEL/ODL (kg/m</w:t>
            </w:r>
            <w:r w:rsidRPr="00BB7CBF">
              <w:rPr>
                <w:b/>
                <w:sz w:val="19"/>
                <w:szCs w:val="19"/>
                <w:vertAlign w:val="superscript"/>
              </w:rPr>
              <w:t>3</w:t>
            </w:r>
            <w:r w:rsidRPr="00BB7CBF">
              <w:rPr>
                <w:b/>
                <w:sz w:val="19"/>
                <w:szCs w:val="19"/>
              </w:rPr>
              <w:t>)</w:t>
            </w:r>
          </w:p>
        </w:tc>
        <w:tc>
          <w:tcPr>
            <w:tcW w:w="546"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LFL (kg/m</w:t>
            </w:r>
            <w:r w:rsidRPr="00BB7CBF">
              <w:rPr>
                <w:b/>
                <w:sz w:val="19"/>
                <w:szCs w:val="19"/>
                <w:vertAlign w:val="superscript"/>
              </w:rPr>
              <w:t>3</w:t>
            </w:r>
            <w:r w:rsidRPr="00BB7CBF">
              <w:rPr>
                <w:b/>
                <w:sz w:val="19"/>
                <w:szCs w:val="19"/>
              </w:rPr>
              <w:t>)</w:t>
            </w:r>
          </w:p>
        </w:tc>
        <w:tc>
          <w:tcPr>
            <w:tcW w:w="462"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GWP 100 Year (IPCC5)</w:t>
            </w:r>
          </w:p>
        </w:tc>
        <w:tc>
          <w:tcPr>
            <w:tcW w:w="435"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BB7CBF" w:rsidRDefault="00F82BCB" w:rsidP="00BA6AD6">
            <w:pPr>
              <w:spacing w:line="256" w:lineRule="auto"/>
              <w:ind w:left="57" w:right="57"/>
              <w:jc w:val="right"/>
              <w:rPr>
                <w:b/>
                <w:sz w:val="19"/>
                <w:szCs w:val="19"/>
              </w:rPr>
            </w:pPr>
            <w:r w:rsidRPr="00BB7CBF">
              <w:rPr>
                <w:b/>
                <w:sz w:val="19"/>
                <w:szCs w:val="19"/>
              </w:rPr>
              <w:t>GWP 100 Year (RTOC)</w:t>
            </w:r>
          </w:p>
        </w:tc>
        <w:tc>
          <w:tcPr>
            <w:tcW w:w="435" w:type="dxa"/>
            <w:tcBorders>
              <w:top w:val="nil"/>
              <w:left w:val="nil"/>
              <w:bottom w:val="nil"/>
              <w:right w:val="nil"/>
            </w:tcBorders>
            <w:textDirection w:val="tbRl"/>
          </w:tcPr>
          <w:p w:rsidR="00F82BCB" w:rsidRPr="00BB7CBF" w:rsidRDefault="00F82BCB" w:rsidP="00BA6AD6">
            <w:pPr>
              <w:spacing w:line="256" w:lineRule="auto"/>
              <w:ind w:left="57" w:right="57"/>
              <w:jc w:val="right"/>
              <w:rPr>
                <w:b/>
                <w:sz w:val="19"/>
                <w:szCs w:val="19"/>
              </w:rPr>
            </w:pPr>
          </w:p>
        </w:tc>
      </w:tr>
      <w:tr w:rsidR="00F82BCB" w:rsidRPr="00BB7CBF" w:rsidTr="00BA6AD6">
        <w:trPr>
          <w:cantSplit/>
          <w:trHeight w:val="891"/>
        </w:trPr>
        <w:tc>
          <w:tcPr>
            <w:tcW w:w="937"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783"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504"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196" w:type="dxa"/>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jc w:val="right"/>
              <w:rPr>
                <w:b/>
                <w:sz w:val="19"/>
                <w:szCs w:val="19"/>
              </w:rPr>
            </w:pPr>
            <w:r w:rsidRPr="00BB7CBF">
              <w:rPr>
                <w:b/>
                <w:sz w:val="19"/>
                <w:szCs w:val="19"/>
              </w:rPr>
              <w:t>Phase 1</w:t>
            </w:r>
          </w:p>
        </w:tc>
        <w:tc>
          <w:tcPr>
            <w:tcW w:w="210" w:type="dxa"/>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jc w:val="right"/>
              <w:rPr>
                <w:b/>
                <w:sz w:val="19"/>
                <w:szCs w:val="19"/>
              </w:rPr>
            </w:pPr>
            <w:r w:rsidRPr="00BB7CBF">
              <w:rPr>
                <w:b/>
                <w:sz w:val="19"/>
                <w:szCs w:val="19"/>
              </w:rPr>
              <w:t>Phase 2</w:t>
            </w:r>
          </w:p>
        </w:tc>
        <w:tc>
          <w:tcPr>
            <w:tcW w:w="210" w:type="dxa"/>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jc w:val="right"/>
              <w:rPr>
                <w:b/>
                <w:sz w:val="19"/>
                <w:szCs w:val="19"/>
              </w:rPr>
            </w:pPr>
            <w:r w:rsidRPr="00BB7CBF">
              <w:rPr>
                <w:b/>
                <w:sz w:val="19"/>
                <w:szCs w:val="19"/>
              </w:rPr>
              <w:t>PRAHA</w:t>
            </w:r>
          </w:p>
        </w:tc>
        <w:tc>
          <w:tcPr>
            <w:tcW w:w="210" w:type="dxa"/>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jc w:val="right"/>
              <w:rPr>
                <w:b/>
                <w:sz w:val="19"/>
                <w:szCs w:val="19"/>
              </w:rPr>
            </w:pPr>
            <w:r w:rsidRPr="00BB7CBF">
              <w:rPr>
                <w:b/>
                <w:sz w:val="19"/>
                <w:szCs w:val="19"/>
              </w:rPr>
              <w:t>EGYPRA</w:t>
            </w:r>
          </w:p>
        </w:tc>
        <w:tc>
          <w:tcPr>
            <w:tcW w:w="238" w:type="dxa"/>
            <w:tcBorders>
              <w:top w:val="single" w:sz="18" w:space="0" w:color="A6A6A6"/>
              <w:left w:val="nil"/>
              <w:bottom w:val="single" w:sz="18" w:space="0" w:color="A6A6A6"/>
              <w:right w:val="nil"/>
            </w:tcBorders>
            <w:textDirection w:val="tbRl"/>
            <w:vAlign w:val="center"/>
            <w:hideMark/>
          </w:tcPr>
          <w:p w:rsidR="00F82BCB" w:rsidRPr="00BB7CBF" w:rsidRDefault="00F82BCB" w:rsidP="00BA6AD6">
            <w:pPr>
              <w:spacing w:line="256" w:lineRule="auto"/>
              <w:jc w:val="right"/>
              <w:rPr>
                <w:b/>
                <w:sz w:val="19"/>
                <w:szCs w:val="19"/>
              </w:rPr>
            </w:pPr>
            <w:r w:rsidRPr="00BB7CBF">
              <w:rPr>
                <w:b/>
                <w:sz w:val="19"/>
                <w:szCs w:val="19"/>
              </w:rPr>
              <w:t>US DoE</w:t>
            </w:r>
          </w:p>
        </w:tc>
        <w:tc>
          <w:tcPr>
            <w:tcW w:w="1132"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1204"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517"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639"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873"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546"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462"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435" w:type="dxa"/>
            <w:vMerge/>
            <w:tcBorders>
              <w:top w:val="single" w:sz="18" w:space="0" w:color="A6A6A6"/>
              <w:left w:val="nil"/>
              <w:bottom w:val="single" w:sz="18" w:space="0" w:color="A6A6A6"/>
              <w:right w:val="nil"/>
            </w:tcBorders>
            <w:vAlign w:val="center"/>
            <w:hideMark/>
          </w:tcPr>
          <w:p w:rsidR="00F82BCB" w:rsidRPr="00BB7CBF" w:rsidRDefault="00F82BCB" w:rsidP="00BA6AD6">
            <w:pPr>
              <w:spacing w:line="256" w:lineRule="auto"/>
              <w:rPr>
                <w:b/>
                <w:sz w:val="19"/>
                <w:szCs w:val="19"/>
              </w:rPr>
            </w:pPr>
          </w:p>
        </w:tc>
        <w:tc>
          <w:tcPr>
            <w:tcW w:w="435" w:type="dxa"/>
            <w:tcBorders>
              <w:top w:val="nil"/>
              <w:left w:val="nil"/>
              <w:bottom w:val="single" w:sz="18" w:space="0" w:color="A6A6A6"/>
              <w:right w:val="nil"/>
            </w:tcBorders>
          </w:tcPr>
          <w:p w:rsidR="00F82BCB" w:rsidRPr="00BB7CBF" w:rsidRDefault="00F82BCB" w:rsidP="00BA6AD6">
            <w:pPr>
              <w:spacing w:line="256" w:lineRule="auto"/>
              <w:rPr>
                <w:b/>
                <w:sz w:val="19"/>
                <w:szCs w:val="19"/>
              </w:rPr>
            </w:pPr>
          </w:p>
        </w:tc>
      </w:tr>
      <w:tr w:rsidR="00F82BCB" w:rsidRPr="00BB7CBF" w:rsidTr="00BA6AD6">
        <w:trPr>
          <w:cantSplit/>
          <w:trHeight w:val="567"/>
        </w:trPr>
        <w:tc>
          <w:tcPr>
            <w:tcW w:w="937"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HFC-32</w:t>
            </w:r>
          </w:p>
        </w:tc>
        <w:tc>
          <w:tcPr>
            <w:tcW w:w="783" w:type="dxa"/>
            <w:tcBorders>
              <w:top w:val="single" w:sz="18" w:space="0" w:color="A6A6A6"/>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R-404A, R-410A</w:t>
            </w:r>
            <w:r w:rsidRPr="00BB7CBF">
              <w:rPr>
                <w:sz w:val="19"/>
                <w:szCs w:val="19"/>
                <w:vertAlign w:val="superscript"/>
              </w:rPr>
              <w:t>×</w:t>
            </w:r>
          </w:p>
        </w:tc>
        <w:tc>
          <w:tcPr>
            <w:tcW w:w="504"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A2L</w:t>
            </w:r>
          </w:p>
        </w:tc>
        <w:tc>
          <w:tcPr>
            <w:tcW w:w="196"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38" w:type="dxa"/>
            <w:tcBorders>
              <w:top w:val="single" w:sz="18" w:space="0" w:color="A6A6A6"/>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1132"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CH</w:t>
            </w:r>
            <w:r w:rsidRPr="00BB7CBF">
              <w:rPr>
                <w:sz w:val="19"/>
                <w:szCs w:val="19"/>
                <w:vertAlign w:val="subscript"/>
              </w:rPr>
              <w:t>2</w:t>
            </w:r>
            <w:r w:rsidRPr="00BB7CBF">
              <w:rPr>
                <w:sz w:val="19"/>
                <w:szCs w:val="19"/>
              </w:rPr>
              <w:t>F</w:t>
            </w:r>
            <w:r w:rsidRPr="00BB7CBF">
              <w:rPr>
                <w:sz w:val="19"/>
                <w:szCs w:val="19"/>
                <w:vertAlign w:val="subscript"/>
              </w:rPr>
              <w:t>2</w:t>
            </w:r>
          </w:p>
        </w:tc>
        <w:tc>
          <w:tcPr>
            <w:tcW w:w="1204"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Difluoro-methane (methylene fluoride)</w:t>
            </w:r>
          </w:p>
        </w:tc>
        <w:tc>
          <w:tcPr>
            <w:tcW w:w="517"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52,0</w:t>
            </w:r>
          </w:p>
        </w:tc>
        <w:tc>
          <w:tcPr>
            <w:tcW w:w="639"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−52</w:t>
            </w:r>
          </w:p>
        </w:tc>
        <w:tc>
          <w:tcPr>
            <w:tcW w:w="873"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0,30</w:t>
            </w:r>
          </w:p>
        </w:tc>
        <w:tc>
          <w:tcPr>
            <w:tcW w:w="546"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0,307</w:t>
            </w:r>
          </w:p>
        </w:tc>
        <w:tc>
          <w:tcPr>
            <w:tcW w:w="462"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677</w:t>
            </w:r>
          </w:p>
        </w:tc>
        <w:tc>
          <w:tcPr>
            <w:tcW w:w="435" w:type="dxa"/>
            <w:tcBorders>
              <w:top w:val="single" w:sz="18" w:space="0" w:color="A6A6A6"/>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704</w:t>
            </w:r>
          </w:p>
        </w:tc>
        <w:tc>
          <w:tcPr>
            <w:tcW w:w="435" w:type="dxa"/>
            <w:tcBorders>
              <w:top w:val="single" w:sz="18" w:space="0" w:color="A6A6A6"/>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HC-290</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 xml:space="preserve">HCFC-22, </w:t>
            </w:r>
            <w:r w:rsidRPr="00BB7CBF">
              <w:rPr>
                <w:sz w:val="19"/>
                <w:szCs w:val="19"/>
              </w:rPr>
              <w:br/>
              <w:t>R-404A, R-407C</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38"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CH</w:t>
            </w:r>
            <w:r w:rsidRPr="00BB7CBF">
              <w:rPr>
                <w:sz w:val="19"/>
                <w:szCs w:val="19"/>
                <w:vertAlign w:val="subscript"/>
              </w:rPr>
              <w:t>3</w:t>
            </w:r>
            <w:r w:rsidRPr="00BB7CBF">
              <w:rPr>
                <w:sz w:val="19"/>
                <w:szCs w:val="19"/>
              </w:rPr>
              <w:t>CH</w:t>
            </w:r>
            <w:r w:rsidRPr="00BB7CBF">
              <w:rPr>
                <w:sz w:val="19"/>
                <w:szCs w:val="19"/>
                <w:vertAlign w:val="subscript"/>
              </w:rPr>
              <w:t>2</w:t>
            </w:r>
            <w:r w:rsidRPr="00BB7CBF">
              <w:rPr>
                <w:sz w:val="19"/>
                <w:szCs w:val="19"/>
              </w:rPr>
              <w:t>CH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propane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44,1</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−42</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0,09</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0,038</w:t>
            </w:r>
          </w:p>
        </w:tc>
        <w:tc>
          <w:tcPr>
            <w:tcW w:w="462" w:type="dxa"/>
            <w:tcBorders>
              <w:top w:val="nil"/>
              <w:left w:val="nil"/>
              <w:bottom w:val="nil"/>
              <w:right w:val="nil"/>
            </w:tcBorders>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5</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HC-600a</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CH(CH</w:t>
            </w:r>
            <w:r w:rsidRPr="00BB7CBF">
              <w:rPr>
                <w:sz w:val="19"/>
                <w:szCs w:val="19"/>
                <w:vertAlign w:val="subscript"/>
              </w:rPr>
              <w:t>3</w:t>
            </w:r>
            <w:r w:rsidRPr="00BB7CBF">
              <w:rPr>
                <w:sz w:val="19"/>
                <w:szCs w:val="19"/>
              </w:rPr>
              <w:t>)</w:t>
            </w:r>
            <w:r w:rsidRPr="00BB7CBF">
              <w:rPr>
                <w:sz w:val="19"/>
                <w:szCs w:val="19"/>
                <w:vertAlign w:val="subscript"/>
              </w:rPr>
              <w:t>2</w:t>
            </w:r>
            <w:r w:rsidRPr="00BB7CBF">
              <w:rPr>
                <w:sz w:val="19"/>
                <w:szCs w:val="19"/>
              </w:rPr>
              <w:t>-CH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2-methyl-propane (isobutane)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58,1</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−12</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0,059</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0,043</w:t>
            </w:r>
          </w:p>
        </w:tc>
        <w:tc>
          <w:tcPr>
            <w:tcW w:w="462" w:type="dxa"/>
            <w:tcBorders>
              <w:top w:val="nil"/>
              <w:left w:val="nil"/>
              <w:bottom w:val="nil"/>
              <w:right w:val="nil"/>
            </w:tcBorders>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~20</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R-717</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 xml:space="preserve">HCFC-22, </w:t>
            </w:r>
            <w:r w:rsidRPr="00BB7CBF">
              <w:rPr>
                <w:sz w:val="19"/>
                <w:szCs w:val="19"/>
              </w:rPr>
              <w:br/>
              <w:t>R-407C</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B2L</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NH</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ammonia</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17,0</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−33</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0,000 22</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0,116</w:t>
            </w:r>
          </w:p>
        </w:tc>
        <w:tc>
          <w:tcPr>
            <w:tcW w:w="462" w:type="dxa"/>
            <w:tcBorders>
              <w:top w:val="nil"/>
              <w:left w:val="nil"/>
              <w:bottom w:val="nil"/>
              <w:right w:val="nil"/>
            </w:tcBorders>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R-744</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R-404A, R-410A</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CO</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carbon dioxide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44,0</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−78</w:t>
            </w:r>
            <w:r w:rsidRPr="00BB7CBF">
              <w:rPr>
                <w:sz w:val="19"/>
                <w:szCs w:val="19"/>
                <w:vertAlign w:val="superscript"/>
              </w:rPr>
              <w:t>◊</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0,072</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w:t>
            </w: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1341BE">
            <w:pPr>
              <w:spacing w:line="256" w:lineRule="auto"/>
              <w:rPr>
                <w:sz w:val="19"/>
                <w:szCs w:val="19"/>
              </w:rPr>
            </w:pPr>
            <w:r w:rsidRPr="00BB7CBF">
              <w:rPr>
                <w:sz w:val="19"/>
                <w:szCs w:val="19"/>
              </w:rPr>
              <w:t>HCF</w:t>
            </w:r>
            <w:r w:rsidR="001341BE">
              <w:rPr>
                <w:sz w:val="19"/>
                <w:szCs w:val="19"/>
              </w:rPr>
              <w:t>O</w:t>
            </w:r>
            <w:r w:rsidRPr="00BB7CBF">
              <w:rPr>
                <w:sz w:val="19"/>
                <w:szCs w:val="19"/>
              </w:rPr>
              <w:t>-1233zd(E)</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HCFC-123</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w:t>
            </w:r>
          </w:p>
          <w:p w:rsidR="00F82BCB" w:rsidRPr="00BB7CBF" w:rsidRDefault="00F82BCB" w:rsidP="00BA6AD6">
            <w:pPr>
              <w:spacing w:line="256" w:lineRule="auto"/>
              <w:rPr>
                <w:sz w:val="19"/>
                <w:szCs w:val="19"/>
              </w:rPr>
            </w:pPr>
            <w:r w:rsidRPr="00BB7CBF">
              <w:rPr>
                <w:sz w:val="19"/>
                <w:szCs w:val="19"/>
              </w:rPr>
              <w:t>CHCl</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trans-1-chloro-3,3,3-trifluoro-1-propene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130,5</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18,1</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w:t>
            </w: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1341BE">
            <w:pPr>
              <w:spacing w:line="256" w:lineRule="auto"/>
              <w:rPr>
                <w:sz w:val="19"/>
                <w:szCs w:val="19"/>
              </w:rPr>
            </w:pPr>
            <w:r w:rsidRPr="00BB7CBF">
              <w:rPr>
                <w:sz w:val="19"/>
                <w:szCs w:val="19"/>
              </w:rPr>
              <w:t>HF</w:t>
            </w:r>
            <w:r w:rsidR="001341BE">
              <w:rPr>
                <w:sz w:val="19"/>
                <w:szCs w:val="19"/>
              </w:rPr>
              <w:t>O</w:t>
            </w:r>
            <w:r w:rsidRPr="00BB7CBF">
              <w:rPr>
                <w:sz w:val="19"/>
                <w:szCs w:val="19"/>
              </w:rPr>
              <w:t>-1234yf</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A2L</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CF=CH</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2,3,3,3-tetrafluoro-1-propene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114,0</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−29,4</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0,47</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0,289</w:t>
            </w:r>
          </w:p>
        </w:tc>
        <w:tc>
          <w:tcPr>
            <w:tcW w:w="46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1341BE">
            <w:pPr>
              <w:spacing w:line="256" w:lineRule="auto"/>
              <w:rPr>
                <w:sz w:val="19"/>
                <w:szCs w:val="19"/>
              </w:rPr>
            </w:pPr>
            <w:r w:rsidRPr="00BB7CBF">
              <w:rPr>
                <w:sz w:val="19"/>
                <w:szCs w:val="19"/>
              </w:rPr>
              <w:t>HF</w:t>
            </w:r>
            <w:r w:rsidR="001341BE">
              <w:rPr>
                <w:sz w:val="19"/>
                <w:szCs w:val="19"/>
              </w:rPr>
              <w:t>O</w:t>
            </w:r>
            <w:r w:rsidRPr="00BB7CBF">
              <w:rPr>
                <w:sz w:val="19"/>
                <w:szCs w:val="19"/>
              </w:rPr>
              <w:t xml:space="preserve">-1234ze(E) </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HFC-134a</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A2L</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w:t>
            </w:r>
            <w:r w:rsidRPr="00BB7CBF">
              <w:rPr>
                <w:sz w:val="19"/>
                <w:szCs w:val="19"/>
              </w:rPr>
              <w:br/>
              <w:t>CHF</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trans-1,3,3,3-tetrafluoro-1-propene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114,0</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−19,0</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0,28</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0,303</w:t>
            </w:r>
          </w:p>
        </w:tc>
        <w:tc>
          <w:tcPr>
            <w:tcW w:w="46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HC-1270</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 xml:space="preserve">HCFC-22, </w:t>
            </w:r>
            <w:r w:rsidRPr="00BB7CBF">
              <w:rPr>
                <w:sz w:val="19"/>
                <w:szCs w:val="19"/>
              </w:rPr>
              <w:br/>
              <w:t>R-407C</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A3</w:t>
            </w:r>
          </w:p>
        </w:tc>
        <w:tc>
          <w:tcPr>
            <w:tcW w:w="196"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X</w:t>
            </w: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CH</w:t>
            </w:r>
            <w:r w:rsidRPr="00BB7CBF">
              <w:rPr>
                <w:sz w:val="19"/>
                <w:szCs w:val="19"/>
                <w:vertAlign w:val="subscript"/>
              </w:rPr>
              <w:t>3</w:t>
            </w:r>
            <w:r w:rsidRPr="00BB7CBF">
              <w:rPr>
                <w:sz w:val="19"/>
                <w:szCs w:val="19"/>
              </w:rPr>
              <w:t>CH=</w:t>
            </w:r>
            <w:r w:rsidRPr="00BB7CBF">
              <w:rPr>
                <w:sz w:val="19"/>
                <w:szCs w:val="19"/>
              </w:rPr>
              <w:br/>
              <w:t>CH</w:t>
            </w:r>
            <w:r w:rsidRPr="00BB7CBF">
              <w:rPr>
                <w:sz w:val="19"/>
                <w:szCs w:val="19"/>
                <w:vertAlign w:val="subscript"/>
              </w:rPr>
              <w:t>2</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propene (propylene)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42,1</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−48</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0,001 7</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0,046</w:t>
            </w:r>
          </w:p>
        </w:tc>
        <w:tc>
          <w:tcPr>
            <w:tcW w:w="462" w:type="dxa"/>
            <w:tcBorders>
              <w:top w:val="nil"/>
              <w:left w:val="nil"/>
              <w:bottom w:val="nil"/>
              <w:right w:val="nil"/>
            </w:tcBorders>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1,8</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1341BE">
            <w:pPr>
              <w:spacing w:line="256" w:lineRule="auto"/>
              <w:rPr>
                <w:sz w:val="19"/>
                <w:szCs w:val="19"/>
              </w:rPr>
            </w:pPr>
            <w:r w:rsidRPr="00BB7CBF">
              <w:rPr>
                <w:sz w:val="19"/>
                <w:szCs w:val="19"/>
              </w:rPr>
              <w:t>HF</w:t>
            </w:r>
            <w:r w:rsidR="001341BE">
              <w:rPr>
                <w:sz w:val="19"/>
                <w:szCs w:val="19"/>
              </w:rPr>
              <w:t>O</w:t>
            </w:r>
            <w:r w:rsidRPr="00BB7CBF">
              <w:rPr>
                <w:sz w:val="19"/>
                <w:szCs w:val="19"/>
              </w:rPr>
              <w:t>-1336mzz</w:t>
            </w:r>
            <w:r w:rsidRPr="00BB7CBF">
              <w:rPr>
                <w:sz w:val="19"/>
                <w:szCs w:val="19"/>
              </w:rPr>
              <w:br/>
              <w:t>(Z)</w:t>
            </w:r>
          </w:p>
        </w:tc>
        <w:tc>
          <w:tcPr>
            <w:tcW w:w="783" w:type="dxa"/>
            <w:tcBorders>
              <w:top w:val="nil"/>
              <w:left w:val="nil"/>
              <w:bottom w:val="nil"/>
              <w:right w:val="nil"/>
            </w:tcBorders>
            <w:vAlign w:val="center"/>
            <w:hideMark/>
          </w:tcPr>
          <w:p w:rsidR="00F82BCB" w:rsidRPr="00BB7CBF" w:rsidRDefault="00F82BCB" w:rsidP="00BA6AD6">
            <w:pPr>
              <w:spacing w:line="256" w:lineRule="auto"/>
              <w:rPr>
                <w:sz w:val="19"/>
                <w:szCs w:val="19"/>
              </w:rPr>
            </w:pPr>
            <w:r w:rsidRPr="00BB7CBF">
              <w:rPr>
                <w:sz w:val="19"/>
                <w:szCs w:val="19"/>
              </w:rPr>
              <w:t>HCFC-123</w:t>
            </w:r>
          </w:p>
        </w:tc>
        <w:tc>
          <w:tcPr>
            <w:tcW w:w="504" w:type="dxa"/>
            <w:tcBorders>
              <w:top w:val="nil"/>
              <w:left w:val="nil"/>
              <w:bottom w:val="nil"/>
              <w:right w:val="nil"/>
            </w:tcBorders>
            <w:vAlign w:val="center"/>
            <w:hideMark/>
          </w:tcPr>
          <w:p w:rsidR="00F82BCB" w:rsidRPr="00BB7CBF" w:rsidRDefault="00F82BCB" w:rsidP="00BA6AD6">
            <w:pPr>
              <w:spacing w:line="256" w:lineRule="auto"/>
              <w:jc w:val="center"/>
              <w:rPr>
                <w:sz w:val="19"/>
                <w:szCs w:val="19"/>
              </w:rPr>
            </w:pPr>
            <w:r w:rsidRPr="00BB7CBF">
              <w:rPr>
                <w:sz w:val="19"/>
                <w:szCs w:val="19"/>
              </w:rPr>
              <w:t>A1</w:t>
            </w:r>
          </w:p>
        </w:tc>
        <w:tc>
          <w:tcPr>
            <w:tcW w:w="196"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10"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238" w:type="dxa"/>
            <w:tcBorders>
              <w:top w:val="nil"/>
              <w:left w:val="nil"/>
              <w:bottom w:val="nil"/>
              <w:right w:val="nil"/>
            </w:tcBorders>
            <w:vAlign w:val="center"/>
          </w:tcPr>
          <w:p w:rsidR="00F82BCB" w:rsidRPr="00BB7CBF" w:rsidRDefault="00F82BCB" w:rsidP="00BA6AD6">
            <w:pPr>
              <w:spacing w:line="256" w:lineRule="auto"/>
              <w:jc w:val="center"/>
              <w:rPr>
                <w:sz w:val="19"/>
                <w:szCs w:val="19"/>
              </w:rPr>
            </w:pPr>
          </w:p>
        </w:tc>
        <w:tc>
          <w:tcPr>
            <w:tcW w:w="113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CF</w:t>
            </w:r>
            <w:r w:rsidRPr="00BB7CBF">
              <w:rPr>
                <w:sz w:val="19"/>
                <w:szCs w:val="19"/>
                <w:vertAlign w:val="subscript"/>
              </w:rPr>
              <w:t>3</w:t>
            </w:r>
            <w:r w:rsidRPr="00BB7CBF">
              <w:rPr>
                <w:sz w:val="19"/>
                <w:szCs w:val="19"/>
              </w:rPr>
              <w:t>CH=CH-CF</w:t>
            </w:r>
            <w:r w:rsidRPr="00BB7CBF">
              <w:rPr>
                <w:sz w:val="19"/>
                <w:szCs w:val="19"/>
                <w:vertAlign w:val="subscript"/>
              </w:rPr>
              <w:t>3</w:t>
            </w:r>
          </w:p>
        </w:tc>
        <w:tc>
          <w:tcPr>
            <w:tcW w:w="1204"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cis-1,1,1,4,4,4-hexafluoro-2-butene</w:t>
            </w:r>
          </w:p>
        </w:tc>
        <w:tc>
          <w:tcPr>
            <w:tcW w:w="517"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164,1</w:t>
            </w:r>
          </w:p>
        </w:tc>
        <w:tc>
          <w:tcPr>
            <w:tcW w:w="639"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33,4</w:t>
            </w:r>
          </w:p>
        </w:tc>
        <w:tc>
          <w:tcPr>
            <w:tcW w:w="873"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0</w:t>
            </w:r>
          </w:p>
        </w:tc>
        <w:tc>
          <w:tcPr>
            <w:tcW w:w="546"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NF</w:t>
            </w:r>
          </w:p>
        </w:tc>
        <w:tc>
          <w:tcPr>
            <w:tcW w:w="462"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2</w:t>
            </w:r>
          </w:p>
        </w:tc>
        <w:tc>
          <w:tcPr>
            <w:tcW w:w="435" w:type="dxa"/>
            <w:tcBorders>
              <w:top w:val="nil"/>
              <w:left w:val="nil"/>
              <w:bottom w:val="nil"/>
              <w:right w:val="nil"/>
            </w:tcBorders>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2</w:t>
            </w:r>
          </w:p>
        </w:tc>
        <w:tc>
          <w:tcPr>
            <w:tcW w:w="435" w:type="dxa"/>
            <w:tcBorders>
              <w:top w:val="nil"/>
              <w:left w:val="nil"/>
              <w:bottom w:val="nil"/>
              <w:right w:val="nil"/>
            </w:tcBorders>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37"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HCC-1130(E)</w:t>
            </w:r>
            <w:r w:rsidRPr="00BB7CBF">
              <w:rPr>
                <w:sz w:val="19"/>
                <w:szCs w:val="19"/>
                <w:vertAlign w:val="superscript"/>
              </w:rPr>
              <w:t>**</w:t>
            </w:r>
          </w:p>
        </w:tc>
        <w:tc>
          <w:tcPr>
            <w:tcW w:w="783" w:type="dxa"/>
            <w:tcBorders>
              <w:top w:val="nil"/>
              <w:left w:val="nil"/>
              <w:bottom w:val="single" w:sz="18" w:space="0" w:color="A6A6A6"/>
              <w:right w:val="nil"/>
            </w:tcBorders>
            <w:shd w:val="clear" w:color="auto" w:fill="E2EFD9"/>
            <w:vAlign w:val="center"/>
            <w:hideMark/>
          </w:tcPr>
          <w:p w:rsidR="00F82BCB" w:rsidRPr="00BB7CBF" w:rsidRDefault="00F82BCB" w:rsidP="00BA6AD6">
            <w:pPr>
              <w:spacing w:line="256" w:lineRule="auto"/>
              <w:rPr>
                <w:sz w:val="19"/>
                <w:szCs w:val="19"/>
              </w:rPr>
            </w:pPr>
            <w:r w:rsidRPr="00BB7CBF">
              <w:rPr>
                <w:sz w:val="19"/>
                <w:szCs w:val="19"/>
              </w:rPr>
              <w:t>HCFC-123</w:t>
            </w:r>
          </w:p>
        </w:tc>
        <w:tc>
          <w:tcPr>
            <w:tcW w:w="504" w:type="dxa"/>
            <w:tcBorders>
              <w:top w:val="nil"/>
              <w:left w:val="nil"/>
              <w:bottom w:val="single" w:sz="18" w:space="0" w:color="A6A6A6"/>
              <w:right w:val="nil"/>
            </w:tcBorders>
            <w:shd w:val="clear" w:color="auto" w:fill="E2EFD9"/>
            <w:vAlign w:val="center"/>
            <w:hideMark/>
          </w:tcPr>
          <w:p w:rsidR="00F82BCB" w:rsidRPr="00BB7CBF" w:rsidRDefault="00F82BCB" w:rsidP="00BA6AD6">
            <w:pPr>
              <w:spacing w:line="256" w:lineRule="auto"/>
              <w:jc w:val="center"/>
              <w:rPr>
                <w:sz w:val="19"/>
                <w:szCs w:val="19"/>
              </w:rPr>
            </w:pPr>
            <w:r w:rsidRPr="00BB7CBF">
              <w:rPr>
                <w:sz w:val="19"/>
                <w:szCs w:val="19"/>
              </w:rPr>
              <w:t>B2</w:t>
            </w:r>
          </w:p>
        </w:tc>
        <w:tc>
          <w:tcPr>
            <w:tcW w:w="196" w:type="dxa"/>
            <w:tcBorders>
              <w:top w:val="nil"/>
              <w:left w:val="nil"/>
              <w:bottom w:val="single" w:sz="18" w:space="0" w:color="A6A6A6"/>
              <w:right w:val="nil"/>
            </w:tcBorders>
            <w:shd w:val="clear" w:color="auto" w:fill="E2EFD9"/>
            <w:vAlign w:val="center"/>
          </w:tcPr>
          <w:p w:rsidR="00F82BCB" w:rsidRPr="00BB7CBF" w:rsidRDefault="00F82BCB" w:rsidP="00BA6AD6">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rsidR="00F82BCB" w:rsidRPr="00BB7CBF" w:rsidRDefault="00F82BCB" w:rsidP="00BA6AD6">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rsidR="00F82BCB" w:rsidRPr="00BB7CBF" w:rsidRDefault="00F82BCB" w:rsidP="00BA6AD6">
            <w:pPr>
              <w:spacing w:line="256" w:lineRule="auto"/>
              <w:jc w:val="center"/>
              <w:rPr>
                <w:sz w:val="19"/>
                <w:szCs w:val="19"/>
              </w:rPr>
            </w:pPr>
          </w:p>
        </w:tc>
        <w:tc>
          <w:tcPr>
            <w:tcW w:w="210" w:type="dxa"/>
            <w:tcBorders>
              <w:top w:val="nil"/>
              <w:left w:val="nil"/>
              <w:bottom w:val="single" w:sz="18" w:space="0" w:color="A6A6A6"/>
              <w:right w:val="nil"/>
            </w:tcBorders>
            <w:shd w:val="clear" w:color="auto" w:fill="E2EFD9"/>
            <w:vAlign w:val="center"/>
          </w:tcPr>
          <w:p w:rsidR="00F82BCB" w:rsidRPr="00BB7CBF" w:rsidRDefault="00F82BCB" w:rsidP="00BA6AD6">
            <w:pPr>
              <w:spacing w:line="256" w:lineRule="auto"/>
              <w:jc w:val="center"/>
              <w:rPr>
                <w:sz w:val="19"/>
                <w:szCs w:val="19"/>
              </w:rPr>
            </w:pPr>
          </w:p>
        </w:tc>
        <w:tc>
          <w:tcPr>
            <w:tcW w:w="238" w:type="dxa"/>
            <w:tcBorders>
              <w:top w:val="nil"/>
              <w:left w:val="nil"/>
              <w:bottom w:val="single" w:sz="18" w:space="0" w:color="A6A6A6"/>
              <w:right w:val="nil"/>
            </w:tcBorders>
            <w:shd w:val="clear" w:color="auto" w:fill="E2EFD9"/>
            <w:vAlign w:val="center"/>
          </w:tcPr>
          <w:p w:rsidR="00F82BCB" w:rsidRPr="00BB7CBF" w:rsidRDefault="00F82BCB" w:rsidP="00BA6AD6">
            <w:pPr>
              <w:spacing w:line="256" w:lineRule="auto"/>
              <w:jc w:val="center"/>
              <w:rPr>
                <w:sz w:val="19"/>
                <w:szCs w:val="19"/>
              </w:rPr>
            </w:pPr>
          </w:p>
        </w:tc>
        <w:tc>
          <w:tcPr>
            <w:tcW w:w="1132"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rsidR="00F82BCB" w:rsidRPr="00BB7CBF" w:rsidRDefault="00F82BCB" w:rsidP="00BA6AD6">
            <w:pPr>
              <w:spacing w:line="256" w:lineRule="auto"/>
              <w:rPr>
                <w:sz w:val="19"/>
                <w:szCs w:val="19"/>
              </w:rPr>
            </w:pPr>
            <w:bookmarkStart w:id="31" w:name="OLE_LINK1"/>
            <w:r w:rsidRPr="00BB7CBF">
              <w:rPr>
                <w:sz w:val="19"/>
                <w:szCs w:val="19"/>
              </w:rPr>
              <w:t>CHCl=CHCl</w:t>
            </w:r>
            <w:bookmarkEnd w:id="31"/>
          </w:p>
        </w:tc>
        <w:tc>
          <w:tcPr>
            <w:tcW w:w="1204"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rsidR="00F82BCB" w:rsidRPr="00BB7CBF" w:rsidRDefault="00F82BCB" w:rsidP="00BA6AD6">
            <w:pPr>
              <w:spacing w:line="256" w:lineRule="auto"/>
              <w:rPr>
                <w:sz w:val="19"/>
                <w:szCs w:val="19"/>
              </w:rPr>
            </w:pPr>
            <w:r w:rsidRPr="00BB7CBF">
              <w:rPr>
                <w:sz w:val="19"/>
                <w:szCs w:val="19"/>
              </w:rPr>
              <w:t>trans-</w:t>
            </w:r>
            <w:bookmarkStart w:id="32" w:name="OLE_LINK2"/>
            <w:r w:rsidRPr="00BB7CBF">
              <w:rPr>
                <w:sz w:val="19"/>
                <w:szCs w:val="19"/>
              </w:rPr>
              <w:t>dichloro-ethene</w:t>
            </w:r>
            <w:bookmarkEnd w:id="32"/>
          </w:p>
        </w:tc>
        <w:tc>
          <w:tcPr>
            <w:tcW w:w="517"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rsidR="00F82BCB" w:rsidRPr="00BB7CBF" w:rsidRDefault="00F82BCB" w:rsidP="00BA6AD6">
            <w:pPr>
              <w:spacing w:line="256" w:lineRule="auto"/>
              <w:ind w:left="-48"/>
              <w:jc w:val="center"/>
              <w:rPr>
                <w:sz w:val="19"/>
                <w:szCs w:val="19"/>
              </w:rPr>
            </w:pPr>
            <w:r w:rsidRPr="00BB7CBF">
              <w:rPr>
                <w:sz w:val="19"/>
                <w:szCs w:val="19"/>
              </w:rPr>
              <w:t>96,9</w:t>
            </w:r>
          </w:p>
        </w:tc>
        <w:tc>
          <w:tcPr>
            <w:tcW w:w="639" w:type="dxa"/>
            <w:tcBorders>
              <w:top w:val="nil"/>
              <w:left w:val="nil"/>
              <w:bottom w:val="single" w:sz="18" w:space="0" w:color="A6A6A6"/>
              <w:right w:val="nil"/>
            </w:tcBorders>
            <w:shd w:val="clear" w:color="auto" w:fill="E2EFD9"/>
            <w:tcMar>
              <w:top w:w="0" w:type="dxa"/>
              <w:left w:w="28" w:type="dxa"/>
              <w:bottom w:w="0" w:type="dxa"/>
              <w:right w:w="28" w:type="dxa"/>
            </w:tcMar>
            <w:vAlign w:val="center"/>
            <w:hideMark/>
          </w:tcPr>
          <w:p w:rsidR="00F82BCB" w:rsidRPr="00BB7CBF" w:rsidRDefault="00F82BCB" w:rsidP="00BA6AD6">
            <w:pPr>
              <w:spacing w:line="256" w:lineRule="auto"/>
              <w:jc w:val="center"/>
              <w:rPr>
                <w:sz w:val="19"/>
                <w:szCs w:val="19"/>
              </w:rPr>
            </w:pPr>
            <w:r w:rsidRPr="00BB7CBF">
              <w:rPr>
                <w:sz w:val="19"/>
                <w:szCs w:val="19"/>
              </w:rPr>
              <w:t>47,7</w:t>
            </w:r>
          </w:p>
        </w:tc>
        <w:tc>
          <w:tcPr>
            <w:tcW w:w="873"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546"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p>
        </w:tc>
        <w:tc>
          <w:tcPr>
            <w:tcW w:w="462"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single" w:sz="18" w:space="0" w:color="A6A6A6"/>
              <w:right w:val="nil"/>
            </w:tcBorders>
            <w:shd w:val="clear" w:color="auto" w:fill="E2EFD9"/>
            <w:tcMar>
              <w:top w:w="0" w:type="dxa"/>
              <w:left w:w="28" w:type="dxa"/>
              <w:bottom w:w="0" w:type="dxa"/>
              <w:right w:w="28" w:type="dxa"/>
            </w:tcMar>
            <w:vAlign w:val="center"/>
          </w:tcPr>
          <w:p w:rsidR="00F82BCB" w:rsidRPr="00BB7CBF" w:rsidRDefault="00F82BCB" w:rsidP="00BA6AD6">
            <w:pPr>
              <w:spacing w:line="256" w:lineRule="auto"/>
              <w:jc w:val="center"/>
              <w:rPr>
                <w:sz w:val="19"/>
                <w:szCs w:val="19"/>
              </w:rPr>
            </w:pPr>
            <w:r w:rsidRPr="00BB7CBF">
              <w:rPr>
                <w:sz w:val="19"/>
                <w:szCs w:val="19"/>
              </w:rPr>
              <w:t>&lt;1</w:t>
            </w:r>
          </w:p>
        </w:tc>
        <w:tc>
          <w:tcPr>
            <w:tcW w:w="435" w:type="dxa"/>
            <w:tcBorders>
              <w:top w:val="nil"/>
              <w:left w:val="nil"/>
              <w:bottom w:val="single" w:sz="18" w:space="0" w:color="A6A6A6"/>
              <w:right w:val="nil"/>
            </w:tcBorders>
            <w:shd w:val="clear" w:color="auto" w:fill="E2EFD9"/>
          </w:tcPr>
          <w:p w:rsidR="00F82BCB" w:rsidRPr="00BB7CBF" w:rsidRDefault="00F82BCB" w:rsidP="00BA6AD6">
            <w:pPr>
              <w:spacing w:line="256" w:lineRule="auto"/>
              <w:jc w:val="center"/>
              <w:rPr>
                <w:sz w:val="19"/>
                <w:szCs w:val="19"/>
              </w:rPr>
            </w:pPr>
          </w:p>
        </w:tc>
      </w:tr>
      <w:tr w:rsidR="00F82BCB" w:rsidRPr="00BB7CBF" w:rsidTr="00BA6AD6">
        <w:trPr>
          <w:cantSplit/>
          <w:trHeight w:val="567"/>
        </w:trPr>
        <w:tc>
          <w:tcPr>
            <w:tcW w:w="9096" w:type="dxa"/>
            <w:gridSpan w:val="16"/>
            <w:tcBorders>
              <w:top w:val="single" w:sz="18" w:space="0" w:color="A6A6A6"/>
              <w:left w:val="nil"/>
              <w:bottom w:val="single" w:sz="18" w:space="0" w:color="A6A6A6"/>
              <w:right w:val="nil"/>
            </w:tcBorders>
            <w:tcMar>
              <w:top w:w="0" w:type="dxa"/>
              <w:left w:w="28" w:type="dxa"/>
              <w:bottom w:w="0" w:type="dxa"/>
              <w:right w:w="28" w:type="dxa"/>
            </w:tcMar>
            <w:vAlign w:val="center"/>
          </w:tcPr>
          <w:p w:rsidR="00F82BCB" w:rsidRPr="00BB7CBF" w:rsidRDefault="00F82BCB" w:rsidP="00BA6AD6">
            <w:pPr>
              <w:spacing w:line="256" w:lineRule="auto"/>
              <w:rPr>
                <w:sz w:val="19"/>
                <w:szCs w:val="19"/>
              </w:rPr>
            </w:pPr>
            <w:r w:rsidRPr="00BB7CBF">
              <w:rPr>
                <w:sz w:val="19"/>
                <w:szCs w:val="19"/>
              </w:rPr>
              <w:t>Notes:</w:t>
            </w:r>
          </w:p>
          <w:p w:rsidR="00F82BCB" w:rsidRPr="00BB7CBF" w:rsidRDefault="00F82BCB" w:rsidP="00BA6AD6">
            <w:pPr>
              <w:shd w:val="clear" w:color="auto" w:fill="FFFFFF"/>
              <w:spacing w:line="256" w:lineRule="auto"/>
              <w:rPr>
                <w:sz w:val="19"/>
                <w:szCs w:val="19"/>
              </w:rPr>
            </w:pPr>
            <w:r w:rsidRPr="00BB7CBF">
              <w:rPr>
                <w:sz w:val="19"/>
                <w:szCs w:val="19"/>
              </w:rPr>
              <w:t xml:space="preserve">Fluids given with a </w:t>
            </w:r>
            <w:r w:rsidRPr="00BB7CBF">
              <w:rPr>
                <w:sz w:val="19"/>
                <w:szCs w:val="19"/>
                <w:shd w:val="clear" w:color="auto" w:fill="E2EFD9"/>
              </w:rPr>
              <w:t>green</w:t>
            </w:r>
            <w:r w:rsidRPr="00BB7CBF">
              <w:rPr>
                <w:sz w:val="19"/>
                <w:szCs w:val="19"/>
              </w:rPr>
              <w:t xml:space="preserve"> background are fluids which were not previously mentioned in the XXVI/9 Task Force report.</w:t>
            </w:r>
          </w:p>
          <w:p w:rsidR="00F82BCB" w:rsidRPr="00BB7CBF" w:rsidRDefault="00F82BCB" w:rsidP="00BA6AD6">
            <w:pPr>
              <w:spacing w:line="256" w:lineRule="auto"/>
              <w:rPr>
                <w:sz w:val="19"/>
                <w:szCs w:val="19"/>
              </w:rPr>
            </w:pPr>
            <w:r w:rsidRPr="00BB7CBF">
              <w:rPr>
                <w:sz w:val="19"/>
                <w:szCs w:val="19"/>
                <w:vertAlign w:val="superscript"/>
              </w:rPr>
              <w:t>×</w:t>
            </w:r>
            <w:r w:rsidRPr="00BB7CBF">
              <w:rPr>
                <w:sz w:val="19"/>
                <w:szCs w:val="19"/>
              </w:rPr>
              <w:t xml:space="preserve"> HFC-32 was proposed to replace R-404A and R-410A in phase I of the AREP program, but is only proposed to replace R-410A in phase II of same and later projects.</w:t>
            </w:r>
          </w:p>
          <w:p w:rsidR="00F82BCB" w:rsidRPr="00BB7CBF" w:rsidRDefault="00F82BCB" w:rsidP="00BA6AD6">
            <w:pPr>
              <w:spacing w:line="256" w:lineRule="auto"/>
              <w:rPr>
                <w:sz w:val="19"/>
                <w:szCs w:val="19"/>
              </w:rPr>
            </w:pPr>
            <w:r w:rsidRPr="00BB7CBF">
              <w:rPr>
                <w:sz w:val="19"/>
                <w:szCs w:val="19"/>
                <w:vertAlign w:val="superscript"/>
              </w:rPr>
              <w:t>◊</w:t>
            </w:r>
            <w:r w:rsidRPr="00BB7CBF">
              <w:rPr>
                <w:sz w:val="19"/>
                <w:szCs w:val="19"/>
              </w:rPr>
              <w:t xml:space="preserve"> For R-744 the sublimation temperature is given instead of boiling point. Triple point is −56,6 °C at 5,2 bar.</w:t>
            </w:r>
          </w:p>
          <w:p w:rsidR="00F82BCB" w:rsidRPr="00BB7CBF" w:rsidRDefault="00F82BCB" w:rsidP="00BA6AD6">
            <w:pPr>
              <w:spacing w:line="256" w:lineRule="auto"/>
              <w:rPr>
                <w:sz w:val="19"/>
                <w:szCs w:val="19"/>
              </w:rPr>
            </w:pPr>
            <w:r w:rsidRPr="00BB7CBF">
              <w:rPr>
                <w:sz w:val="19"/>
                <w:szCs w:val="19"/>
              </w:rPr>
              <w:t xml:space="preserve">**HCC-1130(E) is pending official ASHRAE 34 approval, submitted January 2016. </w:t>
            </w:r>
          </w:p>
        </w:tc>
        <w:tc>
          <w:tcPr>
            <w:tcW w:w="435" w:type="dxa"/>
            <w:tcBorders>
              <w:top w:val="single" w:sz="18" w:space="0" w:color="A6A6A6"/>
              <w:left w:val="nil"/>
              <w:bottom w:val="single" w:sz="18" w:space="0" w:color="A6A6A6"/>
              <w:right w:val="nil"/>
            </w:tcBorders>
          </w:tcPr>
          <w:p w:rsidR="00F82BCB" w:rsidRPr="00BB7CBF" w:rsidRDefault="00F82BCB" w:rsidP="00BA6AD6">
            <w:pPr>
              <w:spacing w:line="256" w:lineRule="auto"/>
              <w:rPr>
                <w:sz w:val="19"/>
                <w:szCs w:val="19"/>
              </w:rPr>
            </w:pPr>
          </w:p>
        </w:tc>
      </w:tr>
    </w:tbl>
    <w:p w:rsidR="00F82BCB" w:rsidRPr="007B787F" w:rsidRDefault="00F82BCB" w:rsidP="00F82BCB">
      <w:pPr>
        <w:rPr>
          <w:lang w:eastAsia="ja-JP"/>
        </w:rPr>
      </w:pPr>
    </w:p>
    <w:p w:rsidR="00F82BCB" w:rsidRDefault="00F82BCB" w:rsidP="00F82BCB">
      <w:pPr>
        <w:rPr>
          <w:b/>
          <w:i/>
        </w:rPr>
      </w:pPr>
      <w:r w:rsidRPr="00BE69D9">
        <w:rPr>
          <w:b/>
          <w:i/>
        </w:rPr>
        <w:lastRenderedPageBreak/>
        <w:t>Table 2-4: Blend refrigerants proposed under various test programs or in ASHRAE 34</w:t>
      </w:r>
    </w:p>
    <w:p w:rsidR="00F82BCB" w:rsidRPr="00BE69D9" w:rsidRDefault="00F82BCB" w:rsidP="00F82BCB">
      <w:pPr>
        <w:rPr>
          <w:b/>
          <w:i/>
        </w:rPr>
      </w:pPr>
    </w:p>
    <w:tbl>
      <w:tblPr>
        <w:tblW w:w="9300" w:type="dxa"/>
        <w:tblBorders>
          <w:top w:val="single" w:sz="18" w:space="0" w:color="A6A6A6"/>
          <w:bottom w:val="single" w:sz="18" w:space="0" w:color="A6A6A6"/>
        </w:tblBorders>
        <w:tblLayout w:type="fixed"/>
        <w:tblCellMar>
          <w:left w:w="0" w:type="dxa"/>
          <w:right w:w="0" w:type="dxa"/>
        </w:tblCellMar>
        <w:tblLook w:val="04A0" w:firstRow="1" w:lastRow="0" w:firstColumn="1" w:lastColumn="0" w:noHBand="0" w:noVBand="1"/>
      </w:tblPr>
      <w:tblGrid>
        <w:gridCol w:w="1021"/>
        <w:gridCol w:w="1088"/>
        <w:gridCol w:w="700"/>
        <w:gridCol w:w="406"/>
        <w:gridCol w:w="238"/>
        <w:gridCol w:w="224"/>
        <w:gridCol w:w="238"/>
        <w:gridCol w:w="238"/>
        <w:gridCol w:w="266"/>
        <w:gridCol w:w="2351"/>
        <w:gridCol w:w="653"/>
        <w:gridCol w:w="644"/>
        <w:gridCol w:w="630"/>
        <w:gridCol w:w="603"/>
      </w:tblGrid>
      <w:tr w:rsidR="00F82BCB" w:rsidRPr="007B787F" w:rsidTr="00BA6AD6">
        <w:trPr>
          <w:cantSplit/>
          <w:trHeight w:val="2509"/>
          <w:tblHeader/>
        </w:trPr>
        <w:tc>
          <w:tcPr>
            <w:tcW w:w="1021"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7B787F" w:rsidRDefault="00F82BCB" w:rsidP="00BA6AD6">
            <w:pPr>
              <w:spacing w:line="256" w:lineRule="auto"/>
              <w:ind w:left="57" w:right="57"/>
              <w:jc w:val="right"/>
              <w:rPr>
                <w:b/>
                <w:sz w:val="20"/>
              </w:rPr>
            </w:pPr>
            <w:r w:rsidRPr="007B787F">
              <w:rPr>
                <w:b/>
                <w:sz w:val="20"/>
              </w:rPr>
              <w:t>Refrigerant Designation</w:t>
            </w:r>
          </w:p>
        </w:tc>
        <w:tc>
          <w:tcPr>
            <w:tcW w:w="1088" w:type="dxa"/>
            <w:vMerge w:val="restart"/>
            <w:tcBorders>
              <w:top w:val="single" w:sz="18" w:space="0" w:color="A6A6A6"/>
              <w:left w:val="nil"/>
              <w:bottom w:val="single" w:sz="18" w:space="0" w:color="A6A6A6"/>
              <w:right w:val="nil"/>
            </w:tcBorders>
            <w:textDirection w:val="tbRl"/>
            <w:vAlign w:val="bottom"/>
            <w:hideMark/>
          </w:tcPr>
          <w:p w:rsidR="00F82BCB" w:rsidRPr="007B787F" w:rsidRDefault="00F82BCB" w:rsidP="00BA6AD6">
            <w:pPr>
              <w:spacing w:line="256" w:lineRule="auto"/>
              <w:ind w:left="57" w:right="57"/>
              <w:jc w:val="right"/>
              <w:rPr>
                <w:b/>
                <w:sz w:val="20"/>
              </w:rPr>
            </w:pPr>
            <w:r w:rsidRPr="007B787F">
              <w:rPr>
                <w:b/>
                <w:sz w:val="20"/>
              </w:rPr>
              <w:t>Refrigerant development name</w:t>
            </w:r>
          </w:p>
        </w:tc>
        <w:tc>
          <w:tcPr>
            <w:tcW w:w="700" w:type="dxa"/>
            <w:vMerge w:val="restart"/>
            <w:tcBorders>
              <w:top w:val="single" w:sz="18" w:space="0" w:color="A6A6A6"/>
              <w:left w:val="nil"/>
              <w:bottom w:val="single" w:sz="18" w:space="0" w:color="A6A6A6"/>
              <w:right w:val="nil"/>
            </w:tcBorders>
            <w:textDirection w:val="tbRl"/>
            <w:vAlign w:val="bottom"/>
            <w:hideMark/>
          </w:tcPr>
          <w:p w:rsidR="00F82BCB" w:rsidRPr="007B787F" w:rsidRDefault="00F82BCB" w:rsidP="00BA6AD6">
            <w:pPr>
              <w:spacing w:line="256" w:lineRule="auto"/>
              <w:ind w:left="57" w:right="57"/>
              <w:jc w:val="right"/>
              <w:rPr>
                <w:b/>
                <w:sz w:val="20"/>
              </w:rPr>
            </w:pPr>
            <w:r w:rsidRPr="007B787F">
              <w:rPr>
                <w:b/>
                <w:sz w:val="20"/>
              </w:rPr>
              <w:t xml:space="preserve">Proposed to replace </w:t>
            </w:r>
            <w:r w:rsidRPr="007B787F">
              <w:rPr>
                <w:b/>
                <w:sz w:val="20"/>
              </w:rPr>
              <w:br/>
              <w:t>(from AREP phase I)</w:t>
            </w:r>
          </w:p>
        </w:tc>
        <w:tc>
          <w:tcPr>
            <w:tcW w:w="406" w:type="dxa"/>
            <w:vMerge w:val="restart"/>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Safety Class</w:t>
            </w:r>
          </w:p>
        </w:tc>
        <w:tc>
          <w:tcPr>
            <w:tcW w:w="462" w:type="dxa"/>
            <w:gridSpan w:val="2"/>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Participation in AREP program</w:t>
            </w:r>
          </w:p>
        </w:tc>
        <w:tc>
          <w:tcPr>
            <w:tcW w:w="742" w:type="dxa"/>
            <w:gridSpan w:val="3"/>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High ambient programmes for HCFC-22 and R-410A alternatives</w:t>
            </w:r>
          </w:p>
        </w:tc>
        <w:tc>
          <w:tcPr>
            <w:tcW w:w="2351"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7B787F" w:rsidRDefault="00F82BCB" w:rsidP="00BA6AD6">
            <w:pPr>
              <w:spacing w:line="256" w:lineRule="auto"/>
              <w:ind w:left="57" w:right="57"/>
              <w:jc w:val="right"/>
              <w:rPr>
                <w:b/>
                <w:sz w:val="20"/>
              </w:rPr>
            </w:pPr>
            <w:r w:rsidRPr="007B787F">
              <w:rPr>
                <w:b/>
                <w:sz w:val="20"/>
              </w:rPr>
              <w:t>Composition</w:t>
            </w:r>
          </w:p>
        </w:tc>
        <w:tc>
          <w:tcPr>
            <w:tcW w:w="65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Molecular Weight</w:t>
            </w:r>
          </w:p>
        </w:tc>
        <w:tc>
          <w:tcPr>
            <w:tcW w:w="644"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 xml:space="preserve">Bubble point/dew or </w:t>
            </w:r>
            <w:r w:rsidRPr="007B787F">
              <w:rPr>
                <w:b/>
                <w:sz w:val="20"/>
              </w:rPr>
              <w:br/>
              <w:t>Normal boiling point (°C)</w:t>
            </w:r>
          </w:p>
        </w:tc>
        <w:tc>
          <w:tcPr>
            <w:tcW w:w="630"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GWP 100 Year (IPCC5)</w:t>
            </w:r>
          </w:p>
        </w:tc>
        <w:tc>
          <w:tcPr>
            <w:tcW w:w="603" w:type="dxa"/>
            <w:vMerge w:val="restart"/>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GWP 100 Year (RTOC)</w:t>
            </w:r>
          </w:p>
        </w:tc>
      </w:tr>
      <w:tr w:rsidR="00F82BCB" w:rsidRPr="007B787F" w:rsidTr="00BA6AD6">
        <w:trPr>
          <w:cantSplit/>
          <w:trHeight w:val="973"/>
          <w:tblHeader/>
        </w:trPr>
        <w:tc>
          <w:tcPr>
            <w:tcW w:w="1021"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1088"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700"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406"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238" w:type="dxa"/>
            <w:tcBorders>
              <w:top w:val="single" w:sz="18" w:space="0" w:color="A6A6A6"/>
              <w:left w:val="nil"/>
              <w:bottom w:val="single" w:sz="18" w:space="0" w:color="A6A6A6"/>
              <w:right w:val="nil"/>
            </w:tcBorders>
            <w:textDirection w:val="tbRl"/>
            <w:vAlign w:val="center"/>
            <w:hideMark/>
          </w:tcPr>
          <w:p w:rsidR="00F82BCB" w:rsidRPr="00E10190" w:rsidRDefault="00F82BCB" w:rsidP="00BA6AD6">
            <w:pPr>
              <w:spacing w:line="256" w:lineRule="auto"/>
              <w:ind w:left="57" w:right="57"/>
              <w:jc w:val="right"/>
              <w:rPr>
                <w:b/>
                <w:sz w:val="20"/>
              </w:rPr>
            </w:pPr>
            <w:r w:rsidRPr="00E10190">
              <w:rPr>
                <w:b/>
                <w:sz w:val="20"/>
              </w:rPr>
              <w:t>Phase 1</w:t>
            </w:r>
          </w:p>
        </w:tc>
        <w:tc>
          <w:tcPr>
            <w:tcW w:w="224"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Phase 2</w:t>
            </w:r>
          </w:p>
        </w:tc>
        <w:tc>
          <w:tcPr>
            <w:tcW w:w="238"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PRAHA</w:t>
            </w:r>
          </w:p>
        </w:tc>
        <w:tc>
          <w:tcPr>
            <w:tcW w:w="238"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EGYPRA</w:t>
            </w:r>
          </w:p>
        </w:tc>
        <w:tc>
          <w:tcPr>
            <w:tcW w:w="266"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right"/>
              <w:rPr>
                <w:b/>
                <w:sz w:val="20"/>
              </w:rPr>
            </w:pPr>
            <w:r w:rsidRPr="007B787F">
              <w:rPr>
                <w:b/>
                <w:sz w:val="20"/>
              </w:rPr>
              <w:t>US DoE</w:t>
            </w:r>
          </w:p>
        </w:tc>
        <w:tc>
          <w:tcPr>
            <w:tcW w:w="2351"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653"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644"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630"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c>
          <w:tcPr>
            <w:tcW w:w="603" w:type="dxa"/>
            <w:vMerge/>
            <w:tcBorders>
              <w:top w:val="single" w:sz="18" w:space="0" w:color="A6A6A6"/>
              <w:left w:val="nil"/>
              <w:bottom w:val="single" w:sz="18" w:space="0" w:color="A6A6A6"/>
              <w:right w:val="nil"/>
            </w:tcBorders>
            <w:vAlign w:val="center"/>
            <w:hideMark/>
          </w:tcPr>
          <w:p w:rsidR="00F82BCB" w:rsidRPr="007B787F" w:rsidRDefault="00F82BCB" w:rsidP="00BA6AD6">
            <w:pPr>
              <w:spacing w:line="256" w:lineRule="auto"/>
              <w:rPr>
                <w:b/>
                <w:sz w:val="20"/>
              </w:rPr>
            </w:pP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F02B59" w:rsidRDefault="00F82BCB" w:rsidP="00BA6AD6">
            <w:pPr>
              <w:spacing w:line="256" w:lineRule="auto"/>
              <w:rPr>
                <w:sz w:val="20"/>
              </w:rPr>
            </w:pPr>
            <w:r w:rsidRPr="00F02B59">
              <w:rPr>
                <w:sz w:val="20"/>
              </w:rPr>
              <w:t>R-514A**</w:t>
            </w:r>
          </w:p>
        </w:tc>
        <w:tc>
          <w:tcPr>
            <w:tcW w:w="1088" w:type="dxa"/>
            <w:tcBorders>
              <w:top w:val="nil"/>
              <w:left w:val="nil"/>
              <w:bottom w:val="nil"/>
              <w:right w:val="nil"/>
            </w:tcBorders>
            <w:shd w:val="clear" w:color="auto" w:fill="E2EFD9"/>
            <w:vAlign w:val="center"/>
            <w:hideMark/>
          </w:tcPr>
          <w:p w:rsidR="00F82BCB" w:rsidRPr="00F02B59" w:rsidRDefault="00F82BCB" w:rsidP="00BA6AD6">
            <w:pPr>
              <w:spacing w:line="256" w:lineRule="auto"/>
              <w:rPr>
                <w:sz w:val="20"/>
              </w:rPr>
            </w:pPr>
            <w:r w:rsidRPr="00F02B59">
              <w:rPr>
                <w:sz w:val="20"/>
              </w:rPr>
              <w:t>XP30</w:t>
            </w:r>
          </w:p>
        </w:tc>
        <w:tc>
          <w:tcPr>
            <w:tcW w:w="700" w:type="dxa"/>
            <w:tcBorders>
              <w:top w:val="nil"/>
              <w:left w:val="nil"/>
              <w:bottom w:val="nil"/>
              <w:right w:val="nil"/>
            </w:tcBorders>
            <w:shd w:val="clear" w:color="auto" w:fill="E2EFD9"/>
            <w:vAlign w:val="center"/>
            <w:hideMark/>
          </w:tcPr>
          <w:p w:rsidR="00F82BCB" w:rsidRPr="00F02B59" w:rsidRDefault="00F82BCB" w:rsidP="00BA6AD6">
            <w:pPr>
              <w:spacing w:line="256" w:lineRule="auto"/>
              <w:rPr>
                <w:sz w:val="20"/>
              </w:rPr>
            </w:pPr>
            <w:r w:rsidRPr="00F02B59">
              <w:rPr>
                <w:sz w:val="20"/>
              </w:rPr>
              <w:t>HCFC-123</w:t>
            </w:r>
          </w:p>
        </w:tc>
        <w:tc>
          <w:tcPr>
            <w:tcW w:w="406" w:type="dxa"/>
            <w:tcBorders>
              <w:top w:val="nil"/>
              <w:left w:val="nil"/>
              <w:bottom w:val="nil"/>
              <w:right w:val="nil"/>
            </w:tcBorders>
            <w:shd w:val="clear" w:color="auto" w:fill="E2EFD9"/>
            <w:vAlign w:val="center"/>
            <w:hideMark/>
          </w:tcPr>
          <w:p w:rsidR="00F82BCB" w:rsidRPr="00F02B59" w:rsidRDefault="00F82BCB" w:rsidP="00BA6AD6">
            <w:pPr>
              <w:spacing w:line="256" w:lineRule="auto"/>
              <w:jc w:val="center"/>
              <w:rPr>
                <w:sz w:val="20"/>
              </w:rPr>
            </w:pPr>
            <w:r w:rsidRPr="00F02B59">
              <w:rPr>
                <w:sz w:val="20"/>
              </w:rPr>
              <w:t>B1</w:t>
            </w:r>
          </w:p>
        </w:tc>
        <w:tc>
          <w:tcPr>
            <w:tcW w:w="238" w:type="dxa"/>
            <w:tcBorders>
              <w:top w:val="nil"/>
              <w:left w:val="nil"/>
              <w:bottom w:val="nil"/>
              <w:right w:val="nil"/>
            </w:tcBorders>
            <w:shd w:val="clear" w:color="auto" w:fill="E2EFD9"/>
            <w:vAlign w:val="center"/>
          </w:tcPr>
          <w:p w:rsidR="00F82BCB" w:rsidRPr="00F02B59"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F02B59"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F02B59"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F02B59"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F02B59"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F02B59" w:rsidRDefault="00F82BCB" w:rsidP="00BA6AD6">
            <w:pPr>
              <w:spacing w:line="256" w:lineRule="auto"/>
              <w:rPr>
                <w:sz w:val="20"/>
              </w:rPr>
            </w:pPr>
            <w:r w:rsidRPr="00F02B59">
              <w:rPr>
                <w:sz w:val="20"/>
              </w:rPr>
              <w:t>R-1336mzz(Z)/1130 (E) (74,7/25,3)</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rsidR="00F82BCB" w:rsidRPr="00F02B59" w:rsidRDefault="00F82BCB" w:rsidP="00BA6AD6">
            <w:pPr>
              <w:spacing w:line="256" w:lineRule="auto"/>
              <w:jc w:val="center"/>
              <w:rPr>
                <w:sz w:val="20"/>
              </w:rPr>
            </w:pPr>
            <w:r w:rsidRPr="00F02B59">
              <w:rPr>
                <w:sz w:val="20"/>
              </w:rPr>
              <w:t>139,6</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rsidR="00F82BCB" w:rsidRPr="00F02B59" w:rsidRDefault="00F82BCB" w:rsidP="00BA6AD6">
            <w:pPr>
              <w:spacing w:line="256" w:lineRule="auto"/>
              <w:jc w:val="center"/>
              <w:rPr>
                <w:sz w:val="20"/>
              </w:rPr>
            </w:pPr>
          </w:p>
        </w:tc>
        <w:tc>
          <w:tcPr>
            <w:tcW w:w="630" w:type="dxa"/>
            <w:tcBorders>
              <w:top w:val="nil"/>
              <w:left w:val="nil"/>
              <w:bottom w:val="nil"/>
              <w:right w:val="nil"/>
            </w:tcBorders>
            <w:shd w:val="clear" w:color="auto" w:fill="E2EFD9"/>
            <w:tcMar>
              <w:top w:w="0" w:type="dxa"/>
              <w:left w:w="28" w:type="dxa"/>
              <w:bottom w:w="0" w:type="dxa"/>
              <w:right w:w="28" w:type="dxa"/>
            </w:tcMar>
            <w:vAlign w:val="center"/>
          </w:tcPr>
          <w:p w:rsidR="00F82BCB" w:rsidRPr="00F02B59" w:rsidRDefault="00F82BCB" w:rsidP="00BA6AD6">
            <w:pPr>
              <w:spacing w:line="256" w:lineRule="auto"/>
              <w:jc w:val="center"/>
              <w:rPr>
                <w:sz w:val="20"/>
              </w:rPr>
            </w:pPr>
            <w:r w:rsidRPr="00F02B59">
              <w:rPr>
                <w:sz w:val="20"/>
              </w:rPr>
              <w:t>1,7</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rsidR="00F82BCB" w:rsidRPr="00F02B59" w:rsidRDefault="00F82BCB" w:rsidP="00BA6AD6">
            <w:pPr>
              <w:spacing w:line="256" w:lineRule="auto"/>
              <w:jc w:val="center"/>
              <w:rPr>
                <w:sz w:val="20"/>
              </w:rPr>
            </w:pPr>
            <w:r w:rsidRPr="00F02B59">
              <w:rPr>
                <w:sz w:val="20"/>
              </w:rPr>
              <w:t>1,7</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ARM-41a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R-134a/1234yf/32 (63/31/6)</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99,5</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860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R-513A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XP10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R-1234yf/134a (56/44)</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108,4</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−29,2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570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N-13a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R-134a/1234ze(E)/1234yf (42/40/18)</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550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570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R-450A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N-13b</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R-1234ze(E)/134a (58/42)</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–23,4/</w:t>
            </w:r>
            <w:r w:rsidRPr="00B803C6">
              <w:rPr>
                <w:sz w:val="20"/>
              </w:rPr>
              <w:br/>
              <w:t>–22,8</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550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570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R-515A**</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HDR-115</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R-1234ze(E)/227ea (88/12)</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118,7</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-19,2</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400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380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R-513B*</w:t>
            </w:r>
          </w:p>
        </w:tc>
        <w:tc>
          <w:tcPr>
            <w:tcW w:w="1088" w:type="dxa"/>
            <w:tcBorders>
              <w:top w:val="nil"/>
              <w:left w:val="nil"/>
              <w:bottom w:val="nil"/>
              <w:right w:val="nil"/>
            </w:tcBorders>
            <w:shd w:val="clear" w:color="auto" w:fill="E2EFD9"/>
            <w:vAlign w:val="center"/>
          </w:tcPr>
          <w:p w:rsidR="00F82BCB" w:rsidRPr="00B803C6" w:rsidRDefault="00F82BCB" w:rsidP="00BA6AD6">
            <w:pPr>
              <w:spacing w:line="256" w:lineRule="auto"/>
              <w:rPr>
                <w:sz w:val="20"/>
              </w:rPr>
            </w:pP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R-1234yf/134a (58,5/41,5)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108,7</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−29,9</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540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560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D-4Y</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R-1234yf/134a (60/40)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108,9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520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540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AC5X</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R-1234ze(E)/134a/32 (53/40/7)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100,9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570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590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ARM-42a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R-1234yf/152a/134a (82/11/7)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104,8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110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R-444A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AC5</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R-1234ze(E)/32/152a (83/12/5)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96,7</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–34,3/</w:t>
            </w:r>
            <w:r w:rsidRPr="00B803C6">
              <w:rPr>
                <w:sz w:val="20"/>
              </w:rPr>
              <w:br/>
              <w:t>–24,3</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89</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93</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R-445A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AC6</w:t>
            </w:r>
          </w:p>
        </w:tc>
        <w:tc>
          <w:tcPr>
            <w:tcW w:w="700" w:type="dxa"/>
            <w:tcBorders>
              <w:top w:val="nil"/>
              <w:left w:val="nil"/>
              <w:bottom w:val="nil"/>
              <w:right w:val="nil"/>
            </w:tcBorders>
            <w:vAlign w:val="center"/>
          </w:tcPr>
          <w:p w:rsidR="00F82BCB" w:rsidRDefault="00F02B59" w:rsidP="00BA6AD6">
            <w:pPr>
              <w:spacing w:line="256" w:lineRule="auto"/>
              <w:rPr>
                <w:sz w:val="20"/>
              </w:rPr>
            </w:pPr>
            <w:r>
              <w:rPr>
                <w:sz w:val="20"/>
              </w:rPr>
              <w:t>HFC-</w:t>
            </w:r>
          </w:p>
          <w:p w:rsidR="00F02B59" w:rsidRPr="00B803C6" w:rsidRDefault="00F02B59" w:rsidP="00BA6AD6">
            <w:pPr>
              <w:spacing w:line="256" w:lineRule="auto"/>
              <w:rPr>
                <w:sz w:val="20"/>
              </w:rPr>
            </w:pPr>
            <w:r>
              <w:rPr>
                <w:sz w:val="20"/>
              </w:rPr>
              <w:t>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R-744/134a/1234ze(E) (6/9/85)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103,1</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–50,3/</w:t>
            </w:r>
          </w:p>
          <w:p w:rsidR="00F82BCB" w:rsidRPr="00B803C6" w:rsidRDefault="00F82BCB" w:rsidP="00BA6AD6">
            <w:pPr>
              <w:spacing w:line="256" w:lineRule="auto"/>
              <w:jc w:val="center"/>
              <w:rPr>
                <w:sz w:val="20"/>
              </w:rPr>
            </w:pPr>
            <w:r w:rsidRPr="00B803C6">
              <w:rPr>
                <w:sz w:val="20"/>
              </w:rPr>
              <w:t>–23,5</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120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120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R290/R600a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A3</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R-600a/290 (60/40)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51,6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14</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R-456A**</w:t>
            </w:r>
          </w:p>
        </w:tc>
        <w:tc>
          <w:tcPr>
            <w:tcW w:w="1088" w:type="dxa"/>
            <w:tcBorders>
              <w:top w:val="nil"/>
              <w:left w:val="nil"/>
              <w:bottom w:val="nil"/>
              <w:right w:val="nil"/>
            </w:tcBorders>
            <w:shd w:val="clear" w:color="auto" w:fill="E2EFD9"/>
            <w:vAlign w:val="center"/>
          </w:tcPr>
          <w:p w:rsidR="00F82BCB" w:rsidRPr="00B803C6" w:rsidRDefault="00F82BCB" w:rsidP="00BA6AD6">
            <w:pPr>
              <w:spacing w:line="256" w:lineRule="auto"/>
              <w:rPr>
                <w:sz w:val="20"/>
              </w:rPr>
            </w:pP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R-32/134a/1234ze(E) (6/45/49)</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101,4</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bookmarkStart w:id="33" w:name="OLE_LINK6"/>
            <w:r w:rsidRPr="00B803C6">
              <w:rPr>
                <w:sz w:val="20"/>
              </w:rPr>
              <w:t>-31,1/ -25,7</w:t>
            </w:r>
            <w:bookmarkEnd w:id="33"/>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630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650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rPr>
                <w:sz w:val="20"/>
              </w:rPr>
            </w:pPr>
            <w:r w:rsidRPr="00B803C6">
              <w:rPr>
                <w:sz w:val="20"/>
              </w:rPr>
              <w:t>R-407G</w:t>
            </w:r>
          </w:p>
        </w:tc>
        <w:tc>
          <w:tcPr>
            <w:tcW w:w="1088" w:type="dxa"/>
            <w:tcBorders>
              <w:top w:val="nil"/>
              <w:left w:val="nil"/>
              <w:bottom w:val="nil"/>
              <w:right w:val="nil"/>
            </w:tcBorders>
            <w:shd w:val="clear" w:color="auto" w:fill="E2EFD9"/>
            <w:vAlign w:val="center"/>
          </w:tcPr>
          <w:p w:rsidR="00F82BCB" w:rsidRPr="00B803C6" w:rsidRDefault="00F82BCB" w:rsidP="00BA6AD6">
            <w:pPr>
              <w:spacing w:line="256" w:lineRule="auto"/>
              <w:rPr>
                <w:sz w:val="20"/>
              </w:rPr>
            </w:pPr>
          </w:p>
        </w:tc>
        <w:tc>
          <w:tcPr>
            <w:tcW w:w="700" w:type="dxa"/>
            <w:tcBorders>
              <w:top w:val="nil"/>
              <w:left w:val="nil"/>
              <w:bottom w:val="nil"/>
              <w:right w:val="nil"/>
            </w:tcBorders>
            <w:shd w:val="clear" w:color="auto" w:fill="E2EFD9"/>
            <w:vAlign w:val="center"/>
          </w:tcPr>
          <w:p w:rsidR="00F82BCB" w:rsidRPr="00B803C6" w:rsidRDefault="00F82BCB" w:rsidP="00BA6AD6">
            <w:pPr>
              <w:spacing w:line="256" w:lineRule="auto"/>
              <w:rPr>
                <w:sz w:val="20"/>
              </w:rPr>
            </w:pPr>
            <w:r w:rsidRPr="00B803C6">
              <w:rPr>
                <w:sz w:val="20"/>
              </w:rPr>
              <w:t>HFC-134a</w:t>
            </w:r>
          </w:p>
        </w:tc>
        <w:tc>
          <w:tcPr>
            <w:tcW w:w="40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rPr>
                <w:sz w:val="20"/>
              </w:rPr>
            </w:pPr>
            <w:r w:rsidRPr="00B803C6">
              <w:rPr>
                <w:sz w:val="20"/>
              </w:rPr>
              <w:t>R-32/125/134a         (2,5/2,5/95,0)</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100,0</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-29,1/ -27,2</w:t>
            </w:r>
          </w:p>
        </w:tc>
        <w:tc>
          <w:tcPr>
            <w:tcW w:w="630"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1 400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LTR4X</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R-1234ze(E)/32/125/134a (31/28/25/16)</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85,1</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N-20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R-134a/1234ze(E)/1234yf/</w:t>
            </w:r>
            <w:r w:rsidRPr="00B803C6">
              <w:rPr>
                <w:sz w:val="20"/>
              </w:rPr>
              <w:br/>
              <w:t>32/125 (31,5/30/13,5/12,5/12,5)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96,7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950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D52Y</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R-1234yf/125/32 (60/25/15)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97,8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970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lastRenderedPageBreak/>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L-20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R-32/1234ze(E)/152a (45/35/20)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67,8</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330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350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LTR6A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R-1234ze(E)/32/744 (63/30/7)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77,6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R-444B</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L-20a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R-32/1234ze(E)/152a (41,5/48,5/10)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72,8</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–44,6/</w:t>
            </w:r>
            <w:r w:rsidRPr="00B803C6">
              <w:rPr>
                <w:sz w:val="20"/>
              </w:rPr>
              <w:br/>
              <w:t>–34,9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ARM-32a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R-125/32/134a/1234yf (30/25/25/20)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86,9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1 400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1 600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R-442A</w:t>
            </w:r>
          </w:p>
        </w:tc>
        <w:tc>
          <w:tcPr>
            <w:tcW w:w="1088" w:type="dxa"/>
            <w:tcBorders>
              <w:top w:val="nil"/>
              <w:left w:val="nil"/>
              <w:bottom w:val="nil"/>
              <w:right w:val="nil"/>
            </w:tcBorders>
            <w:vAlign w:val="center"/>
          </w:tcPr>
          <w:p w:rsidR="00F82BCB" w:rsidRPr="00B803C6" w:rsidRDefault="00F82BCB" w:rsidP="00BA6AD6">
            <w:pPr>
              <w:spacing w:line="256" w:lineRule="auto"/>
              <w:rPr>
                <w:sz w:val="20"/>
              </w:rPr>
            </w:pP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R-32/125/134a/152a/227ea (31,0/31,0/30,0/3,0/5,0)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81,8</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–46,5/</w:t>
            </w:r>
            <w:r w:rsidRPr="00B803C6">
              <w:rPr>
                <w:sz w:val="20"/>
              </w:rPr>
              <w:br/>
              <w:t>–39,9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1 800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1 900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R-449B</w:t>
            </w:r>
          </w:p>
        </w:tc>
        <w:tc>
          <w:tcPr>
            <w:tcW w:w="1088" w:type="dxa"/>
            <w:tcBorders>
              <w:top w:val="nil"/>
              <w:left w:val="nil"/>
              <w:bottom w:val="nil"/>
              <w:right w:val="nil"/>
            </w:tcBorders>
            <w:vAlign w:val="center"/>
          </w:tcPr>
          <w:p w:rsidR="00F82BCB" w:rsidRPr="00B803C6" w:rsidRDefault="00F82BCB" w:rsidP="00BA6AD6">
            <w:pPr>
              <w:spacing w:line="256" w:lineRule="auto"/>
              <w:rPr>
                <w:sz w:val="20"/>
              </w:rPr>
            </w:pP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R-404A, R-407C</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R-32/125/1234yf/134a (25,2/24,3/23,2/27,3)</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86,4</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−46,1/</w:t>
            </w:r>
            <w:r w:rsidRPr="00B803C6">
              <w:rPr>
                <w:sz w:val="20"/>
              </w:rPr>
              <w:br/>
              <w:t>−40,2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1 400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R-449C*</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DR-93</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bookmarkStart w:id="34" w:name="OLE_LINK3"/>
            <w:r w:rsidRPr="00B803C6">
              <w:rPr>
                <w:sz w:val="20"/>
              </w:rPr>
              <w:t>R-32/125/1234yf/134a (20/20/31/29)</w:t>
            </w:r>
            <w:bookmarkEnd w:id="34"/>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90,3</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bookmarkStart w:id="35" w:name="OLE_LINK4"/>
            <w:bookmarkStart w:id="36" w:name="OLE_LINK5"/>
            <w:r w:rsidRPr="00B803C6">
              <w:rPr>
                <w:sz w:val="20"/>
              </w:rPr>
              <w:t>−45,5/−38,5</w:t>
            </w:r>
            <w:bookmarkEnd w:id="35"/>
            <w:bookmarkEnd w:id="36"/>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17282F" w:rsidRDefault="0017282F" w:rsidP="00BA6AD6">
            <w:pPr>
              <w:spacing w:line="256" w:lineRule="auto"/>
              <w:jc w:val="center"/>
              <w:rPr>
                <w:sz w:val="20"/>
              </w:rPr>
            </w:pPr>
          </w:p>
          <w:p w:rsidR="0017282F" w:rsidRDefault="0017282F" w:rsidP="00BA6AD6">
            <w:pPr>
              <w:spacing w:line="256" w:lineRule="auto"/>
              <w:jc w:val="center"/>
              <w:rPr>
                <w:sz w:val="20"/>
              </w:rPr>
            </w:pPr>
          </w:p>
          <w:p w:rsidR="00F82BCB" w:rsidRPr="00B803C6" w:rsidRDefault="00F82BCB" w:rsidP="00BA6AD6">
            <w:pPr>
              <w:spacing w:line="256" w:lineRule="auto"/>
              <w:jc w:val="center"/>
              <w:rPr>
                <w:sz w:val="20"/>
              </w:rPr>
            </w:pPr>
            <w:r w:rsidRPr="00B803C6">
              <w:rPr>
                <w:sz w:val="20"/>
              </w:rPr>
              <w:t>1 100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1 200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R-453A</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RS-70</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 xml:space="preserve">HCFC-22, </w:t>
            </w:r>
            <w:r w:rsidRPr="00B803C6">
              <w:rPr>
                <w:sz w:val="20"/>
              </w:rPr>
              <w:br/>
              <w:t>R-407C</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R-32/125/134a/227ea/600/</w:t>
            </w:r>
          </w:p>
          <w:p w:rsidR="00F82BCB" w:rsidRPr="00B803C6" w:rsidRDefault="00F82BCB" w:rsidP="00BA6AD6">
            <w:pPr>
              <w:spacing w:line="256" w:lineRule="auto"/>
              <w:rPr>
                <w:sz w:val="20"/>
              </w:rPr>
            </w:pPr>
            <w:r w:rsidRPr="00B803C6">
              <w:rPr>
                <w:sz w:val="20"/>
              </w:rPr>
              <w:t>601a (20,0/20,0/53,8/5,0/0,6/0,6)</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88,8</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-42,2/ -35,0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1 600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1 700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R-407H*</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59136A">
              <w:rPr>
                <w:sz w:val="20"/>
              </w:rPr>
              <w:t>HCFC-</w:t>
            </w:r>
            <w:r w:rsidRPr="00B803C6">
              <w:rPr>
                <w:sz w:val="20"/>
              </w:rPr>
              <w:t>22, R-407C</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R-32/125/134a    (32,5/15,0/52,5)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79,1</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-44,6/ -37,6</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1 400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1 500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R-449A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DR-33 (XP40)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R-32/125/1234yf/134a (24,3/24,7/25,3/25,7)</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87,2</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–46,0/</w:t>
            </w:r>
            <w:r w:rsidRPr="00B803C6">
              <w:rPr>
                <w:sz w:val="20"/>
              </w:rPr>
              <w:br/>
              <w:t>–39,9</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1 400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N-40a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R-32/125/134a/1234ze(E)/</w:t>
            </w:r>
            <w:r w:rsidRPr="00B803C6">
              <w:rPr>
                <w:sz w:val="20"/>
              </w:rPr>
              <w:br/>
              <w:t>1234yf (25/25/21/20/9)</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87</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N-40b</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R-1234yf/32/125/134a (30/25/25/20)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87,1</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1 200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R-452A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DR-34 (XP44)</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R-1234yf/32/125 (30/11/59)</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103,5</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−47,0/</w:t>
            </w:r>
            <w:r w:rsidRPr="00B803C6">
              <w:rPr>
                <w:sz w:val="20"/>
              </w:rPr>
              <w:br/>
              <w:t>−43,2</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1 900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2 100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R-452C**</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ARM-35</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R-32/125/1234yf (12,5/61,0/26,5)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101,9</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-47,8/ -44,4</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2 000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2 200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R-448A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N-40c</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A1</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R-32/125/1234yf/134a/</w:t>
            </w:r>
            <w:r w:rsidRPr="00B803C6">
              <w:rPr>
                <w:sz w:val="20"/>
              </w:rPr>
              <w:br/>
              <w:t>1234ze(E) (26,0/26,0/20,0/21,0/7,0)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86,3</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–45,9/</w:t>
            </w:r>
            <w:r w:rsidRPr="00B803C6">
              <w:rPr>
                <w:sz w:val="20"/>
              </w:rPr>
              <w:br/>
              <w:t>–39,8</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1 300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1 400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R32/R134a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R-32/134a (50/50)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68,9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1 000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ARM-31a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R-1234yf/32/134a (51/28/21)</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83,9</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460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480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L-40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R-32/1234ze(E)/1234yf/</w:t>
            </w:r>
            <w:r w:rsidRPr="00B803C6">
              <w:rPr>
                <w:sz w:val="20"/>
              </w:rPr>
              <w:br/>
              <w:t>152a (40/30/20/10)</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73,6</w:t>
            </w:r>
          </w:p>
        </w:tc>
        <w:tc>
          <w:tcPr>
            <w:tcW w:w="644" w:type="dxa"/>
            <w:tcBorders>
              <w:top w:val="nil"/>
              <w:left w:val="nil"/>
              <w:bottom w:val="nil"/>
              <w:right w:val="nil"/>
            </w:tcBorders>
            <w:shd w:val="clear" w:color="auto" w:fill="auto"/>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290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300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R-454A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DR-7</w:t>
            </w:r>
            <w:r w:rsidRPr="00B803C6">
              <w:rPr>
                <w:sz w:val="20"/>
                <w:vertAlign w:val="superscript"/>
              </w:rPr>
              <w:t>◊</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 (65/35)</w:t>
            </w:r>
          </w:p>
        </w:tc>
        <w:tc>
          <w:tcPr>
            <w:tcW w:w="65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80,5</w:t>
            </w:r>
          </w:p>
        </w:tc>
        <w:tc>
          <w:tcPr>
            <w:tcW w:w="644"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−48,4/</w:t>
            </w:r>
            <w:r w:rsidRPr="00B803C6">
              <w:rPr>
                <w:sz w:val="20"/>
              </w:rPr>
              <w:br/>
              <w:t>−41,6</w:t>
            </w:r>
          </w:p>
        </w:tc>
        <w:tc>
          <w:tcPr>
            <w:tcW w:w="630"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240</w:t>
            </w:r>
          </w:p>
        </w:tc>
        <w:tc>
          <w:tcPr>
            <w:tcW w:w="603" w:type="dxa"/>
            <w:tcBorders>
              <w:top w:val="nil"/>
              <w:left w:val="nil"/>
              <w:bottom w:val="nil"/>
              <w:right w:val="nil"/>
            </w:tcBorders>
            <w:shd w:val="clear" w:color="auto" w:fill="auto"/>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250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R-454C*</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DR-3</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6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 (78,5/21,5)</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90,8</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−45,8/</w:t>
            </w:r>
            <w:r w:rsidRPr="00B803C6">
              <w:rPr>
                <w:sz w:val="20"/>
              </w:rPr>
              <w:br/>
              <w:t>−38,0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150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150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R-454A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D2Y-65</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 (65/35)</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80,5</w:t>
            </w:r>
          </w:p>
        </w:tc>
        <w:tc>
          <w:tcPr>
            <w:tcW w:w="644"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−48,4/</w:t>
            </w:r>
            <w:r w:rsidRPr="00B803C6">
              <w:rPr>
                <w:sz w:val="20"/>
              </w:rPr>
              <w:br/>
              <w:t>−41,6</w:t>
            </w: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240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250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R-457A**</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ARM-20a</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R-32/1234yf/152a (18/70/12)</w:t>
            </w:r>
          </w:p>
        </w:tc>
        <w:tc>
          <w:tcPr>
            <w:tcW w:w="653"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87,6</w:t>
            </w:r>
          </w:p>
        </w:tc>
        <w:tc>
          <w:tcPr>
            <w:tcW w:w="644"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140</w:t>
            </w:r>
          </w:p>
        </w:tc>
        <w:tc>
          <w:tcPr>
            <w:tcW w:w="603" w:type="dxa"/>
            <w:tcBorders>
              <w:top w:val="nil"/>
              <w:left w:val="nil"/>
              <w:bottom w:val="nil"/>
              <w:right w:val="nil"/>
            </w:tcBorders>
            <w:shd w:val="clear" w:color="auto" w:fill="E2EFD9"/>
            <w:tcMar>
              <w:top w:w="0" w:type="dxa"/>
              <w:left w:w="28" w:type="dxa"/>
              <w:bottom w:w="0" w:type="dxa"/>
              <w:right w:w="28" w:type="dxa"/>
            </w:tcMar>
            <w:vAlign w:val="center"/>
          </w:tcPr>
          <w:p w:rsidR="00F82BCB" w:rsidRPr="00B803C6" w:rsidRDefault="00F82BCB" w:rsidP="00BA6AD6">
            <w:pPr>
              <w:spacing w:line="256" w:lineRule="auto"/>
              <w:jc w:val="center"/>
              <w:rPr>
                <w:sz w:val="20"/>
              </w:rPr>
            </w:pPr>
            <w:r w:rsidRPr="00B803C6">
              <w:rPr>
                <w:sz w:val="20"/>
              </w:rPr>
              <w:t>150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lastRenderedPageBreak/>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ARM-30a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 (71/29)</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84,7</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200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200</w:t>
            </w:r>
          </w:p>
        </w:tc>
      </w:tr>
      <w:tr w:rsidR="00F82BCB" w:rsidRPr="00B803C6" w:rsidTr="00BA6AD6">
        <w:trPr>
          <w:cantSplit/>
          <w:trHeight w:val="522"/>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R-455A</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HDR-110</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R-404A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R-32/1234yf/744 (21,5/75,5/3)</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87,5</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-51,6/ -39,1</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150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150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R32/R134a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R-32/134a (95/5)</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53,3</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710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740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R32/R152a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R-32/152a (95/5)</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52,6</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650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680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DR-5</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 (72,5/27,5)</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61,2</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L-41a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R-32/1234yf/1234ze(E) (73/15/12)</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61</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L-41b</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 (73/27)</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61</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ARM-70a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R-32/1234yf/134a (50/40/10)</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70,9</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470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HPR1D</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R-32/1234ze(E)/744 (60/34/6)</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63</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410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420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D2Y-60</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R-1234yf/32 (60/40)</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77,2</w:t>
            </w:r>
          </w:p>
        </w:tc>
        <w:tc>
          <w:tcPr>
            <w:tcW w:w="644" w:type="dxa"/>
            <w:tcBorders>
              <w:top w:val="nil"/>
              <w:left w:val="nil"/>
              <w:bottom w:val="nil"/>
              <w:right w:val="nil"/>
            </w:tcBorders>
            <w:tcMar>
              <w:top w:w="0" w:type="dxa"/>
              <w:left w:w="28" w:type="dxa"/>
              <w:bottom w:w="0" w:type="dxa"/>
              <w:right w:w="28" w:type="dxa"/>
            </w:tcMar>
            <w:vAlign w:val="center"/>
          </w:tcPr>
          <w:p w:rsidR="00F82BCB" w:rsidRPr="00B803C6" w:rsidRDefault="00F82BCB" w:rsidP="00BA6AD6">
            <w:pPr>
              <w:spacing w:line="256" w:lineRule="auto"/>
              <w:jc w:val="center"/>
              <w:rPr>
                <w:sz w:val="20"/>
              </w:rPr>
            </w:pP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270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280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R-454B</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DR-5A</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 (68,9/31,1)</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62,6</w:t>
            </w:r>
          </w:p>
        </w:tc>
        <w:tc>
          <w:tcPr>
            <w:tcW w:w="644"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−50,9/</w:t>
            </w:r>
            <w:r w:rsidRPr="00B803C6">
              <w:rPr>
                <w:sz w:val="20"/>
              </w:rPr>
              <w:br/>
              <w:t>−50,0</w:t>
            </w: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470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R-452B**</w:t>
            </w:r>
          </w:p>
        </w:tc>
        <w:tc>
          <w:tcPr>
            <w:tcW w:w="1088" w:type="dxa"/>
            <w:tcBorders>
              <w:top w:val="nil"/>
              <w:left w:val="nil"/>
              <w:bottom w:val="nil"/>
              <w:right w:val="nil"/>
            </w:tcBorders>
            <w:shd w:val="clear" w:color="auto" w:fill="E2EFD9"/>
            <w:vAlign w:val="center"/>
            <w:hideMark/>
          </w:tcPr>
          <w:p w:rsidR="00F82BCB" w:rsidRDefault="00F82BCB" w:rsidP="00BA6AD6">
            <w:pPr>
              <w:spacing w:line="256" w:lineRule="auto"/>
              <w:rPr>
                <w:sz w:val="20"/>
              </w:rPr>
            </w:pPr>
            <w:r>
              <w:rPr>
                <w:sz w:val="20"/>
              </w:rPr>
              <w:t>DR-55</w:t>
            </w:r>
          </w:p>
          <w:p w:rsidR="00F82BCB" w:rsidRPr="00B803C6" w:rsidRDefault="00F82BCB" w:rsidP="00BA6AD6">
            <w:pPr>
              <w:spacing w:line="256" w:lineRule="auto"/>
              <w:rPr>
                <w:sz w:val="20"/>
              </w:rPr>
            </w:pPr>
            <w:r>
              <w:rPr>
                <w:sz w:val="20"/>
              </w:rPr>
              <w:t>(</w:t>
            </w:r>
            <w:r w:rsidRPr="00B803C6">
              <w:rPr>
                <w:sz w:val="20"/>
              </w:rPr>
              <w:t>X</w:t>
            </w:r>
            <w:r>
              <w:rPr>
                <w:sz w:val="20"/>
              </w:rPr>
              <w:t>L</w:t>
            </w:r>
            <w:r w:rsidRPr="00B803C6">
              <w:rPr>
                <w:sz w:val="20"/>
              </w:rPr>
              <w:t>55</w:t>
            </w:r>
            <w:r>
              <w:rPr>
                <w:sz w:val="20"/>
              </w:rPr>
              <w:t>)</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R-32/1234yf/125 (67/26/7)</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63,5</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-50,9/-50,0</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680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710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R-446A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L-41-1</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R-32/1234ze(E)/600 (68,0/29,0/3,0)</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62</w:t>
            </w:r>
          </w:p>
        </w:tc>
        <w:tc>
          <w:tcPr>
            <w:tcW w:w="644"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–49,4/</w:t>
            </w:r>
            <w:r w:rsidRPr="00B803C6">
              <w:rPr>
                <w:sz w:val="20"/>
              </w:rPr>
              <w:br/>
              <w:t>–44,0</w:t>
            </w: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460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480</w:t>
            </w:r>
          </w:p>
        </w:tc>
      </w:tr>
      <w:tr w:rsidR="00F82BCB" w:rsidRPr="00B803C6" w:rsidTr="00BA6AD6">
        <w:trPr>
          <w:cantSplit/>
          <w:trHeight w:val="340"/>
          <w:tblHeader/>
        </w:trPr>
        <w:tc>
          <w:tcPr>
            <w:tcW w:w="102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R-447A</w:t>
            </w:r>
          </w:p>
        </w:tc>
        <w:tc>
          <w:tcPr>
            <w:tcW w:w="1088"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L-41-2</w:t>
            </w:r>
          </w:p>
        </w:tc>
        <w:tc>
          <w:tcPr>
            <w:tcW w:w="700" w:type="dxa"/>
            <w:tcBorders>
              <w:top w:val="nil"/>
              <w:left w:val="nil"/>
              <w:bottom w:val="nil"/>
              <w:right w:val="nil"/>
            </w:tcBorders>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8"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66" w:type="dxa"/>
            <w:tcBorders>
              <w:top w:val="nil"/>
              <w:left w:val="nil"/>
              <w:bottom w:val="nil"/>
              <w:right w:val="nil"/>
            </w:tcBorders>
            <w:vAlign w:val="center"/>
            <w:hideMark/>
          </w:tcPr>
          <w:p w:rsidR="00F82BCB" w:rsidRPr="00B803C6" w:rsidRDefault="00F82BCB" w:rsidP="00BA6AD6">
            <w:pPr>
              <w:spacing w:line="256" w:lineRule="auto"/>
              <w:jc w:val="center"/>
              <w:rPr>
                <w:sz w:val="20"/>
              </w:rPr>
            </w:pPr>
            <w:r w:rsidRPr="00B803C6">
              <w:rPr>
                <w:sz w:val="20"/>
              </w:rPr>
              <w:t>X</w:t>
            </w:r>
          </w:p>
        </w:tc>
        <w:tc>
          <w:tcPr>
            <w:tcW w:w="2351"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R-32/125/1234ze(E) (68,0/3,5/28,5)</w:t>
            </w:r>
          </w:p>
        </w:tc>
        <w:tc>
          <w:tcPr>
            <w:tcW w:w="65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63</w:t>
            </w:r>
          </w:p>
        </w:tc>
        <w:tc>
          <w:tcPr>
            <w:tcW w:w="644"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–49,3/</w:t>
            </w:r>
            <w:r w:rsidRPr="00B803C6">
              <w:rPr>
                <w:sz w:val="20"/>
              </w:rPr>
              <w:br/>
              <w:t>–44,2</w:t>
            </w:r>
          </w:p>
        </w:tc>
        <w:tc>
          <w:tcPr>
            <w:tcW w:w="630"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570</w:t>
            </w:r>
          </w:p>
        </w:tc>
        <w:tc>
          <w:tcPr>
            <w:tcW w:w="603" w:type="dxa"/>
            <w:tcBorders>
              <w:top w:val="nil"/>
              <w:left w:val="nil"/>
              <w:bottom w:val="nil"/>
              <w:right w:val="nil"/>
            </w:tcBorders>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600</w:t>
            </w:r>
          </w:p>
        </w:tc>
      </w:tr>
      <w:tr w:rsidR="00F82BCB" w:rsidRPr="00B803C6" w:rsidTr="00BA6AD6">
        <w:trPr>
          <w:cantSplit/>
          <w:trHeight w:val="340"/>
          <w:tblHeader/>
        </w:trPr>
        <w:tc>
          <w:tcPr>
            <w:tcW w:w="102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R-447B**</w:t>
            </w:r>
          </w:p>
        </w:tc>
        <w:tc>
          <w:tcPr>
            <w:tcW w:w="1088"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L-41z</w:t>
            </w:r>
          </w:p>
        </w:tc>
        <w:tc>
          <w:tcPr>
            <w:tcW w:w="700" w:type="dxa"/>
            <w:tcBorders>
              <w:top w:val="nil"/>
              <w:left w:val="nil"/>
              <w:bottom w:val="nil"/>
              <w:right w:val="nil"/>
            </w:tcBorders>
            <w:shd w:val="clear" w:color="auto" w:fill="E2EFD9"/>
            <w:vAlign w:val="center"/>
            <w:hideMark/>
          </w:tcPr>
          <w:p w:rsidR="00F82BCB" w:rsidRPr="00B803C6" w:rsidRDefault="00F82BCB" w:rsidP="00BA6AD6">
            <w:pPr>
              <w:spacing w:line="256" w:lineRule="auto"/>
              <w:rPr>
                <w:sz w:val="20"/>
              </w:rPr>
            </w:pPr>
            <w:r w:rsidRPr="00B803C6">
              <w:rPr>
                <w:sz w:val="20"/>
              </w:rPr>
              <w:t>R-410A</w:t>
            </w:r>
          </w:p>
        </w:tc>
        <w:tc>
          <w:tcPr>
            <w:tcW w:w="406" w:type="dxa"/>
            <w:tcBorders>
              <w:top w:val="nil"/>
              <w:left w:val="nil"/>
              <w:bottom w:val="nil"/>
              <w:right w:val="nil"/>
            </w:tcBorders>
            <w:shd w:val="clear" w:color="auto" w:fill="E2EFD9"/>
            <w:vAlign w:val="center"/>
            <w:hideMark/>
          </w:tcPr>
          <w:p w:rsidR="00F82BCB" w:rsidRPr="00B803C6" w:rsidRDefault="00F82BCB" w:rsidP="00BA6AD6">
            <w:pPr>
              <w:spacing w:line="256" w:lineRule="auto"/>
              <w:jc w:val="center"/>
              <w:rPr>
                <w:sz w:val="20"/>
              </w:rPr>
            </w:pPr>
            <w:r w:rsidRPr="00B803C6">
              <w:rPr>
                <w:sz w:val="20"/>
              </w:rPr>
              <w:t>A2L</w:t>
            </w: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24"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8"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66" w:type="dxa"/>
            <w:tcBorders>
              <w:top w:val="nil"/>
              <w:left w:val="nil"/>
              <w:bottom w:val="nil"/>
              <w:right w:val="nil"/>
            </w:tcBorders>
            <w:shd w:val="clear" w:color="auto" w:fill="E2EFD9"/>
            <w:vAlign w:val="center"/>
          </w:tcPr>
          <w:p w:rsidR="00F82BCB" w:rsidRPr="00B803C6" w:rsidRDefault="00F82BCB" w:rsidP="00BA6AD6">
            <w:pPr>
              <w:spacing w:line="256" w:lineRule="auto"/>
              <w:jc w:val="center"/>
              <w:rPr>
                <w:sz w:val="20"/>
              </w:rPr>
            </w:pPr>
          </w:p>
        </w:tc>
        <w:tc>
          <w:tcPr>
            <w:tcW w:w="2351"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rPr>
                <w:sz w:val="20"/>
              </w:rPr>
            </w:pPr>
            <w:r w:rsidRPr="00B803C6">
              <w:rPr>
                <w:sz w:val="20"/>
              </w:rPr>
              <w:t>R-32/125/1234ze(E) (68,0/8,0/24,0)</w:t>
            </w:r>
          </w:p>
        </w:tc>
        <w:tc>
          <w:tcPr>
            <w:tcW w:w="65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63,1</w:t>
            </w:r>
          </w:p>
        </w:tc>
        <w:tc>
          <w:tcPr>
            <w:tcW w:w="644"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–50,3/</w:t>
            </w:r>
            <w:r w:rsidRPr="00B803C6">
              <w:rPr>
                <w:sz w:val="20"/>
              </w:rPr>
              <w:br/>
              <w:t>–46,2</w:t>
            </w:r>
          </w:p>
        </w:tc>
        <w:tc>
          <w:tcPr>
            <w:tcW w:w="630"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710</w:t>
            </w:r>
          </w:p>
        </w:tc>
        <w:tc>
          <w:tcPr>
            <w:tcW w:w="603" w:type="dxa"/>
            <w:tcBorders>
              <w:top w:val="nil"/>
              <w:left w:val="nil"/>
              <w:bottom w:val="nil"/>
              <w:right w:val="nil"/>
            </w:tcBorders>
            <w:shd w:val="clear" w:color="auto" w:fill="E2EFD9"/>
            <w:tcMar>
              <w:top w:w="0" w:type="dxa"/>
              <w:left w:w="28" w:type="dxa"/>
              <w:bottom w:w="0" w:type="dxa"/>
              <w:right w:w="28" w:type="dxa"/>
            </w:tcMar>
            <w:vAlign w:val="center"/>
            <w:hideMark/>
          </w:tcPr>
          <w:p w:rsidR="00F82BCB" w:rsidRPr="00B803C6" w:rsidRDefault="00F82BCB" w:rsidP="00BA6AD6">
            <w:pPr>
              <w:spacing w:line="256" w:lineRule="auto"/>
              <w:jc w:val="center"/>
              <w:rPr>
                <w:sz w:val="20"/>
              </w:rPr>
            </w:pPr>
            <w:r w:rsidRPr="00B803C6">
              <w:rPr>
                <w:sz w:val="20"/>
              </w:rPr>
              <w:t>750</w:t>
            </w:r>
          </w:p>
        </w:tc>
      </w:tr>
      <w:tr w:rsidR="00F82BCB" w:rsidRPr="00B803C6" w:rsidTr="00BA6AD6">
        <w:trPr>
          <w:cantSplit/>
          <w:trHeight w:val="340"/>
          <w:tblHeader/>
        </w:trPr>
        <w:tc>
          <w:tcPr>
            <w:tcW w:w="9300" w:type="dxa"/>
            <w:gridSpan w:val="14"/>
            <w:tcBorders>
              <w:top w:val="single" w:sz="18" w:space="0" w:color="A6A6A6"/>
              <w:left w:val="nil"/>
              <w:bottom w:val="single" w:sz="18" w:space="0" w:color="A6A6A6"/>
              <w:right w:val="nil"/>
            </w:tcBorders>
            <w:shd w:val="clear" w:color="auto" w:fill="FFFFFF"/>
            <w:tcMar>
              <w:top w:w="0" w:type="dxa"/>
              <w:left w:w="28" w:type="dxa"/>
              <w:bottom w:w="0" w:type="dxa"/>
              <w:right w:w="28" w:type="dxa"/>
            </w:tcMar>
            <w:vAlign w:val="center"/>
            <w:hideMark/>
          </w:tcPr>
          <w:p w:rsidR="00F82BCB" w:rsidRDefault="00F82BCB" w:rsidP="00BA6AD6">
            <w:pPr>
              <w:spacing w:line="256" w:lineRule="auto"/>
              <w:rPr>
                <w:sz w:val="20"/>
              </w:rPr>
            </w:pPr>
            <w:r w:rsidRPr="00B803C6">
              <w:rPr>
                <w:sz w:val="20"/>
              </w:rPr>
              <w:t>Notes:</w:t>
            </w:r>
          </w:p>
          <w:p w:rsidR="00F82BCB" w:rsidRDefault="00F82BCB" w:rsidP="00BA6AD6">
            <w:pPr>
              <w:shd w:val="clear" w:color="auto" w:fill="FFFFFF"/>
              <w:spacing w:line="256" w:lineRule="auto"/>
              <w:rPr>
                <w:sz w:val="20"/>
              </w:rPr>
            </w:pPr>
            <w:r>
              <w:rPr>
                <w:sz w:val="20"/>
              </w:rPr>
              <w:t xml:space="preserve">Fluids given with a </w:t>
            </w:r>
            <w:r w:rsidRPr="00B803C6">
              <w:rPr>
                <w:sz w:val="20"/>
                <w:shd w:val="clear" w:color="auto" w:fill="E2EFD9"/>
              </w:rPr>
              <w:t>green</w:t>
            </w:r>
            <w:r>
              <w:rPr>
                <w:sz w:val="20"/>
              </w:rPr>
              <w:t xml:space="preserve"> </w:t>
            </w:r>
            <w:r w:rsidRPr="00B803C6">
              <w:rPr>
                <w:sz w:val="20"/>
              </w:rPr>
              <w:t xml:space="preserve">background are fluids which were not mentioned in the XXVI/9 </w:t>
            </w:r>
            <w:r>
              <w:rPr>
                <w:sz w:val="20"/>
              </w:rPr>
              <w:t xml:space="preserve">Task Force </w:t>
            </w:r>
            <w:r w:rsidRPr="00B803C6">
              <w:rPr>
                <w:sz w:val="20"/>
              </w:rPr>
              <w:t>report</w:t>
            </w:r>
            <w:r>
              <w:rPr>
                <w:sz w:val="20"/>
              </w:rPr>
              <w:t>.</w:t>
            </w:r>
          </w:p>
          <w:p w:rsidR="00F82BCB" w:rsidRPr="00B803C6" w:rsidRDefault="00F82BCB" w:rsidP="00BA6AD6">
            <w:pPr>
              <w:spacing w:line="256" w:lineRule="auto"/>
              <w:rPr>
                <w:sz w:val="20"/>
              </w:rPr>
            </w:pPr>
            <w:r w:rsidRPr="00B803C6">
              <w:rPr>
                <w:sz w:val="20"/>
                <w:vertAlign w:val="superscript"/>
              </w:rPr>
              <w:t xml:space="preserve">* </w:t>
            </w:r>
            <w:r w:rsidRPr="00B803C6">
              <w:rPr>
                <w:sz w:val="20"/>
              </w:rPr>
              <w:t>Indicates refrigerants pending official ASHRAE 34 approval, submitted June 2015.</w:t>
            </w:r>
          </w:p>
          <w:p w:rsidR="00F82BCB" w:rsidRPr="00B803C6" w:rsidRDefault="00F82BCB" w:rsidP="00BA6AD6">
            <w:pPr>
              <w:spacing w:line="256" w:lineRule="auto"/>
              <w:rPr>
                <w:sz w:val="20"/>
              </w:rPr>
            </w:pPr>
            <w:r w:rsidRPr="00B803C6">
              <w:rPr>
                <w:sz w:val="20"/>
                <w:vertAlign w:val="superscript"/>
              </w:rPr>
              <w:t>**</w:t>
            </w:r>
            <w:r w:rsidRPr="00B803C6">
              <w:rPr>
                <w:sz w:val="20"/>
              </w:rPr>
              <w:t xml:space="preserve"> Indicates refrigerants pending official ASHRAE 34 approval, submitted January 2016.</w:t>
            </w:r>
          </w:p>
          <w:p w:rsidR="00F82BCB" w:rsidRPr="00B803C6" w:rsidRDefault="00F82BCB" w:rsidP="00BA6AD6">
            <w:pPr>
              <w:spacing w:line="256" w:lineRule="auto"/>
              <w:rPr>
                <w:sz w:val="20"/>
              </w:rPr>
            </w:pPr>
            <w:r w:rsidRPr="00B803C6">
              <w:rPr>
                <w:sz w:val="20"/>
                <w:vertAlign w:val="superscript"/>
              </w:rPr>
              <w:t>◊</w:t>
            </w:r>
            <w:r w:rsidRPr="00B803C6">
              <w:rPr>
                <w:sz w:val="20"/>
              </w:rPr>
              <w:t xml:space="preserve"> DR-7 has changed nominal composition slightly from originally R-1234yf/32 (64/36) to R-1234yf/32 (65/35).</w:t>
            </w:r>
          </w:p>
        </w:tc>
      </w:tr>
    </w:tbl>
    <w:p w:rsidR="00F82BCB" w:rsidRPr="007B787F" w:rsidRDefault="00F82BCB" w:rsidP="00F82BCB">
      <w:pPr>
        <w:rPr>
          <w:lang w:eastAsia="ja-JP"/>
        </w:rPr>
      </w:pPr>
    </w:p>
    <w:p w:rsidR="00F82BCB" w:rsidRDefault="00F82BCB" w:rsidP="00F82BCB">
      <w:pPr>
        <w:rPr>
          <w:b/>
          <w:i/>
        </w:rPr>
      </w:pPr>
      <w:r>
        <w:rPr>
          <w:i/>
        </w:rPr>
        <w:br w:type="page"/>
      </w:r>
      <w:r w:rsidRPr="00BE69D9">
        <w:rPr>
          <w:b/>
          <w:i/>
        </w:rPr>
        <w:lastRenderedPageBreak/>
        <w:t>Table 2-5:  Currently commonly used pure substances for reference</w:t>
      </w:r>
    </w:p>
    <w:p w:rsidR="00F82BCB" w:rsidRPr="00BE69D9" w:rsidRDefault="00F82BCB" w:rsidP="00F82BCB">
      <w:pPr>
        <w:rPr>
          <w:b/>
          <w:i/>
        </w:rPr>
      </w:pPr>
    </w:p>
    <w:tbl>
      <w:tblPr>
        <w:tblW w:w="9351" w:type="dxa"/>
        <w:tblLayout w:type="fixed"/>
        <w:tblCellMar>
          <w:left w:w="57" w:type="dxa"/>
          <w:right w:w="57" w:type="dxa"/>
        </w:tblCellMar>
        <w:tblLook w:val="04A0" w:firstRow="1" w:lastRow="0" w:firstColumn="1" w:lastColumn="0" w:noHBand="0" w:noVBand="1"/>
      </w:tblPr>
      <w:tblGrid>
        <w:gridCol w:w="1022"/>
        <w:gridCol w:w="568"/>
        <w:gridCol w:w="992"/>
        <w:gridCol w:w="1985"/>
        <w:gridCol w:w="531"/>
        <w:gridCol w:w="532"/>
        <w:gridCol w:w="531"/>
        <w:gridCol w:w="532"/>
        <w:gridCol w:w="532"/>
        <w:gridCol w:w="531"/>
        <w:gridCol w:w="531"/>
        <w:gridCol w:w="532"/>
        <w:gridCol w:w="532"/>
      </w:tblGrid>
      <w:tr w:rsidR="00F82BCB" w:rsidRPr="007B787F" w:rsidTr="00BA6AD6">
        <w:trPr>
          <w:cantSplit/>
          <w:trHeight w:val="1988"/>
        </w:trPr>
        <w:tc>
          <w:tcPr>
            <w:tcW w:w="102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7B787F" w:rsidRDefault="00F82BCB" w:rsidP="00BA6AD6">
            <w:pPr>
              <w:spacing w:line="256" w:lineRule="auto"/>
              <w:ind w:left="57" w:right="57"/>
              <w:jc w:val="center"/>
              <w:rPr>
                <w:b/>
                <w:sz w:val="20"/>
              </w:rPr>
            </w:pPr>
            <w:r w:rsidRPr="007B787F">
              <w:rPr>
                <w:b/>
                <w:sz w:val="20"/>
              </w:rPr>
              <w:t>Refrigerant Designation</w:t>
            </w:r>
          </w:p>
        </w:tc>
        <w:tc>
          <w:tcPr>
            <w:tcW w:w="568"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Safety Class</w:t>
            </w:r>
          </w:p>
        </w:tc>
        <w:tc>
          <w:tcPr>
            <w:tcW w:w="99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7B787F" w:rsidRDefault="00F82BCB" w:rsidP="00BA6AD6">
            <w:pPr>
              <w:spacing w:line="256" w:lineRule="auto"/>
              <w:ind w:left="57" w:right="57"/>
              <w:jc w:val="center"/>
              <w:rPr>
                <w:b/>
                <w:sz w:val="20"/>
              </w:rPr>
            </w:pPr>
            <w:r w:rsidRPr="007B787F">
              <w:rPr>
                <w:b/>
                <w:sz w:val="20"/>
              </w:rPr>
              <w:t>Chemical Formula</w:t>
            </w:r>
          </w:p>
        </w:tc>
        <w:tc>
          <w:tcPr>
            <w:tcW w:w="1985"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rsidR="00F82BCB" w:rsidRPr="007B787F" w:rsidRDefault="00F82BCB" w:rsidP="00BA6AD6">
            <w:pPr>
              <w:spacing w:line="256" w:lineRule="auto"/>
              <w:ind w:left="57" w:right="57"/>
              <w:jc w:val="center"/>
              <w:rPr>
                <w:b/>
                <w:sz w:val="20"/>
              </w:rPr>
            </w:pPr>
            <w:r w:rsidRPr="007B787F">
              <w:rPr>
                <w:b/>
                <w:sz w:val="20"/>
              </w:rPr>
              <w:t>Chemical Name</w:t>
            </w: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Molecular Weight</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Boiling Point (°C)</w:t>
            </w: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ATEL/ODL (kg/m</w:t>
            </w:r>
            <w:r w:rsidRPr="007B787F">
              <w:rPr>
                <w:b/>
                <w:sz w:val="20"/>
                <w:vertAlign w:val="superscript"/>
              </w:rPr>
              <w:t>3</w:t>
            </w:r>
            <w:r w:rsidRPr="007B787F">
              <w:rPr>
                <w:b/>
                <w:sz w:val="20"/>
              </w:rPr>
              <w:t>)</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Atmospheric Lifetime (Years)</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 xml:space="preserve">Radiative Efficiency </w:t>
            </w:r>
            <w:r w:rsidRPr="007B787F">
              <w:rPr>
                <w:b/>
                <w:sz w:val="20"/>
              </w:rPr>
              <w:br/>
              <w:t>(W/m/</w:t>
            </w:r>
            <w:r w:rsidRPr="007B787F">
              <w:rPr>
                <w:b/>
                <w:sz w:val="20"/>
                <w:vertAlign w:val="superscript"/>
              </w:rPr>
              <w:t xml:space="preserve"> </w:t>
            </w:r>
            <w:r w:rsidRPr="007B787F">
              <w:rPr>
                <w:b/>
                <w:sz w:val="20"/>
              </w:rPr>
              <w:t>ppm)</w:t>
            </w:r>
          </w:p>
        </w:tc>
        <w:tc>
          <w:tcPr>
            <w:tcW w:w="531" w:type="dxa"/>
            <w:tcBorders>
              <w:top w:val="single" w:sz="18" w:space="0" w:color="A6A6A6"/>
              <w:left w:val="nil"/>
              <w:bottom w:val="single" w:sz="18" w:space="0" w:color="A6A6A6"/>
              <w:right w:val="nil"/>
            </w:tcBorders>
            <w:textDirection w:val="tbRl"/>
          </w:tcPr>
          <w:p w:rsidR="00F82BCB" w:rsidRPr="007B787F" w:rsidRDefault="00F82BCB" w:rsidP="00BA6AD6">
            <w:pPr>
              <w:spacing w:line="256" w:lineRule="auto"/>
              <w:ind w:left="57" w:right="57"/>
              <w:jc w:val="center"/>
              <w:rPr>
                <w:b/>
                <w:sz w:val="20"/>
              </w:rPr>
            </w:pP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GWP 100 Year (IPCC5)</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GWP 100 Year (RTOC)</w:t>
            </w:r>
          </w:p>
        </w:tc>
        <w:tc>
          <w:tcPr>
            <w:tcW w:w="532"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ODP</w:t>
            </w:r>
          </w:p>
        </w:tc>
      </w:tr>
      <w:tr w:rsidR="00F82BCB" w:rsidRPr="007B787F" w:rsidTr="00BA6AD6">
        <w:trPr>
          <w:trHeight w:val="340"/>
        </w:trPr>
        <w:tc>
          <w:tcPr>
            <w:tcW w:w="1022"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HCFC-22</w:t>
            </w:r>
          </w:p>
        </w:tc>
        <w:tc>
          <w:tcPr>
            <w:tcW w:w="568" w:type="dxa"/>
            <w:vAlign w:val="center"/>
            <w:hideMark/>
          </w:tcPr>
          <w:p w:rsidR="00F82BCB" w:rsidRPr="007B787F" w:rsidRDefault="00F82BCB" w:rsidP="00BA6AD6">
            <w:pPr>
              <w:spacing w:line="256" w:lineRule="auto"/>
              <w:jc w:val="center"/>
              <w:rPr>
                <w:sz w:val="20"/>
              </w:rPr>
            </w:pPr>
            <w:r w:rsidRPr="007B787F">
              <w:rPr>
                <w:sz w:val="20"/>
              </w:rPr>
              <w:t>A1</w:t>
            </w:r>
          </w:p>
        </w:tc>
        <w:tc>
          <w:tcPr>
            <w:tcW w:w="992"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CHClF</w:t>
            </w:r>
            <w:r w:rsidRPr="007B787F">
              <w:rPr>
                <w:sz w:val="20"/>
                <w:vertAlign w:val="subscript"/>
              </w:rPr>
              <w:t>2</w:t>
            </w:r>
          </w:p>
        </w:tc>
        <w:tc>
          <w:tcPr>
            <w:tcW w:w="1985"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chlorodifluoromethane</w:t>
            </w: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86,5</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-41</w:t>
            </w: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0,21</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12</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0,21</w:t>
            </w:r>
          </w:p>
        </w:tc>
        <w:tc>
          <w:tcPr>
            <w:tcW w:w="531" w:type="dxa"/>
          </w:tcPr>
          <w:p w:rsidR="00F82BCB" w:rsidRPr="007B787F" w:rsidRDefault="00F82BCB" w:rsidP="00BA6AD6">
            <w:pPr>
              <w:spacing w:line="256" w:lineRule="auto"/>
              <w:jc w:val="center"/>
              <w:rPr>
                <w:sz w:val="20"/>
              </w:rPr>
            </w:pP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1 760</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1 780</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0,034</w:t>
            </w:r>
          </w:p>
        </w:tc>
      </w:tr>
      <w:tr w:rsidR="00F82BCB" w:rsidRPr="007B787F" w:rsidTr="00BA6AD6">
        <w:trPr>
          <w:trHeight w:val="340"/>
        </w:trPr>
        <w:tc>
          <w:tcPr>
            <w:tcW w:w="1022"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HCFC-123</w:t>
            </w:r>
          </w:p>
        </w:tc>
        <w:tc>
          <w:tcPr>
            <w:tcW w:w="568" w:type="dxa"/>
            <w:vAlign w:val="center"/>
            <w:hideMark/>
          </w:tcPr>
          <w:p w:rsidR="00F82BCB" w:rsidRPr="007B787F" w:rsidRDefault="00F82BCB" w:rsidP="00BA6AD6">
            <w:pPr>
              <w:spacing w:line="256" w:lineRule="auto"/>
              <w:jc w:val="center"/>
              <w:rPr>
                <w:sz w:val="20"/>
              </w:rPr>
            </w:pPr>
            <w:r w:rsidRPr="007B787F">
              <w:rPr>
                <w:sz w:val="20"/>
              </w:rPr>
              <w:t>B1</w:t>
            </w:r>
          </w:p>
        </w:tc>
        <w:tc>
          <w:tcPr>
            <w:tcW w:w="992"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CHCl</w:t>
            </w:r>
            <w:r w:rsidRPr="007B787F">
              <w:rPr>
                <w:sz w:val="20"/>
                <w:vertAlign w:val="subscript"/>
              </w:rPr>
              <w:t>2</w:t>
            </w:r>
            <w:r w:rsidRPr="007B787F">
              <w:rPr>
                <w:sz w:val="20"/>
              </w:rPr>
              <w:t>CF</w:t>
            </w:r>
            <w:r w:rsidRPr="007B787F">
              <w:rPr>
                <w:sz w:val="20"/>
                <w:vertAlign w:val="subscript"/>
              </w:rPr>
              <w:t>3</w:t>
            </w:r>
          </w:p>
        </w:tc>
        <w:tc>
          <w:tcPr>
            <w:tcW w:w="1985" w:type="dxa"/>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2,2-dichloro-1,1,1-trifluoroethane</w:t>
            </w: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152,9</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27</w:t>
            </w: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0,057</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1,3</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0,15</w:t>
            </w:r>
          </w:p>
        </w:tc>
        <w:tc>
          <w:tcPr>
            <w:tcW w:w="531" w:type="dxa"/>
          </w:tcPr>
          <w:p w:rsidR="00F82BCB" w:rsidRPr="007B787F" w:rsidRDefault="00F82BCB" w:rsidP="00BA6AD6">
            <w:pPr>
              <w:spacing w:line="256" w:lineRule="auto"/>
              <w:jc w:val="center"/>
              <w:rPr>
                <w:sz w:val="20"/>
              </w:rPr>
            </w:pPr>
          </w:p>
        </w:tc>
        <w:tc>
          <w:tcPr>
            <w:tcW w:w="531"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79</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79</w:t>
            </w:r>
          </w:p>
        </w:tc>
        <w:tc>
          <w:tcPr>
            <w:tcW w:w="532" w:type="dxa"/>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0,01</w:t>
            </w:r>
          </w:p>
        </w:tc>
      </w:tr>
      <w:tr w:rsidR="00F82BCB" w:rsidRPr="007B787F" w:rsidTr="00BA6AD6">
        <w:trPr>
          <w:trHeight w:val="340"/>
        </w:trPr>
        <w:tc>
          <w:tcPr>
            <w:tcW w:w="102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HFC-134a</w:t>
            </w:r>
          </w:p>
        </w:tc>
        <w:tc>
          <w:tcPr>
            <w:tcW w:w="568" w:type="dxa"/>
            <w:tcBorders>
              <w:top w:val="nil"/>
              <w:left w:val="nil"/>
              <w:bottom w:val="nil"/>
              <w:right w:val="nil"/>
            </w:tcBorders>
            <w:vAlign w:val="center"/>
            <w:hideMark/>
          </w:tcPr>
          <w:p w:rsidR="00F82BCB" w:rsidRPr="007B787F" w:rsidRDefault="00F82BCB" w:rsidP="00BA6AD6">
            <w:pPr>
              <w:spacing w:line="256" w:lineRule="auto"/>
              <w:jc w:val="center"/>
              <w:rPr>
                <w:sz w:val="20"/>
              </w:rPr>
            </w:pPr>
            <w:r w:rsidRPr="007B787F">
              <w:rPr>
                <w:sz w:val="20"/>
              </w:rPr>
              <w:t>A1</w:t>
            </w:r>
          </w:p>
        </w:tc>
        <w:tc>
          <w:tcPr>
            <w:tcW w:w="99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CH</w:t>
            </w:r>
            <w:r w:rsidRPr="007B787F">
              <w:rPr>
                <w:sz w:val="20"/>
                <w:vertAlign w:val="subscript"/>
              </w:rPr>
              <w:t>2</w:t>
            </w:r>
            <w:r w:rsidRPr="007B787F">
              <w:rPr>
                <w:sz w:val="20"/>
              </w:rPr>
              <w:t>FCF</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rPr>
                <w:sz w:val="20"/>
              </w:rPr>
            </w:pPr>
            <w:r w:rsidRPr="007B787F">
              <w:rPr>
                <w:sz w:val="20"/>
              </w:rPr>
              <w:t>1,1,1,2-tetrafluoroethane</w:t>
            </w:r>
          </w:p>
        </w:tc>
        <w:tc>
          <w:tcPr>
            <w:tcW w:w="531"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102,0</w:t>
            </w:r>
          </w:p>
        </w:tc>
        <w:tc>
          <w:tcPr>
            <w:tcW w:w="53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-26</w:t>
            </w:r>
          </w:p>
        </w:tc>
        <w:tc>
          <w:tcPr>
            <w:tcW w:w="531"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0,21</w:t>
            </w:r>
          </w:p>
        </w:tc>
        <w:tc>
          <w:tcPr>
            <w:tcW w:w="53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14</w:t>
            </w:r>
          </w:p>
        </w:tc>
        <w:tc>
          <w:tcPr>
            <w:tcW w:w="53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0,16</w:t>
            </w:r>
          </w:p>
        </w:tc>
        <w:tc>
          <w:tcPr>
            <w:tcW w:w="531" w:type="dxa"/>
            <w:tcBorders>
              <w:top w:val="nil"/>
              <w:left w:val="nil"/>
              <w:bottom w:val="nil"/>
              <w:right w:val="nil"/>
            </w:tcBorders>
          </w:tcPr>
          <w:p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1 300</w:t>
            </w:r>
          </w:p>
        </w:tc>
        <w:tc>
          <w:tcPr>
            <w:tcW w:w="532" w:type="dxa"/>
            <w:tcBorders>
              <w:top w:val="nil"/>
              <w:left w:val="nil"/>
              <w:bottom w:val="nil"/>
              <w:right w:val="nil"/>
            </w:tcBorders>
            <w:tcMar>
              <w:top w:w="0" w:type="dxa"/>
              <w:left w:w="28" w:type="dxa"/>
              <w:bottom w:w="0" w:type="dxa"/>
              <w:right w:w="28" w:type="dxa"/>
            </w:tcMar>
            <w:vAlign w:val="center"/>
            <w:hideMark/>
          </w:tcPr>
          <w:p w:rsidR="00F82BCB" w:rsidRPr="007B787F" w:rsidRDefault="00F82BCB" w:rsidP="00BA6AD6">
            <w:pPr>
              <w:spacing w:line="256" w:lineRule="auto"/>
              <w:jc w:val="center"/>
              <w:rPr>
                <w:sz w:val="20"/>
              </w:rPr>
            </w:pPr>
            <w:r w:rsidRPr="007B787F">
              <w:rPr>
                <w:sz w:val="20"/>
              </w:rPr>
              <w:t>1 360</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r>
      <w:tr w:rsidR="00F82BCB" w:rsidRPr="007B787F"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HC-290</w:t>
            </w:r>
          </w:p>
        </w:tc>
        <w:tc>
          <w:tcPr>
            <w:tcW w:w="568" w:type="dxa"/>
            <w:tcBorders>
              <w:top w:val="nil"/>
              <w:left w:val="nil"/>
              <w:bottom w:val="nil"/>
              <w:right w:val="nil"/>
            </w:tcBorders>
            <w:vAlign w:val="center"/>
          </w:tcPr>
          <w:p w:rsidR="00F82BCB" w:rsidRPr="007B787F" w:rsidRDefault="00F82BCB" w:rsidP="00BA6AD6">
            <w:pPr>
              <w:spacing w:line="256" w:lineRule="auto"/>
              <w:jc w:val="center"/>
              <w:rPr>
                <w:sz w:val="20"/>
              </w:rPr>
            </w:pPr>
            <w:r w:rsidRPr="007B787F">
              <w:rPr>
                <w:sz w:val="20"/>
              </w:rPr>
              <w:t>A3</w:t>
            </w:r>
          </w:p>
        </w:tc>
        <w:tc>
          <w:tcPr>
            <w:tcW w:w="99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CH</w:t>
            </w:r>
            <w:r w:rsidRPr="007B787F">
              <w:rPr>
                <w:sz w:val="20"/>
                <w:vertAlign w:val="subscript"/>
              </w:rPr>
              <w:t>3</w:t>
            </w:r>
            <w:r w:rsidRPr="007B787F">
              <w:rPr>
                <w:sz w:val="20"/>
              </w:rPr>
              <w:t>CH</w:t>
            </w:r>
            <w:r w:rsidRPr="007B787F">
              <w:rPr>
                <w:sz w:val="20"/>
                <w:vertAlign w:val="subscript"/>
              </w:rPr>
              <w:t>2</w:t>
            </w:r>
            <w:r w:rsidRPr="007B787F">
              <w:rPr>
                <w:sz w:val="20"/>
              </w:rPr>
              <w:t>CH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propane</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44,1</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−42</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0,09</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D02A06">
              <w:rPr>
                <w:sz w:val="16"/>
                <w:szCs w:val="16"/>
              </w:rPr>
              <w:t>12,5 days</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1" w:type="dxa"/>
            <w:tcBorders>
              <w:top w:val="nil"/>
              <w:left w:val="nil"/>
              <w:bottom w:val="nil"/>
              <w:right w:val="nil"/>
            </w:tcBorders>
          </w:tcPr>
          <w:p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5</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r>
      <w:tr w:rsidR="00F82BCB" w:rsidRPr="007B787F"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HC-600a</w:t>
            </w:r>
          </w:p>
        </w:tc>
        <w:tc>
          <w:tcPr>
            <w:tcW w:w="568" w:type="dxa"/>
            <w:tcBorders>
              <w:top w:val="nil"/>
              <w:left w:val="nil"/>
              <w:bottom w:val="nil"/>
              <w:right w:val="nil"/>
            </w:tcBorders>
            <w:vAlign w:val="center"/>
          </w:tcPr>
          <w:p w:rsidR="00F82BCB" w:rsidRPr="007B787F" w:rsidRDefault="00F82BCB" w:rsidP="00BA6AD6">
            <w:pPr>
              <w:spacing w:line="256" w:lineRule="auto"/>
              <w:jc w:val="center"/>
              <w:rPr>
                <w:sz w:val="20"/>
              </w:rPr>
            </w:pPr>
            <w:r w:rsidRPr="007B787F">
              <w:rPr>
                <w:sz w:val="20"/>
              </w:rPr>
              <w:t>A3</w:t>
            </w:r>
          </w:p>
        </w:tc>
        <w:tc>
          <w:tcPr>
            <w:tcW w:w="99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CH(CH</w:t>
            </w:r>
            <w:r w:rsidRPr="007B787F">
              <w:rPr>
                <w:sz w:val="20"/>
                <w:vertAlign w:val="subscript"/>
              </w:rPr>
              <w:t>3</w:t>
            </w:r>
            <w:r w:rsidRPr="007B787F">
              <w:rPr>
                <w:sz w:val="20"/>
              </w:rPr>
              <w:t>)</w:t>
            </w:r>
            <w:r w:rsidRPr="007B787F">
              <w:rPr>
                <w:sz w:val="20"/>
                <w:vertAlign w:val="subscript"/>
              </w:rPr>
              <w:t>2</w:t>
            </w:r>
            <w:r w:rsidRPr="007B787F">
              <w:rPr>
                <w:sz w:val="20"/>
              </w:rPr>
              <w:t>-CH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2-methyl-propane (isobutane)</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58,1</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−12</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0,059</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D02A06">
              <w:rPr>
                <w:sz w:val="16"/>
                <w:szCs w:val="16"/>
              </w:rPr>
              <w:t>6,0 days</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1" w:type="dxa"/>
            <w:tcBorders>
              <w:top w:val="nil"/>
              <w:left w:val="nil"/>
              <w:bottom w:val="nil"/>
              <w:right w:val="nil"/>
            </w:tcBorders>
          </w:tcPr>
          <w:p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~20</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r>
      <w:tr w:rsidR="00F82BCB" w:rsidRPr="007B787F" w:rsidTr="00BA6AD6">
        <w:trPr>
          <w:trHeight w:val="340"/>
        </w:trPr>
        <w:tc>
          <w:tcPr>
            <w:tcW w:w="102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R-717</w:t>
            </w:r>
          </w:p>
        </w:tc>
        <w:tc>
          <w:tcPr>
            <w:tcW w:w="568" w:type="dxa"/>
            <w:tcBorders>
              <w:top w:val="nil"/>
              <w:left w:val="nil"/>
              <w:bottom w:val="nil"/>
              <w:right w:val="nil"/>
            </w:tcBorders>
            <w:vAlign w:val="center"/>
          </w:tcPr>
          <w:p w:rsidR="00F82BCB" w:rsidRPr="007B787F" w:rsidRDefault="00F82BCB" w:rsidP="00BA6AD6">
            <w:pPr>
              <w:spacing w:line="256" w:lineRule="auto"/>
              <w:jc w:val="center"/>
              <w:rPr>
                <w:sz w:val="20"/>
              </w:rPr>
            </w:pPr>
            <w:r w:rsidRPr="007B787F">
              <w:rPr>
                <w:sz w:val="20"/>
              </w:rPr>
              <w:t>B2L</w:t>
            </w:r>
          </w:p>
        </w:tc>
        <w:tc>
          <w:tcPr>
            <w:tcW w:w="99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NH</w:t>
            </w:r>
            <w:r w:rsidRPr="007B787F">
              <w:rPr>
                <w:sz w:val="20"/>
                <w:vertAlign w:val="subscript"/>
              </w:rPr>
              <w:t>3</w:t>
            </w:r>
          </w:p>
        </w:tc>
        <w:tc>
          <w:tcPr>
            <w:tcW w:w="1985"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ammonia</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17,0</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−33</w:t>
            </w: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0,000 22</w:t>
            </w: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1" w:type="dxa"/>
            <w:tcBorders>
              <w:top w:val="nil"/>
              <w:left w:val="nil"/>
              <w:bottom w:val="nil"/>
              <w:right w:val="nil"/>
            </w:tcBorders>
          </w:tcPr>
          <w:p w:rsidR="00F82BCB" w:rsidRPr="007B787F" w:rsidRDefault="00F82BCB" w:rsidP="00BA6AD6">
            <w:pPr>
              <w:spacing w:line="256" w:lineRule="auto"/>
              <w:jc w:val="center"/>
              <w:rPr>
                <w:sz w:val="20"/>
              </w:rPr>
            </w:pPr>
          </w:p>
        </w:tc>
        <w:tc>
          <w:tcPr>
            <w:tcW w:w="531"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nil"/>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r>
      <w:tr w:rsidR="00F82BCB" w:rsidRPr="007B787F" w:rsidTr="00BA6AD6">
        <w:trPr>
          <w:trHeight w:val="340"/>
        </w:trPr>
        <w:tc>
          <w:tcPr>
            <w:tcW w:w="102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R-744</w:t>
            </w:r>
          </w:p>
        </w:tc>
        <w:tc>
          <w:tcPr>
            <w:tcW w:w="568" w:type="dxa"/>
            <w:tcBorders>
              <w:top w:val="nil"/>
              <w:left w:val="nil"/>
              <w:bottom w:val="single" w:sz="18" w:space="0" w:color="A6A6A6"/>
              <w:right w:val="nil"/>
            </w:tcBorders>
            <w:vAlign w:val="center"/>
          </w:tcPr>
          <w:p w:rsidR="00F82BCB" w:rsidRPr="007B787F" w:rsidRDefault="00F82BCB" w:rsidP="00BA6AD6">
            <w:pPr>
              <w:spacing w:line="256" w:lineRule="auto"/>
              <w:jc w:val="center"/>
              <w:rPr>
                <w:sz w:val="20"/>
              </w:rPr>
            </w:pPr>
            <w:r w:rsidRPr="007B787F">
              <w:rPr>
                <w:sz w:val="20"/>
              </w:rPr>
              <w:t>A1</w:t>
            </w:r>
          </w:p>
        </w:tc>
        <w:tc>
          <w:tcPr>
            <w:tcW w:w="99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CO</w:t>
            </w:r>
            <w:r w:rsidRPr="007B787F">
              <w:rPr>
                <w:sz w:val="20"/>
                <w:vertAlign w:val="subscript"/>
              </w:rPr>
              <w:t>2</w:t>
            </w:r>
          </w:p>
        </w:tc>
        <w:tc>
          <w:tcPr>
            <w:tcW w:w="1985"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rPr>
                <w:sz w:val="20"/>
              </w:rPr>
            </w:pPr>
            <w:r w:rsidRPr="007B787F">
              <w:rPr>
                <w:sz w:val="20"/>
              </w:rPr>
              <w:t>carbon dioxide</w:t>
            </w:r>
          </w:p>
        </w:tc>
        <w:tc>
          <w:tcPr>
            <w:tcW w:w="531"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44,0</w:t>
            </w:r>
          </w:p>
        </w:tc>
        <w:tc>
          <w:tcPr>
            <w:tcW w:w="53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−78</w:t>
            </w:r>
            <w:r w:rsidRPr="007B787F">
              <w:rPr>
                <w:sz w:val="20"/>
                <w:vertAlign w:val="superscript"/>
              </w:rPr>
              <w:t>◊</w:t>
            </w:r>
          </w:p>
        </w:tc>
        <w:tc>
          <w:tcPr>
            <w:tcW w:w="531"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0,072</w:t>
            </w:r>
          </w:p>
        </w:tc>
        <w:tc>
          <w:tcPr>
            <w:tcW w:w="53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c>
          <w:tcPr>
            <w:tcW w:w="531" w:type="dxa"/>
            <w:tcBorders>
              <w:top w:val="nil"/>
              <w:left w:val="nil"/>
              <w:bottom w:val="single" w:sz="18" w:space="0" w:color="A6A6A6"/>
              <w:right w:val="nil"/>
            </w:tcBorders>
          </w:tcPr>
          <w:p w:rsidR="00F82BCB" w:rsidRPr="007B787F" w:rsidRDefault="00F82BCB" w:rsidP="00BA6AD6">
            <w:pPr>
              <w:spacing w:line="256" w:lineRule="auto"/>
              <w:jc w:val="center"/>
              <w:rPr>
                <w:sz w:val="20"/>
              </w:rPr>
            </w:pPr>
          </w:p>
        </w:tc>
        <w:tc>
          <w:tcPr>
            <w:tcW w:w="531"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1</w:t>
            </w:r>
          </w:p>
        </w:tc>
        <w:tc>
          <w:tcPr>
            <w:tcW w:w="53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r w:rsidRPr="007B787F">
              <w:rPr>
                <w:sz w:val="20"/>
              </w:rPr>
              <w:t>1</w:t>
            </w:r>
          </w:p>
        </w:tc>
        <w:tc>
          <w:tcPr>
            <w:tcW w:w="532" w:type="dxa"/>
            <w:tcBorders>
              <w:top w:val="nil"/>
              <w:left w:val="nil"/>
              <w:bottom w:val="single" w:sz="18" w:space="0" w:color="A6A6A6"/>
              <w:right w:val="nil"/>
            </w:tcBorders>
            <w:tcMar>
              <w:top w:w="0" w:type="dxa"/>
              <w:left w:w="28" w:type="dxa"/>
              <w:bottom w:w="0" w:type="dxa"/>
              <w:right w:w="28" w:type="dxa"/>
            </w:tcMar>
            <w:vAlign w:val="center"/>
          </w:tcPr>
          <w:p w:rsidR="00F82BCB" w:rsidRPr="007B787F" w:rsidRDefault="00F82BCB" w:rsidP="00BA6AD6">
            <w:pPr>
              <w:spacing w:line="256" w:lineRule="auto"/>
              <w:jc w:val="center"/>
              <w:rPr>
                <w:sz w:val="20"/>
              </w:rPr>
            </w:pPr>
          </w:p>
        </w:tc>
      </w:tr>
    </w:tbl>
    <w:p w:rsidR="00F82BCB" w:rsidRPr="007B787F" w:rsidRDefault="00F82BCB" w:rsidP="00F82BCB">
      <w:pPr>
        <w:rPr>
          <w:lang w:eastAsia="ja-JP"/>
        </w:rPr>
      </w:pPr>
    </w:p>
    <w:p w:rsidR="00F82BCB" w:rsidRDefault="00F82BCB" w:rsidP="00F82BCB">
      <w:pPr>
        <w:rPr>
          <w:b/>
          <w:i/>
        </w:rPr>
      </w:pPr>
      <w:r w:rsidRPr="00BE69D9">
        <w:rPr>
          <w:b/>
          <w:i/>
        </w:rPr>
        <w:t>Table 2-6:  Currently commonly used blend refrigerants for reference</w:t>
      </w:r>
    </w:p>
    <w:p w:rsidR="00F82BCB" w:rsidRPr="00BE69D9" w:rsidRDefault="00F82BCB" w:rsidP="00F82BCB">
      <w:pPr>
        <w:rPr>
          <w:b/>
          <w:i/>
        </w:rPr>
      </w:pPr>
    </w:p>
    <w:tbl>
      <w:tblPr>
        <w:tblW w:w="8817" w:type="dxa"/>
        <w:tblCellMar>
          <w:left w:w="28" w:type="dxa"/>
          <w:right w:w="28" w:type="dxa"/>
        </w:tblCellMar>
        <w:tblLook w:val="04A0" w:firstRow="1" w:lastRow="0" w:firstColumn="1" w:lastColumn="0" w:noHBand="0" w:noVBand="1"/>
      </w:tblPr>
      <w:tblGrid>
        <w:gridCol w:w="738"/>
        <w:gridCol w:w="708"/>
        <w:gridCol w:w="2686"/>
        <w:gridCol w:w="780"/>
        <w:gridCol w:w="1212"/>
        <w:gridCol w:w="673"/>
        <w:gridCol w:w="673"/>
        <w:gridCol w:w="673"/>
        <w:gridCol w:w="674"/>
      </w:tblGrid>
      <w:tr w:rsidR="00F82BCB" w:rsidRPr="007B787F" w:rsidTr="00BA6AD6">
        <w:trPr>
          <w:cantSplit/>
          <w:trHeight w:val="1578"/>
        </w:trPr>
        <w:tc>
          <w:tcPr>
            <w:tcW w:w="738" w:type="dxa"/>
            <w:tcBorders>
              <w:top w:val="single" w:sz="18" w:space="0" w:color="A6A6A6"/>
              <w:left w:val="nil"/>
              <w:bottom w:val="single" w:sz="18" w:space="0" w:color="A6A6A6"/>
              <w:right w:val="nil"/>
            </w:tcBorders>
            <w:noWrap/>
            <w:textDirection w:val="tbRl"/>
            <w:vAlign w:val="bottom"/>
            <w:hideMark/>
          </w:tcPr>
          <w:p w:rsidR="00F82BCB" w:rsidRPr="007B787F" w:rsidRDefault="00F82BCB" w:rsidP="00BA6AD6">
            <w:pPr>
              <w:spacing w:line="256" w:lineRule="auto"/>
              <w:ind w:left="57" w:right="57"/>
              <w:jc w:val="center"/>
              <w:rPr>
                <w:b/>
                <w:sz w:val="20"/>
              </w:rPr>
            </w:pPr>
            <w:r w:rsidRPr="007B787F">
              <w:rPr>
                <w:b/>
                <w:sz w:val="20"/>
              </w:rPr>
              <w:t>Refrigerant Designation</w:t>
            </w:r>
          </w:p>
        </w:tc>
        <w:tc>
          <w:tcPr>
            <w:tcW w:w="708"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Safety Class</w:t>
            </w:r>
          </w:p>
        </w:tc>
        <w:tc>
          <w:tcPr>
            <w:tcW w:w="2686" w:type="dxa"/>
            <w:tcBorders>
              <w:top w:val="single" w:sz="18" w:space="0" w:color="A6A6A6"/>
              <w:left w:val="nil"/>
              <w:bottom w:val="single" w:sz="18" w:space="0" w:color="A6A6A6"/>
              <w:right w:val="nil"/>
            </w:tcBorders>
            <w:noWrap/>
            <w:textDirection w:val="tbRl"/>
            <w:vAlign w:val="bottom"/>
            <w:hideMark/>
          </w:tcPr>
          <w:p w:rsidR="00F82BCB" w:rsidRPr="007B787F" w:rsidRDefault="00F82BCB" w:rsidP="00BA6AD6">
            <w:pPr>
              <w:spacing w:line="256" w:lineRule="auto"/>
              <w:ind w:left="57" w:right="57"/>
              <w:jc w:val="center"/>
              <w:rPr>
                <w:b/>
                <w:sz w:val="20"/>
              </w:rPr>
            </w:pPr>
            <w:r w:rsidRPr="007B787F">
              <w:rPr>
                <w:b/>
                <w:sz w:val="20"/>
              </w:rPr>
              <w:t xml:space="preserve">Refrigerant Composition </w:t>
            </w:r>
            <w:r w:rsidRPr="007B787F">
              <w:rPr>
                <w:b/>
                <w:sz w:val="20"/>
              </w:rPr>
              <w:br/>
              <w:t xml:space="preserve"> (Mass %)</w:t>
            </w:r>
          </w:p>
        </w:tc>
        <w:tc>
          <w:tcPr>
            <w:tcW w:w="780"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Molecular Weight</w:t>
            </w:r>
          </w:p>
        </w:tc>
        <w:tc>
          <w:tcPr>
            <w:tcW w:w="1212"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Bubble / Dew  or Normal Boiling Point (°C)</w:t>
            </w:r>
          </w:p>
        </w:tc>
        <w:tc>
          <w:tcPr>
            <w:tcW w:w="673"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rsidR="00F82BCB" w:rsidRPr="00E10190" w:rsidRDefault="00F82BCB" w:rsidP="00BA6AD6">
            <w:pPr>
              <w:spacing w:line="256" w:lineRule="auto"/>
              <w:ind w:left="57" w:right="57"/>
              <w:jc w:val="center"/>
              <w:rPr>
                <w:b/>
                <w:sz w:val="20"/>
              </w:rPr>
            </w:pPr>
            <w:r w:rsidRPr="007B787F">
              <w:rPr>
                <w:b/>
                <w:sz w:val="20"/>
              </w:rPr>
              <w:t>ATEL/ODL (kg/m</w:t>
            </w:r>
            <w:r w:rsidRPr="007B787F">
              <w:rPr>
                <w:b/>
                <w:sz w:val="20"/>
                <w:vertAlign w:val="superscript"/>
              </w:rPr>
              <w:t>3</w:t>
            </w:r>
            <w:r w:rsidRPr="00E10190">
              <w:rPr>
                <w:b/>
                <w:sz w:val="20"/>
              </w:rPr>
              <w:t>)</w:t>
            </w:r>
          </w:p>
        </w:tc>
        <w:tc>
          <w:tcPr>
            <w:tcW w:w="673"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GWP 100 Year (IPCC)</w:t>
            </w:r>
          </w:p>
        </w:tc>
        <w:tc>
          <w:tcPr>
            <w:tcW w:w="673"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GWP 100 Year (RTOC)</w:t>
            </w:r>
          </w:p>
        </w:tc>
        <w:tc>
          <w:tcPr>
            <w:tcW w:w="674" w:type="dxa"/>
            <w:tcBorders>
              <w:top w:val="single" w:sz="18" w:space="0" w:color="A6A6A6"/>
              <w:left w:val="nil"/>
              <w:bottom w:val="single" w:sz="18" w:space="0" w:color="A6A6A6"/>
              <w:right w:val="nil"/>
            </w:tcBorders>
            <w:textDirection w:val="tbRl"/>
            <w:vAlign w:val="center"/>
            <w:hideMark/>
          </w:tcPr>
          <w:p w:rsidR="00F82BCB" w:rsidRPr="007B787F" w:rsidRDefault="00F82BCB" w:rsidP="00BA6AD6">
            <w:pPr>
              <w:spacing w:line="256" w:lineRule="auto"/>
              <w:ind w:left="57" w:right="57"/>
              <w:jc w:val="center"/>
              <w:rPr>
                <w:b/>
                <w:sz w:val="20"/>
              </w:rPr>
            </w:pPr>
            <w:r w:rsidRPr="007B787F">
              <w:rPr>
                <w:b/>
                <w:sz w:val="20"/>
              </w:rPr>
              <w:t>ODP</w:t>
            </w:r>
          </w:p>
        </w:tc>
      </w:tr>
      <w:tr w:rsidR="00F82BCB" w:rsidRPr="007B787F" w:rsidTr="00BA6AD6">
        <w:trPr>
          <w:trHeight w:val="340"/>
        </w:trPr>
        <w:tc>
          <w:tcPr>
            <w:tcW w:w="738" w:type="dxa"/>
            <w:noWrap/>
            <w:vAlign w:val="center"/>
            <w:hideMark/>
          </w:tcPr>
          <w:p w:rsidR="00F82BCB" w:rsidRPr="007B787F" w:rsidRDefault="00F82BCB" w:rsidP="00BA6AD6">
            <w:pPr>
              <w:spacing w:line="256" w:lineRule="auto"/>
              <w:rPr>
                <w:sz w:val="20"/>
              </w:rPr>
            </w:pPr>
            <w:r w:rsidRPr="007B787F">
              <w:rPr>
                <w:sz w:val="20"/>
              </w:rPr>
              <w:t>R-404A</w:t>
            </w:r>
          </w:p>
        </w:tc>
        <w:tc>
          <w:tcPr>
            <w:tcW w:w="708" w:type="dxa"/>
            <w:vAlign w:val="center"/>
            <w:hideMark/>
          </w:tcPr>
          <w:p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rsidR="00F82BCB" w:rsidRPr="007B787F" w:rsidRDefault="00F82BCB" w:rsidP="00BA6AD6">
            <w:pPr>
              <w:spacing w:line="256" w:lineRule="auto"/>
              <w:rPr>
                <w:sz w:val="20"/>
              </w:rPr>
            </w:pPr>
            <w:r w:rsidRPr="007B787F">
              <w:rPr>
                <w:sz w:val="20"/>
              </w:rPr>
              <w:t>R-125/143a/134a (44,0/52,0/4,0)</w:t>
            </w:r>
          </w:p>
        </w:tc>
        <w:tc>
          <w:tcPr>
            <w:tcW w:w="780"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97,6</w:t>
            </w:r>
          </w:p>
        </w:tc>
        <w:tc>
          <w:tcPr>
            <w:tcW w:w="1212"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-46,6/-45,8</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0,52</w:t>
            </w:r>
          </w:p>
        </w:tc>
        <w:tc>
          <w:tcPr>
            <w:tcW w:w="673" w:type="dxa"/>
            <w:vAlign w:val="center"/>
            <w:hideMark/>
          </w:tcPr>
          <w:p w:rsidR="00F82BCB" w:rsidRPr="007B787F" w:rsidRDefault="00F82BCB" w:rsidP="00BA6AD6">
            <w:pPr>
              <w:spacing w:line="256" w:lineRule="auto"/>
              <w:jc w:val="center"/>
              <w:rPr>
                <w:sz w:val="20"/>
              </w:rPr>
            </w:pPr>
            <w:r w:rsidRPr="007B787F">
              <w:rPr>
                <w:sz w:val="20"/>
              </w:rPr>
              <w:t>3 900</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4 200</w:t>
            </w:r>
          </w:p>
        </w:tc>
        <w:tc>
          <w:tcPr>
            <w:tcW w:w="674" w:type="dxa"/>
          </w:tcPr>
          <w:p w:rsidR="00F82BCB" w:rsidRPr="007B787F" w:rsidRDefault="00F82BCB" w:rsidP="00BA6AD6">
            <w:pPr>
              <w:spacing w:line="256" w:lineRule="auto"/>
              <w:jc w:val="center"/>
              <w:rPr>
                <w:sz w:val="20"/>
              </w:rPr>
            </w:pPr>
          </w:p>
        </w:tc>
      </w:tr>
      <w:tr w:rsidR="00F82BCB" w:rsidRPr="007B787F" w:rsidTr="00BA6AD6">
        <w:trPr>
          <w:trHeight w:val="340"/>
        </w:trPr>
        <w:tc>
          <w:tcPr>
            <w:tcW w:w="738" w:type="dxa"/>
            <w:noWrap/>
            <w:vAlign w:val="center"/>
            <w:hideMark/>
          </w:tcPr>
          <w:p w:rsidR="00F82BCB" w:rsidRPr="007B787F" w:rsidRDefault="00F82BCB" w:rsidP="00BA6AD6">
            <w:pPr>
              <w:spacing w:line="256" w:lineRule="auto"/>
              <w:rPr>
                <w:sz w:val="20"/>
              </w:rPr>
            </w:pPr>
            <w:r w:rsidRPr="007B787F">
              <w:rPr>
                <w:sz w:val="20"/>
              </w:rPr>
              <w:t>R-407A</w:t>
            </w:r>
          </w:p>
        </w:tc>
        <w:tc>
          <w:tcPr>
            <w:tcW w:w="708" w:type="dxa"/>
            <w:vAlign w:val="center"/>
            <w:hideMark/>
          </w:tcPr>
          <w:p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rsidR="00F82BCB" w:rsidRPr="007B787F" w:rsidRDefault="00F82BCB" w:rsidP="00BA6AD6">
            <w:pPr>
              <w:spacing w:line="256" w:lineRule="auto"/>
              <w:rPr>
                <w:sz w:val="20"/>
              </w:rPr>
            </w:pPr>
            <w:r w:rsidRPr="007B787F">
              <w:rPr>
                <w:sz w:val="20"/>
              </w:rPr>
              <w:t>R-32/125/134a (20,0/40,0/40,0)</w:t>
            </w:r>
          </w:p>
        </w:tc>
        <w:tc>
          <w:tcPr>
            <w:tcW w:w="780"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90,1</w:t>
            </w:r>
          </w:p>
        </w:tc>
        <w:tc>
          <w:tcPr>
            <w:tcW w:w="1212"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-45,2/-38,7</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0,31</w:t>
            </w:r>
          </w:p>
        </w:tc>
        <w:tc>
          <w:tcPr>
            <w:tcW w:w="673" w:type="dxa"/>
            <w:vAlign w:val="center"/>
            <w:hideMark/>
          </w:tcPr>
          <w:p w:rsidR="00F82BCB" w:rsidRPr="007B787F" w:rsidRDefault="00F82BCB" w:rsidP="00BA6AD6">
            <w:pPr>
              <w:spacing w:line="256" w:lineRule="auto"/>
              <w:jc w:val="center"/>
              <w:rPr>
                <w:sz w:val="20"/>
              </w:rPr>
            </w:pPr>
            <w:r w:rsidRPr="007B787F">
              <w:rPr>
                <w:sz w:val="20"/>
              </w:rPr>
              <w:t>1 900</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2 100</w:t>
            </w:r>
          </w:p>
        </w:tc>
        <w:tc>
          <w:tcPr>
            <w:tcW w:w="674" w:type="dxa"/>
          </w:tcPr>
          <w:p w:rsidR="00F82BCB" w:rsidRPr="007B787F" w:rsidRDefault="00F82BCB" w:rsidP="00BA6AD6">
            <w:pPr>
              <w:spacing w:line="256" w:lineRule="auto"/>
              <w:jc w:val="center"/>
              <w:rPr>
                <w:sz w:val="20"/>
              </w:rPr>
            </w:pPr>
          </w:p>
        </w:tc>
      </w:tr>
      <w:tr w:rsidR="00F82BCB" w:rsidRPr="007B787F" w:rsidTr="00BA6AD6">
        <w:trPr>
          <w:trHeight w:val="340"/>
        </w:trPr>
        <w:tc>
          <w:tcPr>
            <w:tcW w:w="738" w:type="dxa"/>
            <w:noWrap/>
            <w:vAlign w:val="center"/>
            <w:hideMark/>
          </w:tcPr>
          <w:p w:rsidR="00F82BCB" w:rsidRPr="007B787F" w:rsidRDefault="00F82BCB" w:rsidP="00BA6AD6">
            <w:pPr>
              <w:spacing w:line="256" w:lineRule="auto"/>
              <w:rPr>
                <w:sz w:val="20"/>
              </w:rPr>
            </w:pPr>
            <w:r w:rsidRPr="007B787F">
              <w:rPr>
                <w:sz w:val="20"/>
              </w:rPr>
              <w:t>R-407C</w:t>
            </w:r>
          </w:p>
        </w:tc>
        <w:tc>
          <w:tcPr>
            <w:tcW w:w="708" w:type="dxa"/>
            <w:vAlign w:val="center"/>
            <w:hideMark/>
          </w:tcPr>
          <w:p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rsidR="00F82BCB" w:rsidRPr="007B787F" w:rsidRDefault="00F82BCB" w:rsidP="00BA6AD6">
            <w:pPr>
              <w:spacing w:line="256" w:lineRule="auto"/>
              <w:rPr>
                <w:sz w:val="20"/>
              </w:rPr>
            </w:pPr>
            <w:r w:rsidRPr="007B787F">
              <w:rPr>
                <w:sz w:val="20"/>
              </w:rPr>
              <w:t>R-32/125/134a (23,0/25,0/52,0)</w:t>
            </w:r>
          </w:p>
        </w:tc>
        <w:tc>
          <w:tcPr>
            <w:tcW w:w="780"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86,2</w:t>
            </w:r>
          </w:p>
        </w:tc>
        <w:tc>
          <w:tcPr>
            <w:tcW w:w="1212"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-43,8/-36,7</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0,29</w:t>
            </w:r>
          </w:p>
        </w:tc>
        <w:tc>
          <w:tcPr>
            <w:tcW w:w="673" w:type="dxa"/>
            <w:vAlign w:val="center"/>
            <w:hideMark/>
          </w:tcPr>
          <w:p w:rsidR="00F82BCB" w:rsidRPr="007B787F" w:rsidRDefault="00F82BCB" w:rsidP="00BA6AD6">
            <w:pPr>
              <w:spacing w:line="256" w:lineRule="auto"/>
              <w:jc w:val="center"/>
              <w:rPr>
                <w:sz w:val="20"/>
              </w:rPr>
            </w:pPr>
            <w:r w:rsidRPr="007B787F">
              <w:rPr>
                <w:sz w:val="20"/>
              </w:rPr>
              <w:t>1 600</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1 700</w:t>
            </w:r>
          </w:p>
        </w:tc>
        <w:tc>
          <w:tcPr>
            <w:tcW w:w="674" w:type="dxa"/>
          </w:tcPr>
          <w:p w:rsidR="00F82BCB" w:rsidRPr="007B787F" w:rsidRDefault="00F82BCB" w:rsidP="00BA6AD6">
            <w:pPr>
              <w:spacing w:line="256" w:lineRule="auto"/>
              <w:jc w:val="center"/>
              <w:rPr>
                <w:sz w:val="20"/>
              </w:rPr>
            </w:pPr>
          </w:p>
        </w:tc>
      </w:tr>
      <w:tr w:rsidR="00F82BCB" w:rsidRPr="007B787F" w:rsidTr="00BA6AD6">
        <w:trPr>
          <w:trHeight w:val="340"/>
        </w:trPr>
        <w:tc>
          <w:tcPr>
            <w:tcW w:w="738" w:type="dxa"/>
            <w:noWrap/>
            <w:vAlign w:val="center"/>
            <w:hideMark/>
          </w:tcPr>
          <w:p w:rsidR="00F82BCB" w:rsidRPr="007B787F" w:rsidRDefault="00F82BCB" w:rsidP="00BA6AD6">
            <w:pPr>
              <w:spacing w:line="256" w:lineRule="auto"/>
              <w:rPr>
                <w:sz w:val="20"/>
              </w:rPr>
            </w:pPr>
            <w:r w:rsidRPr="007B787F">
              <w:rPr>
                <w:sz w:val="20"/>
              </w:rPr>
              <w:t>R-407F</w:t>
            </w:r>
          </w:p>
        </w:tc>
        <w:tc>
          <w:tcPr>
            <w:tcW w:w="708" w:type="dxa"/>
            <w:vAlign w:val="center"/>
            <w:hideMark/>
          </w:tcPr>
          <w:p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rsidR="00F82BCB" w:rsidRPr="007B787F" w:rsidRDefault="00F82BCB" w:rsidP="00BA6AD6">
            <w:pPr>
              <w:spacing w:line="256" w:lineRule="auto"/>
              <w:rPr>
                <w:sz w:val="20"/>
              </w:rPr>
            </w:pPr>
            <w:r w:rsidRPr="007B787F">
              <w:rPr>
                <w:sz w:val="20"/>
              </w:rPr>
              <w:t>R-32/125/134a (30,0/30,0/40,0)</w:t>
            </w:r>
          </w:p>
        </w:tc>
        <w:tc>
          <w:tcPr>
            <w:tcW w:w="780"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82,1</w:t>
            </w:r>
          </w:p>
        </w:tc>
        <w:tc>
          <w:tcPr>
            <w:tcW w:w="1212"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-46,1/-39,7</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0,32</w:t>
            </w:r>
          </w:p>
        </w:tc>
        <w:tc>
          <w:tcPr>
            <w:tcW w:w="673" w:type="dxa"/>
            <w:vAlign w:val="center"/>
            <w:hideMark/>
          </w:tcPr>
          <w:p w:rsidR="00F82BCB" w:rsidRPr="007B787F" w:rsidRDefault="00F82BCB" w:rsidP="00BA6AD6">
            <w:pPr>
              <w:spacing w:line="256" w:lineRule="auto"/>
              <w:jc w:val="center"/>
              <w:rPr>
                <w:sz w:val="20"/>
              </w:rPr>
            </w:pPr>
            <w:r w:rsidRPr="007B787F">
              <w:rPr>
                <w:sz w:val="20"/>
              </w:rPr>
              <w:t>1 700</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1 800</w:t>
            </w:r>
          </w:p>
        </w:tc>
        <w:tc>
          <w:tcPr>
            <w:tcW w:w="674" w:type="dxa"/>
          </w:tcPr>
          <w:p w:rsidR="00F82BCB" w:rsidRPr="007B787F" w:rsidRDefault="00F82BCB" w:rsidP="00BA6AD6">
            <w:pPr>
              <w:spacing w:line="256" w:lineRule="auto"/>
              <w:jc w:val="center"/>
              <w:rPr>
                <w:sz w:val="20"/>
              </w:rPr>
            </w:pPr>
          </w:p>
        </w:tc>
      </w:tr>
      <w:tr w:rsidR="00F82BCB" w:rsidRPr="007B787F" w:rsidTr="00BA6AD6">
        <w:trPr>
          <w:trHeight w:val="340"/>
        </w:trPr>
        <w:tc>
          <w:tcPr>
            <w:tcW w:w="738" w:type="dxa"/>
            <w:noWrap/>
            <w:vAlign w:val="center"/>
            <w:hideMark/>
          </w:tcPr>
          <w:p w:rsidR="00F82BCB" w:rsidRPr="007B787F" w:rsidRDefault="00F82BCB" w:rsidP="00BA6AD6">
            <w:pPr>
              <w:spacing w:line="256" w:lineRule="auto"/>
              <w:rPr>
                <w:sz w:val="20"/>
              </w:rPr>
            </w:pPr>
            <w:r w:rsidRPr="007B787F">
              <w:rPr>
                <w:sz w:val="20"/>
              </w:rPr>
              <w:t>R-410A</w:t>
            </w:r>
          </w:p>
        </w:tc>
        <w:tc>
          <w:tcPr>
            <w:tcW w:w="708" w:type="dxa"/>
            <w:vAlign w:val="center"/>
            <w:hideMark/>
          </w:tcPr>
          <w:p w:rsidR="00F82BCB" w:rsidRPr="007B787F" w:rsidRDefault="00F82BCB" w:rsidP="00BA6AD6">
            <w:pPr>
              <w:spacing w:line="256" w:lineRule="auto"/>
              <w:jc w:val="center"/>
              <w:rPr>
                <w:sz w:val="20"/>
              </w:rPr>
            </w:pPr>
            <w:r w:rsidRPr="007B787F">
              <w:rPr>
                <w:sz w:val="20"/>
              </w:rPr>
              <w:t>A1</w:t>
            </w:r>
          </w:p>
        </w:tc>
        <w:tc>
          <w:tcPr>
            <w:tcW w:w="2686" w:type="dxa"/>
            <w:noWrap/>
            <w:vAlign w:val="center"/>
            <w:hideMark/>
          </w:tcPr>
          <w:p w:rsidR="00F82BCB" w:rsidRPr="007B787F" w:rsidRDefault="00F82BCB" w:rsidP="00BA6AD6">
            <w:pPr>
              <w:spacing w:line="256" w:lineRule="auto"/>
              <w:rPr>
                <w:sz w:val="20"/>
              </w:rPr>
            </w:pPr>
            <w:r w:rsidRPr="007B787F">
              <w:rPr>
                <w:sz w:val="20"/>
              </w:rPr>
              <w:t>R-32/125 (50,0/50,0)</w:t>
            </w:r>
          </w:p>
        </w:tc>
        <w:tc>
          <w:tcPr>
            <w:tcW w:w="780"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72,6</w:t>
            </w:r>
          </w:p>
        </w:tc>
        <w:tc>
          <w:tcPr>
            <w:tcW w:w="1212"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-51,6/-51,5</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0,42</w:t>
            </w:r>
          </w:p>
        </w:tc>
        <w:tc>
          <w:tcPr>
            <w:tcW w:w="673" w:type="dxa"/>
            <w:vAlign w:val="center"/>
            <w:hideMark/>
          </w:tcPr>
          <w:p w:rsidR="00F82BCB" w:rsidRPr="007B787F" w:rsidRDefault="00F82BCB" w:rsidP="00BA6AD6">
            <w:pPr>
              <w:spacing w:line="256" w:lineRule="auto"/>
              <w:jc w:val="center"/>
              <w:rPr>
                <w:sz w:val="20"/>
              </w:rPr>
            </w:pPr>
            <w:r w:rsidRPr="007B787F">
              <w:rPr>
                <w:sz w:val="20"/>
              </w:rPr>
              <w:t>1 900</w:t>
            </w:r>
          </w:p>
        </w:tc>
        <w:tc>
          <w:tcPr>
            <w:tcW w:w="673" w:type="dxa"/>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2 100</w:t>
            </w:r>
          </w:p>
        </w:tc>
        <w:tc>
          <w:tcPr>
            <w:tcW w:w="674" w:type="dxa"/>
          </w:tcPr>
          <w:p w:rsidR="00F82BCB" w:rsidRPr="007B787F" w:rsidRDefault="00F82BCB" w:rsidP="00BA6AD6">
            <w:pPr>
              <w:spacing w:line="256" w:lineRule="auto"/>
              <w:jc w:val="center"/>
              <w:rPr>
                <w:sz w:val="20"/>
              </w:rPr>
            </w:pPr>
          </w:p>
        </w:tc>
      </w:tr>
      <w:tr w:rsidR="00F82BCB" w:rsidRPr="007B787F" w:rsidTr="00BA6AD6">
        <w:trPr>
          <w:trHeight w:val="340"/>
        </w:trPr>
        <w:tc>
          <w:tcPr>
            <w:tcW w:w="738" w:type="dxa"/>
            <w:tcBorders>
              <w:top w:val="nil"/>
              <w:left w:val="nil"/>
              <w:bottom w:val="single" w:sz="18" w:space="0" w:color="A6A6A6"/>
              <w:right w:val="nil"/>
            </w:tcBorders>
            <w:noWrap/>
            <w:vAlign w:val="center"/>
            <w:hideMark/>
          </w:tcPr>
          <w:p w:rsidR="00F82BCB" w:rsidRPr="007B787F" w:rsidRDefault="00F82BCB" w:rsidP="00BA6AD6">
            <w:pPr>
              <w:spacing w:line="256" w:lineRule="auto"/>
              <w:rPr>
                <w:sz w:val="20"/>
              </w:rPr>
            </w:pPr>
            <w:r w:rsidRPr="007B787F">
              <w:rPr>
                <w:sz w:val="20"/>
              </w:rPr>
              <w:t>R-507A</w:t>
            </w:r>
          </w:p>
        </w:tc>
        <w:tc>
          <w:tcPr>
            <w:tcW w:w="708" w:type="dxa"/>
            <w:tcBorders>
              <w:top w:val="nil"/>
              <w:left w:val="nil"/>
              <w:bottom w:val="single" w:sz="18" w:space="0" w:color="A6A6A6"/>
              <w:right w:val="nil"/>
            </w:tcBorders>
            <w:vAlign w:val="center"/>
            <w:hideMark/>
          </w:tcPr>
          <w:p w:rsidR="00F82BCB" w:rsidRPr="007B787F" w:rsidRDefault="00F82BCB" w:rsidP="00BA6AD6">
            <w:pPr>
              <w:spacing w:line="256" w:lineRule="auto"/>
              <w:jc w:val="center"/>
              <w:rPr>
                <w:sz w:val="20"/>
              </w:rPr>
            </w:pPr>
            <w:r w:rsidRPr="007B787F">
              <w:rPr>
                <w:sz w:val="20"/>
              </w:rPr>
              <w:t>A1</w:t>
            </w:r>
          </w:p>
        </w:tc>
        <w:tc>
          <w:tcPr>
            <w:tcW w:w="2686" w:type="dxa"/>
            <w:tcBorders>
              <w:top w:val="nil"/>
              <w:left w:val="nil"/>
              <w:bottom w:val="single" w:sz="18" w:space="0" w:color="A6A6A6"/>
              <w:right w:val="nil"/>
            </w:tcBorders>
            <w:noWrap/>
            <w:vAlign w:val="center"/>
            <w:hideMark/>
          </w:tcPr>
          <w:p w:rsidR="00F82BCB" w:rsidRPr="007B787F" w:rsidRDefault="00F82BCB" w:rsidP="00BA6AD6">
            <w:pPr>
              <w:spacing w:line="256" w:lineRule="auto"/>
              <w:rPr>
                <w:sz w:val="20"/>
              </w:rPr>
            </w:pPr>
            <w:r w:rsidRPr="007B787F">
              <w:rPr>
                <w:sz w:val="20"/>
              </w:rPr>
              <w:t>R-125/143a (50,0/50,0)</w:t>
            </w:r>
          </w:p>
        </w:tc>
        <w:tc>
          <w:tcPr>
            <w:tcW w:w="780" w:type="dxa"/>
            <w:tcBorders>
              <w:top w:val="nil"/>
              <w:left w:val="nil"/>
              <w:bottom w:val="single" w:sz="18" w:space="0" w:color="A6A6A6"/>
              <w:right w:val="nil"/>
            </w:tcBorders>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98,9</w:t>
            </w:r>
          </w:p>
        </w:tc>
        <w:tc>
          <w:tcPr>
            <w:tcW w:w="1212" w:type="dxa"/>
            <w:tcBorders>
              <w:top w:val="nil"/>
              <w:left w:val="nil"/>
              <w:bottom w:val="single" w:sz="18" w:space="0" w:color="A6A6A6"/>
              <w:right w:val="nil"/>
            </w:tcBorders>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-47,1/-47,1</w:t>
            </w:r>
          </w:p>
        </w:tc>
        <w:tc>
          <w:tcPr>
            <w:tcW w:w="673" w:type="dxa"/>
            <w:tcBorders>
              <w:top w:val="nil"/>
              <w:left w:val="nil"/>
              <w:bottom w:val="single" w:sz="18" w:space="0" w:color="A6A6A6"/>
              <w:right w:val="nil"/>
            </w:tcBorders>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0,53</w:t>
            </w:r>
          </w:p>
        </w:tc>
        <w:tc>
          <w:tcPr>
            <w:tcW w:w="673" w:type="dxa"/>
            <w:tcBorders>
              <w:top w:val="nil"/>
              <w:left w:val="nil"/>
              <w:bottom w:val="single" w:sz="18" w:space="0" w:color="A6A6A6"/>
              <w:right w:val="nil"/>
            </w:tcBorders>
            <w:vAlign w:val="center"/>
            <w:hideMark/>
          </w:tcPr>
          <w:p w:rsidR="00F82BCB" w:rsidRPr="007B787F" w:rsidRDefault="00F82BCB" w:rsidP="00BA6AD6">
            <w:pPr>
              <w:spacing w:line="256" w:lineRule="auto"/>
              <w:jc w:val="center"/>
              <w:rPr>
                <w:sz w:val="20"/>
              </w:rPr>
            </w:pPr>
            <w:r w:rsidRPr="007B787F">
              <w:rPr>
                <w:sz w:val="20"/>
              </w:rPr>
              <w:t>4 000</w:t>
            </w:r>
          </w:p>
        </w:tc>
        <w:tc>
          <w:tcPr>
            <w:tcW w:w="673" w:type="dxa"/>
            <w:tcBorders>
              <w:top w:val="nil"/>
              <w:left w:val="nil"/>
              <w:bottom w:val="single" w:sz="18" w:space="0" w:color="A6A6A6"/>
              <w:right w:val="nil"/>
            </w:tcBorders>
            <w:tcMar>
              <w:top w:w="0" w:type="dxa"/>
              <w:left w:w="0" w:type="dxa"/>
              <w:bottom w:w="0" w:type="dxa"/>
              <w:right w:w="0" w:type="dxa"/>
            </w:tcMar>
            <w:vAlign w:val="center"/>
            <w:hideMark/>
          </w:tcPr>
          <w:p w:rsidR="00F82BCB" w:rsidRPr="007B787F" w:rsidRDefault="00F82BCB" w:rsidP="00BA6AD6">
            <w:pPr>
              <w:spacing w:line="256" w:lineRule="auto"/>
              <w:jc w:val="center"/>
              <w:rPr>
                <w:sz w:val="20"/>
              </w:rPr>
            </w:pPr>
            <w:r w:rsidRPr="007B787F">
              <w:rPr>
                <w:sz w:val="20"/>
              </w:rPr>
              <w:t>4 300</w:t>
            </w:r>
          </w:p>
        </w:tc>
        <w:tc>
          <w:tcPr>
            <w:tcW w:w="674" w:type="dxa"/>
            <w:tcBorders>
              <w:top w:val="nil"/>
              <w:left w:val="nil"/>
              <w:bottom w:val="single" w:sz="18" w:space="0" w:color="A6A6A6"/>
              <w:right w:val="nil"/>
            </w:tcBorders>
          </w:tcPr>
          <w:p w:rsidR="00F82BCB" w:rsidRPr="007B787F" w:rsidRDefault="00F82BCB" w:rsidP="00BA6AD6">
            <w:pPr>
              <w:spacing w:line="256" w:lineRule="auto"/>
              <w:rPr>
                <w:sz w:val="20"/>
              </w:rPr>
            </w:pPr>
          </w:p>
        </w:tc>
      </w:tr>
    </w:tbl>
    <w:p w:rsidR="00F82BCB" w:rsidRPr="007B787F" w:rsidRDefault="00F82BCB" w:rsidP="00F82BCB">
      <w:pPr>
        <w:rPr>
          <w:lang w:eastAsia="ja-JP"/>
        </w:rPr>
      </w:pPr>
    </w:p>
    <w:p w:rsidR="00F82BCB" w:rsidRPr="00BE7913" w:rsidRDefault="00F82BCB" w:rsidP="00F82BCB">
      <w:pPr>
        <w:pStyle w:val="Footer"/>
        <w:tabs>
          <w:tab w:val="left" w:pos="993"/>
          <w:tab w:val="center" w:pos="3870"/>
          <w:tab w:val="left" w:pos="4320"/>
          <w:tab w:val="left" w:pos="5040"/>
          <w:tab w:val="left" w:pos="6480"/>
          <w:tab w:val="left" w:pos="7200"/>
          <w:tab w:val="left" w:pos="7920"/>
        </w:tabs>
        <w:spacing w:after="120"/>
        <w:rPr>
          <w:color w:val="auto"/>
          <w:szCs w:val="22"/>
        </w:rPr>
      </w:pPr>
      <w:r w:rsidRPr="00653BD4">
        <w:rPr>
          <w:color w:val="auto"/>
          <w:szCs w:val="22"/>
        </w:rPr>
        <w:t>As in the previous Decis</w:t>
      </w:r>
      <w:r>
        <w:rPr>
          <w:color w:val="auto"/>
          <w:szCs w:val="22"/>
        </w:rPr>
        <w:t>ion XXVI/9 Task Force report, t</w:t>
      </w:r>
      <w:r w:rsidRPr="00653BD4">
        <w:rPr>
          <w:color w:val="auto"/>
          <w:szCs w:val="22"/>
        </w:rPr>
        <w:t xml:space="preserve">he data sources for </w:t>
      </w:r>
      <w:r>
        <w:rPr>
          <w:color w:val="auto"/>
          <w:szCs w:val="22"/>
        </w:rPr>
        <w:t>T</w:t>
      </w:r>
      <w:r w:rsidRPr="00653BD4">
        <w:rPr>
          <w:color w:val="auto"/>
          <w:szCs w:val="22"/>
        </w:rPr>
        <w:t>ables 2-3 through 2-6 are as follows</w:t>
      </w:r>
      <w:r w:rsidRPr="00BE7913">
        <w:rPr>
          <w:color w:val="auto"/>
          <w:szCs w:val="22"/>
        </w:rPr>
        <w:t>:</w:t>
      </w:r>
    </w:p>
    <w:p w:rsidR="00F82BCB" w:rsidRPr="00BE7913" w:rsidRDefault="00F82BCB" w:rsidP="00F82BCB">
      <w:pPr>
        <w:numPr>
          <w:ilvl w:val="0"/>
          <w:numId w:val="28"/>
        </w:numPr>
        <w:spacing w:after="120"/>
        <w:ind w:left="714" w:hanging="357"/>
        <w:rPr>
          <w:szCs w:val="22"/>
        </w:rPr>
      </w:pPr>
      <w:r w:rsidRPr="00BE7913">
        <w:rPr>
          <w:szCs w:val="22"/>
        </w:rPr>
        <w:t>“GWP (RTOC)” values are taken from the 2014 RTOC report (UNEP, 201</w:t>
      </w:r>
      <w:r>
        <w:rPr>
          <w:szCs w:val="22"/>
        </w:rPr>
        <w:t>4</w:t>
      </w:r>
      <w:r w:rsidRPr="00BE7913">
        <w:rPr>
          <w:szCs w:val="22"/>
        </w:rPr>
        <w:t>) where available</w:t>
      </w:r>
      <w:r>
        <w:rPr>
          <w:szCs w:val="22"/>
        </w:rPr>
        <w:t xml:space="preserve"> (they are based on (WMO, 2014))</w:t>
      </w:r>
      <w:r w:rsidRPr="00BE7913">
        <w:rPr>
          <w:szCs w:val="22"/>
        </w:rPr>
        <w:t>; where not available the value is calculated based on values for pure fluids from the 2014 RTOC report (UNEP, 201</w:t>
      </w:r>
      <w:r>
        <w:rPr>
          <w:szCs w:val="22"/>
        </w:rPr>
        <w:t>4</w:t>
      </w:r>
      <w:r w:rsidRPr="00BE7913">
        <w:rPr>
          <w:szCs w:val="22"/>
        </w:rPr>
        <w:t xml:space="preserve">). </w:t>
      </w:r>
    </w:p>
    <w:p w:rsidR="00F82BCB" w:rsidRPr="00BE7913" w:rsidRDefault="00F82BCB" w:rsidP="00F82BCB">
      <w:pPr>
        <w:numPr>
          <w:ilvl w:val="0"/>
          <w:numId w:val="28"/>
        </w:numPr>
        <w:spacing w:after="120"/>
        <w:ind w:left="714" w:hanging="357"/>
        <w:rPr>
          <w:szCs w:val="22"/>
        </w:rPr>
      </w:pPr>
      <w:r w:rsidRPr="00BE7913">
        <w:rPr>
          <w:szCs w:val="22"/>
        </w:rPr>
        <w:t>“GWP (IPCC5)” values are taken from the IPCC</w:t>
      </w:r>
      <w:r>
        <w:rPr>
          <w:szCs w:val="22"/>
        </w:rPr>
        <w:t xml:space="preserve"> AR</w:t>
      </w:r>
      <w:r w:rsidRPr="00BE7913">
        <w:rPr>
          <w:szCs w:val="22"/>
        </w:rPr>
        <w:t>5 report (IPCC, 2014) for pure fluids; for mixtures values are calculated based values for pure fluids from the IPCC</w:t>
      </w:r>
      <w:r>
        <w:rPr>
          <w:szCs w:val="22"/>
        </w:rPr>
        <w:t xml:space="preserve"> AR</w:t>
      </w:r>
      <w:r w:rsidRPr="00BE7913">
        <w:rPr>
          <w:szCs w:val="22"/>
        </w:rPr>
        <w:t>5 report (IPCC, 2014).</w:t>
      </w:r>
      <w:r>
        <w:rPr>
          <w:szCs w:val="22"/>
        </w:rPr>
        <w:t xml:space="preserve"> </w:t>
      </w:r>
    </w:p>
    <w:p w:rsidR="00F82BCB" w:rsidRPr="00BE7913" w:rsidRDefault="00F82BCB" w:rsidP="00F82BCB">
      <w:pPr>
        <w:numPr>
          <w:ilvl w:val="0"/>
          <w:numId w:val="28"/>
        </w:numPr>
        <w:spacing w:after="120"/>
        <w:ind w:left="714" w:hanging="357"/>
        <w:rPr>
          <w:szCs w:val="22"/>
        </w:rPr>
      </w:pPr>
      <w:r w:rsidRPr="00BE7913">
        <w:rPr>
          <w:szCs w:val="22"/>
        </w:rPr>
        <w:t xml:space="preserve">For </w:t>
      </w:r>
      <w:r>
        <w:rPr>
          <w:szCs w:val="22"/>
        </w:rPr>
        <w:t>T</w:t>
      </w:r>
      <w:r w:rsidRPr="00BE7913">
        <w:rPr>
          <w:szCs w:val="22"/>
        </w:rPr>
        <w:t>able</w:t>
      </w:r>
      <w:r>
        <w:rPr>
          <w:szCs w:val="22"/>
        </w:rPr>
        <w:t>s</w:t>
      </w:r>
      <w:r w:rsidRPr="00BE7913">
        <w:rPr>
          <w:szCs w:val="22"/>
        </w:rPr>
        <w:t xml:space="preserve"> 2-3 and 2-4, </w:t>
      </w:r>
      <w:r>
        <w:rPr>
          <w:szCs w:val="22"/>
        </w:rPr>
        <w:t>r</w:t>
      </w:r>
      <w:r w:rsidRPr="00BE7913">
        <w:rPr>
          <w:szCs w:val="22"/>
        </w:rPr>
        <w:t xml:space="preserve">efrigerant </w:t>
      </w:r>
      <w:r>
        <w:rPr>
          <w:szCs w:val="22"/>
        </w:rPr>
        <w:t>designations</w:t>
      </w:r>
      <w:r w:rsidRPr="00BE7913">
        <w:rPr>
          <w:szCs w:val="22"/>
        </w:rPr>
        <w:t xml:space="preserve">, safety classes and compositions are taken from the AHRI AREP program where available, </w:t>
      </w:r>
      <w:r w:rsidR="00B94581">
        <w:rPr>
          <w:szCs w:val="22"/>
        </w:rPr>
        <w:t xml:space="preserve">otherwise </w:t>
      </w:r>
      <w:r w:rsidRPr="00BE7913">
        <w:rPr>
          <w:szCs w:val="22"/>
        </w:rPr>
        <w:t>from ASHRAE 34 public review (ASHRAE, 2015).</w:t>
      </w:r>
    </w:p>
    <w:p w:rsidR="00F82BCB" w:rsidRDefault="00F82BCB" w:rsidP="00F82BCB">
      <w:pPr>
        <w:numPr>
          <w:ilvl w:val="0"/>
          <w:numId w:val="28"/>
        </w:numPr>
        <w:spacing w:before="120" w:after="120"/>
        <w:ind w:left="714" w:hanging="357"/>
        <w:rPr>
          <w:szCs w:val="22"/>
          <w:lang w:eastAsia="en-US"/>
        </w:rPr>
      </w:pPr>
      <w:r w:rsidRPr="00BE7913">
        <w:rPr>
          <w:szCs w:val="22"/>
        </w:rPr>
        <w:lastRenderedPageBreak/>
        <w:t xml:space="preserve">All other data in </w:t>
      </w:r>
      <w:r>
        <w:rPr>
          <w:szCs w:val="22"/>
        </w:rPr>
        <w:t>T</w:t>
      </w:r>
      <w:r w:rsidRPr="00BE7913">
        <w:rPr>
          <w:szCs w:val="22"/>
        </w:rPr>
        <w:t>ables 2-3 through 2-6 are taken from the</w:t>
      </w:r>
      <w:bookmarkStart w:id="37" w:name="_Toc416091951"/>
      <w:r>
        <w:rPr>
          <w:szCs w:val="22"/>
        </w:rPr>
        <w:t xml:space="preserve"> 2014 RTOC report (UNEP, 2014).</w:t>
      </w:r>
    </w:p>
    <w:p w:rsidR="00F82BCB" w:rsidRPr="00A75B7D" w:rsidRDefault="00F82BCB" w:rsidP="00F82BCB">
      <w:pPr>
        <w:pStyle w:val="Heading2"/>
        <w:spacing w:before="120"/>
      </w:pPr>
      <w:bookmarkStart w:id="38" w:name="_Toc445666288"/>
      <w:bookmarkStart w:id="39" w:name="_Toc452653357"/>
      <w:r>
        <w:t>2.3</w:t>
      </w:r>
      <w:r>
        <w:tab/>
      </w:r>
      <w:r>
        <w:tab/>
      </w:r>
      <w:r w:rsidRPr="00A75B7D">
        <w:t>Refrigerant classification and standards</w:t>
      </w:r>
      <w:bookmarkEnd w:id="38"/>
      <w:bookmarkEnd w:id="39"/>
    </w:p>
    <w:p w:rsidR="00F82BCB" w:rsidRPr="00BE7913" w:rsidRDefault="00F82BCB" w:rsidP="00F82BCB">
      <w:pPr>
        <w:autoSpaceDE w:val="0"/>
        <w:autoSpaceDN w:val="0"/>
        <w:adjustRightInd w:val="0"/>
        <w:spacing w:after="240"/>
        <w:rPr>
          <w:szCs w:val="22"/>
        </w:rPr>
      </w:pPr>
      <w:r w:rsidRPr="00BE7913">
        <w:rPr>
          <w:szCs w:val="22"/>
        </w:rPr>
        <w:t>Refrigerants are classified by the refrigerant standard ISO 817 and ASHRAE 34 into 8 classes depending on toxicity and flammability, for instance: A1, A2L, A3 or B2L. The first</w:t>
      </w:r>
      <w:r w:rsidR="00E4554A">
        <w:rPr>
          <w:szCs w:val="22"/>
        </w:rPr>
        <w:t>,</w:t>
      </w:r>
      <w:r w:rsidRPr="00BE7913">
        <w:rPr>
          <w:szCs w:val="22"/>
        </w:rPr>
        <w:t xml:space="preserve"> a letter A or B</w:t>
      </w:r>
      <w:r w:rsidR="00E4554A">
        <w:rPr>
          <w:szCs w:val="22"/>
        </w:rPr>
        <w:t>,</w:t>
      </w:r>
      <w:r w:rsidRPr="00BE7913">
        <w:rPr>
          <w:szCs w:val="22"/>
        </w:rPr>
        <w:t xml:space="preserve"> indicates the toxicity of the fluid:</w:t>
      </w:r>
    </w:p>
    <w:p w:rsidR="00F82BCB" w:rsidRPr="00BE7913" w:rsidRDefault="00F82BCB" w:rsidP="00F82BCB">
      <w:pPr>
        <w:numPr>
          <w:ilvl w:val="0"/>
          <w:numId w:val="29"/>
        </w:numPr>
        <w:autoSpaceDE w:val="0"/>
        <w:autoSpaceDN w:val="0"/>
        <w:adjustRightInd w:val="0"/>
        <w:spacing w:after="240"/>
        <w:rPr>
          <w:szCs w:val="22"/>
        </w:rPr>
      </w:pPr>
      <w:r w:rsidRPr="00BE7913">
        <w:rPr>
          <w:szCs w:val="22"/>
        </w:rPr>
        <w:t>A, lower chronic toxicity, have an occupational exposure limit of 400 ppm or greater</w:t>
      </w:r>
    </w:p>
    <w:p w:rsidR="00F82BCB" w:rsidRPr="00BE7913" w:rsidRDefault="00F82BCB" w:rsidP="00F82BCB">
      <w:pPr>
        <w:numPr>
          <w:ilvl w:val="0"/>
          <w:numId w:val="29"/>
        </w:numPr>
        <w:autoSpaceDE w:val="0"/>
        <w:autoSpaceDN w:val="0"/>
        <w:adjustRightInd w:val="0"/>
        <w:spacing w:after="240"/>
        <w:rPr>
          <w:szCs w:val="22"/>
        </w:rPr>
      </w:pPr>
      <w:r w:rsidRPr="00BE7913">
        <w:rPr>
          <w:szCs w:val="22"/>
        </w:rPr>
        <w:t>B, higher chronic toxicity, have an occupational exposure limit of less than 400 ppm</w:t>
      </w:r>
    </w:p>
    <w:p w:rsidR="00F82BCB" w:rsidRPr="00BE7913" w:rsidRDefault="00F82BCB" w:rsidP="00F82BCB">
      <w:pPr>
        <w:autoSpaceDE w:val="0"/>
        <w:autoSpaceDN w:val="0"/>
        <w:adjustRightInd w:val="0"/>
        <w:spacing w:after="240"/>
        <w:rPr>
          <w:szCs w:val="22"/>
        </w:rPr>
      </w:pPr>
      <w:r w:rsidRPr="00BE7913">
        <w:rPr>
          <w:szCs w:val="22"/>
        </w:rPr>
        <w:t>The suffix 1, 2L, 2 or 3 indicates the flammability:</w:t>
      </w:r>
    </w:p>
    <w:p w:rsidR="00F82BCB" w:rsidRPr="00BE7913" w:rsidRDefault="00F82BCB" w:rsidP="00F82BCB">
      <w:pPr>
        <w:numPr>
          <w:ilvl w:val="0"/>
          <w:numId w:val="29"/>
        </w:numPr>
        <w:autoSpaceDE w:val="0"/>
        <w:autoSpaceDN w:val="0"/>
        <w:adjustRightInd w:val="0"/>
        <w:spacing w:after="240"/>
        <w:rPr>
          <w:szCs w:val="22"/>
        </w:rPr>
      </w:pPr>
      <w:r w:rsidRPr="00BE7913">
        <w:rPr>
          <w:szCs w:val="22"/>
        </w:rPr>
        <w:t>1, no flame propagation, measured at 60 °C</w:t>
      </w:r>
    </w:p>
    <w:p w:rsidR="00F82BCB" w:rsidRPr="00BE7913" w:rsidRDefault="00F82BCB" w:rsidP="00F82BCB">
      <w:pPr>
        <w:numPr>
          <w:ilvl w:val="0"/>
          <w:numId w:val="29"/>
        </w:numPr>
        <w:autoSpaceDE w:val="0"/>
        <w:autoSpaceDN w:val="0"/>
        <w:adjustRightInd w:val="0"/>
        <w:spacing w:after="240"/>
        <w:rPr>
          <w:szCs w:val="22"/>
        </w:rPr>
      </w:pPr>
      <w:r w:rsidRPr="00BE7913">
        <w:rPr>
          <w:szCs w:val="22"/>
        </w:rPr>
        <w:t xml:space="preserve">2L, lower flammability, burning velocity </w:t>
      </w:r>
      <w:r>
        <w:rPr>
          <w:szCs w:val="22"/>
        </w:rPr>
        <w:t xml:space="preserve">not higher than </w:t>
      </w:r>
      <w:r w:rsidRPr="00BE7913">
        <w:rPr>
          <w:szCs w:val="22"/>
        </w:rPr>
        <w:t xml:space="preserve">10cm/s, energy of combustion below 19 MJ/kg and not flammable below 3.5 % </w:t>
      </w:r>
      <w:r>
        <w:rPr>
          <w:szCs w:val="22"/>
        </w:rPr>
        <w:t xml:space="preserve">volume </w:t>
      </w:r>
      <w:r w:rsidRPr="00BE7913">
        <w:rPr>
          <w:szCs w:val="22"/>
        </w:rPr>
        <w:t>concentration.</w:t>
      </w:r>
    </w:p>
    <w:p w:rsidR="00F82BCB" w:rsidRPr="00BE7913" w:rsidRDefault="00F82BCB" w:rsidP="00F82BCB">
      <w:pPr>
        <w:numPr>
          <w:ilvl w:val="0"/>
          <w:numId w:val="29"/>
        </w:numPr>
        <w:autoSpaceDE w:val="0"/>
        <w:autoSpaceDN w:val="0"/>
        <w:adjustRightInd w:val="0"/>
        <w:spacing w:after="240"/>
        <w:rPr>
          <w:szCs w:val="22"/>
        </w:rPr>
      </w:pPr>
      <w:r w:rsidRPr="00BE7913">
        <w:rPr>
          <w:szCs w:val="22"/>
        </w:rPr>
        <w:t xml:space="preserve">2, flammable, energy of combustion below 19 MJ/kg and not flammable below 3.5 % </w:t>
      </w:r>
      <w:r>
        <w:rPr>
          <w:szCs w:val="22"/>
        </w:rPr>
        <w:t xml:space="preserve">volume </w:t>
      </w:r>
      <w:r w:rsidRPr="00BE7913">
        <w:rPr>
          <w:szCs w:val="22"/>
        </w:rPr>
        <w:t>concentration.</w:t>
      </w:r>
    </w:p>
    <w:p w:rsidR="00F82BCB" w:rsidRPr="00BE7913" w:rsidRDefault="00F82BCB" w:rsidP="00F82BCB">
      <w:pPr>
        <w:numPr>
          <w:ilvl w:val="0"/>
          <w:numId w:val="29"/>
        </w:numPr>
        <w:autoSpaceDE w:val="0"/>
        <w:autoSpaceDN w:val="0"/>
        <w:adjustRightInd w:val="0"/>
        <w:spacing w:after="240"/>
        <w:rPr>
          <w:szCs w:val="22"/>
        </w:rPr>
      </w:pPr>
      <w:r w:rsidRPr="00BE7913">
        <w:rPr>
          <w:szCs w:val="22"/>
        </w:rPr>
        <w:t>3, higher flammability.</w:t>
      </w:r>
    </w:p>
    <w:p w:rsidR="00F82BCB" w:rsidRPr="00BE7913" w:rsidRDefault="00F82BCB" w:rsidP="00F82BCB">
      <w:pPr>
        <w:autoSpaceDE w:val="0"/>
        <w:autoSpaceDN w:val="0"/>
        <w:adjustRightInd w:val="0"/>
        <w:spacing w:after="240"/>
        <w:rPr>
          <w:szCs w:val="22"/>
        </w:rPr>
      </w:pPr>
      <w:r w:rsidRPr="00BE7913">
        <w:rPr>
          <w:szCs w:val="22"/>
        </w:rPr>
        <w:t xml:space="preserve">These safety classes are used by the system safety standards, such as ISO 5149, IEC 60335-2-24, IEC 60335-2-40, IEC 60335-2-89, EN378 and ASHRAE 15. </w:t>
      </w:r>
    </w:p>
    <w:p w:rsidR="00F82BCB" w:rsidRPr="00BE7913" w:rsidRDefault="00F82BCB" w:rsidP="00F82BCB">
      <w:pPr>
        <w:autoSpaceDE w:val="0"/>
        <w:autoSpaceDN w:val="0"/>
        <w:adjustRightInd w:val="0"/>
        <w:spacing w:after="240"/>
        <w:rPr>
          <w:szCs w:val="22"/>
        </w:rPr>
      </w:pPr>
      <w:r w:rsidRPr="00BE7913">
        <w:rPr>
          <w:szCs w:val="22"/>
        </w:rPr>
        <w:t xml:space="preserve">With the introduction and potentially wide use of refrigerants that are flammable, have higher toxicity and/or operate at notably higher pressures than the conventional ODS refrigerants or alternative non-flammable HFC refrigerants, consideration of safety matters has become more important. Accordingly, more attention is presently being paid to the requirements of safety standards and regulations that directly relate to refrigerants that exhibit these characteristics. </w:t>
      </w:r>
    </w:p>
    <w:p w:rsidR="00F82BCB" w:rsidRPr="00BE7913" w:rsidRDefault="00F82BCB" w:rsidP="00F82BCB">
      <w:pPr>
        <w:autoSpaceDE w:val="0"/>
        <w:autoSpaceDN w:val="0"/>
        <w:adjustRightInd w:val="0"/>
        <w:spacing w:after="240"/>
        <w:rPr>
          <w:szCs w:val="22"/>
        </w:rPr>
      </w:pPr>
      <w:r w:rsidRPr="00BE7913">
        <w:rPr>
          <w:szCs w:val="22"/>
        </w:rPr>
        <w:t xml:space="preserve">For instance, the safety standards sets upper limits </w:t>
      </w:r>
      <w:r>
        <w:rPr>
          <w:szCs w:val="22"/>
        </w:rPr>
        <w:t xml:space="preserve">on </w:t>
      </w:r>
      <w:r w:rsidRPr="00BE7913">
        <w:rPr>
          <w:szCs w:val="22"/>
        </w:rPr>
        <w:t>how much refrigerant charge is allowed in a refrigerant circuit, primarily depending on the safety class, location of the equipment</w:t>
      </w:r>
      <w:r>
        <w:rPr>
          <w:szCs w:val="22"/>
        </w:rPr>
        <w:t>,</w:t>
      </w:r>
      <w:r w:rsidRPr="00BE7913">
        <w:rPr>
          <w:szCs w:val="22"/>
        </w:rPr>
        <w:t xml:space="preserve"> and on the type of people who have access to the equipment</w:t>
      </w:r>
      <w:r>
        <w:rPr>
          <w:szCs w:val="22"/>
        </w:rPr>
        <w:t xml:space="preserve">; </w:t>
      </w:r>
      <w:r w:rsidRPr="00BE7913">
        <w:rPr>
          <w:szCs w:val="22"/>
        </w:rPr>
        <w:t>the amount of charge is related to the cooling or heating capacity of the equipment.</w:t>
      </w:r>
      <w:r>
        <w:rPr>
          <w:szCs w:val="22"/>
        </w:rPr>
        <w:t xml:space="preserve"> Using a wall mounted split A/C unit in a 30</w:t>
      </w:r>
      <w:r w:rsidR="002F0873">
        <w:rPr>
          <w:szCs w:val="22"/>
        </w:rPr>
        <w:t xml:space="preserve"> </w:t>
      </w:r>
      <w:r>
        <w:rPr>
          <w:szCs w:val="22"/>
        </w:rPr>
        <w:t>m</w:t>
      </w:r>
      <w:r w:rsidRPr="00354F53">
        <w:rPr>
          <w:szCs w:val="22"/>
          <w:vertAlign w:val="superscript"/>
        </w:rPr>
        <w:t>2</w:t>
      </w:r>
      <w:r>
        <w:rPr>
          <w:szCs w:val="22"/>
        </w:rPr>
        <w:t xml:space="preserve"> room as an example, the safety standard, in this case IEC 6335-2-40, allows </w:t>
      </w:r>
      <w:r w:rsidR="00B94581">
        <w:rPr>
          <w:szCs w:val="22"/>
        </w:rPr>
        <w:t>0.</w:t>
      </w:r>
      <w:r>
        <w:rPr>
          <w:szCs w:val="22"/>
        </w:rPr>
        <w:t xml:space="preserve">413 </w:t>
      </w:r>
      <w:r w:rsidR="00B94581">
        <w:rPr>
          <w:szCs w:val="22"/>
        </w:rPr>
        <w:t>k</w:t>
      </w:r>
      <w:r>
        <w:rPr>
          <w:szCs w:val="22"/>
        </w:rPr>
        <w:t>g of HC-290 per refrigeration circuit, while for HFC-32 it allows 5.6 kg charge, due to the different flammability characteristics of the substances. Clearly a more than 10 times higher charge allows higher cooling capacity with HFC-32</w:t>
      </w:r>
      <w:r w:rsidR="00B94581">
        <w:rPr>
          <w:szCs w:val="22"/>
        </w:rPr>
        <w:t xml:space="preserve">. It also </w:t>
      </w:r>
      <w:r>
        <w:rPr>
          <w:szCs w:val="22"/>
        </w:rPr>
        <w:t xml:space="preserve">requires </w:t>
      </w:r>
      <w:r w:rsidR="00B94581">
        <w:rPr>
          <w:szCs w:val="22"/>
        </w:rPr>
        <w:t xml:space="preserve">a </w:t>
      </w:r>
      <w:r>
        <w:rPr>
          <w:szCs w:val="22"/>
        </w:rPr>
        <w:t xml:space="preserve">higher level of optimising </w:t>
      </w:r>
      <w:r w:rsidR="00B94581">
        <w:rPr>
          <w:szCs w:val="22"/>
        </w:rPr>
        <w:t xml:space="preserve">to account </w:t>
      </w:r>
      <w:r>
        <w:rPr>
          <w:szCs w:val="22"/>
        </w:rPr>
        <w:t xml:space="preserve">for the low charge </w:t>
      </w:r>
      <w:r w:rsidR="00B94581">
        <w:rPr>
          <w:szCs w:val="22"/>
        </w:rPr>
        <w:t xml:space="preserve">limitation </w:t>
      </w:r>
      <w:r>
        <w:rPr>
          <w:szCs w:val="22"/>
        </w:rPr>
        <w:t>when using HC-290.</w:t>
      </w:r>
    </w:p>
    <w:p w:rsidR="00F82BCB" w:rsidRPr="00CE42E3" w:rsidRDefault="00F82BCB" w:rsidP="00F82BCB">
      <w:pPr>
        <w:pStyle w:val="Heading2"/>
      </w:pPr>
      <w:bookmarkStart w:id="40" w:name="_Toc445666289"/>
      <w:bookmarkStart w:id="41" w:name="_Toc452653358"/>
      <w:bookmarkEnd w:id="37"/>
      <w:r w:rsidRPr="00CE42E3">
        <w:t>2.4</w:t>
      </w:r>
      <w:r w:rsidRPr="00CE42E3">
        <w:tab/>
      </w:r>
      <w:r>
        <w:tab/>
      </w:r>
      <w:r w:rsidRPr="00CE42E3">
        <w:t>Likelihood of new molecules and new radically different blends</w:t>
      </w:r>
      <w:bookmarkEnd w:id="40"/>
      <w:bookmarkEnd w:id="41"/>
    </w:p>
    <w:p w:rsidR="00F82BCB" w:rsidRPr="00BE7913" w:rsidRDefault="00F82BCB" w:rsidP="00F82BCB">
      <w:pPr>
        <w:rPr>
          <w:szCs w:val="22"/>
        </w:rPr>
      </w:pPr>
      <w:r w:rsidRPr="00BE7913">
        <w:rPr>
          <w:szCs w:val="22"/>
        </w:rPr>
        <w:t xml:space="preserve">There are alternative refrigerants available today with negligible ODP and </w:t>
      </w:r>
      <w:r>
        <w:rPr>
          <w:szCs w:val="22"/>
        </w:rPr>
        <w:t>(</w:t>
      </w:r>
      <w:r w:rsidRPr="00BE7913">
        <w:rPr>
          <w:szCs w:val="22"/>
        </w:rPr>
        <w:t xml:space="preserve">lower </w:t>
      </w:r>
      <w:r>
        <w:rPr>
          <w:szCs w:val="22"/>
        </w:rPr>
        <w:t xml:space="preserve">or) low </w:t>
      </w:r>
      <w:r w:rsidRPr="00BE7913">
        <w:rPr>
          <w:szCs w:val="22"/>
        </w:rPr>
        <w:t xml:space="preserve">GWP, but for some applications it can be challenging to reach the same lifetime cost level of the systems while keeping the same performance. The search for new alternative fluids may yield more economical </w:t>
      </w:r>
      <w:r>
        <w:rPr>
          <w:szCs w:val="22"/>
        </w:rPr>
        <w:t>system designs</w:t>
      </w:r>
      <w:r w:rsidRPr="00BE7913">
        <w:rPr>
          <w:szCs w:val="22"/>
        </w:rPr>
        <w:t>, but as will be explained below</w:t>
      </w:r>
      <w:r>
        <w:rPr>
          <w:szCs w:val="22"/>
        </w:rPr>
        <w:t>,</w:t>
      </w:r>
      <w:r w:rsidRPr="00BE7913">
        <w:rPr>
          <w:szCs w:val="22"/>
        </w:rPr>
        <w:t xml:space="preserve"> the prospects of discovering </w:t>
      </w:r>
      <w:r>
        <w:rPr>
          <w:szCs w:val="22"/>
        </w:rPr>
        <w:t xml:space="preserve">new, </w:t>
      </w:r>
      <w:r w:rsidRPr="00BE7913">
        <w:rPr>
          <w:szCs w:val="22"/>
        </w:rPr>
        <w:t xml:space="preserve">radically </w:t>
      </w:r>
      <w:r>
        <w:rPr>
          <w:szCs w:val="22"/>
        </w:rPr>
        <w:t xml:space="preserve">different </w:t>
      </w:r>
      <w:r w:rsidRPr="00BE7913">
        <w:rPr>
          <w:szCs w:val="22"/>
        </w:rPr>
        <w:t>fluids are minimal.</w:t>
      </w:r>
    </w:p>
    <w:p w:rsidR="00F82BCB" w:rsidRPr="00BE7913" w:rsidRDefault="00F82BCB" w:rsidP="00F82BCB">
      <w:pPr>
        <w:rPr>
          <w:szCs w:val="22"/>
        </w:rPr>
      </w:pPr>
    </w:p>
    <w:p w:rsidR="00F82BCB" w:rsidRPr="00BE7913" w:rsidRDefault="00F82BCB" w:rsidP="00F82BCB">
      <w:pPr>
        <w:rPr>
          <w:szCs w:val="22"/>
        </w:rPr>
      </w:pPr>
      <w:r w:rsidRPr="00BE7913">
        <w:rPr>
          <w:szCs w:val="22"/>
        </w:rPr>
        <w:t>The alternative refrigerants must have suitable thermodynamic properties, which determine the efficiency and capacity of the system. In addition, they need to satisfy several other criteria, such as zero ODP, low GWP, low toxicity, stability in the system, materials compatibility, acceptable cost, and, if possible, non-flammability</w:t>
      </w:r>
      <w:r>
        <w:rPr>
          <w:szCs w:val="22"/>
        </w:rPr>
        <w:t xml:space="preserve">, </w:t>
      </w:r>
      <w:r w:rsidRPr="00BE7913">
        <w:rPr>
          <w:szCs w:val="22"/>
        </w:rPr>
        <w:t>low</w:t>
      </w:r>
      <w:r w:rsidR="00FD6BC8">
        <w:rPr>
          <w:szCs w:val="22"/>
        </w:rPr>
        <w:t>er</w:t>
      </w:r>
      <w:r w:rsidRPr="00BE7913">
        <w:rPr>
          <w:szCs w:val="22"/>
        </w:rPr>
        <w:t xml:space="preserve"> flammability</w:t>
      </w:r>
      <w:r>
        <w:rPr>
          <w:szCs w:val="22"/>
        </w:rPr>
        <w:t xml:space="preserve"> or low-risk due to flammability</w:t>
      </w:r>
      <w:r w:rsidRPr="00BE7913">
        <w:rPr>
          <w:szCs w:val="22"/>
        </w:rPr>
        <w:t xml:space="preserve">. These requirements are difficult to balance. </w:t>
      </w:r>
    </w:p>
    <w:p w:rsidR="00F82BCB" w:rsidRPr="00BE7913" w:rsidRDefault="00F82BCB" w:rsidP="00F82BCB">
      <w:pPr>
        <w:rPr>
          <w:szCs w:val="22"/>
        </w:rPr>
      </w:pPr>
    </w:p>
    <w:p w:rsidR="00F82BCB" w:rsidRPr="00BE7913" w:rsidRDefault="00F82BCB" w:rsidP="00F82BCB">
      <w:pPr>
        <w:rPr>
          <w:szCs w:val="22"/>
        </w:rPr>
      </w:pPr>
      <w:r w:rsidRPr="00BE7913">
        <w:rPr>
          <w:szCs w:val="22"/>
        </w:rPr>
        <w:t xml:space="preserve">The list of proposed R-410A and </w:t>
      </w:r>
      <w:r>
        <w:rPr>
          <w:szCs w:val="22"/>
        </w:rPr>
        <w:t>HCFC</w:t>
      </w:r>
      <w:r w:rsidRPr="00BE7913">
        <w:rPr>
          <w:szCs w:val="22"/>
        </w:rPr>
        <w:t xml:space="preserve">-22 replacement candidates includes single-component refrigerants (HFC-32, HC-290, HC-1270, R-717, R-744). The list also includes blends, which, in addition to the listed single-component candidates, comprise the </w:t>
      </w:r>
      <w:r w:rsidR="00B94581">
        <w:rPr>
          <w:szCs w:val="22"/>
        </w:rPr>
        <w:t>so-called hydrofluoroolefins (</w:t>
      </w:r>
      <w:r w:rsidRPr="00BE7913">
        <w:rPr>
          <w:szCs w:val="22"/>
        </w:rPr>
        <w:t>unsaturated HFCs</w:t>
      </w:r>
      <w:r w:rsidR="00B94581">
        <w:rPr>
          <w:szCs w:val="22"/>
        </w:rPr>
        <w:t>)</w:t>
      </w:r>
      <w:r w:rsidRPr="00BE7913">
        <w:rPr>
          <w:szCs w:val="22"/>
        </w:rPr>
        <w:t xml:space="preserve"> </w:t>
      </w:r>
      <w:r>
        <w:rPr>
          <w:szCs w:val="22"/>
        </w:rPr>
        <w:t xml:space="preserve">such as </w:t>
      </w:r>
      <w:r w:rsidRPr="00BE7913">
        <w:rPr>
          <w:szCs w:val="22"/>
        </w:rPr>
        <w:t>HF</w:t>
      </w:r>
      <w:r w:rsidR="00B94581">
        <w:rPr>
          <w:szCs w:val="22"/>
        </w:rPr>
        <w:t>O</w:t>
      </w:r>
      <w:r w:rsidRPr="00BE7913">
        <w:rPr>
          <w:szCs w:val="22"/>
        </w:rPr>
        <w:t>-1234yf and HF</w:t>
      </w:r>
      <w:r w:rsidR="00B94581">
        <w:rPr>
          <w:szCs w:val="22"/>
        </w:rPr>
        <w:t>O</w:t>
      </w:r>
      <w:r w:rsidRPr="00BE7913">
        <w:rPr>
          <w:szCs w:val="22"/>
        </w:rPr>
        <w:t>-1234ze(E)</w:t>
      </w:r>
      <w:r>
        <w:rPr>
          <w:szCs w:val="22"/>
        </w:rPr>
        <w:t>,</w:t>
      </w:r>
      <w:r w:rsidRPr="00BE7913">
        <w:rPr>
          <w:szCs w:val="22"/>
        </w:rPr>
        <w:t xml:space="preserve"> along with traditional </w:t>
      </w:r>
      <w:r w:rsidR="00B94581">
        <w:rPr>
          <w:szCs w:val="22"/>
        </w:rPr>
        <w:t xml:space="preserve">(saturated) </w:t>
      </w:r>
      <w:r w:rsidRPr="00BE7913">
        <w:rPr>
          <w:szCs w:val="22"/>
        </w:rPr>
        <w:t>HFC refrigerants to achieve the desired attributes of the blend, e.g., low GWP, low</w:t>
      </w:r>
      <w:r w:rsidR="00FD6BC8">
        <w:rPr>
          <w:szCs w:val="22"/>
        </w:rPr>
        <w:t>er</w:t>
      </w:r>
      <w:r w:rsidRPr="00BE7913">
        <w:rPr>
          <w:szCs w:val="22"/>
        </w:rPr>
        <w:t xml:space="preserve"> flammability, or lubricant compatibility. Through ongoing evaluation studies, the performance potentials of these alternatives are being established. </w:t>
      </w:r>
    </w:p>
    <w:p w:rsidR="00F82BCB" w:rsidRPr="00BE7913" w:rsidRDefault="00F82BCB" w:rsidP="00F82BCB">
      <w:pPr>
        <w:rPr>
          <w:szCs w:val="22"/>
        </w:rPr>
      </w:pPr>
    </w:p>
    <w:p w:rsidR="00F82BCB" w:rsidRPr="00BE7913" w:rsidRDefault="00F82BCB" w:rsidP="00F82BCB">
      <w:pPr>
        <w:rPr>
          <w:szCs w:val="22"/>
        </w:rPr>
      </w:pPr>
      <w:r>
        <w:rPr>
          <w:szCs w:val="22"/>
        </w:rPr>
        <w:t>S</w:t>
      </w:r>
      <w:r w:rsidRPr="00BE7913">
        <w:rPr>
          <w:szCs w:val="22"/>
        </w:rPr>
        <w:t>ignificant effort</w:t>
      </w:r>
      <w:r>
        <w:rPr>
          <w:szCs w:val="22"/>
        </w:rPr>
        <w:t>s</w:t>
      </w:r>
      <w:r w:rsidRPr="00BE7913">
        <w:rPr>
          <w:szCs w:val="22"/>
        </w:rPr>
        <w:t xml:space="preserve"> ha</w:t>
      </w:r>
      <w:r>
        <w:rPr>
          <w:szCs w:val="22"/>
        </w:rPr>
        <w:t xml:space="preserve">ve </w:t>
      </w:r>
      <w:r w:rsidRPr="00BE7913">
        <w:rPr>
          <w:szCs w:val="22"/>
        </w:rPr>
        <w:t xml:space="preserve">been done </w:t>
      </w:r>
      <w:r>
        <w:rPr>
          <w:szCs w:val="22"/>
        </w:rPr>
        <w:t xml:space="preserve">in the past </w:t>
      </w:r>
      <w:r w:rsidRPr="00BE7913">
        <w:rPr>
          <w:szCs w:val="22"/>
        </w:rPr>
        <w:t xml:space="preserve">to find new fluids. A recent study (McLinden, 2015) started with a database of over 150 million </w:t>
      </w:r>
      <w:r w:rsidRPr="00AE5615">
        <w:rPr>
          <w:szCs w:val="22"/>
        </w:rPr>
        <w:t>chemicals, screening the more than 56,</w:t>
      </w:r>
      <w:r w:rsidRPr="004E0F08">
        <w:rPr>
          <w:szCs w:val="22"/>
        </w:rPr>
        <w:t xml:space="preserve">000 small molecules and finding none of them ideal. It can be concluded from the study that the prospects of discovering new </w:t>
      </w:r>
      <w:r w:rsidR="00F02B59" w:rsidRPr="008A52E4">
        <w:rPr>
          <w:szCs w:val="22"/>
        </w:rPr>
        <w:t xml:space="preserve">chemicals </w:t>
      </w:r>
      <w:r w:rsidRPr="008A52E4">
        <w:rPr>
          <w:szCs w:val="22"/>
        </w:rPr>
        <w:t>that would offer better performance than the fluids currently known are minimal</w:t>
      </w:r>
      <w:r w:rsidR="002F104F" w:rsidRPr="008A52E4">
        <w:rPr>
          <w:szCs w:val="22"/>
        </w:rPr>
        <w:t>.</w:t>
      </w:r>
    </w:p>
    <w:p w:rsidR="00F82BCB" w:rsidRPr="008458B3" w:rsidRDefault="00F82BCB" w:rsidP="00F82BCB">
      <w:pPr>
        <w:pStyle w:val="Heading2"/>
        <w:spacing w:before="240"/>
      </w:pPr>
      <w:bookmarkStart w:id="42" w:name="_Toc445666290"/>
      <w:bookmarkStart w:id="43" w:name="_Toc452653359"/>
      <w:r>
        <w:t>2.5</w:t>
      </w:r>
      <w:r>
        <w:tab/>
      </w:r>
      <w:r>
        <w:tab/>
      </w:r>
      <w:r w:rsidRPr="008458B3">
        <w:t>Road to availability of alternative refrigerants</w:t>
      </w:r>
      <w:bookmarkEnd w:id="42"/>
      <w:bookmarkEnd w:id="43"/>
    </w:p>
    <w:p w:rsidR="00F82BCB" w:rsidRPr="00BE7913" w:rsidRDefault="00F82BCB" w:rsidP="00F82BCB">
      <w:pPr>
        <w:rPr>
          <w:szCs w:val="22"/>
        </w:rPr>
      </w:pPr>
      <w:r w:rsidRPr="00653BD4">
        <w:rPr>
          <w:szCs w:val="22"/>
        </w:rPr>
        <w:t>As discussed in the Task Force Decision XXVI/9 Report</w:t>
      </w:r>
      <w:r>
        <w:rPr>
          <w:szCs w:val="22"/>
        </w:rPr>
        <w:t xml:space="preserve"> (UNEP, 2015)</w:t>
      </w:r>
      <w:r w:rsidRPr="00653BD4">
        <w:rPr>
          <w:szCs w:val="22"/>
        </w:rPr>
        <w:t>, d</w:t>
      </w:r>
      <w:r w:rsidRPr="00BE7913">
        <w:rPr>
          <w:szCs w:val="22"/>
        </w:rPr>
        <w:t xml:space="preserve">eveloping a new fluid is a process where uncertainties are addressed, both regarding what is technically feasible and </w:t>
      </w:r>
      <w:r w:rsidR="00B94581">
        <w:rPr>
          <w:szCs w:val="22"/>
        </w:rPr>
        <w:t>w</w:t>
      </w:r>
      <w:r w:rsidRPr="00BE7913">
        <w:rPr>
          <w:szCs w:val="22"/>
        </w:rPr>
        <w:t xml:space="preserve">hat can be accepted by the market. It is a process structured in discrete steps, where some are visible to the industry. The commercialisation of a new molecule is complicated and can take significant time, while for mixtures </w:t>
      </w:r>
      <w:r>
        <w:rPr>
          <w:szCs w:val="22"/>
        </w:rPr>
        <w:t xml:space="preserve">consisting of existing molecules </w:t>
      </w:r>
      <w:r w:rsidRPr="00BE7913">
        <w:rPr>
          <w:szCs w:val="22"/>
        </w:rPr>
        <w:t>the commercialisation is much faster. Once the fluid is launched in the market, the availability is largely controlled by where there is a market need.</w:t>
      </w:r>
    </w:p>
    <w:p w:rsidR="00F82BCB" w:rsidRPr="00BE7913" w:rsidRDefault="00F82BCB" w:rsidP="00F82BCB">
      <w:pPr>
        <w:rPr>
          <w:szCs w:val="22"/>
        </w:rPr>
      </w:pPr>
    </w:p>
    <w:p w:rsidR="00F82BCB" w:rsidRPr="00BE7913" w:rsidRDefault="00F82BCB" w:rsidP="00F82BCB">
      <w:pPr>
        <w:rPr>
          <w:szCs w:val="22"/>
        </w:rPr>
      </w:pPr>
      <w:r w:rsidRPr="00BE7913">
        <w:rPr>
          <w:szCs w:val="22"/>
        </w:rPr>
        <w:t>The technical uncertainty includes how to produce the fluid, and whether the preferred properties can be attained. The market uncertainty includes uncertainty about what properties the customer prefers, and what fluids the competitors will market.</w:t>
      </w:r>
    </w:p>
    <w:p w:rsidR="00F82BCB" w:rsidRPr="00BE7913" w:rsidRDefault="00F82BCB" w:rsidP="00F82BCB">
      <w:pPr>
        <w:rPr>
          <w:szCs w:val="22"/>
        </w:rPr>
      </w:pPr>
      <w:r w:rsidRPr="00BE7913">
        <w:rPr>
          <w:szCs w:val="22"/>
        </w:rPr>
        <w:t> </w:t>
      </w:r>
    </w:p>
    <w:p w:rsidR="00F82BCB" w:rsidRPr="00BE7913" w:rsidRDefault="00F82BCB" w:rsidP="00FC618D">
      <w:pPr>
        <w:spacing w:after="120"/>
        <w:rPr>
          <w:szCs w:val="22"/>
        </w:rPr>
      </w:pPr>
      <w:r w:rsidRPr="00BE7913">
        <w:rPr>
          <w:szCs w:val="22"/>
        </w:rPr>
        <w:t xml:space="preserve">The development process requires a series of investments, such as researching the toxicity of candidate fluids, or doing field tests at potential customers with a candidate fluid. The investment pattern is similar from fluid to fluid, and companies therefore manage the process with a state-gate process (Cooper, 1988). The state-gate process </w:t>
      </w:r>
      <w:r w:rsidR="00B94581">
        <w:rPr>
          <w:szCs w:val="22"/>
        </w:rPr>
        <w:t>uses</w:t>
      </w:r>
      <w:r w:rsidRPr="00BE7913">
        <w:rPr>
          <w:szCs w:val="22"/>
        </w:rPr>
        <w:t xml:space="preserve"> a “gate” </w:t>
      </w:r>
      <w:r w:rsidR="00B94581">
        <w:rPr>
          <w:szCs w:val="22"/>
        </w:rPr>
        <w:t xml:space="preserve">or decision point </w:t>
      </w:r>
      <w:r w:rsidRPr="00BE7913">
        <w:rPr>
          <w:szCs w:val="22"/>
        </w:rPr>
        <w:t>placed just in-front of each major investment,</w:t>
      </w:r>
      <w:r w:rsidR="00B94581">
        <w:rPr>
          <w:szCs w:val="22"/>
        </w:rPr>
        <w:t xml:space="preserve"> so that </w:t>
      </w:r>
      <w:r w:rsidRPr="00BE7913">
        <w:rPr>
          <w:szCs w:val="22"/>
        </w:rPr>
        <w:t xml:space="preserve">management </w:t>
      </w:r>
      <w:r w:rsidR="00B94581">
        <w:rPr>
          <w:szCs w:val="22"/>
        </w:rPr>
        <w:t xml:space="preserve">can decide </w:t>
      </w:r>
      <w:r w:rsidRPr="00BE7913">
        <w:rPr>
          <w:szCs w:val="22"/>
        </w:rPr>
        <w:t>whether or not to accept the next investment or stop the development project. While the exact gates are not visible from outside the company, some of the step</w:t>
      </w:r>
      <w:r>
        <w:rPr>
          <w:szCs w:val="22"/>
        </w:rPr>
        <w:t>s</w:t>
      </w:r>
      <w:r w:rsidRPr="00BE7913">
        <w:rPr>
          <w:szCs w:val="22"/>
        </w:rPr>
        <w:t xml:space="preserve"> will be visible in the market. Examples of such steps could be:</w:t>
      </w:r>
    </w:p>
    <w:p w:rsidR="00F82BCB" w:rsidRPr="00BE7913" w:rsidRDefault="00F82BCB" w:rsidP="00FC618D">
      <w:pPr>
        <w:numPr>
          <w:ilvl w:val="0"/>
          <w:numId w:val="29"/>
        </w:numPr>
        <w:ind w:left="720"/>
        <w:rPr>
          <w:szCs w:val="22"/>
        </w:rPr>
      </w:pPr>
      <w:r w:rsidRPr="00BE7913">
        <w:rPr>
          <w:szCs w:val="22"/>
        </w:rPr>
        <w:t>Research, possibly in collaboration with a few selected system builders;</w:t>
      </w:r>
    </w:p>
    <w:p w:rsidR="00F82BCB" w:rsidRPr="00BE7913" w:rsidRDefault="00F82BCB" w:rsidP="00FC618D">
      <w:pPr>
        <w:numPr>
          <w:ilvl w:val="0"/>
          <w:numId w:val="29"/>
        </w:numPr>
        <w:ind w:left="720"/>
        <w:rPr>
          <w:szCs w:val="22"/>
        </w:rPr>
      </w:pPr>
      <w:r w:rsidRPr="00BE7913">
        <w:rPr>
          <w:szCs w:val="22"/>
        </w:rPr>
        <w:t xml:space="preserve">Fluid </w:t>
      </w:r>
      <w:r w:rsidR="00B143B8" w:rsidRPr="00BE7913">
        <w:rPr>
          <w:szCs w:val="22"/>
        </w:rPr>
        <w:t>(with a research</w:t>
      </w:r>
      <w:r w:rsidR="00B143B8">
        <w:rPr>
          <w:szCs w:val="22"/>
        </w:rPr>
        <w:t xml:space="preserve"> acronym</w:t>
      </w:r>
      <w:r w:rsidR="00B143B8" w:rsidRPr="00BE7913">
        <w:rPr>
          <w:szCs w:val="22"/>
        </w:rPr>
        <w:t>)</w:t>
      </w:r>
      <w:r w:rsidR="00B143B8">
        <w:rPr>
          <w:szCs w:val="22"/>
        </w:rPr>
        <w:t xml:space="preserve"> </w:t>
      </w:r>
      <w:r w:rsidRPr="00BE7913">
        <w:rPr>
          <w:szCs w:val="22"/>
        </w:rPr>
        <w:t>released for small scale testing in industry test programs</w:t>
      </w:r>
      <w:r w:rsidR="00B143B8">
        <w:rPr>
          <w:szCs w:val="22"/>
        </w:rPr>
        <w:t>;</w:t>
      </w:r>
      <w:r w:rsidRPr="00BE7913">
        <w:rPr>
          <w:szCs w:val="22"/>
        </w:rPr>
        <w:t xml:space="preserve"> </w:t>
      </w:r>
    </w:p>
    <w:p w:rsidR="00F82BCB" w:rsidRPr="00BE7913" w:rsidRDefault="00F82BCB" w:rsidP="00FC618D">
      <w:pPr>
        <w:numPr>
          <w:ilvl w:val="0"/>
          <w:numId w:val="29"/>
        </w:numPr>
        <w:ind w:left="720"/>
        <w:rPr>
          <w:szCs w:val="22"/>
        </w:rPr>
      </w:pPr>
      <w:r w:rsidRPr="00BE7913">
        <w:rPr>
          <w:szCs w:val="22"/>
        </w:rPr>
        <w:t xml:space="preserve">R-number applied for through ASHRAE 34 (or ISO 817) and is </w:t>
      </w:r>
      <w:r>
        <w:rPr>
          <w:szCs w:val="22"/>
        </w:rPr>
        <w:t>normally accepted</w:t>
      </w:r>
      <w:r w:rsidRPr="00BE7913">
        <w:rPr>
          <w:szCs w:val="22"/>
        </w:rPr>
        <w:t>;</w:t>
      </w:r>
    </w:p>
    <w:p w:rsidR="00F82BCB" w:rsidRPr="00BE7913" w:rsidRDefault="00F82BCB" w:rsidP="00FC618D">
      <w:pPr>
        <w:numPr>
          <w:ilvl w:val="0"/>
          <w:numId w:val="29"/>
        </w:numPr>
        <w:ind w:left="720"/>
        <w:rPr>
          <w:szCs w:val="22"/>
        </w:rPr>
      </w:pPr>
      <w:r w:rsidRPr="00BE7913">
        <w:rPr>
          <w:szCs w:val="22"/>
        </w:rPr>
        <w:t>Testing in the market to see whether the market is interested in larger capacities;</w:t>
      </w:r>
    </w:p>
    <w:p w:rsidR="00F82BCB" w:rsidRDefault="00F82BCB" w:rsidP="00FC618D">
      <w:pPr>
        <w:numPr>
          <w:ilvl w:val="0"/>
          <w:numId w:val="29"/>
        </w:numPr>
        <w:ind w:left="720"/>
        <w:rPr>
          <w:szCs w:val="22"/>
        </w:rPr>
      </w:pPr>
      <w:r w:rsidRPr="00BE7913">
        <w:rPr>
          <w:szCs w:val="22"/>
        </w:rPr>
        <w:t>Broad market launch (large scale production set-up);</w:t>
      </w:r>
    </w:p>
    <w:p w:rsidR="00F02B59" w:rsidRPr="00BE7913" w:rsidRDefault="00F02B59" w:rsidP="00FC618D">
      <w:pPr>
        <w:numPr>
          <w:ilvl w:val="0"/>
          <w:numId w:val="29"/>
        </w:numPr>
        <w:ind w:left="720"/>
        <w:rPr>
          <w:szCs w:val="22"/>
        </w:rPr>
      </w:pPr>
      <w:r>
        <w:rPr>
          <w:szCs w:val="22"/>
        </w:rPr>
        <w:t>Submission and acceptance under pertinent government regulations (e.g., REACH or SNAP);</w:t>
      </w:r>
    </w:p>
    <w:p w:rsidR="00F82BCB" w:rsidRPr="00BE7913" w:rsidRDefault="00F82BCB" w:rsidP="00FC618D">
      <w:pPr>
        <w:numPr>
          <w:ilvl w:val="0"/>
          <w:numId w:val="29"/>
        </w:numPr>
        <w:ind w:left="720"/>
        <w:rPr>
          <w:szCs w:val="22"/>
        </w:rPr>
      </w:pPr>
      <w:r w:rsidRPr="00BE7913">
        <w:rPr>
          <w:szCs w:val="22"/>
        </w:rPr>
        <w:t>Market adoption, where the market actually starts using the refrigerant in larger quantities.</w:t>
      </w:r>
    </w:p>
    <w:p w:rsidR="00F82BCB" w:rsidRPr="00BE7913" w:rsidRDefault="00F82BCB" w:rsidP="00F82BCB">
      <w:pPr>
        <w:ind w:hanging="539"/>
        <w:rPr>
          <w:szCs w:val="22"/>
        </w:rPr>
      </w:pPr>
    </w:p>
    <w:p w:rsidR="00F82BCB" w:rsidRPr="00BE7913" w:rsidRDefault="00F82BCB" w:rsidP="00F82BCB">
      <w:pPr>
        <w:rPr>
          <w:szCs w:val="22"/>
        </w:rPr>
      </w:pPr>
      <w:r w:rsidRPr="00BE7913">
        <w:rPr>
          <w:szCs w:val="22"/>
        </w:rPr>
        <w:t xml:space="preserve">Within the context of development of low GWP refrigerants, one of the most important </w:t>
      </w:r>
      <w:r>
        <w:rPr>
          <w:szCs w:val="22"/>
        </w:rPr>
        <w:t>incentives</w:t>
      </w:r>
      <w:r w:rsidRPr="00BE7913">
        <w:rPr>
          <w:szCs w:val="22"/>
        </w:rPr>
        <w:t xml:space="preserve"> is the occurrence of relevant legislation that hinders competing fluids or opens pathways for new fluids</w:t>
      </w:r>
      <w:r>
        <w:rPr>
          <w:szCs w:val="22"/>
        </w:rPr>
        <w:t xml:space="preserve"> </w:t>
      </w:r>
      <w:r w:rsidRPr="00653BD4">
        <w:rPr>
          <w:szCs w:val="22"/>
        </w:rPr>
        <w:t>and creates some measure of certainty for investments into the market</w:t>
      </w:r>
      <w:r w:rsidRPr="00BE7913">
        <w:rPr>
          <w:szCs w:val="22"/>
        </w:rPr>
        <w:t>.</w:t>
      </w:r>
    </w:p>
    <w:p w:rsidR="00F82BCB" w:rsidRPr="00BE7913" w:rsidRDefault="00F82BCB" w:rsidP="00F82BCB">
      <w:pPr>
        <w:rPr>
          <w:szCs w:val="22"/>
        </w:rPr>
      </w:pPr>
      <w:r w:rsidRPr="00BE7913">
        <w:rPr>
          <w:szCs w:val="22"/>
        </w:rPr>
        <w:t> </w:t>
      </w:r>
    </w:p>
    <w:p w:rsidR="00F82BCB" w:rsidRPr="00BE7913" w:rsidRDefault="00F82BCB" w:rsidP="00F82BCB">
      <w:pPr>
        <w:rPr>
          <w:szCs w:val="22"/>
        </w:rPr>
      </w:pPr>
      <w:r w:rsidRPr="00BE7913">
        <w:rPr>
          <w:szCs w:val="22"/>
        </w:rPr>
        <w:t xml:space="preserve">The investment sizes and time needed for each step for new molecules (pure refrigerants) are much larger and longer than for refrigerant mixtures. </w:t>
      </w:r>
      <w:r w:rsidR="00B94581">
        <w:rPr>
          <w:szCs w:val="22"/>
        </w:rPr>
        <w:t>R</w:t>
      </w:r>
      <w:r w:rsidRPr="00BE7913">
        <w:rPr>
          <w:szCs w:val="22"/>
        </w:rPr>
        <w:t xml:space="preserve">esearch and toxicity evaluation are </w:t>
      </w:r>
      <w:r w:rsidRPr="00BE7913">
        <w:rPr>
          <w:szCs w:val="22"/>
        </w:rPr>
        <w:lastRenderedPageBreak/>
        <w:t xml:space="preserve">expensive in the early phases, and the production set in the later stages, are expensive for new molecules. While for new mixtures, the major uncertainty is related to the market, and the large investments are primarily on research, especially market research, to find a composition which matches the needs of the customers as well as possible, and on the market launch with investments in marketing. </w:t>
      </w:r>
    </w:p>
    <w:p w:rsidR="00F82BCB" w:rsidRPr="00BE7913" w:rsidRDefault="00F82BCB" w:rsidP="00F82BCB">
      <w:pPr>
        <w:rPr>
          <w:szCs w:val="22"/>
        </w:rPr>
      </w:pPr>
      <w:r w:rsidRPr="00BE7913">
        <w:rPr>
          <w:szCs w:val="22"/>
        </w:rPr>
        <w:t> </w:t>
      </w:r>
    </w:p>
    <w:p w:rsidR="00F82BCB" w:rsidRPr="00BE7913" w:rsidRDefault="00F82BCB" w:rsidP="00F82BCB">
      <w:pPr>
        <w:rPr>
          <w:szCs w:val="22"/>
        </w:rPr>
      </w:pPr>
      <w:r w:rsidRPr="00BE7913">
        <w:rPr>
          <w:szCs w:val="22"/>
        </w:rPr>
        <w:t>This means that the commercialisation of a new fluid can take 10 years, while for mixtures the commercialisation takes closer to 5 years. A</w:t>
      </w:r>
      <w:r w:rsidR="00B143B8">
        <w:rPr>
          <w:szCs w:val="22"/>
        </w:rPr>
        <w:t>n</w:t>
      </w:r>
      <w:r w:rsidRPr="00BE7913">
        <w:rPr>
          <w:szCs w:val="22"/>
        </w:rPr>
        <w:t xml:space="preserve"> </w:t>
      </w:r>
      <w:r>
        <w:rPr>
          <w:szCs w:val="22"/>
        </w:rPr>
        <w:t xml:space="preserve">issue </w:t>
      </w:r>
      <w:r w:rsidRPr="00BE7913">
        <w:rPr>
          <w:szCs w:val="22"/>
        </w:rPr>
        <w:t>for the new mixtures is that many contain one of the two new molecules</w:t>
      </w:r>
      <w:r>
        <w:rPr>
          <w:szCs w:val="22"/>
        </w:rPr>
        <w:t xml:space="preserve">, </w:t>
      </w:r>
      <w:r w:rsidRPr="00BE7913">
        <w:rPr>
          <w:szCs w:val="22"/>
        </w:rPr>
        <w:t>HF</w:t>
      </w:r>
      <w:r w:rsidR="00991148">
        <w:rPr>
          <w:szCs w:val="22"/>
        </w:rPr>
        <w:t>O</w:t>
      </w:r>
      <w:r w:rsidRPr="00BE7913">
        <w:rPr>
          <w:szCs w:val="22"/>
        </w:rPr>
        <w:t xml:space="preserve">-1234yf </w:t>
      </w:r>
      <w:r>
        <w:rPr>
          <w:szCs w:val="22"/>
        </w:rPr>
        <w:t xml:space="preserve">or </w:t>
      </w:r>
      <w:r w:rsidRPr="00BE7913">
        <w:rPr>
          <w:szCs w:val="22"/>
        </w:rPr>
        <w:t>HF</w:t>
      </w:r>
      <w:r w:rsidR="00991148">
        <w:rPr>
          <w:szCs w:val="22"/>
        </w:rPr>
        <w:t>O</w:t>
      </w:r>
      <w:r w:rsidRPr="00BE7913">
        <w:rPr>
          <w:szCs w:val="22"/>
        </w:rPr>
        <w:t>-1234ze(E)</w:t>
      </w:r>
      <w:r>
        <w:rPr>
          <w:szCs w:val="22"/>
        </w:rPr>
        <w:t>, which may have had only limited production until recently</w:t>
      </w:r>
      <w:r w:rsidRPr="00BE7913">
        <w:rPr>
          <w:szCs w:val="22"/>
        </w:rPr>
        <w:t>.</w:t>
      </w:r>
    </w:p>
    <w:p w:rsidR="00F82BCB" w:rsidRPr="00BE7913" w:rsidRDefault="00F82BCB" w:rsidP="00F82BCB">
      <w:pPr>
        <w:rPr>
          <w:szCs w:val="22"/>
        </w:rPr>
      </w:pPr>
    </w:p>
    <w:p w:rsidR="00F82BCB" w:rsidRPr="00BE7913" w:rsidRDefault="00F82BCB" w:rsidP="00F82BCB">
      <w:pPr>
        <w:rPr>
          <w:szCs w:val="22"/>
        </w:rPr>
      </w:pPr>
      <w:r w:rsidRPr="00BE7913">
        <w:rPr>
          <w:szCs w:val="22"/>
        </w:rPr>
        <w:t>Once the fluid is launched in the market, companies will invest where they see the greatest market potential. There is a limit to how many different refrigerants customers, service companies, and sales channels in a given market will accept</w:t>
      </w:r>
      <w:r w:rsidR="00DD1C7D">
        <w:rPr>
          <w:szCs w:val="22"/>
        </w:rPr>
        <w:t>. M</w:t>
      </w:r>
      <w:r w:rsidRPr="00BE7913">
        <w:rPr>
          <w:szCs w:val="22"/>
        </w:rPr>
        <w:t xml:space="preserve">arket shares obtained in the early phase tends to be relatively easy to sustain, </w:t>
      </w:r>
      <w:r w:rsidR="00DD1C7D">
        <w:rPr>
          <w:szCs w:val="22"/>
        </w:rPr>
        <w:t xml:space="preserve">which is </w:t>
      </w:r>
      <w:r w:rsidRPr="00BE7913">
        <w:rPr>
          <w:szCs w:val="22"/>
        </w:rPr>
        <w:t>why companies can be very picky about where they launch a product. Although current availability to the markets and market launch plans for specific fluids are proprietary information, there is however the general rule of thumb that new fluids will be available where a sufficiently large share of users request it.</w:t>
      </w:r>
    </w:p>
    <w:p w:rsidR="00F82BCB" w:rsidRDefault="00F82BCB" w:rsidP="00F82BCB">
      <w:pPr>
        <w:rPr>
          <w:szCs w:val="22"/>
        </w:rPr>
      </w:pPr>
    </w:p>
    <w:p w:rsidR="00F82BCB" w:rsidRPr="00BE7913" w:rsidRDefault="00F82BCB" w:rsidP="00F82BCB">
      <w:pPr>
        <w:rPr>
          <w:szCs w:val="22"/>
        </w:rPr>
      </w:pPr>
      <w:r>
        <w:rPr>
          <w:szCs w:val="22"/>
        </w:rPr>
        <w:t>Two examples of the step from commercial productions to market launch in specific markets are as follows:</w:t>
      </w:r>
    </w:p>
    <w:p w:rsidR="00F82BCB" w:rsidRPr="00C20B56" w:rsidRDefault="00F82BCB" w:rsidP="00F82BCB">
      <w:pPr>
        <w:numPr>
          <w:ilvl w:val="0"/>
          <w:numId w:val="28"/>
        </w:numPr>
        <w:rPr>
          <w:szCs w:val="22"/>
        </w:rPr>
      </w:pPr>
      <w:r w:rsidRPr="00C20B56">
        <w:rPr>
          <w:szCs w:val="22"/>
        </w:rPr>
        <w:t>Commercial production of HF</w:t>
      </w:r>
      <w:r w:rsidR="00DD1C7D">
        <w:rPr>
          <w:szCs w:val="22"/>
        </w:rPr>
        <w:t>O</w:t>
      </w:r>
      <w:r w:rsidRPr="00C20B56">
        <w:rPr>
          <w:szCs w:val="22"/>
        </w:rPr>
        <w:t>-1234ze</w:t>
      </w:r>
      <w:r>
        <w:rPr>
          <w:szCs w:val="22"/>
        </w:rPr>
        <w:t>(E)</w:t>
      </w:r>
      <w:r w:rsidRPr="00C20B56">
        <w:rPr>
          <w:szCs w:val="22"/>
        </w:rPr>
        <w:t xml:space="preserve"> started at the end 2014 in manufacturing plants in the US. It is now already commercially used in chillers by companies in the US, EU and Japan;</w:t>
      </w:r>
      <w:r w:rsidR="00DD1C7D">
        <w:rPr>
          <w:szCs w:val="22"/>
        </w:rPr>
        <w:t xml:space="preserve"> </w:t>
      </w:r>
      <w:r w:rsidR="00B143B8">
        <w:rPr>
          <w:szCs w:val="22"/>
        </w:rPr>
        <w:t xml:space="preserve">besides </w:t>
      </w:r>
      <w:r w:rsidR="00DD1C7D">
        <w:rPr>
          <w:szCs w:val="22"/>
        </w:rPr>
        <w:t xml:space="preserve">and it </w:t>
      </w:r>
      <w:r w:rsidRPr="00C20B56">
        <w:rPr>
          <w:szCs w:val="22"/>
        </w:rPr>
        <w:t xml:space="preserve">is also applied in one-component foam </w:t>
      </w:r>
      <w:r w:rsidR="00B143B8">
        <w:rPr>
          <w:szCs w:val="22"/>
        </w:rPr>
        <w:t xml:space="preserve">and some aerosol propellant </w:t>
      </w:r>
      <w:r w:rsidRPr="00C20B56">
        <w:rPr>
          <w:szCs w:val="22"/>
        </w:rPr>
        <w:t xml:space="preserve">applications. Within two years after the start of commercial production, it is currently commercially available in the US, Europe and </w:t>
      </w:r>
      <w:r>
        <w:rPr>
          <w:szCs w:val="22"/>
        </w:rPr>
        <w:t xml:space="preserve">most of </w:t>
      </w:r>
      <w:r w:rsidRPr="00C20B56">
        <w:rPr>
          <w:szCs w:val="22"/>
        </w:rPr>
        <w:t>Asia.</w:t>
      </w:r>
    </w:p>
    <w:p w:rsidR="00F82BCB" w:rsidRDefault="00F82BCB" w:rsidP="00F82BCB">
      <w:pPr>
        <w:numPr>
          <w:ilvl w:val="0"/>
          <w:numId w:val="28"/>
        </w:numPr>
        <w:rPr>
          <w:szCs w:val="22"/>
        </w:rPr>
      </w:pPr>
      <w:r w:rsidRPr="00C20B56">
        <w:rPr>
          <w:szCs w:val="22"/>
        </w:rPr>
        <w:t>Commercial production of HCF</w:t>
      </w:r>
      <w:r w:rsidR="00DD1C7D">
        <w:rPr>
          <w:szCs w:val="22"/>
        </w:rPr>
        <w:t>O</w:t>
      </w:r>
      <w:r w:rsidRPr="00C20B56">
        <w:rPr>
          <w:szCs w:val="22"/>
        </w:rPr>
        <w:t>-1233zd</w:t>
      </w:r>
      <w:r>
        <w:rPr>
          <w:szCs w:val="22"/>
        </w:rPr>
        <w:t>(E)</w:t>
      </w:r>
      <w:r w:rsidRPr="00C20B56">
        <w:rPr>
          <w:szCs w:val="22"/>
        </w:rPr>
        <w:t xml:space="preserve"> started by mid-year of 2014 in plants located in the USA. It is used in low pressure centrifugal chillers, which have been released in Europe, the Middle</w:t>
      </w:r>
      <w:r>
        <w:rPr>
          <w:szCs w:val="22"/>
        </w:rPr>
        <w:t xml:space="preserve"> East and other 50 Hz markets;</w:t>
      </w:r>
      <w:r w:rsidR="00DD1C7D">
        <w:rPr>
          <w:szCs w:val="22"/>
        </w:rPr>
        <w:t xml:space="preserve"> and </w:t>
      </w:r>
      <w:r w:rsidRPr="00C20B56">
        <w:rPr>
          <w:szCs w:val="22"/>
        </w:rPr>
        <w:t xml:space="preserve">it is also used in foam applications as a replacement for HFC-245fa. Within two years after the start of commercial production, it is currently commercially available in the US, Europe and </w:t>
      </w:r>
      <w:r>
        <w:rPr>
          <w:szCs w:val="22"/>
        </w:rPr>
        <w:t xml:space="preserve">most of </w:t>
      </w:r>
      <w:r w:rsidRPr="00C20B56">
        <w:rPr>
          <w:szCs w:val="22"/>
        </w:rPr>
        <w:t>Asia.</w:t>
      </w:r>
    </w:p>
    <w:p w:rsidR="00F82BCB" w:rsidRPr="007B787F" w:rsidRDefault="00F82BCB" w:rsidP="00F82BCB">
      <w:pPr>
        <w:pStyle w:val="Heading2"/>
        <w:spacing w:before="240"/>
      </w:pPr>
      <w:bookmarkStart w:id="44" w:name="_Toc445666291"/>
      <w:bookmarkStart w:id="45" w:name="_Toc452653360"/>
      <w:r>
        <w:t>2.6</w:t>
      </w:r>
      <w:r>
        <w:tab/>
      </w:r>
      <w:r>
        <w:tab/>
      </w:r>
      <w:r w:rsidRPr="007B787F">
        <w:t>Energy efficiency in relation to refrigerants</w:t>
      </w:r>
      <w:bookmarkEnd w:id="44"/>
      <w:bookmarkEnd w:id="45"/>
    </w:p>
    <w:p w:rsidR="00F82BCB" w:rsidRPr="00BE7913" w:rsidRDefault="00F82BCB" w:rsidP="00F82BCB">
      <w:pPr>
        <w:rPr>
          <w:szCs w:val="22"/>
        </w:rPr>
      </w:pPr>
      <w:r w:rsidRPr="00BE7913">
        <w:rPr>
          <w:szCs w:val="22"/>
        </w:rPr>
        <w:t>Assessing the energy efficiency associated with a refrigerant is a complicated process, and the results depend on the approach taken. Energy efficiency of refrigeration systems is</w:t>
      </w:r>
      <w:r w:rsidR="00DD1C7D">
        <w:rPr>
          <w:szCs w:val="22"/>
        </w:rPr>
        <w:t>,</w:t>
      </w:r>
      <w:r w:rsidRPr="00BE7913">
        <w:rPr>
          <w:szCs w:val="22"/>
        </w:rPr>
        <w:t xml:space="preserve"> in addition to the refrigerant choice</w:t>
      </w:r>
      <w:r w:rsidR="00DD1C7D">
        <w:rPr>
          <w:szCs w:val="22"/>
        </w:rPr>
        <w:t>,</w:t>
      </w:r>
      <w:r w:rsidRPr="00BE7913">
        <w:rPr>
          <w:szCs w:val="22"/>
        </w:rPr>
        <w:t xml:space="preserve"> related to system configuration, component efficiencies, operating conditions, operating profile, system capacity, </w:t>
      </w:r>
      <w:r>
        <w:rPr>
          <w:szCs w:val="22"/>
        </w:rPr>
        <w:t xml:space="preserve">and </w:t>
      </w:r>
      <w:r w:rsidRPr="00BE7913">
        <w:rPr>
          <w:szCs w:val="22"/>
        </w:rPr>
        <w:t>system hardware, among others, which makes a</w:t>
      </w:r>
      <w:r>
        <w:rPr>
          <w:szCs w:val="22"/>
        </w:rPr>
        <w:t xml:space="preserve"> consistent </w:t>
      </w:r>
      <w:r w:rsidRPr="00BE7913">
        <w:rPr>
          <w:szCs w:val="22"/>
        </w:rPr>
        <w:t>comparison difficult in many instances.</w:t>
      </w:r>
    </w:p>
    <w:p w:rsidR="00F82BCB" w:rsidRPr="00BE7913" w:rsidRDefault="00F82BCB" w:rsidP="00F82BCB">
      <w:pPr>
        <w:pStyle w:val="NoSpacing"/>
        <w:rPr>
          <w:szCs w:val="22"/>
        </w:rPr>
      </w:pPr>
    </w:p>
    <w:p w:rsidR="00F82BCB" w:rsidRPr="00F82BCB" w:rsidRDefault="00F82BCB" w:rsidP="00F82BCB">
      <w:pPr>
        <w:pStyle w:val="NoSpacing"/>
        <w:rPr>
          <w:rFonts w:ascii="Times New Roman" w:hAnsi="Times New Roman"/>
          <w:szCs w:val="22"/>
        </w:rPr>
      </w:pPr>
      <w:r w:rsidRPr="00F82BCB">
        <w:rPr>
          <w:rFonts w:ascii="Times New Roman" w:hAnsi="Times New Roman"/>
          <w:szCs w:val="22"/>
        </w:rPr>
        <w:t>One approach is to start with a target refrigerant and use a system architecture suitable for this specific refrigerant, while comparing it with a reference system for the refrigerant to be replaced.</w:t>
      </w:r>
    </w:p>
    <w:p w:rsidR="00F82BCB" w:rsidRPr="00F82BCB" w:rsidRDefault="00F82BCB" w:rsidP="00F82BCB">
      <w:pPr>
        <w:pStyle w:val="NoSpacing"/>
        <w:rPr>
          <w:rFonts w:ascii="Times New Roman" w:hAnsi="Times New Roman"/>
          <w:szCs w:val="22"/>
        </w:rPr>
      </w:pPr>
    </w:p>
    <w:p w:rsidR="00F82BCB" w:rsidRPr="00F82BCB" w:rsidRDefault="00F82BCB" w:rsidP="00F82BCB">
      <w:pPr>
        <w:pStyle w:val="NoSpacing"/>
        <w:rPr>
          <w:rFonts w:ascii="Times New Roman" w:hAnsi="Times New Roman"/>
          <w:szCs w:val="22"/>
        </w:rPr>
      </w:pPr>
      <w:r w:rsidRPr="00F82BCB">
        <w:rPr>
          <w:rFonts w:ascii="Times New Roman" w:hAnsi="Times New Roman"/>
          <w:szCs w:val="22"/>
        </w:rPr>
        <w:t>Another approach is to screen for alternative refrigerants suitable for a given system architecture. The common methods for determining the efficiency in this case can be placed into one of three categories:</w:t>
      </w:r>
    </w:p>
    <w:p w:rsidR="00F82BCB" w:rsidRPr="00BE7913" w:rsidRDefault="00F82BCB" w:rsidP="00F82BCB">
      <w:pPr>
        <w:numPr>
          <w:ilvl w:val="0"/>
          <w:numId w:val="29"/>
        </w:numPr>
        <w:jc w:val="both"/>
        <w:rPr>
          <w:szCs w:val="22"/>
        </w:rPr>
      </w:pPr>
      <w:r w:rsidRPr="00BE7913">
        <w:rPr>
          <w:szCs w:val="22"/>
        </w:rPr>
        <w:t xml:space="preserve">theoretical and semi-theoretical cycle simulations </w:t>
      </w:r>
    </w:p>
    <w:p w:rsidR="00F82BCB" w:rsidRPr="00BE7913" w:rsidRDefault="00F82BCB" w:rsidP="00F82BCB">
      <w:pPr>
        <w:numPr>
          <w:ilvl w:val="0"/>
          <w:numId w:val="29"/>
        </w:numPr>
        <w:jc w:val="both"/>
        <w:rPr>
          <w:szCs w:val="22"/>
        </w:rPr>
      </w:pPr>
      <w:r w:rsidRPr="00BE7913">
        <w:rPr>
          <w:szCs w:val="22"/>
        </w:rPr>
        <w:t xml:space="preserve">detailed equipment simulation models, and </w:t>
      </w:r>
    </w:p>
    <w:p w:rsidR="00F82BCB" w:rsidRPr="00BE7913" w:rsidRDefault="00F82BCB" w:rsidP="00F82BCB">
      <w:pPr>
        <w:numPr>
          <w:ilvl w:val="0"/>
          <w:numId w:val="29"/>
        </w:numPr>
        <w:jc w:val="both"/>
        <w:rPr>
          <w:szCs w:val="22"/>
        </w:rPr>
      </w:pPr>
      <w:r w:rsidRPr="00BE7913">
        <w:rPr>
          <w:szCs w:val="22"/>
        </w:rPr>
        <w:t xml:space="preserve">laboratory tests of the equipment. </w:t>
      </w:r>
    </w:p>
    <w:p w:rsidR="00F82BCB" w:rsidRPr="00BE7913" w:rsidRDefault="00F82BCB" w:rsidP="00F82BCB">
      <w:pPr>
        <w:jc w:val="both"/>
        <w:rPr>
          <w:szCs w:val="22"/>
        </w:rPr>
      </w:pPr>
    </w:p>
    <w:p w:rsidR="00F82BCB" w:rsidRPr="00BE7913" w:rsidRDefault="00F82BCB" w:rsidP="00F82BCB">
      <w:pPr>
        <w:jc w:val="both"/>
        <w:rPr>
          <w:szCs w:val="22"/>
        </w:rPr>
      </w:pPr>
      <w:r w:rsidRPr="00BE7913">
        <w:rPr>
          <w:szCs w:val="22"/>
        </w:rPr>
        <w:t xml:space="preserve">In a refrigerant selection process, great reliance is placed on cycle simulations for selecting best candidate fluids for further examination either by equipment simulation models or tests of actual equipment. </w:t>
      </w:r>
    </w:p>
    <w:p w:rsidR="00F82BCB" w:rsidRPr="00BE7913" w:rsidRDefault="00F82BCB" w:rsidP="00F82BCB">
      <w:pPr>
        <w:jc w:val="both"/>
        <w:rPr>
          <w:szCs w:val="22"/>
        </w:rPr>
      </w:pPr>
    </w:p>
    <w:p w:rsidR="00F82BCB" w:rsidRPr="00BE7913" w:rsidRDefault="00F82BCB" w:rsidP="00DD1C7D">
      <w:pPr>
        <w:rPr>
          <w:szCs w:val="22"/>
        </w:rPr>
      </w:pPr>
      <w:r w:rsidRPr="00BE7913">
        <w:rPr>
          <w:szCs w:val="22"/>
        </w:rPr>
        <w:t>Most often, cycle simulations employ a refrigerant’s thermodynamic properties along with fixed values for temperatures inside the system and fixed compressor isentropic efficiency. These models are popular among refrigeration practitioners because they are simple in principle and easy to use</w:t>
      </w:r>
      <w:r w:rsidR="00FE51D6">
        <w:rPr>
          <w:szCs w:val="22"/>
        </w:rPr>
        <w:t xml:space="preserve">. </w:t>
      </w:r>
      <w:r w:rsidRPr="00BE7913">
        <w:rPr>
          <w:szCs w:val="22"/>
        </w:rPr>
        <w:t>However, the shortcomings to be kept in mind include not taking into account the heat transfer properties and pressure drops in a system. Detailed simulation models do not have this shortcoming (Domanski, 2006).</w:t>
      </w:r>
    </w:p>
    <w:p w:rsidR="00F82BCB" w:rsidRPr="00BE7913" w:rsidRDefault="00F82BCB" w:rsidP="00F82BCB">
      <w:pPr>
        <w:pStyle w:val="NoSpacing"/>
        <w:rPr>
          <w:szCs w:val="22"/>
        </w:rPr>
      </w:pPr>
    </w:p>
    <w:p w:rsidR="00F82BCB" w:rsidRPr="00F82BCB" w:rsidRDefault="00F82BCB" w:rsidP="00F82BCB">
      <w:pPr>
        <w:pStyle w:val="NoSpacing"/>
        <w:rPr>
          <w:rFonts w:ascii="Times New Roman" w:hAnsi="Times New Roman"/>
          <w:szCs w:val="22"/>
        </w:rPr>
      </w:pPr>
      <w:r w:rsidRPr="00F82BCB">
        <w:rPr>
          <w:rFonts w:ascii="Times New Roman" w:hAnsi="Times New Roman"/>
          <w:szCs w:val="22"/>
        </w:rPr>
        <w:t xml:space="preserve">Laboratory tests provide the ‘most trusted’ information about performance of a refrigerant in a given system. It must be recognized that tests of a new refrigerant in a system optimized for a different refrigerant do not demonstrate the performance potential of the refrigerant tested (Abdelaziz, 2015). In addition to system ‘soft-optimization’, which includes adjustment of the refrigerant charge and expansion device, ‘hard optimization’ is necessary, which includes, among others, optimization of the compressor (including the size), refrigerant circuitry in the evaporator and condenser, and the overall system balance. </w:t>
      </w:r>
    </w:p>
    <w:p w:rsidR="00F82BCB" w:rsidRPr="00F82BCB" w:rsidRDefault="00F82BCB" w:rsidP="00F82BCB">
      <w:pPr>
        <w:pStyle w:val="NoSpacing"/>
        <w:rPr>
          <w:rFonts w:ascii="Times New Roman" w:hAnsi="Times New Roman"/>
          <w:szCs w:val="22"/>
        </w:rPr>
      </w:pPr>
    </w:p>
    <w:p w:rsidR="00F82BCB" w:rsidRPr="00F82BCB" w:rsidRDefault="00F82BCB" w:rsidP="00F82BCB">
      <w:pPr>
        <w:pStyle w:val="NoSpacing"/>
        <w:rPr>
          <w:rFonts w:ascii="Times New Roman" w:hAnsi="Times New Roman"/>
          <w:szCs w:val="22"/>
        </w:rPr>
      </w:pPr>
      <w:r w:rsidRPr="00F82BCB">
        <w:rPr>
          <w:rFonts w:ascii="Times New Roman" w:hAnsi="Times New Roman"/>
          <w:szCs w:val="22"/>
        </w:rPr>
        <w:t xml:space="preserve">Hard optimization is a rather involved process. Usually, it is most effectively implemented by concurrent detailed simulations and extensive testing. It can be particularly complicated with blends of significant temperature glide, which offer special challenges </w:t>
      </w:r>
      <w:r w:rsidR="00B143B8">
        <w:rPr>
          <w:rFonts w:ascii="Times New Roman" w:hAnsi="Times New Roman"/>
          <w:szCs w:val="22"/>
        </w:rPr>
        <w:t xml:space="preserve">and opportunities </w:t>
      </w:r>
      <w:r w:rsidRPr="00F82BCB">
        <w:rPr>
          <w:rFonts w:ascii="Times New Roman" w:hAnsi="Times New Roman"/>
          <w:szCs w:val="22"/>
        </w:rPr>
        <w:t>in heat exchanger design. Hence, overall system design and successful optimization play a significant role in achieving the refrigerant performance potential in a commercialized product. In practice the hard optimization is also limited by the cost of the system, as the success in the market depends on a cost/performance trade-off. In addition, it is also constrained by commercial availability (e.g., manufacturing ability) for certain components, such as availability of preferred compressor displacement, heat exchanger dimensioning and capability to produce preferred circuitry.</w:t>
      </w:r>
    </w:p>
    <w:p w:rsidR="00F82BCB" w:rsidRPr="00F82BCB" w:rsidRDefault="00F82BCB" w:rsidP="00F82BCB">
      <w:pPr>
        <w:rPr>
          <w:color w:val="FF0000"/>
          <w:szCs w:val="22"/>
        </w:rPr>
      </w:pPr>
    </w:p>
    <w:p w:rsidR="00F82BCB" w:rsidRPr="00C20B56" w:rsidRDefault="00F82BCB" w:rsidP="00F82BCB">
      <w:pPr>
        <w:rPr>
          <w:szCs w:val="22"/>
        </w:rPr>
      </w:pPr>
      <w:r w:rsidRPr="00C20B56">
        <w:rPr>
          <w:szCs w:val="22"/>
        </w:rPr>
        <w:t xml:space="preserve">To illustrate the difficulties of assessing the energy efficiency associated with a refrigerant, consider the tests </w:t>
      </w:r>
      <w:r>
        <w:rPr>
          <w:szCs w:val="22"/>
        </w:rPr>
        <w:t xml:space="preserve">under high ambient temperature conditions </w:t>
      </w:r>
      <w:r w:rsidRPr="00C20B56">
        <w:rPr>
          <w:szCs w:val="22"/>
        </w:rPr>
        <w:t xml:space="preserve">described in </w:t>
      </w:r>
      <w:r>
        <w:rPr>
          <w:szCs w:val="22"/>
        </w:rPr>
        <w:t>C</w:t>
      </w:r>
      <w:r w:rsidRPr="00C20B56">
        <w:rPr>
          <w:szCs w:val="22"/>
        </w:rPr>
        <w:t>hapter</w:t>
      </w:r>
      <w:r>
        <w:rPr>
          <w:szCs w:val="22"/>
        </w:rPr>
        <w:t xml:space="preserve"> </w:t>
      </w:r>
      <w:r w:rsidR="00B143B8">
        <w:rPr>
          <w:szCs w:val="22"/>
        </w:rPr>
        <w:t>5</w:t>
      </w:r>
      <w:r w:rsidRPr="00C20B56">
        <w:rPr>
          <w:szCs w:val="22"/>
        </w:rPr>
        <w:t xml:space="preserve"> of this report:</w:t>
      </w:r>
    </w:p>
    <w:p w:rsidR="00F82BCB" w:rsidRPr="00C20B56" w:rsidRDefault="00F82BCB" w:rsidP="00F82BCB">
      <w:pPr>
        <w:numPr>
          <w:ilvl w:val="0"/>
          <w:numId w:val="28"/>
        </w:numPr>
        <w:rPr>
          <w:szCs w:val="22"/>
        </w:rPr>
      </w:pPr>
      <w:r w:rsidRPr="00C20B56">
        <w:rPr>
          <w:szCs w:val="22"/>
        </w:rPr>
        <w:t>Testing temperatures differs from test program to test program.</w:t>
      </w:r>
    </w:p>
    <w:p w:rsidR="00F82BCB" w:rsidRPr="00C20B56" w:rsidRDefault="00F82BCB" w:rsidP="00F82BCB">
      <w:pPr>
        <w:numPr>
          <w:ilvl w:val="0"/>
          <w:numId w:val="28"/>
        </w:numPr>
        <w:rPr>
          <w:szCs w:val="22"/>
        </w:rPr>
      </w:pPr>
      <w:r w:rsidRPr="00C20B56">
        <w:rPr>
          <w:szCs w:val="22"/>
        </w:rPr>
        <w:t>Obviously no single temperature can accurately match a real geographical location, so the results do not relate directly to the actual energy consumption in a real situation.</w:t>
      </w:r>
    </w:p>
    <w:p w:rsidR="00F82BCB" w:rsidRPr="00C20B56" w:rsidRDefault="00F82BCB" w:rsidP="00F82BCB">
      <w:pPr>
        <w:numPr>
          <w:ilvl w:val="0"/>
          <w:numId w:val="28"/>
        </w:numPr>
        <w:rPr>
          <w:szCs w:val="22"/>
        </w:rPr>
      </w:pPr>
      <w:r w:rsidRPr="00C20B56">
        <w:rPr>
          <w:szCs w:val="22"/>
        </w:rPr>
        <w:t xml:space="preserve">The units </w:t>
      </w:r>
      <w:r>
        <w:rPr>
          <w:szCs w:val="22"/>
        </w:rPr>
        <w:t>(including technologies) used</w:t>
      </w:r>
      <w:r w:rsidRPr="00C20B56">
        <w:rPr>
          <w:szCs w:val="22"/>
        </w:rPr>
        <w:t xml:space="preserve"> for testing varie</w:t>
      </w:r>
      <w:r>
        <w:rPr>
          <w:szCs w:val="22"/>
        </w:rPr>
        <w:t>d</w:t>
      </w:r>
      <w:r w:rsidRPr="00C20B56">
        <w:rPr>
          <w:szCs w:val="22"/>
        </w:rPr>
        <w:t xml:space="preserve"> within the same test programs.</w:t>
      </w:r>
    </w:p>
    <w:p w:rsidR="00F82BCB" w:rsidRPr="00C20B56" w:rsidRDefault="00F82BCB" w:rsidP="00F82BCB">
      <w:pPr>
        <w:numPr>
          <w:ilvl w:val="0"/>
          <w:numId w:val="28"/>
        </w:numPr>
        <w:rPr>
          <w:szCs w:val="22"/>
        </w:rPr>
      </w:pPr>
      <w:r w:rsidRPr="00C20B56">
        <w:rPr>
          <w:szCs w:val="22"/>
        </w:rPr>
        <w:t>In some tests only the refrigerant is changed, in others the oil or even the compressor</w:t>
      </w:r>
      <w:r w:rsidR="00DD1C7D">
        <w:rPr>
          <w:szCs w:val="22"/>
        </w:rPr>
        <w:t xml:space="preserve"> are changed</w:t>
      </w:r>
      <w:r w:rsidRPr="00C20B56">
        <w:rPr>
          <w:szCs w:val="22"/>
        </w:rPr>
        <w:t xml:space="preserve">. </w:t>
      </w:r>
    </w:p>
    <w:p w:rsidR="00F82BCB" w:rsidRDefault="00F82BCB" w:rsidP="00F82BCB">
      <w:pPr>
        <w:numPr>
          <w:ilvl w:val="0"/>
          <w:numId w:val="28"/>
        </w:numPr>
        <w:rPr>
          <w:szCs w:val="22"/>
        </w:rPr>
      </w:pPr>
      <w:r w:rsidRPr="00C20B56">
        <w:rPr>
          <w:szCs w:val="22"/>
        </w:rPr>
        <w:t xml:space="preserve">Differences in test protocols further contributed to differences in results, </w:t>
      </w:r>
      <w:r>
        <w:rPr>
          <w:szCs w:val="22"/>
        </w:rPr>
        <w:t xml:space="preserve">for </w:t>
      </w:r>
      <w:r w:rsidRPr="00C20B56">
        <w:rPr>
          <w:szCs w:val="22"/>
        </w:rPr>
        <w:t>example</w:t>
      </w:r>
      <w:r>
        <w:rPr>
          <w:szCs w:val="22"/>
        </w:rPr>
        <w:t>,</w:t>
      </w:r>
      <w:r w:rsidRPr="00C20B56">
        <w:rPr>
          <w:szCs w:val="22"/>
        </w:rPr>
        <w:t xml:space="preserve"> adjusting the expansion device, adjusting the charge, or adjusting compressor displacement to match compressor </w:t>
      </w:r>
      <w:r>
        <w:rPr>
          <w:szCs w:val="22"/>
        </w:rPr>
        <w:t xml:space="preserve">and </w:t>
      </w:r>
      <w:r w:rsidRPr="00C20B56">
        <w:rPr>
          <w:szCs w:val="22"/>
        </w:rPr>
        <w:t>heat exchanger capacity.</w:t>
      </w:r>
    </w:p>
    <w:p w:rsidR="00F82BCB" w:rsidRPr="00C20B56" w:rsidRDefault="00F82BCB" w:rsidP="00F82BCB">
      <w:pPr>
        <w:numPr>
          <w:ilvl w:val="0"/>
          <w:numId w:val="28"/>
        </w:numPr>
        <w:rPr>
          <w:szCs w:val="22"/>
        </w:rPr>
      </w:pPr>
      <w:r>
        <w:rPr>
          <w:szCs w:val="22"/>
        </w:rPr>
        <w:t>The cost/performance ratio is an important factor (see above) but it is difficult to analyse in the test programs as other long term parameters need to be considered.</w:t>
      </w:r>
    </w:p>
    <w:p w:rsidR="00F82BCB" w:rsidRPr="00A75B7D" w:rsidRDefault="00F82BCB" w:rsidP="00F82BCB">
      <w:pPr>
        <w:pStyle w:val="Heading2"/>
        <w:spacing w:before="240"/>
      </w:pPr>
      <w:bookmarkStart w:id="46" w:name="_Toc445666292"/>
      <w:bookmarkStart w:id="47" w:name="_Toc452653361"/>
      <w:r>
        <w:t>2.7</w:t>
      </w:r>
      <w:r>
        <w:tab/>
      </w:r>
      <w:r>
        <w:tab/>
      </w:r>
      <w:r w:rsidRPr="00A75B7D">
        <w:t xml:space="preserve">Climate </w:t>
      </w:r>
      <w:r>
        <w:t>i</w:t>
      </w:r>
      <w:r w:rsidRPr="00A75B7D">
        <w:t xml:space="preserve">mpact </w:t>
      </w:r>
      <w:r>
        <w:t>r</w:t>
      </w:r>
      <w:r w:rsidRPr="00A75B7D">
        <w:t xml:space="preserve">elated to </w:t>
      </w:r>
      <w:r>
        <w:t>r</w:t>
      </w:r>
      <w:r w:rsidRPr="00A75B7D">
        <w:t>efrigerants</w:t>
      </w:r>
      <w:r w:rsidRPr="00D60104">
        <w:rPr>
          <w:vertAlign w:val="superscript"/>
        </w:rPr>
        <w:footnoteReference w:id="2"/>
      </w:r>
      <w:bookmarkEnd w:id="46"/>
      <w:bookmarkEnd w:id="47"/>
    </w:p>
    <w:p w:rsidR="00F82BCB" w:rsidRPr="00EC176D" w:rsidRDefault="00F82BCB" w:rsidP="00F82BCB">
      <w:pPr>
        <w:rPr>
          <w:szCs w:val="22"/>
        </w:rPr>
      </w:pPr>
      <w:r w:rsidRPr="00C20B56">
        <w:rPr>
          <w:szCs w:val="22"/>
        </w:rPr>
        <w:t>There are a number of difficulties in assessing the climate impact</w:t>
      </w:r>
      <w:r>
        <w:rPr>
          <w:szCs w:val="22"/>
        </w:rPr>
        <w:t xml:space="preserve"> i</w:t>
      </w:r>
      <w:r w:rsidRPr="00C20B56">
        <w:rPr>
          <w:szCs w:val="22"/>
        </w:rPr>
        <w:t xml:space="preserve">ncluding the difficulties of obtaining reliable and accurate data </w:t>
      </w:r>
      <w:r w:rsidRPr="0059136A">
        <w:rPr>
          <w:szCs w:val="22"/>
        </w:rPr>
        <w:t>on system leakage rates and determining the carbon emissions generated, now and in the future,</w:t>
      </w:r>
      <w:r>
        <w:rPr>
          <w:szCs w:val="22"/>
        </w:rPr>
        <w:t xml:space="preserve"> and</w:t>
      </w:r>
      <w:r w:rsidRPr="0059136A">
        <w:rPr>
          <w:szCs w:val="22"/>
        </w:rPr>
        <w:t xml:space="preserve"> in producing the energy necessary to power the R</w:t>
      </w:r>
      <w:r w:rsidR="00B143B8">
        <w:rPr>
          <w:szCs w:val="22"/>
        </w:rPr>
        <w:t>/</w:t>
      </w:r>
      <w:r w:rsidRPr="0059136A">
        <w:rPr>
          <w:szCs w:val="22"/>
        </w:rPr>
        <w:t>AC</w:t>
      </w:r>
      <w:r w:rsidR="00B143B8">
        <w:rPr>
          <w:szCs w:val="22"/>
        </w:rPr>
        <w:t xml:space="preserve"> and </w:t>
      </w:r>
      <w:r w:rsidRPr="0059136A">
        <w:rPr>
          <w:szCs w:val="22"/>
        </w:rPr>
        <w:t>HP system.</w:t>
      </w:r>
      <w:r w:rsidRPr="00EC176D">
        <w:rPr>
          <w:szCs w:val="22"/>
        </w:rPr>
        <w:t xml:space="preserve"> </w:t>
      </w:r>
    </w:p>
    <w:p w:rsidR="00F82BCB" w:rsidRPr="00F80F10" w:rsidRDefault="00F82BCB" w:rsidP="00F82BCB">
      <w:pPr>
        <w:rPr>
          <w:b/>
          <w:sz w:val="16"/>
          <w:szCs w:val="16"/>
          <w:lang w:eastAsia="en-US"/>
        </w:rPr>
      </w:pPr>
    </w:p>
    <w:p w:rsidR="00F82BCB" w:rsidRPr="00CB0EF1" w:rsidRDefault="00F82BCB" w:rsidP="00F82BCB">
      <w:pPr>
        <w:rPr>
          <w:szCs w:val="22"/>
        </w:rPr>
      </w:pPr>
      <w:r w:rsidRPr="00CB0EF1">
        <w:rPr>
          <w:szCs w:val="22"/>
        </w:rPr>
        <w:lastRenderedPageBreak/>
        <w:t>Climate impact related to refrigerants consists of direct and indirect contributions. The direct contribution is a function of a refrigerant’s GWP, charge amount and leakage rates (annual, catastrophic, and during servicing and decommissioning) from the air-conditioning and refrigeration (R</w:t>
      </w:r>
      <w:r w:rsidR="00B143B8">
        <w:rPr>
          <w:szCs w:val="22"/>
        </w:rPr>
        <w:t>/</w:t>
      </w:r>
      <w:r w:rsidRPr="00CB0EF1">
        <w:rPr>
          <w:szCs w:val="22"/>
        </w:rPr>
        <w:t>AC</w:t>
      </w:r>
      <w:r w:rsidR="00B143B8">
        <w:rPr>
          <w:szCs w:val="22"/>
        </w:rPr>
        <w:t xml:space="preserve"> and </w:t>
      </w:r>
      <w:r w:rsidRPr="00CB0EF1">
        <w:rPr>
          <w:szCs w:val="22"/>
        </w:rPr>
        <w:t>HP) equipment. The indirect contribution accounts for the CO</w:t>
      </w:r>
      <w:r w:rsidRPr="00CB0EF1">
        <w:rPr>
          <w:szCs w:val="22"/>
          <w:vertAlign w:val="subscript"/>
        </w:rPr>
        <w:t>2</w:t>
      </w:r>
      <w:r w:rsidRPr="00CB0EF1">
        <w:rPr>
          <w:szCs w:val="22"/>
        </w:rPr>
        <w:t>-equivalent emissions generated during the production of the energy consumed by the R</w:t>
      </w:r>
      <w:r w:rsidR="00B143B8">
        <w:rPr>
          <w:szCs w:val="22"/>
        </w:rPr>
        <w:t>/</w:t>
      </w:r>
      <w:r w:rsidRPr="00CB0EF1">
        <w:rPr>
          <w:szCs w:val="22"/>
        </w:rPr>
        <w:t>AC</w:t>
      </w:r>
      <w:r w:rsidR="00B143B8">
        <w:rPr>
          <w:szCs w:val="22"/>
        </w:rPr>
        <w:t xml:space="preserve"> and HP</w:t>
      </w:r>
      <w:r w:rsidRPr="00CB0EF1">
        <w:rPr>
          <w:szCs w:val="22"/>
        </w:rPr>
        <w:t xml:space="preserve"> equipment, its operating characteristics and the emissions factor of the local electricity production. The relative importance of the direct and indirect contributions will depend on the type of system. Systems that are “more leaky”, e.g., automotive vehicle air conditioning, typically have larger relative contributions from direct warming than would “tighter systems”, e.g., hermetically sealed chiller systems, although this can be offset for systems that have much shorter operating periods or where power is supplied from a source with low carbon content.</w:t>
      </w:r>
    </w:p>
    <w:p w:rsidR="00F82BCB" w:rsidRPr="00F80F10" w:rsidRDefault="00F82BCB" w:rsidP="00F82BCB">
      <w:pPr>
        <w:rPr>
          <w:sz w:val="16"/>
          <w:szCs w:val="16"/>
        </w:rPr>
      </w:pPr>
    </w:p>
    <w:p w:rsidR="00F82BCB" w:rsidRPr="00C20B56" w:rsidRDefault="00F82BCB" w:rsidP="00F82BCB">
      <w:pPr>
        <w:rPr>
          <w:szCs w:val="22"/>
        </w:rPr>
      </w:pPr>
      <w:r w:rsidRPr="00CB0EF1">
        <w:rPr>
          <w:szCs w:val="22"/>
        </w:rPr>
        <w:t xml:space="preserve">There are several metrics that measure the total emissions from a system. Most common are Total </w:t>
      </w:r>
      <w:r w:rsidRPr="00C20B56">
        <w:rPr>
          <w:szCs w:val="22"/>
        </w:rPr>
        <w:t xml:space="preserve">Equivalent Warming Impact (TEWI) and Life Cycle Climate </w:t>
      </w:r>
      <w:r w:rsidRPr="00AE5615">
        <w:rPr>
          <w:szCs w:val="22"/>
        </w:rPr>
        <w:t>Performance (LCCP)</w:t>
      </w:r>
      <w:r w:rsidRPr="00AE5615">
        <w:rPr>
          <w:color w:val="FF0000"/>
          <w:szCs w:val="22"/>
        </w:rPr>
        <w:t xml:space="preserve"> </w:t>
      </w:r>
      <w:r w:rsidRPr="004E0F08">
        <w:rPr>
          <w:szCs w:val="22"/>
        </w:rPr>
        <w:t xml:space="preserve">which attempts to quantify the total global warming impact by evaluating the </w:t>
      </w:r>
      <w:r w:rsidRPr="008A52E4">
        <w:rPr>
          <w:szCs w:val="22"/>
        </w:rPr>
        <w:t>R</w:t>
      </w:r>
      <w:r w:rsidR="00AE5615" w:rsidRPr="008A52E4">
        <w:rPr>
          <w:szCs w:val="22"/>
        </w:rPr>
        <w:t xml:space="preserve">/AC </w:t>
      </w:r>
      <w:r w:rsidR="00AE5615" w:rsidRPr="00AE5615">
        <w:rPr>
          <w:szCs w:val="22"/>
        </w:rPr>
        <w:t>and hea</w:t>
      </w:r>
      <w:r w:rsidR="00AE5615" w:rsidRPr="004E0F08">
        <w:rPr>
          <w:szCs w:val="22"/>
        </w:rPr>
        <w:t xml:space="preserve">t pump </w:t>
      </w:r>
      <w:r w:rsidRPr="004E0F08">
        <w:rPr>
          <w:szCs w:val="22"/>
        </w:rPr>
        <w:t>system</w:t>
      </w:r>
      <w:r w:rsidR="00AE5615" w:rsidRPr="00AD55CF">
        <w:rPr>
          <w:szCs w:val="22"/>
        </w:rPr>
        <w:t>s</w:t>
      </w:r>
      <w:r w:rsidRPr="008A52E4">
        <w:rPr>
          <w:szCs w:val="22"/>
        </w:rPr>
        <w:t xml:space="preserve"> during </w:t>
      </w:r>
      <w:r w:rsidR="00AE5615" w:rsidRPr="008A52E4">
        <w:rPr>
          <w:szCs w:val="22"/>
        </w:rPr>
        <w:t xml:space="preserve">their </w:t>
      </w:r>
      <w:r w:rsidRPr="008A52E4">
        <w:rPr>
          <w:szCs w:val="22"/>
        </w:rPr>
        <w:t>lifetime from “cradle to grave” (IIR, 2016). Sometimes,</w:t>
      </w:r>
      <w:r w:rsidRPr="00C20B56">
        <w:rPr>
          <w:szCs w:val="22"/>
        </w:rPr>
        <w:t xml:space="preserve"> a TEWI calculation may be simplified by neglecting broader effects including manufacture of the refrigerant and equipment, and disposal of the refrigerant and equipment after decommissioning. </w:t>
      </w:r>
      <w:r>
        <w:rPr>
          <w:szCs w:val="22"/>
        </w:rPr>
        <w:t>More in-depth analyses not usually performed also look at the emissions associated with the production and disposal of the equipment, e.g., including the mining and recycling of the metal used to manufacture compressors, heat exchangers, and other components</w:t>
      </w:r>
      <w:r w:rsidR="00FE51D6">
        <w:rPr>
          <w:szCs w:val="22"/>
        </w:rPr>
        <w:t xml:space="preserve">. </w:t>
      </w:r>
    </w:p>
    <w:p w:rsidR="00F82BCB" w:rsidRPr="00F80F10" w:rsidRDefault="00F82BCB" w:rsidP="00F82BCB">
      <w:pPr>
        <w:pStyle w:val="NoSpacing"/>
        <w:spacing w:line="276" w:lineRule="auto"/>
        <w:rPr>
          <w:sz w:val="16"/>
          <w:szCs w:val="16"/>
        </w:rPr>
      </w:pPr>
    </w:p>
    <w:p w:rsidR="00F82BCB" w:rsidRPr="00C40D49" w:rsidRDefault="00F82BCB" w:rsidP="00F82BCB">
      <w:pPr>
        <w:pStyle w:val="NoSpacing"/>
        <w:rPr>
          <w:rFonts w:ascii="Times New Roman" w:hAnsi="Times New Roman"/>
          <w:szCs w:val="22"/>
        </w:rPr>
      </w:pPr>
      <w:r w:rsidRPr="00C40D49">
        <w:rPr>
          <w:rFonts w:ascii="Times New Roman" w:hAnsi="Times New Roman"/>
          <w:szCs w:val="22"/>
        </w:rPr>
        <w:t xml:space="preserve">To summarize, the most important factors determining the climate impact are: </w:t>
      </w:r>
    </w:p>
    <w:p w:rsidR="00F82BCB" w:rsidRPr="00C40D49" w:rsidRDefault="00F82BCB" w:rsidP="00F82BCB">
      <w:pPr>
        <w:pStyle w:val="NoSpacing"/>
        <w:numPr>
          <w:ilvl w:val="0"/>
          <w:numId w:val="28"/>
        </w:numPr>
        <w:rPr>
          <w:rFonts w:ascii="Times New Roman" w:hAnsi="Times New Roman"/>
          <w:szCs w:val="22"/>
        </w:rPr>
      </w:pPr>
      <w:r w:rsidRPr="00C40D49">
        <w:rPr>
          <w:rFonts w:ascii="Times New Roman" w:hAnsi="Times New Roman"/>
          <w:szCs w:val="22"/>
        </w:rPr>
        <w:t>The GWP of the refrigerant multiplied with the amount leaking from the system, this is the direct contribution.</w:t>
      </w:r>
    </w:p>
    <w:p w:rsidR="00F82BCB" w:rsidRPr="00C40D49" w:rsidRDefault="00F82BCB" w:rsidP="00F82BCB">
      <w:pPr>
        <w:pStyle w:val="NoSpacing"/>
        <w:numPr>
          <w:ilvl w:val="0"/>
          <w:numId w:val="28"/>
        </w:numPr>
        <w:rPr>
          <w:rFonts w:ascii="Times New Roman" w:hAnsi="Times New Roman"/>
          <w:szCs w:val="22"/>
        </w:rPr>
      </w:pPr>
      <w:r w:rsidRPr="00C40D49">
        <w:rPr>
          <w:rFonts w:ascii="Times New Roman" w:hAnsi="Times New Roman"/>
          <w:szCs w:val="22"/>
        </w:rPr>
        <w:t>Energy consumption of the system multiplied with the amount of CO</w:t>
      </w:r>
      <w:r w:rsidRPr="00C40D49">
        <w:rPr>
          <w:rFonts w:ascii="Times New Roman" w:hAnsi="Times New Roman"/>
          <w:szCs w:val="22"/>
          <w:vertAlign w:val="subscript"/>
        </w:rPr>
        <w:t>2</w:t>
      </w:r>
      <w:r w:rsidRPr="00C40D49">
        <w:rPr>
          <w:rFonts w:ascii="Times New Roman" w:hAnsi="Times New Roman"/>
          <w:szCs w:val="22"/>
        </w:rPr>
        <w:t xml:space="preserve"> generated per unit of energy, this is part of the indirect contribution.</w:t>
      </w:r>
    </w:p>
    <w:p w:rsidR="00F82BCB" w:rsidRPr="00C40D49" w:rsidRDefault="00F82BCB" w:rsidP="00F82BCB">
      <w:pPr>
        <w:pStyle w:val="NoSpacing"/>
        <w:rPr>
          <w:rFonts w:ascii="Times New Roman" w:hAnsi="Times New Roman"/>
          <w:szCs w:val="22"/>
        </w:rPr>
      </w:pPr>
      <w:r w:rsidRPr="00C40D49">
        <w:rPr>
          <w:rFonts w:ascii="Times New Roman" w:hAnsi="Times New Roman"/>
          <w:szCs w:val="22"/>
        </w:rPr>
        <w:t>The uncertainty on energy consumption and leakage makes determining the total climate impact difficult.</w:t>
      </w:r>
    </w:p>
    <w:p w:rsidR="00F82BCB" w:rsidRDefault="00F82BCB" w:rsidP="00F82BCB">
      <w:pPr>
        <w:pStyle w:val="Heading2"/>
        <w:spacing w:before="240"/>
      </w:pPr>
      <w:bookmarkStart w:id="48" w:name="_Toc445666293"/>
      <w:bookmarkStart w:id="49" w:name="_Toc452653362"/>
      <w:r>
        <w:t>2.8</w:t>
      </w:r>
      <w:r>
        <w:tab/>
      </w:r>
      <w:r w:rsidRPr="00C20B56">
        <w:t>The GWP classification issue</w:t>
      </w:r>
      <w:bookmarkEnd w:id="48"/>
      <w:bookmarkEnd w:id="49"/>
      <w:r>
        <w:t xml:space="preserve"> </w:t>
      </w:r>
    </w:p>
    <w:p w:rsidR="00F82BCB" w:rsidRDefault="00F82BCB" w:rsidP="00F82BCB">
      <w:pPr>
        <w:rPr>
          <w:szCs w:val="22"/>
        </w:rPr>
      </w:pPr>
      <w:r w:rsidRPr="00BE7913">
        <w:rPr>
          <w:szCs w:val="22"/>
        </w:rPr>
        <w:t>To minimize direct climate impact</w:t>
      </w:r>
      <w:r w:rsidR="00DD1C7D">
        <w:rPr>
          <w:szCs w:val="22"/>
        </w:rPr>
        <w:t>,</w:t>
      </w:r>
      <w:r w:rsidRPr="00BE7913">
        <w:rPr>
          <w:szCs w:val="22"/>
        </w:rPr>
        <w:t xml:space="preserve"> a lower GWP refrigerant can be used. The RTOC 2014 </w:t>
      </w:r>
      <w:r w:rsidRPr="0059136A">
        <w:rPr>
          <w:szCs w:val="22"/>
        </w:rPr>
        <w:t>Assessment Report included</w:t>
      </w:r>
      <w:r w:rsidRPr="00BE7913">
        <w:rPr>
          <w:szCs w:val="22"/>
        </w:rPr>
        <w:t xml:space="preserve"> a taxonomy of GWP values, including what constitutes high, medium, and low GWP (again given in </w:t>
      </w:r>
      <w:r>
        <w:rPr>
          <w:szCs w:val="22"/>
        </w:rPr>
        <w:t>T</w:t>
      </w:r>
      <w:r w:rsidRPr="00BE7913">
        <w:rPr>
          <w:szCs w:val="22"/>
        </w:rPr>
        <w:t>able 2-</w:t>
      </w:r>
      <w:r>
        <w:rPr>
          <w:szCs w:val="22"/>
        </w:rPr>
        <w:t>7</w:t>
      </w:r>
      <w:r w:rsidRPr="00BE7913">
        <w:rPr>
          <w:szCs w:val="22"/>
        </w:rPr>
        <w:t xml:space="preserve"> below). This taxonomy is based on fixed GWP values</w:t>
      </w:r>
      <w:r>
        <w:rPr>
          <w:szCs w:val="22"/>
        </w:rPr>
        <w:t>.</w:t>
      </w:r>
    </w:p>
    <w:p w:rsidR="00F82BCB" w:rsidRPr="00F80F10" w:rsidRDefault="00F82BCB" w:rsidP="00F82BCB">
      <w:pPr>
        <w:rPr>
          <w:sz w:val="16"/>
          <w:szCs w:val="16"/>
          <w:lang w:eastAsia="ja-JP"/>
        </w:rPr>
      </w:pPr>
    </w:p>
    <w:p w:rsidR="00F82BCB" w:rsidRDefault="00F82BCB" w:rsidP="00F82BCB">
      <w:pPr>
        <w:rPr>
          <w:szCs w:val="22"/>
        </w:rPr>
      </w:pPr>
      <w:r w:rsidRPr="00BE7913">
        <w:rPr>
          <w:szCs w:val="22"/>
        </w:rPr>
        <w:t>Table 2-</w:t>
      </w:r>
      <w:r>
        <w:rPr>
          <w:szCs w:val="22"/>
        </w:rPr>
        <w:t>7</w:t>
      </w:r>
      <w:r w:rsidRPr="00BE7913">
        <w:rPr>
          <w:szCs w:val="22"/>
        </w:rPr>
        <w:t xml:space="preserve"> defines “low” as smaller than 300 and “high” as more than 1000. There are sources that define low as lower </w:t>
      </w:r>
      <w:r w:rsidRPr="0034620F">
        <w:rPr>
          <w:szCs w:val="22"/>
        </w:rPr>
        <w:t>than 25, as lower than 100, or as lower than 150 (which results from the 2006 EU MAC directive). It will be clear that “high”, “medium” and “low” are qualifiers, related to a scale, and that a number definition of these levels would be a non-technical choice</w:t>
      </w:r>
      <w:r w:rsidR="00FE51D6">
        <w:rPr>
          <w:szCs w:val="22"/>
        </w:rPr>
        <w:t xml:space="preserve">. </w:t>
      </w:r>
      <w:r w:rsidRPr="0034620F">
        <w:rPr>
          <w:szCs w:val="22"/>
        </w:rPr>
        <w:t>This also because it is somehow related to what is acceptable in specific applications.</w:t>
      </w:r>
      <w:r w:rsidRPr="00BE7913">
        <w:rPr>
          <w:szCs w:val="22"/>
        </w:rPr>
        <w:t xml:space="preserve"> </w:t>
      </w:r>
    </w:p>
    <w:p w:rsidR="00F82BCB" w:rsidRPr="00BE7913" w:rsidRDefault="00F82BCB" w:rsidP="00F82BCB">
      <w:pPr>
        <w:rPr>
          <w:szCs w:val="22"/>
        </w:rPr>
      </w:pPr>
    </w:p>
    <w:p w:rsidR="00F82BCB" w:rsidRPr="007B787F" w:rsidRDefault="00F82BCB" w:rsidP="00F82BCB">
      <w:pPr>
        <w:spacing w:after="120"/>
        <w:rPr>
          <w:b/>
          <w:i/>
        </w:rPr>
      </w:pPr>
      <w:r w:rsidRPr="007B787F">
        <w:rPr>
          <w:b/>
          <w:i/>
        </w:rPr>
        <w:t>Table 2-</w:t>
      </w:r>
      <w:r>
        <w:rPr>
          <w:b/>
          <w:i/>
        </w:rPr>
        <w:t>7</w:t>
      </w:r>
      <w:r w:rsidRPr="007B787F">
        <w:rPr>
          <w:b/>
          <w:i/>
        </w:rPr>
        <w:t>:   Classification of 100 year GWP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296"/>
      </w:tblGrid>
      <w:tr w:rsidR="00F82BCB" w:rsidRPr="007B787F" w:rsidTr="00BA6AD6">
        <w:tc>
          <w:tcPr>
            <w:tcW w:w="4621" w:type="dxa"/>
            <w:tcBorders>
              <w:top w:val="single" w:sz="18" w:space="0" w:color="A6A6A6"/>
              <w:left w:val="nil"/>
              <w:bottom w:val="single" w:sz="18" w:space="0" w:color="A6A6A6"/>
              <w:right w:val="nil"/>
            </w:tcBorders>
            <w:hideMark/>
          </w:tcPr>
          <w:p w:rsidR="00F82BCB" w:rsidRPr="007B787F" w:rsidRDefault="00F82BCB" w:rsidP="00BA6AD6">
            <w:pPr>
              <w:spacing w:after="60"/>
              <w:jc w:val="center"/>
              <w:rPr>
                <w:b/>
              </w:rPr>
            </w:pPr>
            <w:r w:rsidRPr="007B787F">
              <w:rPr>
                <w:b/>
              </w:rPr>
              <w:t>100 Year GWP</w:t>
            </w:r>
          </w:p>
        </w:tc>
        <w:tc>
          <w:tcPr>
            <w:tcW w:w="4622" w:type="dxa"/>
            <w:tcBorders>
              <w:top w:val="single" w:sz="18" w:space="0" w:color="A6A6A6"/>
              <w:left w:val="nil"/>
              <w:bottom w:val="single" w:sz="18" w:space="0" w:color="A6A6A6"/>
              <w:right w:val="nil"/>
            </w:tcBorders>
            <w:hideMark/>
          </w:tcPr>
          <w:p w:rsidR="00F82BCB" w:rsidRPr="007B787F" w:rsidRDefault="00F82BCB" w:rsidP="00BA6AD6">
            <w:pPr>
              <w:spacing w:after="60"/>
              <w:jc w:val="center"/>
              <w:rPr>
                <w:b/>
              </w:rPr>
            </w:pPr>
            <w:r w:rsidRPr="007B787F">
              <w:rPr>
                <w:b/>
              </w:rPr>
              <w:t>Classification</w:t>
            </w:r>
          </w:p>
        </w:tc>
      </w:tr>
      <w:tr w:rsidR="00F82BCB" w:rsidRPr="007B787F" w:rsidTr="00BA6AD6">
        <w:tc>
          <w:tcPr>
            <w:tcW w:w="4621" w:type="dxa"/>
            <w:tcBorders>
              <w:top w:val="single" w:sz="18" w:space="0" w:color="A6A6A6"/>
              <w:left w:val="nil"/>
              <w:bottom w:val="nil"/>
              <w:right w:val="nil"/>
            </w:tcBorders>
            <w:hideMark/>
          </w:tcPr>
          <w:p w:rsidR="00F82BCB" w:rsidRPr="007B787F" w:rsidRDefault="00F82BCB" w:rsidP="00BA6AD6">
            <w:pPr>
              <w:spacing w:after="20"/>
              <w:jc w:val="center"/>
            </w:pPr>
            <w:r w:rsidRPr="007B787F">
              <w:t>&lt; 30</w:t>
            </w:r>
          </w:p>
        </w:tc>
        <w:tc>
          <w:tcPr>
            <w:tcW w:w="4622" w:type="dxa"/>
            <w:tcBorders>
              <w:top w:val="single" w:sz="18" w:space="0" w:color="A6A6A6"/>
              <w:left w:val="nil"/>
              <w:bottom w:val="nil"/>
              <w:right w:val="nil"/>
            </w:tcBorders>
            <w:hideMark/>
          </w:tcPr>
          <w:p w:rsidR="00F82BCB" w:rsidRPr="007B787F" w:rsidRDefault="00F82BCB" w:rsidP="00BA6AD6">
            <w:pPr>
              <w:spacing w:after="20"/>
              <w:jc w:val="center"/>
            </w:pPr>
            <w:r w:rsidRPr="007B787F">
              <w:t>Ultra-low or Negligible</w:t>
            </w:r>
          </w:p>
        </w:tc>
      </w:tr>
      <w:tr w:rsidR="00F82BCB" w:rsidRPr="007B787F" w:rsidTr="00BA6AD6">
        <w:tc>
          <w:tcPr>
            <w:tcW w:w="4621" w:type="dxa"/>
            <w:tcBorders>
              <w:top w:val="nil"/>
              <w:left w:val="nil"/>
              <w:bottom w:val="nil"/>
              <w:right w:val="nil"/>
            </w:tcBorders>
            <w:hideMark/>
          </w:tcPr>
          <w:p w:rsidR="00F82BCB" w:rsidRPr="007B787F" w:rsidRDefault="00F82BCB" w:rsidP="00BA6AD6">
            <w:pPr>
              <w:spacing w:after="20"/>
              <w:jc w:val="center"/>
            </w:pPr>
            <w:r w:rsidRPr="007B787F">
              <w:t>&lt; 100</w:t>
            </w:r>
          </w:p>
        </w:tc>
        <w:tc>
          <w:tcPr>
            <w:tcW w:w="4622" w:type="dxa"/>
            <w:tcBorders>
              <w:top w:val="nil"/>
              <w:left w:val="nil"/>
              <w:bottom w:val="nil"/>
              <w:right w:val="nil"/>
            </w:tcBorders>
            <w:hideMark/>
          </w:tcPr>
          <w:p w:rsidR="00F82BCB" w:rsidRPr="007B787F" w:rsidRDefault="00F82BCB" w:rsidP="00BA6AD6">
            <w:pPr>
              <w:spacing w:after="20"/>
              <w:jc w:val="center"/>
            </w:pPr>
            <w:r w:rsidRPr="007B787F">
              <w:t>Very low</w:t>
            </w:r>
          </w:p>
        </w:tc>
      </w:tr>
      <w:tr w:rsidR="00F82BCB" w:rsidRPr="007B787F" w:rsidTr="00BA6AD6">
        <w:tc>
          <w:tcPr>
            <w:tcW w:w="4621" w:type="dxa"/>
            <w:tcBorders>
              <w:top w:val="nil"/>
              <w:left w:val="nil"/>
              <w:bottom w:val="nil"/>
              <w:right w:val="nil"/>
            </w:tcBorders>
            <w:hideMark/>
          </w:tcPr>
          <w:p w:rsidR="00F82BCB" w:rsidRPr="007B787F" w:rsidRDefault="00F82BCB" w:rsidP="00BA6AD6">
            <w:pPr>
              <w:spacing w:after="20"/>
              <w:jc w:val="center"/>
            </w:pPr>
            <w:r w:rsidRPr="007B787F">
              <w:t>&lt; 300</w:t>
            </w:r>
          </w:p>
        </w:tc>
        <w:tc>
          <w:tcPr>
            <w:tcW w:w="4622" w:type="dxa"/>
            <w:tcBorders>
              <w:top w:val="nil"/>
              <w:left w:val="nil"/>
              <w:bottom w:val="nil"/>
              <w:right w:val="nil"/>
            </w:tcBorders>
            <w:hideMark/>
          </w:tcPr>
          <w:p w:rsidR="00F82BCB" w:rsidRPr="007B787F" w:rsidRDefault="00F82BCB" w:rsidP="00BA6AD6">
            <w:pPr>
              <w:spacing w:after="20"/>
              <w:jc w:val="center"/>
            </w:pPr>
            <w:r w:rsidRPr="007B787F">
              <w:t>Low</w:t>
            </w:r>
          </w:p>
        </w:tc>
      </w:tr>
      <w:tr w:rsidR="00F82BCB" w:rsidRPr="007B787F" w:rsidTr="00BA6AD6">
        <w:tc>
          <w:tcPr>
            <w:tcW w:w="4621" w:type="dxa"/>
            <w:tcBorders>
              <w:top w:val="nil"/>
              <w:left w:val="nil"/>
              <w:bottom w:val="nil"/>
              <w:right w:val="nil"/>
            </w:tcBorders>
            <w:hideMark/>
          </w:tcPr>
          <w:p w:rsidR="00F82BCB" w:rsidRPr="007B787F" w:rsidRDefault="00F82BCB" w:rsidP="00BA6AD6">
            <w:pPr>
              <w:spacing w:after="20"/>
              <w:jc w:val="center"/>
            </w:pPr>
            <w:r w:rsidRPr="007B787F">
              <w:t>300-1000</w:t>
            </w:r>
          </w:p>
        </w:tc>
        <w:tc>
          <w:tcPr>
            <w:tcW w:w="4622" w:type="dxa"/>
            <w:tcBorders>
              <w:top w:val="nil"/>
              <w:left w:val="nil"/>
              <w:bottom w:val="nil"/>
              <w:right w:val="nil"/>
            </w:tcBorders>
            <w:hideMark/>
          </w:tcPr>
          <w:p w:rsidR="00F82BCB" w:rsidRPr="007B787F" w:rsidRDefault="00F82BCB" w:rsidP="00BA6AD6">
            <w:pPr>
              <w:spacing w:after="20"/>
              <w:jc w:val="center"/>
            </w:pPr>
            <w:r w:rsidRPr="007B787F">
              <w:t>Medium</w:t>
            </w:r>
          </w:p>
        </w:tc>
      </w:tr>
      <w:tr w:rsidR="00F82BCB" w:rsidRPr="007B787F" w:rsidTr="00BA6AD6">
        <w:tc>
          <w:tcPr>
            <w:tcW w:w="4621" w:type="dxa"/>
            <w:tcBorders>
              <w:top w:val="nil"/>
              <w:left w:val="nil"/>
              <w:bottom w:val="nil"/>
              <w:right w:val="nil"/>
            </w:tcBorders>
            <w:hideMark/>
          </w:tcPr>
          <w:p w:rsidR="00F82BCB" w:rsidRPr="007B787F" w:rsidRDefault="00F82BCB" w:rsidP="00BA6AD6">
            <w:pPr>
              <w:spacing w:after="20"/>
              <w:jc w:val="center"/>
            </w:pPr>
            <w:r w:rsidRPr="007B787F">
              <w:t>&gt; 1000</w:t>
            </w:r>
          </w:p>
        </w:tc>
        <w:tc>
          <w:tcPr>
            <w:tcW w:w="4622" w:type="dxa"/>
            <w:tcBorders>
              <w:top w:val="nil"/>
              <w:left w:val="nil"/>
              <w:bottom w:val="nil"/>
              <w:right w:val="nil"/>
            </w:tcBorders>
            <w:hideMark/>
          </w:tcPr>
          <w:p w:rsidR="00F82BCB" w:rsidRPr="007B787F" w:rsidRDefault="00F82BCB" w:rsidP="00BA6AD6">
            <w:pPr>
              <w:spacing w:after="20"/>
              <w:jc w:val="center"/>
            </w:pPr>
            <w:r w:rsidRPr="007B787F">
              <w:t>High</w:t>
            </w:r>
          </w:p>
        </w:tc>
      </w:tr>
      <w:tr w:rsidR="00F82BCB" w:rsidRPr="007B787F" w:rsidTr="00BA6AD6">
        <w:tc>
          <w:tcPr>
            <w:tcW w:w="4621" w:type="dxa"/>
            <w:tcBorders>
              <w:top w:val="nil"/>
              <w:left w:val="nil"/>
              <w:bottom w:val="nil"/>
              <w:right w:val="nil"/>
            </w:tcBorders>
            <w:hideMark/>
          </w:tcPr>
          <w:p w:rsidR="00F82BCB" w:rsidRPr="007B787F" w:rsidRDefault="00F82BCB" w:rsidP="00BA6AD6">
            <w:pPr>
              <w:spacing w:after="20"/>
              <w:jc w:val="center"/>
            </w:pPr>
            <w:r w:rsidRPr="007B787F">
              <w:t>&gt; 3000</w:t>
            </w:r>
          </w:p>
        </w:tc>
        <w:tc>
          <w:tcPr>
            <w:tcW w:w="4622" w:type="dxa"/>
            <w:tcBorders>
              <w:top w:val="nil"/>
              <w:left w:val="nil"/>
              <w:bottom w:val="nil"/>
              <w:right w:val="nil"/>
            </w:tcBorders>
            <w:hideMark/>
          </w:tcPr>
          <w:p w:rsidR="00F82BCB" w:rsidRPr="007B787F" w:rsidRDefault="00F82BCB" w:rsidP="00BA6AD6">
            <w:pPr>
              <w:spacing w:after="20"/>
              <w:jc w:val="center"/>
            </w:pPr>
            <w:r w:rsidRPr="007B787F">
              <w:t>Very high</w:t>
            </w:r>
          </w:p>
        </w:tc>
      </w:tr>
      <w:tr w:rsidR="00F82BCB" w:rsidRPr="007B787F" w:rsidTr="00BA6AD6">
        <w:tc>
          <w:tcPr>
            <w:tcW w:w="4621" w:type="dxa"/>
            <w:tcBorders>
              <w:top w:val="nil"/>
              <w:left w:val="nil"/>
              <w:bottom w:val="single" w:sz="18" w:space="0" w:color="A6A6A6"/>
              <w:right w:val="nil"/>
            </w:tcBorders>
            <w:hideMark/>
          </w:tcPr>
          <w:p w:rsidR="00F82BCB" w:rsidRPr="007B787F" w:rsidRDefault="00F82BCB" w:rsidP="00BA6AD6">
            <w:pPr>
              <w:spacing w:after="20"/>
              <w:jc w:val="center"/>
            </w:pPr>
            <w:r w:rsidRPr="007B787F">
              <w:t>&gt; 10000</w:t>
            </w:r>
          </w:p>
        </w:tc>
        <w:tc>
          <w:tcPr>
            <w:tcW w:w="4622" w:type="dxa"/>
            <w:tcBorders>
              <w:top w:val="nil"/>
              <w:left w:val="nil"/>
              <w:bottom w:val="single" w:sz="18" w:space="0" w:color="A6A6A6"/>
              <w:right w:val="nil"/>
            </w:tcBorders>
            <w:hideMark/>
          </w:tcPr>
          <w:p w:rsidR="00F82BCB" w:rsidRPr="007B787F" w:rsidRDefault="00F82BCB" w:rsidP="00BA6AD6">
            <w:pPr>
              <w:spacing w:after="20"/>
              <w:jc w:val="center"/>
            </w:pPr>
            <w:r w:rsidRPr="007B787F">
              <w:t>Ultra-high</w:t>
            </w:r>
          </w:p>
        </w:tc>
      </w:tr>
    </w:tbl>
    <w:p w:rsidR="00F82BCB" w:rsidRDefault="00F82BCB" w:rsidP="00F82BCB">
      <w:pPr>
        <w:rPr>
          <w:szCs w:val="22"/>
        </w:rPr>
      </w:pPr>
    </w:p>
    <w:p w:rsidR="00F82BCB" w:rsidRPr="00BE7913" w:rsidRDefault="00F82BCB" w:rsidP="00F82BCB">
      <w:pPr>
        <w:rPr>
          <w:szCs w:val="22"/>
        </w:rPr>
      </w:pPr>
      <w:r w:rsidRPr="00BE7913">
        <w:rPr>
          <w:szCs w:val="22"/>
        </w:rPr>
        <w:lastRenderedPageBreak/>
        <w:t xml:space="preserve">For instance, there is a relationship between the pressure, the GWP and the flammability of a refrigerant, as illustrated in </w:t>
      </w:r>
      <w:r>
        <w:rPr>
          <w:szCs w:val="22"/>
        </w:rPr>
        <w:t>T</w:t>
      </w:r>
      <w:r w:rsidRPr="00BE7913">
        <w:rPr>
          <w:szCs w:val="22"/>
        </w:rPr>
        <w:t>able 2-</w:t>
      </w:r>
      <w:r>
        <w:rPr>
          <w:szCs w:val="22"/>
        </w:rPr>
        <w:t>8</w:t>
      </w:r>
      <w:r w:rsidRPr="00BE7913">
        <w:rPr>
          <w:szCs w:val="22"/>
        </w:rPr>
        <w:t xml:space="preserve">, which is also from the RTOC 2014 </w:t>
      </w:r>
      <w:r>
        <w:rPr>
          <w:szCs w:val="22"/>
        </w:rPr>
        <w:t>Assessment R</w:t>
      </w:r>
      <w:r w:rsidRPr="00BE7913">
        <w:rPr>
          <w:szCs w:val="22"/>
        </w:rPr>
        <w:t>eport</w:t>
      </w:r>
      <w:r>
        <w:rPr>
          <w:szCs w:val="22"/>
        </w:rPr>
        <w:t xml:space="preserve"> (UNEP, 2014)</w:t>
      </w:r>
      <w:r w:rsidRPr="00BE7913">
        <w:rPr>
          <w:szCs w:val="22"/>
        </w:rPr>
        <w:t xml:space="preserve">. The trend can be described as “the higher the pressure, the higher the minimum GWP which is needed for fluids to be non-flammable”. The exception to this relationship is R-717 and R-744, which do not fit this pattern. </w:t>
      </w:r>
      <w:r>
        <w:rPr>
          <w:szCs w:val="22"/>
        </w:rPr>
        <w:t xml:space="preserve">Therefore, </w:t>
      </w:r>
      <w:r w:rsidRPr="00BE7913">
        <w:rPr>
          <w:szCs w:val="22"/>
        </w:rPr>
        <w:t>what could be an “acceptable” GWP for a high pressure fluid replacing R-410A may not be “acceptable” for a low pressure fluid replacing HFC-134a. But this does not relate to a definition of a GWP classification in an absolute sense.</w:t>
      </w:r>
    </w:p>
    <w:p w:rsidR="00F82BCB" w:rsidRPr="007B787F" w:rsidRDefault="00F82BCB" w:rsidP="00F82BCB"/>
    <w:p w:rsidR="00F82BCB" w:rsidRPr="007B787F" w:rsidRDefault="00F82BCB" w:rsidP="00F82BCB">
      <w:pPr>
        <w:spacing w:after="120"/>
        <w:rPr>
          <w:b/>
          <w:i/>
        </w:rPr>
      </w:pPr>
      <w:r w:rsidRPr="007B787F">
        <w:rPr>
          <w:b/>
          <w:i/>
        </w:rPr>
        <w:t>Table 2-</w:t>
      </w:r>
      <w:r>
        <w:rPr>
          <w:b/>
          <w:i/>
        </w:rPr>
        <w:t>8</w:t>
      </w:r>
      <w:r w:rsidRPr="007B787F">
        <w:rPr>
          <w:b/>
          <w:i/>
        </w:rPr>
        <w:t>:  100 year GWPs for synthetic refrigerants and hydrocarbons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194"/>
        <w:gridCol w:w="2214"/>
        <w:gridCol w:w="2189"/>
      </w:tblGrid>
      <w:tr w:rsidR="00F82BCB" w:rsidRPr="007B787F" w:rsidTr="00BA6AD6">
        <w:tc>
          <w:tcPr>
            <w:tcW w:w="1921" w:type="dxa"/>
            <w:vMerge w:val="restart"/>
            <w:tcBorders>
              <w:top w:val="single" w:sz="18" w:space="0" w:color="A6A6A6"/>
              <w:left w:val="nil"/>
              <w:bottom w:val="single" w:sz="18" w:space="0" w:color="A6A6A6"/>
              <w:right w:val="nil"/>
            </w:tcBorders>
            <w:hideMark/>
          </w:tcPr>
          <w:p w:rsidR="00F82BCB" w:rsidRPr="007B787F" w:rsidRDefault="00F82BCB" w:rsidP="00BA6AD6">
            <w:pPr>
              <w:spacing w:after="120"/>
              <w:rPr>
                <w:b/>
              </w:rPr>
            </w:pPr>
            <w:r w:rsidRPr="007B787F">
              <w:rPr>
                <w:b/>
              </w:rPr>
              <w:t>Safety Class</w:t>
            </w:r>
          </w:p>
        </w:tc>
        <w:tc>
          <w:tcPr>
            <w:tcW w:w="6608" w:type="dxa"/>
            <w:gridSpan w:val="3"/>
            <w:tcBorders>
              <w:top w:val="single" w:sz="18" w:space="0" w:color="A6A6A6"/>
              <w:left w:val="nil"/>
              <w:bottom w:val="single" w:sz="4" w:space="0" w:color="auto"/>
              <w:right w:val="nil"/>
            </w:tcBorders>
            <w:hideMark/>
          </w:tcPr>
          <w:p w:rsidR="00F82BCB" w:rsidRPr="007B787F" w:rsidRDefault="00F82BCB" w:rsidP="00BA6AD6">
            <w:pPr>
              <w:spacing w:after="120"/>
              <w:jc w:val="center"/>
              <w:rPr>
                <w:b/>
              </w:rPr>
            </w:pPr>
            <w:r w:rsidRPr="007B787F">
              <w:rPr>
                <w:b/>
              </w:rPr>
              <w:t>Range of GWP for Alternatives to</w:t>
            </w:r>
          </w:p>
        </w:tc>
      </w:tr>
      <w:tr w:rsidR="00F82BCB" w:rsidRPr="007B787F" w:rsidTr="00BA6AD6">
        <w:tc>
          <w:tcPr>
            <w:tcW w:w="0" w:type="auto"/>
            <w:vMerge/>
            <w:tcBorders>
              <w:top w:val="single" w:sz="18" w:space="0" w:color="A6A6A6"/>
              <w:left w:val="nil"/>
              <w:bottom w:val="single" w:sz="18" w:space="0" w:color="A6A6A6"/>
              <w:right w:val="nil"/>
            </w:tcBorders>
            <w:vAlign w:val="center"/>
            <w:hideMark/>
          </w:tcPr>
          <w:p w:rsidR="00F82BCB" w:rsidRPr="007B787F" w:rsidRDefault="00F82BCB" w:rsidP="00BA6AD6">
            <w:pPr>
              <w:rPr>
                <w:b/>
              </w:rPr>
            </w:pPr>
          </w:p>
        </w:tc>
        <w:tc>
          <w:tcPr>
            <w:tcW w:w="2198" w:type="dxa"/>
            <w:tcBorders>
              <w:top w:val="single" w:sz="18" w:space="0" w:color="A6A6A6"/>
              <w:left w:val="nil"/>
              <w:bottom w:val="single" w:sz="18" w:space="0" w:color="A6A6A6"/>
              <w:right w:val="nil"/>
            </w:tcBorders>
            <w:hideMark/>
          </w:tcPr>
          <w:p w:rsidR="00F82BCB" w:rsidRPr="007B787F" w:rsidRDefault="00F82BCB" w:rsidP="00BA6AD6">
            <w:pPr>
              <w:spacing w:after="120"/>
              <w:jc w:val="center"/>
            </w:pPr>
            <w:r w:rsidRPr="007B787F">
              <w:rPr>
                <w:b/>
              </w:rPr>
              <w:t>HFC-134a</w:t>
            </w:r>
          </w:p>
        </w:tc>
        <w:tc>
          <w:tcPr>
            <w:tcW w:w="2217" w:type="dxa"/>
            <w:tcBorders>
              <w:top w:val="single" w:sz="18" w:space="0" w:color="A6A6A6"/>
              <w:left w:val="nil"/>
              <w:bottom w:val="single" w:sz="18" w:space="0" w:color="A6A6A6"/>
              <w:right w:val="nil"/>
            </w:tcBorders>
            <w:hideMark/>
          </w:tcPr>
          <w:p w:rsidR="00F82BCB" w:rsidRPr="007B787F" w:rsidRDefault="00F82BCB" w:rsidP="00BA6AD6">
            <w:pPr>
              <w:spacing w:after="120"/>
              <w:jc w:val="center"/>
              <w:rPr>
                <w:b/>
              </w:rPr>
            </w:pPr>
            <w:r w:rsidRPr="007B787F">
              <w:rPr>
                <w:b/>
              </w:rPr>
              <w:t xml:space="preserve">HCFC-22, R-404A, </w:t>
            </w:r>
            <w:r w:rsidRPr="007B787F">
              <w:rPr>
                <w:b/>
              </w:rPr>
              <w:br/>
              <w:t>R-407C, and R-507A</w:t>
            </w:r>
          </w:p>
        </w:tc>
        <w:tc>
          <w:tcPr>
            <w:tcW w:w="2193" w:type="dxa"/>
            <w:tcBorders>
              <w:top w:val="single" w:sz="18" w:space="0" w:color="A6A6A6"/>
              <w:left w:val="nil"/>
              <w:bottom w:val="single" w:sz="18" w:space="0" w:color="A6A6A6"/>
              <w:right w:val="nil"/>
            </w:tcBorders>
            <w:hideMark/>
          </w:tcPr>
          <w:p w:rsidR="00F82BCB" w:rsidRPr="007B787F" w:rsidRDefault="00F82BCB" w:rsidP="00BA6AD6">
            <w:pPr>
              <w:spacing w:after="120"/>
              <w:jc w:val="center"/>
            </w:pPr>
            <w:r w:rsidRPr="007B787F">
              <w:rPr>
                <w:b/>
              </w:rPr>
              <w:t>R-410A</w:t>
            </w:r>
          </w:p>
        </w:tc>
      </w:tr>
      <w:tr w:rsidR="00F82BCB" w:rsidRPr="007B787F" w:rsidTr="00BA6AD6">
        <w:tc>
          <w:tcPr>
            <w:tcW w:w="1921" w:type="dxa"/>
            <w:tcBorders>
              <w:top w:val="single" w:sz="18" w:space="0" w:color="A6A6A6"/>
              <w:left w:val="nil"/>
              <w:bottom w:val="nil"/>
              <w:right w:val="nil"/>
            </w:tcBorders>
            <w:hideMark/>
          </w:tcPr>
          <w:p w:rsidR="00F82BCB" w:rsidRPr="007B787F" w:rsidRDefault="00F82BCB" w:rsidP="00BA6AD6">
            <w:pPr>
              <w:spacing w:after="80"/>
            </w:pPr>
            <w:r w:rsidRPr="007B787F">
              <w:t>A1</w:t>
            </w:r>
          </w:p>
        </w:tc>
        <w:tc>
          <w:tcPr>
            <w:tcW w:w="2198" w:type="dxa"/>
            <w:tcBorders>
              <w:top w:val="single" w:sz="18" w:space="0" w:color="A6A6A6"/>
              <w:left w:val="nil"/>
              <w:bottom w:val="nil"/>
              <w:right w:val="nil"/>
            </w:tcBorders>
            <w:hideMark/>
          </w:tcPr>
          <w:p w:rsidR="00F82BCB" w:rsidRPr="007B787F" w:rsidRDefault="00F82BCB" w:rsidP="00BA6AD6">
            <w:pPr>
              <w:spacing w:after="80"/>
              <w:jc w:val="center"/>
            </w:pPr>
            <w:r w:rsidRPr="007B787F">
              <w:t>540 – 900</w:t>
            </w:r>
          </w:p>
        </w:tc>
        <w:tc>
          <w:tcPr>
            <w:tcW w:w="2217" w:type="dxa"/>
            <w:tcBorders>
              <w:top w:val="single" w:sz="18" w:space="0" w:color="A6A6A6"/>
              <w:left w:val="nil"/>
              <w:bottom w:val="nil"/>
              <w:right w:val="nil"/>
            </w:tcBorders>
            <w:hideMark/>
          </w:tcPr>
          <w:p w:rsidR="00F82BCB" w:rsidRPr="007B787F" w:rsidRDefault="00F82BCB" w:rsidP="00BA6AD6">
            <w:pPr>
              <w:spacing w:after="80"/>
              <w:jc w:val="center"/>
            </w:pPr>
            <w:r w:rsidRPr="007B787F">
              <w:t>950 – 1600</w:t>
            </w:r>
          </w:p>
        </w:tc>
        <w:tc>
          <w:tcPr>
            <w:tcW w:w="2193" w:type="dxa"/>
            <w:tcBorders>
              <w:top w:val="single" w:sz="18" w:space="0" w:color="A6A6A6"/>
              <w:left w:val="nil"/>
              <w:bottom w:val="nil"/>
              <w:right w:val="nil"/>
            </w:tcBorders>
          </w:tcPr>
          <w:p w:rsidR="00F82BCB" w:rsidRPr="007B787F" w:rsidRDefault="00F82BCB" w:rsidP="00BA6AD6">
            <w:pPr>
              <w:spacing w:after="80"/>
              <w:jc w:val="center"/>
            </w:pPr>
          </w:p>
        </w:tc>
      </w:tr>
      <w:tr w:rsidR="00F82BCB" w:rsidRPr="007B787F" w:rsidTr="00BA6AD6">
        <w:tc>
          <w:tcPr>
            <w:tcW w:w="1921" w:type="dxa"/>
            <w:tcBorders>
              <w:top w:val="nil"/>
              <w:left w:val="nil"/>
              <w:bottom w:val="nil"/>
              <w:right w:val="nil"/>
            </w:tcBorders>
            <w:hideMark/>
          </w:tcPr>
          <w:p w:rsidR="00F82BCB" w:rsidRPr="007B787F" w:rsidRDefault="00F82BCB" w:rsidP="00BA6AD6">
            <w:pPr>
              <w:spacing w:after="80"/>
            </w:pPr>
            <w:r w:rsidRPr="007B787F">
              <w:t>A2L</w:t>
            </w:r>
          </w:p>
        </w:tc>
        <w:tc>
          <w:tcPr>
            <w:tcW w:w="2198" w:type="dxa"/>
            <w:tcBorders>
              <w:top w:val="nil"/>
              <w:left w:val="nil"/>
              <w:bottom w:val="nil"/>
              <w:right w:val="nil"/>
            </w:tcBorders>
            <w:hideMark/>
          </w:tcPr>
          <w:p w:rsidR="00F82BCB" w:rsidRPr="007B787F" w:rsidRDefault="00F82BCB" w:rsidP="00BA6AD6">
            <w:pPr>
              <w:spacing w:after="80"/>
              <w:jc w:val="center"/>
            </w:pPr>
            <w:r w:rsidRPr="007B787F">
              <w:t>≤ 110</w:t>
            </w:r>
          </w:p>
        </w:tc>
        <w:tc>
          <w:tcPr>
            <w:tcW w:w="2217" w:type="dxa"/>
            <w:tcBorders>
              <w:top w:val="nil"/>
              <w:left w:val="nil"/>
              <w:bottom w:val="nil"/>
              <w:right w:val="nil"/>
            </w:tcBorders>
            <w:hideMark/>
          </w:tcPr>
          <w:p w:rsidR="00F82BCB" w:rsidRPr="007B787F" w:rsidRDefault="00F82BCB" w:rsidP="00BA6AD6">
            <w:pPr>
              <w:spacing w:after="80"/>
              <w:jc w:val="center"/>
            </w:pPr>
            <w:r w:rsidRPr="007B787F">
              <w:t>200 – 970</w:t>
            </w:r>
          </w:p>
        </w:tc>
        <w:tc>
          <w:tcPr>
            <w:tcW w:w="2193" w:type="dxa"/>
            <w:tcBorders>
              <w:top w:val="nil"/>
              <w:left w:val="nil"/>
              <w:bottom w:val="nil"/>
              <w:right w:val="nil"/>
            </w:tcBorders>
            <w:hideMark/>
          </w:tcPr>
          <w:p w:rsidR="00F82BCB" w:rsidRPr="007B787F" w:rsidRDefault="00F82BCB" w:rsidP="00BA6AD6">
            <w:pPr>
              <w:spacing w:after="80"/>
              <w:jc w:val="center"/>
            </w:pPr>
            <w:r w:rsidRPr="007B787F">
              <w:t>280 – 740</w:t>
            </w:r>
          </w:p>
        </w:tc>
      </w:tr>
      <w:tr w:rsidR="00F82BCB" w:rsidRPr="007B787F" w:rsidTr="00BA6AD6">
        <w:tc>
          <w:tcPr>
            <w:tcW w:w="1921" w:type="dxa"/>
            <w:tcBorders>
              <w:top w:val="nil"/>
              <w:left w:val="nil"/>
              <w:bottom w:val="single" w:sz="18" w:space="0" w:color="A6A6A6"/>
              <w:right w:val="nil"/>
            </w:tcBorders>
            <w:hideMark/>
          </w:tcPr>
          <w:p w:rsidR="00F82BCB" w:rsidRPr="007B787F" w:rsidRDefault="00F82BCB" w:rsidP="00BA6AD6">
            <w:pPr>
              <w:spacing w:after="80"/>
            </w:pPr>
            <w:r w:rsidRPr="007B787F">
              <w:t>A3</w:t>
            </w:r>
          </w:p>
        </w:tc>
        <w:tc>
          <w:tcPr>
            <w:tcW w:w="2198" w:type="dxa"/>
            <w:tcBorders>
              <w:top w:val="nil"/>
              <w:left w:val="nil"/>
              <w:bottom w:val="single" w:sz="18" w:space="0" w:color="A6A6A6"/>
              <w:right w:val="nil"/>
            </w:tcBorders>
            <w:hideMark/>
          </w:tcPr>
          <w:p w:rsidR="00F82BCB" w:rsidRPr="007B787F" w:rsidRDefault="00F82BCB" w:rsidP="00BA6AD6">
            <w:pPr>
              <w:spacing w:after="80"/>
              <w:jc w:val="center"/>
            </w:pPr>
            <w:r w:rsidRPr="007B787F">
              <w:t>14 – 20</w:t>
            </w:r>
          </w:p>
        </w:tc>
        <w:tc>
          <w:tcPr>
            <w:tcW w:w="2217" w:type="dxa"/>
            <w:tcBorders>
              <w:top w:val="nil"/>
              <w:left w:val="nil"/>
              <w:bottom w:val="single" w:sz="18" w:space="0" w:color="A6A6A6"/>
              <w:right w:val="nil"/>
            </w:tcBorders>
            <w:hideMark/>
          </w:tcPr>
          <w:p w:rsidR="00F82BCB" w:rsidRPr="007B787F" w:rsidRDefault="00F82BCB" w:rsidP="00BA6AD6">
            <w:pPr>
              <w:spacing w:after="80"/>
              <w:jc w:val="center"/>
            </w:pPr>
            <w:r w:rsidRPr="007B787F">
              <w:t>1,8 – 5</w:t>
            </w:r>
          </w:p>
        </w:tc>
        <w:tc>
          <w:tcPr>
            <w:tcW w:w="2193" w:type="dxa"/>
            <w:tcBorders>
              <w:top w:val="nil"/>
              <w:left w:val="nil"/>
              <w:bottom w:val="single" w:sz="18" w:space="0" w:color="A6A6A6"/>
              <w:right w:val="nil"/>
            </w:tcBorders>
          </w:tcPr>
          <w:p w:rsidR="00F82BCB" w:rsidRPr="007B787F" w:rsidRDefault="00F82BCB" w:rsidP="00BA6AD6">
            <w:pPr>
              <w:spacing w:after="80"/>
              <w:jc w:val="center"/>
            </w:pPr>
          </w:p>
        </w:tc>
      </w:tr>
    </w:tbl>
    <w:p w:rsidR="00F82BCB" w:rsidRDefault="00F82BCB" w:rsidP="00F82BCB">
      <w:pPr>
        <w:spacing w:before="240" w:after="240"/>
        <w:rPr>
          <w:szCs w:val="22"/>
        </w:rPr>
      </w:pPr>
      <w:r w:rsidRPr="00040944">
        <w:rPr>
          <w:szCs w:val="22"/>
        </w:rPr>
        <w:t xml:space="preserve">The two refrigerants that do not fit this pattern, both being in the category with ultra-low GWP, are R-717 and R-744. These are for many applications considered as alternatives to the current higher GWP HFCs. </w:t>
      </w:r>
      <w:r w:rsidR="00DD1C7D">
        <w:rPr>
          <w:szCs w:val="22"/>
        </w:rPr>
        <w:t xml:space="preserve">Though toxic in principle, </w:t>
      </w:r>
      <w:r w:rsidRPr="00040944">
        <w:rPr>
          <w:szCs w:val="22"/>
        </w:rPr>
        <w:t>R-744 is a safety class A1 refrigerant</w:t>
      </w:r>
      <w:r>
        <w:rPr>
          <w:szCs w:val="22"/>
        </w:rPr>
        <w:t xml:space="preserve">, while R-717 </w:t>
      </w:r>
      <w:r w:rsidR="00DD1C7D">
        <w:rPr>
          <w:szCs w:val="22"/>
        </w:rPr>
        <w:t xml:space="preserve">is </w:t>
      </w:r>
      <w:r>
        <w:rPr>
          <w:szCs w:val="22"/>
        </w:rPr>
        <w:t>in class B2L.</w:t>
      </w:r>
    </w:p>
    <w:p w:rsidR="00856186" w:rsidRPr="007B787F" w:rsidRDefault="00856186" w:rsidP="00856186">
      <w:pPr>
        <w:pStyle w:val="Heading2"/>
        <w:spacing w:before="120"/>
      </w:pPr>
      <w:bookmarkStart w:id="50" w:name="_Toc452653363"/>
      <w:r>
        <w:t>2.9</w:t>
      </w:r>
      <w:r>
        <w:tab/>
      </w:r>
      <w:r>
        <w:tab/>
        <w:t xml:space="preserve">Environmentally </w:t>
      </w:r>
      <w:r w:rsidR="00F71979">
        <w:t>sustainable</w:t>
      </w:r>
      <w:r>
        <w:t xml:space="preserve"> and environmentally sound</w:t>
      </w:r>
      <w:bookmarkEnd w:id="50"/>
    </w:p>
    <w:p w:rsidR="00856186" w:rsidRDefault="00856186" w:rsidP="00856186">
      <w:pPr>
        <w:spacing w:after="240"/>
        <w:rPr>
          <w:szCs w:val="22"/>
        </w:rPr>
      </w:pPr>
      <w:r>
        <w:rPr>
          <w:szCs w:val="22"/>
        </w:rPr>
        <w:t xml:space="preserve">The alternatives described under “low” or “lower” GWP here aim at satisfying a criterion of “environmentally </w:t>
      </w:r>
      <w:r w:rsidR="00F71979">
        <w:rPr>
          <w:szCs w:val="22"/>
        </w:rPr>
        <w:t>sustainable</w:t>
      </w:r>
      <w:r>
        <w:rPr>
          <w:szCs w:val="22"/>
        </w:rPr>
        <w:t>” or “environmentally sound” (as this classification was used in Decision XXVI/9, taken in 2014)</w:t>
      </w:r>
      <w:r w:rsidR="00FE51D6">
        <w:rPr>
          <w:szCs w:val="22"/>
        </w:rPr>
        <w:t xml:space="preserve">. </w:t>
      </w:r>
    </w:p>
    <w:p w:rsidR="00AE5615" w:rsidRPr="00DF1497" w:rsidRDefault="00AE5615" w:rsidP="008A52E4">
      <w:pPr>
        <w:pStyle w:val="CommentText"/>
        <w:jc w:val="left"/>
        <w:rPr>
          <w:sz w:val="22"/>
          <w:szCs w:val="22"/>
        </w:rPr>
      </w:pPr>
      <w:r w:rsidRPr="008A52E4">
        <w:rPr>
          <w:i/>
          <w:sz w:val="22"/>
          <w:szCs w:val="22"/>
        </w:rPr>
        <w:t xml:space="preserve">“By </w:t>
      </w:r>
      <w:r w:rsidRPr="00DF1497">
        <w:rPr>
          <w:i/>
          <w:sz w:val="22"/>
          <w:szCs w:val="22"/>
        </w:rPr>
        <w:t>environmental sustainability</w:t>
      </w:r>
      <w:r w:rsidRPr="008A52E4">
        <w:rPr>
          <w:i/>
          <w:sz w:val="22"/>
          <w:szCs w:val="22"/>
        </w:rPr>
        <w:t xml:space="preserve"> we mean meeting current human needs without undermining the capacity of the environment to provide for those needs over the long term.”</w:t>
      </w:r>
      <w:r w:rsidRPr="00AE5615">
        <w:rPr>
          <w:sz w:val="22"/>
          <w:szCs w:val="22"/>
        </w:rPr>
        <w:t xml:space="preserve"> </w:t>
      </w:r>
      <w:r w:rsidRPr="00DF1497">
        <w:rPr>
          <w:sz w:val="22"/>
          <w:szCs w:val="22"/>
        </w:rPr>
        <w:t>(</w:t>
      </w:r>
      <w:hyperlink r:id="rId26" w:history="1">
        <w:r w:rsidRPr="008A52E4">
          <w:rPr>
            <w:rStyle w:val="Hyperlink"/>
            <w:color w:val="auto"/>
            <w:sz w:val="22"/>
            <w:szCs w:val="22"/>
          </w:rPr>
          <w:t>http://www.unmillenniumproject.org/documents/EnvironSust_summary.pdf</w:t>
        </w:r>
      </w:hyperlink>
      <w:r w:rsidRPr="00DF1497">
        <w:rPr>
          <w:sz w:val="22"/>
          <w:szCs w:val="22"/>
        </w:rPr>
        <w:t>).</w:t>
      </w:r>
    </w:p>
    <w:p w:rsidR="00565299" w:rsidRPr="00291235" w:rsidRDefault="00565299" w:rsidP="00F71979">
      <w:pPr>
        <w:rPr>
          <w:lang w:val="en-US"/>
        </w:rPr>
      </w:pPr>
    </w:p>
    <w:p w:rsidR="00F71979" w:rsidRDefault="00F71979" w:rsidP="00F71979">
      <w:pPr>
        <w:rPr>
          <w:lang w:val="en-US"/>
        </w:rPr>
      </w:pPr>
      <w:r w:rsidRPr="00291235">
        <w:rPr>
          <w:lang w:val="en-US"/>
        </w:rPr>
        <w:t>Non</w:t>
      </w:r>
      <w:r>
        <w:rPr>
          <w:lang w:val="en-US"/>
        </w:rPr>
        <w:t>e</w:t>
      </w:r>
      <w:r w:rsidRPr="00291235">
        <w:rPr>
          <w:lang w:val="en-US"/>
        </w:rPr>
        <w:t xml:space="preserve"> of the substances proposed as refrigerants are without </w:t>
      </w:r>
      <w:r w:rsidR="00DC1611">
        <w:rPr>
          <w:lang w:val="en-US"/>
        </w:rPr>
        <w:t>potentially adverse impacts to the environment</w:t>
      </w:r>
      <w:r w:rsidR="00DC1611" w:rsidRPr="00291235">
        <w:rPr>
          <w:lang w:val="en-US"/>
        </w:rPr>
        <w:t xml:space="preserve"> </w:t>
      </w:r>
      <w:r w:rsidRPr="00291235">
        <w:rPr>
          <w:lang w:val="en-US"/>
        </w:rPr>
        <w:t>if the emissions are large enough (with the exception of water and air, neither of which can be widely applied). A good example is R-744 (CO</w:t>
      </w:r>
      <w:r w:rsidRPr="00291235">
        <w:rPr>
          <w:vertAlign w:val="subscript"/>
          <w:lang w:val="en-US"/>
        </w:rPr>
        <w:t>2</w:t>
      </w:r>
      <w:r w:rsidRPr="00291235">
        <w:rPr>
          <w:lang w:val="en-US"/>
        </w:rPr>
        <w:t xml:space="preserve">) which has no ODP and a very low GWP, however </w:t>
      </w:r>
      <w:r w:rsidR="00CD3DFC">
        <w:rPr>
          <w:lang w:val="en-US"/>
        </w:rPr>
        <w:t xml:space="preserve">its </w:t>
      </w:r>
      <w:r w:rsidRPr="00291235">
        <w:rPr>
          <w:lang w:val="en-US"/>
        </w:rPr>
        <w:t xml:space="preserve">emissions related to energy </w:t>
      </w:r>
      <w:r w:rsidR="00EC06DA">
        <w:rPr>
          <w:lang w:val="en-US"/>
        </w:rPr>
        <w:t xml:space="preserve">production </w:t>
      </w:r>
      <w:r w:rsidRPr="00291235">
        <w:rPr>
          <w:lang w:val="en-US"/>
        </w:rPr>
        <w:t>are the primary contributor to global warming.</w:t>
      </w:r>
      <w:r w:rsidR="00807BD9">
        <w:rPr>
          <w:lang w:val="en-US"/>
        </w:rPr>
        <w:t xml:space="preserve"> </w:t>
      </w:r>
      <w:r w:rsidRPr="00291235">
        <w:rPr>
          <w:lang w:val="en-US"/>
        </w:rPr>
        <w:t>What the environment and humanity is able or willing to handle is a policy decision, and so is the fraction of the environmental load allowed to be related to refrigerant</w:t>
      </w:r>
      <w:r w:rsidR="00EC06DA">
        <w:rPr>
          <w:lang w:val="en-US"/>
        </w:rPr>
        <w:t xml:space="preserve"> emissions</w:t>
      </w:r>
      <w:r w:rsidRPr="00291235">
        <w:rPr>
          <w:lang w:val="en-US"/>
        </w:rPr>
        <w:t>.</w:t>
      </w:r>
      <w:r w:rsidR="00807BD9">
        <w:rPr>
          <w:lang w:val="en-US"/>
        </w:rPr>
        <w:t xml:space="preserve"> </w:t>
      </w:r>
      <w:r w:rsidRPr="00291235">
        <w:rPr>
          <w:lang w:val="en-US"/>
        </w:rPr>
        <w:t xml:space="preserve">One option </w:t>
      </w:r>
      <w:r w:rsidR="0010771B">
        <w:rPr>
          <w:lang w:val="en-US"/>
        </w:rPr>
        <w:t xml:space="preserve">to consider might be setting </w:t>
      </w:r>
      <w:r w:rsidRPr="00291235">
        <w:rPr>
          <w:lang w:val="en-US"/>
        </w:rPr>
        <w:t>certain limit</w:t>
      </w:r>
      <w:r w:rsidR="0010771B">
        <w:rPr>
          <w:lang w:val="en-US"/>
        </w:rPr>
        <w:t>s</w:t>
      </w:r>
      <w:r w:rsidRPr="00291235">
        <w:rPr>
          <w:lang w:val="en-US"/>
        </w:rPr>
        <w:t xml:space="preserve"> on direct refrigerant emissions relative </w:t>
      </w:r>
      <w:r w:rsidR="00CD3DFC">
        <w:rPr>
          <w:lang w:val="en-US"/>
        </w:rPr>
        <w:t xml:space="preserve">to </w:t>
      </w:r>
      <w:r w:rsidRPr="00291235">
        <w:rPr>
          <w:lang w:val="en-US"/>
        </w:rPr>
        <w:t>the IPCC 2050 scenarios</w:t>
      </w:r>
      <w:r w:rsidR="009641BE">
        <w:rPr>
          <w:lang w:val="en-US"/>
        </w:rPr>
        <w:t>. O</w:t>
      </w:r>
      <w:r w:rsidR="00EC06DA">
        <w:rPr>
          <w:lang w:val="en-US"/>
        </w:rPr>
        <w:t>ne could propose that</w:t>
      </w:r>
      <w:r w:rsidR="009641BE">
        <w:rPr>
          <w:lang w:val="en-US"/>
        </w:rPr>
        <w:t xml:space="preserve"> a</w:t>
      </w:r>
      <w:r w:rsidR="00EC06DA">
        <w:rPr>
          <w:lang w:val="en-US"/>
        </w:rPr>
        <w:t xml:space="preserve"> </w:t>
      </w:r>
      <w:r w:rsidRPr="00291235">
        <w:rPr>
          <w:lang w:val="en-US"/>
        </w:rPr>
        <w:t xml:space="preserve">maximum </w:t>
      </w:r>
      <w:r w:rsidR="009641BE">
        <w:rPr>
          <w:lang w:val="en-US"/>
        </w:rPr>
        <w:t xml:space="preserve">of </w:t>
      </w:r>
      <w:r w:rsidRPr="00291235">
        <w:rPr>
          <w:lang w:val="en-US"/>
        </w:rPr>
        <w:t xml:space="preserve">1% of total GHG emissions </w:t>
      </w:r>
      <w:r w:rsidR="009641BE">
        <w:rPr>
          <w:lang w:val="en-US"/>
        </w:rPr>
        <w:t xml:space="preserve">could </w:t>
      </w:r>
      <w:r w:rsidRPr="00291235">
        <w:rPr>
          <w:lang w:val="en-US"/>
        </w:rPr>
        <w:t>be an acceptable contribution of refrigerants and foam</w:t>
      </w:r>
      <w:r w:rsidR="00EC06DA">
        <w:rPr>
          <w:lang w:val="en-US"/>
        </w:rPr>
        <w:t xml:space="preserve"> blowing agents.</w:t>
      </w:r>
      <w:r w:rsidRPr="00291235">
        <w:rPr>
          <w:lang w:val="en-US"/>
        </w:rPr>
        <w:t xml:space="preserve"> </w:t>
      </w:r>
      <w:r w:rsidR="009641BE">
        <w:rPr>
          <w:lang w:val="en-US"/>
        </w:rPr>
        <w:t xml:space="preserve">However, even </w:t>
      </w:r>
      <w:r w:rsidRPr="00291235">
        <w:rPr>
          <w:lang w:val="en-US"/>
        </w:rPr>
        <w:t xml:space="preserve">with this type of </w:t>
      </w:r>
      <w:r w:rsidR="009641BE">
        <w:rPr>
          <w:lang w:val="en-US"/>
        </w:rPr>
        <w:t xml:space="preserve">policy approach </w:t>
      </w:r>
      <w:r w:rsidRPr="00291235">
        <w:rPr>
          <w:lang w:val="en-US"/>
        </w:rPr>
        <w:t>the</w:t>
      </w:r>
      <w:r w:rsidR="00EC06DA">
        <w:rPr>
          <w:lang w:val="en-US"/>
        </w:rPr>
        <w:t xml:space="preserve"> </w:t>
      </w:r>
      <w:r w:rsidRPr="00291235">
        <w:rPr>
          <w:lang w:val="en-US"/>
        </w:rPr>
        <w:t xml:space="preserve">question </w:t>
      </w:r>
      <w:r w:rsidR="00EC06DA">
        <w:rPr>
          <w:lang w:val="en-US"/>
        </w:rPr>
        <w:t xml:space="preserve">remains </w:t>
      </w:r>
      <w:r w:rsidRPr="00291235">
        <w:rPr>
          <w:lang w:val="en-US"/>
        </w:rPr>
        <w:t>of how emissions should be distributed between various application</w:t>
      </w:r>
      <w:r w:rsidR="00CD3DFC">
        <w:rPr>
          <w:lang w:val="en-US"/>
        </w:rPr>
        <w:t xml:space="preserve"> sectors </w:t>
      </w:r>
      <w:r w:rsidRPr="00291235">
        <w:rPr>
          <w:lang w:val="en-US"/>
        </w:rPr>
        <w:t xml:space="preserve"> within this very </w:t>
      </w:r>
      <w:r w:rsidR="00CD3DFC">
        <w:rPr>
          <w:lang w:val="en-US"/>
        </w:rPr>
        <w:t>“</w:t>
      </w:r>
      <w:r w:rsidRPr="00291235">
        <w:rPr>
          <w:lang w:val="en-US"/>
        </w:rPr>
        <w:t>broad</w:t>
      </w:r>
      <w:r w:rsidR="00CD3DFC">
        <w:rPr>
          <w:lang w:val="en-US"/>
        </w:rPr>
        <w:t>”</w:t>
      </w:r>
      <w:r w:rsidRPr="00291235">
        <w:rPr>
          <w:lang w:val="en-US"/>
        </w:rPr>
        <w:t xml:space="preserve"> industry.</w:t>
      </w:r>
      <w:r w:rsidR="0010771B">
        <w:rPr>
          <w:lang w:val="en-US"/>
        </w:rPr>
        <w:t xml:space="preserve"> Further, determining how much GHGs (HFCs) could be produced, and over what time frame</w:t>
      </w:r>
      <w:r w:rsidR="00B50FA4">
        <w:rPr>
          <w:lang w:val="en-US"/>
        </w:rPr>
        <w:t>, and how banks of these chemicals would be addressed such that the emissions through 2050 met this criterion, would involve establishing highly uncertain assumptions (e.g., leak rates) which could be very different between those various applications.</w:t>
      </w:r>
    </w:p>
    <w:p w:rsidR="00F71979" w:rsidRDefault="00F71979" w:rsidP="00F71979">
      <w:pPr>
        <w:rPr>
          <w:lang w:val="en-US"/>
        </w:rPr>
      </w:pPr>
    </w:p>
    <w:p w:rsidR="00DF1497" w:rsidRPr="00DF1497" w:rsidRDefault="00F71979" w:rsidP="00F71979">
      <w:pPr>
        <w:rPr>
          <w:i/>
          <w:color w:val="auto"/>
        </w:rPr>
      </w:pPr>
      <w:r w:rsidRPr="00DF1497">
        <w:rPr>
          <w:color w:val="auto"/>
        </w:rPr>
        <w:t xml:space="preserve">The following definition for ”environmentally sound” is </w:t>
      </w:r>
      <w:r w:rsidR="00DF1497" w:rsidRPr="00DF1497">
        <w:rPr>
          <w:color w:val="auto"/>
        </w:rPr>
        <w:t xml:space="preserve">often </w:t>
      </w:r>
      <w:r w:rsidRPr="00DF1497">
        <w:rPr>
          <w:color w:val="auto"/>
        </w:rPr>
        <w:t>used</w:t>
      </w:r>
      <w:r w:rsidR="00CD3DFC" w:rsidRPr="00DF1497">
        <w:rPr>
          <w:color w:val="auto"/>
        </w:rPr>
        <w:t xml:space="preserve">: </w:t>
      </w:r>
      <w:r w:rsidR="00DF1497">
        <w:rPr>
          <w:color w:val="auto"/>
        </w:rPr>
        <w:t>“</w:t>
      </w:r>
      <w:r w:rsidR="002337B3" w:rsidRPr="00DF1497">
        <w:rPr>
          <w:i/>
          <w:color w:val="auto"/>
        </w:rPr>
        <w:t>An environmentally sound product or</w:t>
      </w:r>
      <w:r w:rsidR="002337B3" w:rsidRPr="00DF1497">
        <w:rPr>
          <w:rStyle w:val="apple-converted-space"/>
          <w:i/>
          <w:color w:val="auto"/>
        </w:rPr>
        <w:t> </w:t>
      </w:r>
      <w:hyperlink r:id="rId27" w:history="1">
        <w:r w:rsidR="002337B3" w:rsidRPr="00DF1497">
          <w:rPr>
            <w:rStyle w:val="Hyperlink"/>
            <w:i/>
            <w:color w:val="auto"/>
            <w:u w:val="none"/>
          </w:rPr>
          <w:t>manufacturing process</w:t>
        </w:r>
      </w:hyperlink>
      <w:r w:rsidR="002337B3" w:rsidRPr="00DF1497">
        <w:rPr>
          <w:rStyle w:val="apple-converted-space"/>
          <w:i/>
          <w:color w:val="auto"/>
          <w:shd w:val="clear" w:color="auto" w:fill="FFFFFF"/>
        </w:rPr>
        <w:t> is a product or process </w:t>
      </w:r>
      <w:r w:rsidR="002337B3" w:rsidRPr="00DF1497">
        <w:rPr>
          <w:i/>
          <w:color w:val="auto"/>
          <w:shd w:val="clear" w:color="auto" w:fill="FFFFFF"/>
        </w:rPr>
        <w:t>that, from beginning to end,</w:t>
      </w:r>
      <w:r w:rsidR="002337B3" w:rsidRPr="00DF1497">
        <w:rPr>
          <w:rStyle w:val="apple-converted-space"/>
          <w:i/>
          <w:color w:val="auto"/>
          <w:shd w:val="clear" w:color="auto" w:fill="FFFFFF"/>
        </w:rPr>
        <w:t> </w:t>
      </w:r>
      <w:r w:rsidR="00F97D6D" w:rsidRPr="00DF1497">
        <w:rPr>
          <w:rStyle w:val="apple-converted-space"/>
          <w:i/>
          <w:color w:val="auto"/>
          <w:shd w:val="clear" w:color="auto" w:fill="FFFFFF"/>
        </w:rPr>
        <w:t xml:space="preserve">is in essential harmony with </w:t>
      </w:r>
      <w:r w:rsidR="002337B3" w:rsidRPr="00DF1497">
        <w:rPr>
          <w:i/>
          <w:color w:val="auto"/>
          <w:shd w:val="clear" w:color="auto" w:fill="FFFFFF"/>
        </w:rPr>
        <w:t>its</w:t>
      </w:r>
      <w:r w:rsidR="002337B3" w:rsidRPr="00DF1497">
        <w:rPr>
          <w:rStyle w:val="apple-converted-space"/>
          <w:i/>
          <w:color w:val="auto"/>
          <w:shd w:val="clear" w:color="auto" w:fill="FFFFFF"/>
        </w:rPr>
        <w:t> </w:t>
      </w:r>
      <w:hyperlink r:id="rId28" w:history="1">
        <w:r w:rsidR="002337B3" w:rsidRPr="00DF1497">
          <w:rPr>
            <w:rStyle w:val="Hyperlink"/>
            <w:i/>
            <w:color w:val="auto"/>
            <w:u w:val="none"/>
          </w:rPr>
          <w:t>environment</w:t>
        </w:r>
      </w:hyperlink>
      <w:r w:rsidR="002337B3" w:rsidRPr="00DF1497">
        <w:rPr>
          <w:rStyle w:val="apple-converted-space"/>
          <w:i/>
          <w:color w:val="auto"/>
          <w:shd w:val="clear" w:color="auto" w:fill="FFFFFF"/>
        </w:rPr>
        <w:t> </w:t>
      </w:r>
      <w:r w:rsidR="002337B3" w:rsidRPr="00DF1497">
        <w:rPr>
          <w:i/>
          <w:color w:val="auto"/>
          <w:shd w:val="clear" w:color="auto" w:fill="FFFFFF"/>
        </w:rPr>
        <w:t xml:space="preserve">and </w:t>
      </w:r>
      <w:r w:rsidR="00DF1497" w:rsidRPr="00DF1497">
        <w:rPr>
          <w:i/>
          <w:color w:val="auto"/>
          <w:shd w:val="clear" w:color="auto" w:fill="FFFFFF"/>
        </w:rPr>
        <w:t>t</w:t>
      </w:r>
      <w:r w:rsidR="002337B3" w:rsidRPr="00DF1497">
        <w:rPr>
          <w:i/>
          <w:color w:val="auto"/>
          <w:shd w:val="clear" w:color="auto" w:fill="FFFFFF"/>
        </w:rPr>
        <w:t>he</w:t>
      </w:r>
      <w:r w:rsidR="002337B3" w:rsidRPr="00DF1497">
        <w:rPr>
          <w:rStyle w:val="apple-converted-space"/>
          <w:i/>
          <w:color w:val="auto"/>
          <w:shd w:val="clear" w:color="auto" w:fill="FFFFFF"/>
        </w:rPr>
        <w:t> </w:t>
      </w:r>
      <w:hyperlink r:id="rId29" w:history="1">
        <w:r w:rsidR="002337B3" w:rsidRPr="00DF1497">
          <w:rPr>
            <w:rStyle w:val="Hyperlink"/>
            <w:i/>
            <w:color w:val="auto"/>
            <w:u w:val="none"/>
          </w:rPr>
          <w:t>associated</w:t>
        </w:r>
      </w:hyperlink>
      <w:r w:rsidR="002337B3" w:rsidRPr="00DF1497">
        <w:rPr>
          <w:rStyle w:val="apple-converted-space"/>
          <w:i/>
          <w:color w:val="auto"/>
          <w:shd w:val="clear" w:color="auto" w:fill="FFFFFF"/>
        </w:rPr>
        <w:t> </w:t>
      </w:r>
      <w:r w:rsidR="002337B3" w:rsidRPr="00DF1497">
        <w:rPr>
          <w:i/>
          <w:color w:val="auto"/>
          <w:shd w:val="clear" w:color="auto" w:fill="FFFFFF"/>
        </w:rPr>
        <w:t>ecological</w:t>
      </w:r>
      <w:r w:rsidR="002337B3" w:rsidRPr="00DF1497">
        <w:rPr>
          <w:rStyle w:val="apple-converted-space"/>
          <w:i/>
          <w:color w:val="auto"/>
          <w:shd w:val="clear" w:color="auto" w:fill="FFFFFF"/>
        </w:rPr>
        <w:t> </w:t>
      </w:r>
      <w:hyperlink r:id="rId30" w:history="1">
        <w:r w:rsidR="002337B3" w:rsidRPr="00DF1497">
          <w:rPr>
            <w:rStyle w:val="Hyperlink"/>
            <w:i/>
            <w:color w:val="auto"/>
            <w:u w:val="none"/>
          </w:rPr>
          <w:t>factors</w:t>
        </w:r>
      </w:hyperlink>
      <w:r w:rsidR="00DF1497">
        <w:rPr>
          <w:i/>
          <w:color w:val="auto"/>
        </w:rPr>
        <w:t>”</w:t>
      </w:r>
    </w:p>
    <w:p w:rsidR="002337B3" w:rsidRPr="008A52E4" w:rsidRDefault="00991148" w:rsidP="00F71979">
      <w:pPr>
        <w:rPr>
          <w:color w:val="auto"/>
          <w:shd w:val="clear" w:color="auto" w:fill="FFFFFF"/>
        </w:rPr>
      </w:pPr>
      <w:r w:rsidRPr="008A52E4">
        <w:rPr>
          <w:color w:val="auto"/>
          <w:shd w:val="clear" w:color="auto" w:fill="FFFFFF"/>
        </w:rPr>
        <w:t>(http://www.businessdictionary.com/definition/environmentally-sound.html)</w:t>
      </w:r>
    </w:p>
    <w:p w:rsidR="00CD3DFC" w:rsidRDefault="00F71979" w:rsidP="002337B3">
      <w:pPr>
        <w:rPr>
          <w:shd w:val="clear" w:color="auto" w:fill="FFFFFF"/>
        </w:rPr>
      </w:pPr>
      <w:r w:rsidRPr="00F71979">
        <w:rPr>
          <w:rFonts w:ascii="Verdana" w:hAnsi="Verdana"/>
          <w:sz w:val="15"/>
          <w:szCs w:val="15"/>
        </w:rPr>
        <w:lastRenderedPageBreak/>
        <w:br/>
      </w:r>
      <w:r w:rsidRPr="00F71979">
        <w:rPr>
          <w:shd w:val="clear" w:color="auto" w:fill="FFFFFF"/>
        </w:rPr>
        <w:t xml:space="preserve">Article 10, paragraph (c) of the Kyoto Protocol (as decided in 1997) reiterated that all Parties shall: “co-operate in the promotion of effective modalities for the development, application and diffusion of, and take all practicable steps to promote, facilitate and finance, as appropriate, the transfer of, or access to, environmentally sound technologies, know-how, practices and processes pertinent to climate change, in particular to developing countries, including the formulation of policies and programmes for the effective transfer of environmentally sound technologies that are publicly owned or in the public domain and the creation of an enabling environment for the private sector, to promote and enhance the transfer of, and access to, environmentally sound technologies.” </w:t>
      </w:r>
    </w:p>
    <w:p w:rsidR="00CD3DFC" w:rsidRDefault="00CD3DFC" w:rsidP="002337B3">
      <w:pPr>
        <w:rPr>
          <w:shd w:val="clear" w:color="auto" w:fill="FFFFFF"/>
        </w:rPr>
      </w:pPr>
    </w:p>
    <w:p w:rsidR="00F71979" w:rsidRPr="00F71979" w:rsidRDefault="00F71979" w:rsidP="002337B3">
      <w:pPr>
        <w:rPr>
          <w:rFonts w:eastAsia="Times New Roman"/>
          <w:lang w:val="en-US"/>
        </w:rPr>
      </w:pPr>
      <w:r w:rsidRPr="00F71979">
        <w:rPr>
          <w:rFonts w:eastAsia="Times New Roman"/>
          <w:lang w:val="en-US"/>
        </w:rPr>
        <w:t>The IPCC in its AR5 report (</w:t>
      </w:r>
      <w:r>
        <w:rPr>
          <w:rFonts w:eastAsia="Times New Roman"/>
          <w:lang w:val="en-US"/>
        </w:rPr>
        <w:t xml:space="preserve">IPCC, 2014) </w:t>
      </w:r>
      <w:r w:rsidRPr="00F71979">
        <w:rPr>
          <w:rFonts w:eastAsia="Times New Roman"/>
          <w:lang w:val="en-US"/>
        </w:rPr>
        <w:t xml:space="preserve">describes barriers for the spread of </w:t>
      </w:r>
      <w:r w:rsidRPr="00F71979">
        <w:rPr>
          <w:shd w:val="clear" w:color="auto" w:fill="FFFFFF"/>
        </w:rPr>
        <w:t>environmentally sound technologies</w:t>
      </w:r>
      <w:r w:rsidRPr="00F71979">
        <w:rPr>
          <w:rFonts w:eastAsia="Times New Roman"/>
          <w:lang w:val="en-US"/>
        </w:rPr>
        <w:t xml:space="preserve"> (ESTs), as follows:</w:t>
      </w:r>
      <w:r w:rsidR="002337B3">
        <w:rPr>
          <w:rFonts w:eastAsia="Times New Roman"/>
          <w:lang w:val="en-US"/>
        </w:rPr>
        <w:t xml:space="preserve"> </w:t>
      </w:r>
      <w:r w:rsidRPr="00F71979">
        <w:rPr>
          <w:rFonts w:eastAsia="Times New Roman"/>
          <w:lang w:val="en-US"/>
        </w:rPr>
        <w:t xml:space="preserve">“The spread of proven </w:t>
      </w:r>
      <w:r w:rsidRPr="00F71979">
        <w:rPr>
          <w:shd w:val="clear" w:color="auto" w:fill="FFFFFF"/>
        </w:rPr>
        <w:t>environmentally sound technologies</w:t>
      </w:r>
      <w:r w:rsidRPr="00F71979">
        <w:rPr>
          <w:rFonts w:eastAsia="Times New Roman"/>
          <w:lang w:val="en-US"/>
        </w:rPr>
        <w:t xml:space="preserve"> that would diffuse through commercial transactions may be limited because of existing barriers. Barriers to the transfer of </w:t>
      </w:r>
      <w:r w:rsidRPr="00F71979">
        <w:rPr>
          <w:shd w:val="clear" w:color="auto" w:fill="FFFFFF"/>
        </w:rPr>
        <w:t>environmentally sound technologies</w:t>
      </w:r>
      <w:r w:rsidRPr="00F71979">
        <w:rPr>
          <w:rFonts w:eastAsia="Times New Roman"/>
          <w:lang w:val="en-US"/>
        </w:rPr>
        <w:t xml:space="preserve"> arise at each stage of the process. These vary according to the specific context, for example from sector to sector and can manifest themselves differently in developed countries, developing countries and countries with economies in transition.</w:t>
      </w:r>
      <w:r w:rsidR="002337B3">
        <w:rPr>
          <w:rFonts w:eastAsia="Times New Roman"/>
          <w:lang w:val="en-US"/>
        </w:rPr>
        <w:t>”</w:t>
      </w:r>
      <w:r w:rsidR="00807BD9">
        <w:rPr>
          <w:rFonts w:eastAsia="Times New Roman"/>
          <w:lang w:val="en-US"/>
        </w:rPr>
        <w:t xml:space="preserve"> </w:t>
      </w:r>
      <w:r w:rsidR="002337B3">
        <w:rPr>
          <w:rFonts w:eastAsia="Times New Roman"/>
          <w:lang w:val="en-US"/>
        </w:rPr>
        <w:t xml:space="preserve">The IPCC report </w:t>
      </w:r>
      <w:r w:rsidRPr="00F71979">
        <w:rPr>
          <w:rFonts w:eastAsia="Times New Roman"/>
          <w:lang w:val="en-US"/>
        </w:rPr>
        <w:t xml:space="preserve">provides an extensive overview of the most important barriers in developed, developing and transition economies that could impede the transfer of </w:t>
      </w:r>
      <w:r w:rsidRPr="00F71979">
        <w:rPr>
          <w:shd w:val="clear" w:color="auto" w:fill="FFFFFF"/>
        </w:rPr>
        <w:t>environmentally sound technologies</w:t>
      </w:r>
      <w:r w:rsidRPr="00F71979">
        <w:rPr>
          <w:rFonts w:eastAsia="Times New Roman"/>
          <w:lang w:val="en-US"/>
        </w:rPr>
        <w:t xml:space="preserve"> to mitigate and adapt to climate change. Governments can promote technology transfer by reducing the</w:t>
      </w:r>
      <w:r w:rsidR="00407A81">
        <w:rPr>
          <w:rFonts w:eastAsia="Times New Roman"/>
          <w:lang w:val="en-US"/>
        </w:rPr>
        <w:t>se</w:t>
      </w:r>
      <w:r w:rsidRPr="00F71979">
        <w:rPr>
          <w:rFonts w:eastAsia="Times New Roman"/>
          <w:lang w:val="en-US"/>
        </w:rPr>
        <w:t xml:space="preserve"> barriers.</w:t>
      </w:r>
    </w:p>
    <w:p w:rsidR="00F71979" w:rsidRPr="00291235" w:rsidRDefault="00F71979" w:rsidP="00F71979">
      <w:pPr>
        <w:rPr>
          <w:lang w:val="en-US"/>
        </w:rPr>
      </w:pPr>
    </w:p>
    <w:p w:rsidR="00F82BCB" w:rsidRPr="007B787F" w:rsidRDefault="00F82BCB" w:rsidP="00F82BCB">
      <w:pPr>
        <w:pStyle w:val="Heading2"/>
        <w:spacing w:before="120"/>
      </w:pPr>
      <w:bookmarkStart w:id="51" w:name="_Toc445666294"/>
      <w:bookmarkStart w:id="52" w:name="_Toc452653364"/>
      <w:r>
        <w:t>2.</w:t>
      </w:r>
      <w:r w:rsidR="00856186">
        <w:t>10</w:t>
      </w:r>
      <w:r>
        <w:tab/>
      </w:r>
      <w:r>
        <w:tab/>
      </w:r>
      <w:r w:rsidRPr="007B787F">
        <w:t>References</w:t>
      </w:r>
      <w:bookmarkEnd w:id="51"/>
      <w:bookmarkEnd w:id="52"/>
    </w:p>
    <w:p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 410A Alternative for Mini-Split Air Conditioners, ORNL/TM-1015/536</w:t>
      </w:r>
    </w:p>
    <w:p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AHRI, 2015</w:t>
      </w:r>
      <w:r w:rsidRPr="00040944">
        <w:rPr>
          <w:sz w:val="22"/>
          <w:szCs w:val="22"/>
          <w:lang w:val="en-GB"/>
        </w:rPr>
        <w:tab/>
        <w:t>AHRI Low GWP Alternative Refrigerants Evaluation Program, (Low-GWP AREP), Participants Handbook, 2015</w:t>
      </w:r>
    </w:p>
    <w:p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Pr>
          <w:sz w:val="22"/>
          <w:szCs w:val="22"/>
          <w:lang w:val="en-GB"/>
        </w:rPr>
        <w:t>ASHRAE 15</w:t>
      </w:r>
      <w:r w:rsidRPr="00040944">
        <w:rPr>
          <w:sz w:val="22"/>
          <w:szCs w:val="22"/>
          <w:lang w:val="en-GB"/>
        </w:rPr>
        <w:t>-201</w:t>
      </w:r>
      <w:r>
        <w:rPr>
          <w:sz w:val="22"/>
          <w:szCs w:val="22"/>
          <w:lang w:val="en-GB"/>
        </w:rPr>
        <w:t>3</w:t>
      </w:r>
      <w:r>
        <w:rPr>
          <w:sz w:val="22"/>
          <w:szCs w:val="22"/>
          <w:lang w:val="en-GB"/>
        </w:rPr>
        <w:tab/>
        <w:t>ANSI/ASHRAE, 2015. Standard 15</w:t>
      </w:r>
      <w:r w:rsidRPr="00040944">
        <w:rPr>
          <w:sz w:val="22"/>
          <w:szCs w:val="22"/>
          <w:lang w:val="en-GB"/>
        </w:rPr>
        <w:t>-2013 with</w:t>
      </w:r>
      <w:r>
        <w:rPr>
          <w:sz w:val="22"/>
          <w:szCs w:val="22"/>
          <w:lang w:val="en-GB"/>
        </w:rPr>
        <w:t xml:space="preserve"> addendum</w:t>
      </w:r>
      <w:r w:rsidRPr="00040944">
        <w:rPr>
          <w:sz w:val="22"/>
          <w:szCs w:val="22"/>
          <w:lang w:val="en-GB"/>
        </w:rPr>
        <w:t xml:space="preserve"> a, Designation and Safety Classification of Refrigerants American Society of Heating, Refrigerating, and Air-Conditioning Engineers (ASHRAE), Atlanta, GA, USA</w:t>
      </w:r>
    </w:p>
    <w:p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ASHRAE 34-2013</w:t>
      </w:r>
      <w:r w:rsidRPr="00040944">
        <w:rPr>
          <w:sz w:val="22"/>
          <w:szCs w:val="22"/>
          <w:lang w:val="en-GB"/>
        </w:rPr>
        <w:tab/>
        <w:t>ANSI/ASHRAE, 2015. Standard 34-2013 with addenda a to x, Designation and Safety Classification of Refrigerants American Society of Heating, Refrigerating, and Air-Conditioning Engineers (ASHRAE), Atlanta, GA, USA</w:t>
      </w:r>
    </w:p>
    <w:p w:rsidR="00F82BCB" w:rsidRPr="00040944" w:rsidRDefault="00F82BCB" w:rsidP="00F82BCB">
      <w:pPr>
        <w:pStyle w:val="StylereferencesTimesNewRoman"/>
        <w:tabs>
          <w:tab w:val="clear" w:pos="1134"/>
          <w:tab w:val="left" w:pos="2127"/>
        </w:tabs>
        <w:spacing w:after="120"/>
        <w:ind w:left="2126" w:hanging="2126"/>
        <w:jc w:val="left"/>
        <w:rPr>
          <w:sz w:val="22"/>
          <w:szCs w:val="22"/>
          <w:lang w:val="en-GB"/>
        </w:rPr>
      </w:pPr>
      <w:r w:rsidRPr="00040944">
        <w:rPr>
          <w:sz w:val="22"/>
          <w:szCs w:val="22"/>
          <w:lang w:val="en-GB"/>
        </w:rPr>
        <w:t>ASHRAE, 2015</w:t>
      </w:r>
      <w:r w:rsidRPr="00040944">
        <w:rPr>
          <w:sz w:val="22"/>
          <w:szCs w:val="22"/>
          <w:lang w:val="en-GB"/>
        </w:rPr>
        <w:tab/>
        <w:t xml:space="preserve">Online Standards Actions &amp; Public Review Drafts, </w:t>
      </w:r>
      <w:hyperlink r:id="rId31" w:history="1">
        <w:r w:rsidRPr="00040944">
          <w:rPr>
            <w:rStyle w:val="Hyperlink"/>
            <w:sz w:val="22"/>
            <w:szCs w:val="22"/>
            <w:lang w:val="en-GB"/>
          </w:rPr>
          <w:t>https://osr.ashrae.org/default.aspx</w:t>
        </w:r>
      </w:hyperlink>
      <w:r w:rsidRPr="00040944">
        <w:rPr>
          <w:sz w:val="22"/>
          <w:szCs w:val="22"/>
          <w:lang w:val="en-GB"/>
        </w:rPr>
        <w:t xml:space="preserve"> (documents only available during the review period)</w:t>
      </w:r>
    </w:p>
    <w:p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 410A Alternative for Mini-Split Air Conditioners, ORNL/TM-1015/536</w:t>
      </w:r>
    </w:p>
    <w:p w:rsidR="00F82BCB" w:rsidRPr="00040944" w:rsidRDefault="00F82BCB" w:rsidP="00F82BCB">
      <w:pPr>
        <w:pStyle w:val="StylereferencesTimesNewRoman"/>
        <w:tabs>
          <w:tab w:val="clear" w:pos="1134"/>
          <w:tab w:val="left" w:pos="2127"/>
        </w:tabs>
        <w:spacing w:after="120"/>
        <w:ind w:left="2126" w:hanging="2126"/>
        <w:jc w:val="left"/>
        <w:rPr>
          <w:sz w:val="22"/>
          <w:szCs w:val="22"/>
        </w:rPr>
      </w:pPr>
      <w:r w:rsidRPr="00040944">
        <w:rPr>
          <w:sz w:val="22"/>
          <w:szCs w:val="22"/>
        </w:rPr>
        <w:t>Cooper, 1988</w:t>
      </w:r>
      <w:r w:rsidRPr="00040944">
        <w:rPr>
          <w:sz w:val="22"/>
          <w:szCs w:val="22"/>
        </w:rPr>
        <w:tab/>
        <w:t>Cooper, R. G., 1988. The New Product Process: A Decision Guide for Management. Journal of Marketing Management 2:238-255</w:t>
      </w:r>
    </w:p>
    <w:p w:rsidR="00407A81" w:rsidRPr="00040944" w:rsidRDefault="00407A81" w:rsidP="00407A81">
      <w:pPr>
        <w:pStyle w:val="StylereferencesTimesNewRoman"/>
        <w:tabs>
          <w:tab w:val="clear" w:pos="1134"/>
          <w:tab w:val="left" w:pos="2127"/>
        </w:tabs>
        <w:spacing w:after="120"/>
        <w:ind w:left="2126" w:hanging="2126"/>
        <w:jc w:val="left"/>
        <w:rPr>
          <w:sz w:val="22"/>
          <w:szCs w:val="22"/>
        </w:rPr>
      </w:pPr>
      <w:r w:rsidRPr="00040944">
        <w:rPr>
          <w:sz w:val="22"/>
          <w:szCs w:val="22"/>
          <w:lang w:val="en-GB"/>
        </w:rPr>
        <w:lastRenderedPageBreak/>
        <w:t>Domanski, 2006</w:t>
      </w:r>
      <w:r w:rsidRPr="00040944">
        <w:rPr>
          <w:sz w:val="22"/>
          <w:szCs w:val="22"/>
          <w:lang w:val="en-GB"/>
        </w:rPr>
        <w:tab/>
      </w:r>
      <w:r w:rsidRPr="00040944">
        <w:rPr>
          <w:sz w:val="22"/>
          <w:szCs w:val="22"/>
        </w:rPr>
        <w:t>Domanski, P.A., Yashar, D., 2006. Comparable Performance Evaluation of HC and HFC Refrigerants in an Optimized System, 7</w:t>
      </w:r>
      <w:r w:rsidRPr="00040944">
        <w:rPr>
          <w:sz w:val="22"/>
          <w:szCs w:val="22"/>
          <w:vertAlign w:val="superscript"/>
        </w:rPr>
        <w:t>th</w:t>
      </w:r>
      <w:r w:rsidRPr="00040944">
        <w:rPr>
          <w:sz w:val="22"/>
          <w:szCs w:val="22"/>
        </w:rPr>
        <w:t xml:space="preserve"> IIR Gustav Lorentzen Conference on Natural Working Fluids, Trondheim, Norway, May 28-31.</w:t>
      </w:r>
    </w:p>
    <w:p w:rsidR="00F82BCB" w:rsidRDefault="00F82BCB" w:rsidP="00F82BCB">
      <w:pPr>
        <w:pStyle w:val="StylereferencesTimesNewRoman"/>
        <w:tabs>
          <w:tab w:val="clear" w:pos="1134"/>
          <w:tab w:val="left" w:pos="2127"/>
        </w:tabs>
        <w:ind w:left="2127" w:hanging="2127"/>
        <w:jc w:val="left"/>
        <w:rPr>
          <w:sz w:val="22"/>
          <w:lang w:val="en-GB"/>
        </w:rPr>
      </w:pPr>
      <w:r w:rsidRPr="00A75B7D">
        <w:rPr>
          <w:sz w:val="22"/>
          <w:lang w:val="da-DK"/>
        </w:rPr>
        <w:t xml:space="preserve">EN 378 </w:t>
      </w:r>
      <w:r w:rsidRPr="00A75B7D">
        <w:rPr>
          <w:sz w:val="22"/>
          <w:lang w:val="da-DK"/>
        </w:rPr>
        <w:tab/>
        <w:t xml:space="preserve">EN 378-1:2008+A2:2012, EN 378-2:2008+A2:2012, EN 378-3:2008+A1:2012. </w:t>
      </w:r>
      <w:r>
        <w:rPr>
          <w:sz w:val="22"/>
          <w:lang w:val="en-GB"/>
        </w:rPr>
        <w:t>EN 378-4:2008+A1:2012, Refrigeration Systems and Heat Pumps – Safety and Environmental Requirements</w:t>
      </w:r>
    </w:p>
    <w:p w:rsidR="00F82BCB"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60335-2-24 </w:t>
      </w:r>
      <w:r>
        <w:rPr>
          <w:sz w:val="22"/>
          <w:lang w:val="en-GB"/>
        </w:rPr>
        <w:tab/>
        <w:t>IEC 60335-2-24:2010, Specification for safety of household and similar electrical appliances. Particular requirements for refrigerating appliances, ice-cream appliances and ice-makers</w:t>
      </w:r>
    </w:p>
    <w:p w:rsidR="00F82BCB"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60335-2-40 </w:t>
      </w:r>
      <w:r>
        <w:rPr>
          <w:sz w:val="22"/>
          <w:lang w:val="en-GB"/>
        </w:rPr>
        <w:tab/>
        <w:t>IEC 60335-2-40:2003+A13:2012, Specification for safety of household and similar electrical appliances. Safety. Particular requirements for electrical heat pumps air-conditioners, and dehumidifiers</w:t>
      </w:r>
    </w:p>
    <w:p w:rsidR="00F82BCB" w:rsidRPr="00A75B7D" w:rsidRDefault="00F82BCB" w:rsidP="00F82BCB">
      <w:pPr>
        <w:pStyle w:val="StylereferencesTimesNewRoman"/>
        <w:tabs>
          <w:tab w:val="clear" w:pos="1134"/>
          <w:tab w:val="left" w:pos="2127"/>
        </w:tabs>
        <w:ind w:left="2127" w:hanging="2127"/>
        <w:jc w:val="left"/>
        <w:rPr>
          <w:sz w:val="22"/>
          <w:lang w:val="en-GB"/>
        </w:rPr>
      </w:pPr>
      <w:r>
        <w:rPr>
          <w:sz w:val="22"/>
          <w:lang w:val="en-GB"/>
        </w:rPr>
        <w:t xml:space="preserve">IEC 60335-2-89 </w:t>
      </w:r>
      <w:r>
        <w:rPr>
          <w:sz w:val="22"/>
          <w:lang w:val="en-GB"/>
        </w:rPr>
        <w:tab/>
        <w:t>IEC 60335-2-89:2010, Specification for safety of household and similar electrical appliances. Safety. Particular requirements for commercial refrigerating appliances with an incorporated or remote refrigerant condensing unit or compressor</w:t>
      </w:r>
    </w:p>
    <w:p w:rsidR="00F82BCB" w:rsidRPr="00040944" w:rsidRDefault="00F82BCB" w:rsidP="00F82BCB">
      <w:pPr>
        <w:pStyle w:val="StylereferencesTimesNewRoman"/>
        <w:tabs>
          <w:tab w:val="clear" w:pos="1134"/>
          <w:tab w:val="left" w:pos="2127"/>
        </w:tabs>
        <w:spacing w:after="120"/>
        <w:ind w:left="2126" w:hanging="2126"/>
        <w:jc w:val="left"/>
        <w:rPr>
          <w:sz w:val="22"/>
          <w:szCs w:val="22"/>
        </w:rPr>
      </w:pPr>
      <w:r w:rsidRPr="00040944">
        <w:rPr>
          <w:sz w:val="22"/>
          <w:szCs w:val="22"/>
        </w:rPr>
        <w:t>IIR, 2016</w:t>
      </w:r>
      <w:r w:rsidRPr="00040944">
        <w:rPr>
          <w:sz w:val="22"/>
          <w:szCs w:val="22"/>
        </w:rPr>
        <w:tab/>
        <w:t>The LCCP Working Group, International Institute of Refrigeration (IIR), 2016. Guideline for Life Cycle Climate Performance.</w:t>
      </w:r>
    </w:p>
    <w:p w:rsidR="00F82BCB" w:rsidRPr="00040944" w:rsidRDefault="00F82BCB" w:rsidP="00F82BCB">
      <w:pPr>
        <w:pStyle w:val="StylereferencesTimesNewRoman"/>
        <w:tabs>
          <w:tab w:val="left" w:pos="2127"/>
        </w:tabs>
        <w:spacing w:after="120"/>
        <w:ind w:left="2127" w:hanging="2127"/>
        <w:jc w:val="left"/>
        <w:rPr>
          <w:sz w:val="22"/>
          <w:szCs w:val="22"/>
          <w:lang w:val="en-GB"/>
        </w:rPr>
      </w:pPr>
      <w:r w:rsidRPr="00040944">
        <w:rPr>
          <w:sz w:val="22"/>
          <w:szCs w:val="22"/>
          <w:lang w:val="en-GB"/>
        </w:rPr>
        <w:t>IPCC, 2014</w:t>
      </w:r>
      <w:r w:rsidRPr="00040944">
        <w:rPr>
          <w:sz w:val="22"/>
          <w:szCs w:val="22"/>
          <w:lang w:val="en-GB"/>
        </w:rPr>
        <w:tab/>
      </w:r>
      <w:r w:rsidRPr="00040944">
        <w:rPr>
          <w:sz w:val="22"/>
          <w:szCs w:val="22"/>
          <w:lang w:val="en-GB"/>
        </w:rPr>
        <w:tab/>
        <w:t xml:space="preserve">Myhre, G., D. Shindell, F.-M. Bréon, W. Collins, J. Fuglestvedt, J. Huang, D. Koch, J.-F. Lamarque, D. Lee, B. Mendoza, T. Nakajima, A. Robock, G. Stephens, T. Takemura and H. Zhang, 2013. Anthropogenic and Natural Radiative Forcing. In: Climate Change 2013: The Physical Science Basis. Contribution of Working Group I to the Fifth Assessment Report of the Intergovernmental Panel on Climate Change </w:t>
      </w:r>
      <w:r w:rsidR="00202ABD">
        <w:rPr>
          <w:sz w:val="22"/>
          <w:szCs w:val="22"/>
          <w:lang w:val="en-GB"/>
        </w:rPr>
        <w:t>(</w:t>
      </w:r>
      <w:r w:rsidRPr="00040944">
        <w:rPr>
          <w:sz w:val="22"/>
          <w:szCs w:val="22"/>
          <w:lang w:val="en-GB"/>
        </w:rPr>
        <w:t>Stocker, T.F., D. Qin, G.-K. Plattner, M. Tignor, S.K. Allen, J. Boschung, A. Nauels, Y. Xia, V. Bex and P.M. Midgley (eds.)]. Cambridge University Press, Cambridge, United Kingdom and New York, NY, USA</w:t>
      </w:r>
    </w:p>
    <w:p w:rsidR="00F82BCB" w:rsidRDefault="00F82BCB" w:rsidP="00F82BCB">
      <w:pPr>
        <w:pStyle w:val="StylereferencesTimesNewRoman"/>
        <w:tabs>
          <w:tab w:val="clear" w:pos="1134"/>
          <w:tab w:val="left" w:pos="2127"/>
        </w:tabs>
        <w:spacing w:after="120"/>
        <w:ind w:left="2127" w:hanging="2127"/>
        <w:jc w:val="left"/>
        <w:rPr>
          <w:sz w:val="22"/>
          <w:szCs w:val="22"/>
          <w:lang w:val="en-GB"/>
        </w:rPr>
      </w:pPr>
      <w:r w:rsidRPr="00040944">
        <w:rPr>
          <w:sz w:val="22"/>
          <w:szCs w:val="22"/>
          <w:lang w:val="en-GB"/>
        </w:rPr>
        <w:t>ISO 817:2014</w:t>
      </w:r>
      <w:r w:rsidRPr="00040944">
        <w:rPr>
          <w:sz w:val="22"/>
          <w:szCs w:val="22"/>
          <w:lang w:val="en-GB"/>
        </w:rPr>
        <w:tab/>
        <w:t>ISO 817: 2014. Refrigerants — Designation and safety classification. International Organization for Standardization (ISO)</w:t>
      </w:r>
    </w:p>
    <w:p w:rsidR="00F82BCB" w:rsidRPr="00D02A06" w:rsidRDefault="00F82BCB" w:rsidP="00F82BCB">
      <w:pPr>
        <w:pStyle w:val="StylereferencesTimesNewRoman"/>
        <w:tabs>
          <w:tab w:val="clear" w:pos="1134"/>
          <w:tab w:val="left" w:pos="2127"/>
        </w:tabs>
        <w:ind w:left="2127" w:hanging="2127"/>
        <w:jc w:val="left"/>
        <w:rPr>
          <w:sz w:val="22"/>
          <w:lang w:val="en-GB"/>
        </w:rPr>
      </w:pPr>
      <w:r w:rsidRPr="00D02A06">
        <w:rPr>
          <w:sz w:val="22"/>
          <w:lang w:val="en-GB"/>
        </w:rPr>
        <w:t xml:space="preserve">ISO </w:t>
      </w:r>
      <w:r>
        <w:rPr>
          <w:sz w:val="22"/>
          <w:lang w:val="en-GB"/>
        </w:rPr>
        <w:t>5149</w:t>
      </w:r>
      <w:r w:rsidRPr="00D02A06">
        <w:rPr>
          <w:sz w:val="22"/>
          <w:lang w:val="en-GB"/>
        </w:rPr>
        <w:tab/>
        <w:t>ISO 5149: 2014</w:t>
      </w:r>
      <w:r>
        <w:rPr>
          <w:sz w:val="22"/>
          <w:lang w:val="en-GB"/>
        </w:rPr>
        <w:t>,</w:t>
      </w:r>
      <w:r w:rsidRPr="00D02A06">
        <w:rPr>
          <w:sz w:val="22"/>
          <w:lang w:val="en-GB"/>
        </w:rPr>
        <w:t xml:space="preserve"> Refrigerating systems and heat pumps — Safety and environmental requirements. International Organization for Standardization (ISO)</w:t>
      </w:r>
    </w:p>
    <w:p w:rsidR="00F82BCB" w:rsidRPr="00040944" w:rsidRDefault="00F82BCB" w:rsidP="00F82BCB">
      <w:pPr>
        <w:pStyle w:val="StylereferencesTimesNewRoman"/>
        <w:tabs>
          <w:tab w:val="left" w:pos="2127"/>
        </w:tabs>
        <w:spacing w:after="120"/>
        <w:ind w:left="2126" w:hanging="2126"/>
        <w:jc w:val="left"/>
        <w:rPr>
          <w:sz w:val="22"/>
          <w:szCs w:val="22"/>
          <w:lang w:val="en-GB"/>
        </w:rPr>
      </w:pPr>
      <w:r w:rsidRPr="00040944">
        <w:rPr>
          <w:sz w:val="22"/>
          <w:szCs w:val="22"/>
          <w:lang w:val="en-GB"/>
        </w:rPr>
        <w:t>McLinden 2015</w:t>
      </w:r>
      <w:r w:rsidRPr="00040944">
        <w:rPr>
          <w:sz w:val="22"/>
          <w:szCs w:val="22"/>
          <w:lang w:val="en-GB"/>
        </w:rPr>
        <w:tab/>
        <w:t>McLinden, M. O., Kazakov, A. F., Brown, J. S. &amp; Domanski, P. A. Hitting the bounds of chemistry:  Limits and tradeoffs for low-GWP refrigerants. 24</w:t>
      </w:r>
      <w:r w:rsidRPr="00040944">
        <w:rPr>
          <w:sz w:val="22"/>
          <w:szCs w:val="22"/>
          <w:vertAlign w:val="superscript"/>
          <w:lang w:val="en-GB"/>
        </w:rPr>
        <w:t>th</w:t>
      </w:r>
      <w:r w:rsidRPr="00040944">
        <w:rPr>
          <w:sz w:val="22"/>
          <w:szCs w:val="22"/>
          <w:lang w:val="en-GB"/>
        </w:rPr>
        <w:t xml:space="preserve"> Int. Congress of Refrig. (Yokohama, Japan, August 16-22, 2015).</w:t>
      </w:r>
    </w:p>
    <w:p w:rsidR="00F82BCB" w:rsidRDefault="00F82BCB" w:rsidP="00F82BCB">
      <w:pPr>
        <w:pStyle w:val="StylereferencesTimesNewRoman"/>
        <w:tabs>
          <w:tab w:val="left" w:pos="2127"/>
        </w:tabs>
        <w:spacing w:after="120"/>
        <w:ind w:left="2126" w:hanging="2126"/>
        <w:jc w:val="left"/>
        <w:rPr>
          <w:sz w:val="22"/>
          <w:szCs w:val="22"/>
          <w:lang w:val="en-GB"/>
        </w:rPr>
      </w:pPr>
      <w:r w:rsidRPr="00040944">
        <w:rPr>
          <w:sz w:val="22"/>
          <w:szCs w:val="22"/>
          <w:lang w:val="en-GB"/>
        </w:rPr>
        <w:t>UNEP, 201</w:t>
      </w:r>
      <w:r>
        <w:rPr>
          <w:sz w:val="22"/>
          <w:szCs w:val="22"/>
          <w:lang w:val="en-GB"/>
        </w:rPr>
        <w:t>4</w:t>
      </w:r>
      <w:r w:rsidRPr="00040944">
        <w:rPr>
          <w:sz w:val="22"/>
          <w:szCs w:val="22"/>
          <w:lang w:val="en-GB"/>
        </w:rPr>
        <w:tab/>
      </w:r>
      <w:r w:rsidRPr="00040944">
        <w:rPr>
          <w:sz w:val="22"/>
          <w:szCs w:val="22"/>
          <w:lang w:val="en-GB"/>
        </w:rPr>
        <w:tab/>
      </w:r>
      <w:r w:rsidRPr="00040944">
        <w:rPr>
          <w:sz w:val="22"/>
          <w:szCs w:val="22"/>
        </w:rPr>
        <w:t xml:space="preserve">UNEP Nairobi, Ozone Secretariat, 2015. </w:t>
      </w:r>
      <w:r w:rsidRPr="00040944">
        <w:rPr>
          <w:sz w:val="22"/>
          <w:szCs w:val="22"/>
          <w:lang w:val="en-GB"/>
        </w:rPr>
        <w:t>Report of the Refrigeration, Air Conditioning and Heat Pumps Technical Option Committee, 2014 Assessment. ISBN: 978-9966-076-09-0.</w:t>
      </w:r>
    </w:p>
    <w:p w:rsidR="00F82BCB" w:rsidRDefault="00F82BCB" w:rsidP="00F82BCB">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UNEP, 2015</w:t>
      </w:r>
      <w:r>
        <w:rPr>
          <w:sz w:val="21"/>
          <w:szCs w:val="21"/>
          <w:lang w:val="en-GB"/>
        </w:rPr>
        <w:tab/>
        <w:t xml:space="preserve">UNEP, Update Report of the XXVI/9 TEAP Task Force, September 2015, ISBN 978-9966-076-14-4 </w:t>
      </w:r>
    </w:p>
    <w:p w:rsidR="00F82BCB" w:rsidRPr="00040944" w:rsidRDefault="00F82BCB" w:rsidP="00F82BCB">
      <w:pPr>
        <w:pStyle w:val="StylereferencesTimesNewRoman"/>
        <w:tabs>
          <w:tab w:val="left" w:pos="2127"/>
        </w:tabs>
        <w:spacing w:before="0" w:after="120"/>
        <w:ind w:left="2126" w:hanging="2126"/>
        <w:jc w:val="left"/>
        <w:rPr>
          <w:sz w:val="22"/>
          <w:szCs w:val="22"/>
        </w:rPr>
      </w:pPr>
      <w:r w:rsidRPr="00040944">
        <w:rPr>
          <w:sz w:val="22"/>
          <w:szCs w:val="22"/>
        </w:rPr>
        <w:lastRenderedPageBreak/>
        <w:t>WMO, 2014</w:t>
      </w:r>
      <w:r w:rsidRPr="00040944">
        <w:rPr>
          <w:sz w:val="22"/>
          <w:szCs w:val="22"/>
        </w:rPr>
        <w:tab/>
      </w:r>
      <w:r w:rsidRPr="00040944">
        <w:rPr>
          <w:sz w:val="22"/>
          <w:szCs w:val="22"/>
        </w:rPr>
        <w:tab/>
        <w:t xml:space="preserve">Assessment for Decision-makers, Scientific Assessment of Ozone Depletion: 2014. WMO Global Ozone Research and Monitoring Project - Report No. 56, published online September 2014, in print January 2015, ISBN 978-9966-076-00-7. </w:t>
      </w:r>
    </w:p>
    <w:p w:rsidR="00D61C2E" w:rsidRDefault="00D61C2E" w:rsidP="00D61C2E">
      <w:pPr>
        <w:pStyle w:val="Heading1"/>
        <w:jc w:val="left"/>
      </w:pPr>
    </w:p>
    <w:p w:rsidR="0053095E" w:rsidRDefault="0053095E" w:rsidP="0053095E"/>
    <w:p w:rsidR="0053095E" w:rsidRPr="0053095E" w:rsidRDefault="0053095E" w:rsidP="0053095E">
      <w:pPr>
        <w:sectPr w:rsidR="0053095E" w:rsidRPr="0053095E" w:rsidSect="00FC618D">
          <w:type w:val="oddPage"/>
          <w:pgSz w:w="11900" w:h="16840"/>
          <w:pgMar w:top="1270" w:right="1800" w:bottom="1440" w:left="1800" w:header="708" w:footer="708" w:gutter="0"/>
          <w:cols w:space="708"/>
          <w:docGrid w:linePitch="360"/>
        </w:sectPr>
      </w:pPr>
    </w:p>
    <w:p w:rsidR="00B13B39" w:rsidRDefault="00B13B39" w:rsidP="00B13B39">
      <w:pPr>
        <w:pStyle w:val="Heading1"/>
        <w:jc w:val="left"/>
      </w:pPr>
      <w:bookmarkStart w:id="53" w:name="_Toc450859472"/>
      <w:bookmarkStart w:id="54" w:name="_Toc452653365"/>
      <w:bookmarkStart w:id="55" w:name="_Toc430640557"/>
      <w:bookmarkStart w:id="56" w:name="_Toc402095356"/>
      <w:bookmarkStart w:id="57" w:name="_Toc275448407"/>
      <w:bookmarkStart w:id="58" w:name="_Toc412716257"/>
      <w:bookmarkEnd w:id="8"/>
      <w:r w:rsidRPr="006A5F67">
        <w:lastRenderedPageBreak/>
        <w:t>3</w:t>
      </w:r>
      <w:r w:rsidRPr="006A5F67">
        <w:tab/>
      </w:r>
      <w:r>
        <w:t>Update on R/AC alternative refrigerants and technologies</w:t>
      </w:r>
      <w:bookmarkEnd w:id="53"/>
      <w:bookmarkEnd w:id="54"/>
    </w:p>
    <w:p w:rsidR="00B13B39" w:rsidRPr="00CB78A4" w:rsidRDefault="00B13B39" w:rsidP="00B13B39">
      <w:pPr>
        <w:rPr>
          <w:color w:val="7030A0"/>
        </w:rPr>
      </w:pPr>
      <w:r w:rsidRPr="00CB78A4">
        <w:rPr>
          <w:color w:val="7030A0"/>
        </w:rPr>
        <w:t xml:space="preserve">This is a new chapter in this second version of the Task Force report </w:t>
      </w:r>
      <w:r w:rsidR="00AB0894" w:rsidRPr="00CB78A4">
        <w:rPr>
          <w:color w:val="7030A0"/>
        </w:rPr>
        <w:t xml:space="preserve">(comparable to the updated </w:t>
      </w:r>
      <w:r w:rsidR="001F4AC5">
        <w:rPr>
          <w:color w:val="7030A0"/>
        </w:rPr>
        <w:t>chapter</w:t>
      </w:r>
      <w:r w:rsidR="00AB0894" w:rsidRPr="00CB78A4">
        <w:rPr>
          <w:color w:val="7030A0"/>
        </w:rPr>
        <w:t xml:space="preserve"> in the XXVI/9 TF report, September 2015). It </w:t>
      </w:r>
      <w:r w:rsidRPr="00CB78A4">
        <w:rPr>
          <w:color w:val="7030A0"/>
        </w:rPr>
        <w:t>presents information on alternative refrigerants for the various types of R/AC equipment using them as well as information on (NIK-Not In Kind) alternative technologies</w:t>
      </w:r>
      <w:r w:rsidR="00CB78A4">
        <w:rPr>
          <w:color w:val="7030A0"/>
        </w:rPr>
        <w:t xml:space="preserve"> (see </w:t>
      </w:r>
      <w:r w:rsidR="001C7359">
        <w:rPr>
          <w:color w:val="7030A0"/>
        </w:rPr>
        <w:t xml:space="preserve">section </w:t>
      </w:r>
      <w:r w:rsidR="00CB78A4">
        <w:rPr>
          <w:color w:val="7030A0"/>
        </w:rPr>
        <w:t>3.9)</w:t>
      </w:r>
      <w:r w:rsidRPr="00CB78A4">
        <w:rPr>
          <w:color w:val="7030A0"/>
        </w:rPr>
        <w:t>.</w:t>
      </w:r>
      <w:r w:rsidRPr="00CB78A4" w:rsidDel="002926ED">
        <w:rPr>
          <w:color w:val="7030A0"/>
        </w:rPr>
        <w:t xml:space="preserve"> </w:t>
      </w:r>
      <w:r w:rsidR="00AB0894" w:rsidRPr="00CB78A4">
        <w:rPr>
          <w:color w:val="7030A0"/>
        </w:rPr>
        <w:t>It also gives the latest developments for the use of efficient CO</w:t>
      </w:r>
      <w:r w:rsidR="00AB0894" w:rsidRPr="00CB78A4">
        <w:rPr>
          <w:color w:val="7030A0"/>
          <w:vertAlign w:val="subscript"/>
        </w:rPr>
        <w:t>2</w:t>
      </w:r>
      <w:r w:rsidR="00AB0894" w:rsidRPr="00CB78A4">
        <w:rPr>
          <w:color w:val="7030A0"/>
        </w:rPr>
        <w:t xml:space="preserve"> technology</w:t>
      </w:r>
      <w:r w:rsidR="00CB78A4">
        <w:rPr>
          <w:color w:val="7030A0"/>
        </w:rPr>
        <w:t xml:space="preserve"> (see </w:t>
      </w:r>
      <w:r w:rsidR="001C7359">
        <w:rPr>
          <w:color w:val="7030A0"/>
        </w:rPr>
        <w:t xml:space="preserve">section </w:t>
      </w:r>
      <w:r w:rsidR="00CB78A4">
        <w:rPr>
          <w:color w:val="7030A0"/>
        </w:rPr>
        <w:t>3.10)</w:t>
      </w:r>
      <w:r w:rsidR="00AB0894" w:rsidRPr="00CB78A4">
        <w:rPr>
          <w:color w:val="7030A0"/>
        </w:rPr>
        <w:t xml:space="preserve"> and elaborates on the use of standards </w:t>
      </w:r>
      <w:r w:rsidR="00475DC3">
        <w:rPr>
          <w:color w:val="7030A0"/>
        </w:rPr>
        <w:t xml:space="preserve">with regard to the safe use of refrigerants </w:t>
      </w:r>
      <w:r w:rsidR="00AB0894" w:rsidRPr="00CB78A4">
        <w:rPr>
          <w:color w:val="7030A0"/>
        </w:rPr>
        <w:t>in the R/AC industry</w:t>
      </w:r>
      <w:r w:rsidR="00CB78A4">
        <w:rPr>
          <w:color w:val="7030A0"/>
        </w:rPr>
        <w:t xml:space="preserve"> (see </w:t>
      </w:r>
      <w:r w:rsidR="001C7359">
        <w:rPr>
          <w:color w:val="7030A0"/>
        </w:rPr>
        <w:t xml:space="preserve">section </w:t>
      </w:r>
      <w:r w:rsidR="00CB78A4">
        <w:rPr>
          <w:color w:val="7030A0"/>
        </w:rPr>
        <w:t>3.11)</w:t>
      </w:r>
      <w:r w:rsidR="00AB0894" w:rsidRPr="00CB78A4">
        <w:rPr>
          <w:color w:val="7030A0"/>
        </w:rPr>
        <w:t>.</w:t>
      </w:r>
    </w:p>
    <w:p w:rsidR="00B13B39" w:rsidRPr="00EF5F14" w:rsidRDefault="00B13B39" w:rsidP="00B13B39"/>
    <w:p w:rsidR="00644249" w:rsidRPr="007670FB" w:rsidRDefault="00644249" w:rsidP="00644249">
      <w:pPr>
        <w:pStyle w:val="Heading2"/>
      </w:pPr>
      <w:bookmarkStart w:id="59" w:name="_Toc451686533"/>
      <w:bookmarkStart w:id="60" w:name="_Toc452653366"/>
      <w:bookmarkStart w:id="61" w:name="_Toc450859473"/>
      <w:r>
        <w:t>3.1</w:t>
      </w:r>
      <w:r>
        <w:tab/>
      </w:r>
      <w:r>
        <w:tab/>
      </w:r>
      <w:r w:rsidRPr="007670FB">
        <w:t>Domestic Appliances</w:t>
      </w:r>
      <w:bookmarkEnd w:id="59"/>
      <w:bookmarkEnd w:id="60"/>
    </w:p>
    <w:p w:rsidR="00644249" w:rsidRPr="003F5A79" w:rsidRDefault="00644249" w:rsidP="00644249">
      <w:pPr>
        <w:widowControl w:val="0"/>
        <w:tabs>
          <w:tab w:val="left" w:pos="4820"/>
        </w:tabs>
        <w:autoSpaceDE w:val="0"/>
        <w:autoSpaceDN w:val="0"/>
        <w:adjustRightInd w:val="0"/>
        <w:spacing w:line="259" w:lineRule="exact"/>
        <w:ind w:right="488"/>
        <w:rPr>
          <w:spacing w:val="-2"/>
          <w:szCs w:val="22"/>
          <w:lang w:val="en-US"/>
        </w:rPr>
      </w:pPr>
      <w:r w:rsidRPr="003F5A79">
        <w:rPr>
          <w:szCs w:val="22"/>
          <w:lang w:val="en-US"/>
        </w:rPr>
        <w:t xml:space="preserve">HC-600a </w:t>
      </w:r>
      <w:r w:rsidR="00565299">
        <w:rPr>
          <w:szCs w:val="22"/>
          <w:lang w:val="en-US"/>
        </w:rPr>
        <w:t>and</w:t>
      </w:r>
      <w:r w:rsidRPr="003F5A79">
        <w:rPr>
          <w:szCs w:val="22"/>
          <w:lang w:val="en-US"/>
        </w:rPr>
        <w:t xml:space="preserve"> HFC-134a continue to be the </w:t>
      </w:r>
      <w:r>
        <w:rPr>
          <w:szCs w:val="22"/>
          <w:lang w:val="en-US"/>
        </w:rPr>
        <w:t xml:space="preserve">primary </w:t>
      </w:r>
      <w:r w:rsidRPr="003F5A79">
        <w:rPr>
          <w:szCs w:val="22"/>
          <w:lang w:val="en-US"/>
        </w:rPr>
        <w:t>refrigerant options for production of new equipment. It is projected that, by 2020, about 75% of new refrigerator production will use HC-600a</w:t>
      </w:r>
      <w:r>
        <w:rPr>
          <w:szCs w:val="22"/>
          <w:lang w:val="en-US"/>
        </w:rPr>
        <w:t>,</w:t>
      </w:r>
      <w:r w:rsidRPr="003F5A79">
        <w:rPr>
          <w:szCs w:val="22"/>
          <w:lang w:val="en-US"/>
        </w:rPr>
        <w:t xml:space="preserve"> </w:t>
      </w:r>
      <w:r>
        <w:rPr>
          <w:szCs w:val="22"/>
          <w:lang w:val="en-US"/>
        </w:rPr>
        <w:t>most of</w:t>
      </w:r>
      <w:r w:rsidRPr="003F5A79">
        <w:rPr>
          <w:szCs w:val="22"/>
          <w:lang w:val="en-US"/>
        </w:rPr>
        <w:t xml:space="preserve"> the rest will use HFC-134a</w:t>
      </w:r>
      <w:r>
        <w:rPr>
          <w:szCs w:val="22"/>
          <w:lang w:val="en-US"/>
        </w:rPr>
        <w:t xml:space="preserve">, and </w:t>
      </w:r>
      <w:r w:rsidRPr="003F5A79">
        <w:rPr>
          <w:szCs w:val="22"/>
          <w:lang w:val="en-US"/>
        </w:rPr>
        <w:t xml:space="preserve">a small share </w:t>
      </w:r>
      <w:r>
        <w:rPr>
          <w:szCs w:val="22"/>
          <w:lang w:val="en-US"/>
        </w:rPr>
        <w:t xml:space="preserve">may </w:t>
      </w:r>
      <w:r w:rsidRPr="003F5A79">
        <w:rPr>
          <w:szCs w:val="22"/>
          <w:lang w:val="en-US"/>
        </w:rPr>
        <w:t>apply unsaturated HFC refrigerants such as HF</w:t>
      </w:r>
      <w:r w:rsidR="00DD1C7D">
        <w:rPr>
          <w:szCs w:val="22"/>
          <w:lang w:val="en-US"/>
        </w:rPr>
        <w:t>O</w:t>
      </w:r>
      <w:r w:rsidRPr="003F5A79">
        <w:rPr>
          <w:szCs w:val="22"/>
          <w:lang w:val="en-US"/>
        </w:rPr>
        <w:t>-1234yf</w:t>
      </w:r>
      <w:r w:rsidRPr="003F5A79">
        <w:rPr>
          <w:spacing w:val="-2"/>
          <w:szCs w:val="22"/>
          <w:lang w:val="en-US"/>
        </w:rPr>
        <w:t>.</w:t>
      </w:r>
    </w:p>
    <w:p w:rsidR="00644249" w:rsidRPr="003F5A79" w:rsidRDefault="00644249" w:rsidP="00644249">
      <w:pPr>
        <w:widowControl w:val="0"/>
        <w:autoSpaceDE w:val="0"/>
        <w:autoSpaceDN w:val="0"/>
        <w:adjustRightInd w:val="0"/>
        <w:ind w:right="488"/>
        <w:rPr>
          <w:spacing w:val="-2"/>
          <w:szCs w:val="22"/>
          <w:lang w:val="en-US"/>
        </w:rPr>
      </w:pPr>
    </w:p>
    <w:p w:rsidR="00644249" w:rsidRPr="003F5A79" w:rsidRDefault="00644249" w:rsidP="00644249">
      <w:pPr>
        <w:widowControl w:val="0"/>
        <w:autoSpaceDE w:val="0"/>
        <w:autoSpaceDN w:val="0"/>
        <w:adjustRightInd w:val="0"/>
        <w:ind w:right="488"/>
        <w:rPr>
          <w:spacing w:val="-2"/>
          <w:szCs w:val="22"/>
          <w:lang w:val="en-US"/>
        </w:rPr>
      </w:pPr>
      <w:r w:rsidRPr="003F5A79">
        <w:rPr>
          <w:spacing w:val="-2"/>
          <w:szCs w:val="22"/>
          <w:lang w:val="en-US"/>
        </w:rPr>
        <w:t xml:space="preserve">Globally, the activity undertaken so far on </w:t>
      </w:r>
      <w:r w:rsidRPr="003F5A79">
        <w:rPr>
          <w:szCs w:val="22"/>
          <w:lang w:val="en-US"/>
        </w:rPr>
        <w:t>HF</w:t>
      </w:r>
      <w:r w:rsidR="00DD1C7D">
        <w:rPr>
          <w:szCs w:val="22"/>
          <w:lang w:val="en-US"/>
        </w:rPr>
        <w:t>O</w:t>
      </w:r>
      <w:r w:rsidRPr="003F5A79">
        <w:rPr>
          <w:szCs w:val="22"/>
          <w:lang w:val="en-US"/>
        </w:rPr>
        <w:t xml:space="preserve">-1234yf in domestic refrigerator applications remains </w:t>
      </w:r>
      <w:r>
        <w:rPr>
          <w:szCs w:val="22"/>
          <w:lang w:val="en-US"/>
        </w:rPr>
        <w:t xml:space="preserve">very </w:t>
      </w:r>
      <w:r w:rsidRPr="003F5A79">
        <w:rPr>
          <w:szCs w:val="22"/>
          <w:lang w:val="en-US"/>
        </w:rPr>
        <w:t>limited and is not being pursued with high priority, due to cost implications</w:t>
      </w:r>
      <w:r w:rsidRPr="003F5A79">
        <w:rPr>
          <w:spacing w:val="-2"/>
          <w:szCs w:val="22"/>
          <w:lang w:val="en-US"/>
        </w:rPr>
        <w:t xml:space="preserve">. </w:t>
      </w:r>
      <w:r w:rsidRPr="003F5A79">
        <w:rPr>
          <w:szCs w:val="22"/>
          <w:lang w:val="en-US"/>
        </w:rPr>
        <w:t>The use of HF</w:t>
      </w:r>
      <w:r w:rsidR="00DD1C7D">
        <w:rPr>
          <w:szCs w:val="22"/>
          <w:lang w:val="en-US"/>
        </w:rPr>
        <w:t>O</w:t>
      </w:r>
      <w:r w:rsidRPr="003F5A79">
        <w:rPr>
          <w:szCs w:val="22"/>
          <w:lang w:val="en-US"/>
        </w:rPr>
        <w:t>-1234yf in a domestic freezer has been tested as a proof of concept.</w:t>
      </w:r>
      <w:r w:rsidRPr="003F5A79">
        <w:rPr>
          <w:spacing w:val="-2"/>
          <w:szCs w:val="22"/>
          <w:lang w:val="en-US"/>
        </w:rPr>
        <w:t xml:space="preserve"> </w:t>
      </w:r>
    </w:p>
    <w:p w:rsidR="00644249" w:rsidRPr="003F5A79" w:rsidRDefault="00644249" w:rsidP="00644249">
      <w:pPr>
        <w:widowControl w:val="0"/>
        <w:tabs>
          <w:tab w:val="left" w:pos="4820"/>
        </w:tabs>
        <w:autoSpaceDE w:val="0"/>
        <w:autoSpaceDN w:val="0"/>
        <w:adjustRightInd w:val="0"/>
        <w:spacing w:line="259" w:lineRule="exact"/>
        <w:ind w:right="488"/>
        <w:rPr>
          <w:spacing w:val="-2"/>
          <w:szCs w:val="22"/>
          <w:lang w:val="en-US"/>
        </w:rPr>
      </w:pPr>
    </w:p>
    <w:p w:rsidR="00644249" w:rsidRPr="003F5A79" w:rsidRDefault="00644249" w:rsidP="00644249">
      <w:pPr>
        <w:widowControl w:val="0"/>
        <w:autoSpaceDE w:val="0"/>
        <w:autoSpaceDN w:val="0"/>
        <w:adjustRightInd w:val="0"/>
        <w:ind w:right="488"/>
        <w:rPr>
          <w:spacing w:val="-2"/>
          <w:szCs w:val="22"/>
          <w:lang w:val="en-US"/>
        </w:rPr>
      </w:pPr>
      <w:r w:rsidRPr="003F5A79">
        <w:rPr>
          <w:szCs w:val="22"/>
          <w:lang w:val="en-US"/>
        </w:rPr>
        <w:t xml:space="preserve">The Association of Home Appliance Manufactures (AHAM) of North America has recently announced a voluntary goal to phase down HFC-134a in household refrigerators and freezers after 2024. It is not yet clear whether manufacturers will choose HC-600a </w:t>
      </w:r>
      <w:r w:rsidR="00FD6BC8">
        <w:rPr>
          <w:szCs w:val="22"/>
          <w:lang w:val="en-US"/>
        </w:rPr>
        <w:t xml:space="preserve">(class A2) </w:t>
      </w:r>
      <w:r w:rsidRPr="003F5A79">
        <w:rPr>
          <w:szCs w:val="22"/>
          <w:lang w:val="en-US"/>
        </w:rPr>
        <w:t>or HF</w:t>
      </w:r>
      <w:r w:rsidR="00DD1C7D">
        <w:rPr>
          <w:szCs w:val="22"/>
          <w:lang w:val="en-US"/>
        </w:rPr>
        <w:t>O</w:t>
      </w:r>
      <w:r w:rsidRPr="003F5A79">
        <w:rPr>
          <w:szCs w:val="22"/>
          <w:lang w:val="en-US"/>
        </w:rPr>
        <w:t xml:space="preserve">-1234yf </w:t>
      </w:r>
      <w:r w:rsidR="00FD6BC8">
        <w:rPr>
          <w:szCs w:val="22"/>
          <w:lang w:val="en-US"/>
        </w:rPr>
        <w:t xml:space="preserve">(class A2L) </w:t>
      </w:r>
      <w:r w:rsidRPr="003F5A79">
        <w:rPr>
          <w:szCs w:val="22"/>
          <w:lang w:val="en-US"/>
        </w:rPr>
        <w:t>as both are flammable and still have to adhere to current and emerging safety and energy efficiency standards</w:t>
      </w:r>
      <w:r w:rsidR="00FE51D6">
        <w:rPr>
          <w:szCs w:val="22"/>
          <w:lang w:val="en-US"/>
        </w:rPr>
        <w:t xml:space="preserve">. </w:t>
      </w:r>
    </w:p>
    <w:p w:rsidR="00644249" w:rsidRPr="003F5A79" w:rsidRDefault="00644249" w:rsidP="00644249">
      <w:pPr>
        <w:widowControl w:val="0"/>
        <w:autoSpaceDE w:val="0"/>
        <w:autoSpaceDN w:val="0"/>
        <w:adjustRightInd w:val="0"/>
        <w:ind w:right="488"/>
        <w:rPr>
          <w:spacing w:val="-2"/>
          <w:szCs w:val="22"/>
          <w:lang w:val="en-US"/>
        </w:rPr>
      </w:pPr>
    </w:p>
    <w:p w:rsidR="00644249" w:rsidRPr="003F5A79" w:rsidRDefault="00644249" w:rsidP="00644249">
      <w:pPr>
        <w:widowControl w:val="0"/>
        <w:autoSpaceDE w:val="0"/>
        <w:autoSpaceDN w:val="0"/>
        <w:adjustRightInd w:val="0"/>
        <w:ind w:right="488"/>
        <w:rPr>
          <w:spacing w:val="-2"/>
          <w:szCs w:val="22"/>
          <w:lang w:val="en-US"/>
        </w:rPr>
      </w:pPr>
      <w:r w:rsidRPr="003F5A79">
        <w:rPr>
          <w:spacing w:val="-2"/>
          <w:szCs w:val="22"/>
          <w:lang w:val="en-US"/>
        </w:rPr>
        <w:t xml:space="preserve">In the proposed </w:t>
      </w:r>
      <w:r>
        <w:rPr>
          <w:spacing w:val="-2"/>
          <w:szCs w:val="22"/>
        </w:rPr>
        <w:t xml:space="preserve">USA </w:t>
      </w:r>
      <w:r w:rsidR="00DD1C7D">
        <w:rPr>
          <w:spacing w:val="-2"/>
          <w:szCs w:val="22"/>
        </w:rPr>
        <w:t>Significant New Alternatives Policy (</w:t>
      </w:r>
      <w:r w:rsidRPr="003F5A79">
        <w:rPr>
          <w:spacing w:val="-2"/>
          <w:szCs w:val="22"/>
          <w:lang w:val="en-US"/>
        </w:rPr>
        <w:t>SNAP</w:t>
      </w:r>
      <w:r w:rsidR="00DD1C7D">
        <w:rPr>
          <w:spacing w:val="-2"/>
          <w:szCs w:val="22"/>
          <w:lang w:val="en-US"/>
        </w:rPr>
        <w:t>)</w:t>
      </w:r>
      <w:r w:rsidRPr="003F5A79">
        <w:rPr>
          <w:spacing w:val="-2"/>
          <w:szCs w:val="22"/>
          <w:lang w:val="en-US"/>
        </w:rPr>
        <w:t xml:space="preserve"> listing of </w:t>
      </w:r>
      <w:r w:rsidR="00407A81">
        <w:rPr>
          <w:spacing w:val="-2"/>
          <w:szCs w:val="22"/>
          <w:lang w:val="en-US"/>
        </w:rPr>
        <w:t xml:space="preserve">18 April </w:t>
      </w:r>
      <w:r w:rsidRPr="003F5A79">
        <w:rPr>
          <w:spacing w:val="-2"/>
          <w:szCs w:val="22"/>
          <w:lang w:val="en-US"/>
        </w:rPr>
        <w:t>2016, HFC-134a in domestic appliances is listed as undesirable as of 1/1/2021. The EU F-gas regulation 517/2014 prohibits the use of HFC-134a in domestic appliances as of 1/1/2015. This implies that the change to a low GWP refrigerant (defined as GWP &lt;150 in 517/2014</w:t>
      </w:r>
      <w:r w:rsidR="00407A81">
        <w:rPr>
          <w:spacing w:val="-2"/>
          <w:szCs w:val="22"/>
          <w:lang w:val="en-US"/>
        </w:rPr>
        <w:t>)</w:t>
      </w:r>
      <w:r w:rsidRPr="003F5A79">
        <w:rPr>
          <w:spacing w:val="-2"/>
          <w:szCs w:val="22"/>
          <w:lang w:val="en-US"/>
        </w:rPr>
        <w:t>, away from HFC-134a, is a real issue here</w:t>
      </w:r>
      <w:r w:rsidR="00FE51D6">
        <w:rPr>
          <w:spacing w:val="-2"/>
          <w:szCs w:val="22"/>
          <w:lang w:val="en-US"/>
        </w:rPr>
        <w:t xml:space="preserve">. </w:t>
      </w:r>
    </w:p>
    <w:p w:rsidR="00644249" w:rsidRPr="003F5A79" w:rsidRDefault="00644249" w:rsidP="00644249">
      <w:pPr>
        <w:widowControl w:val="0"/>
        <w:autoSpaceDE w:val="0"/>
        <w:autoSpaceDN w:val="0"/>
        <w:adjustRightInd w:val="0"/>
        <w:ind w:right="488"/>
        <w:rPr>
          <w:spacing w:val="-2"/>
          <w:szCs w:val="22"/>
          <w:lang w:val="en-US"/>
        </w:rPr>
      </w:pPr>
    </w:p>
    <w:p w:rsidR="00644249" w:rsidRPr="003F5A79" w:rsidRDefault="00644249" w:rsidP="00644249">
      <w:pPr>
        <w:widowControl w:val="0"/>
        <w:autoSpaceDE w:val="0"/>
        <w:autoSpaceDN w:val="0"/>
        <w:adjustRightInd w:val="0"/>
        <w:ind w:right="488"/>
        <w:rPr>
          <w:spacing w:val="-2"/>
          <w:szCs w:val="22"/>
          <w:lang w:val="en-US"/>
        </w:rPr>
      </w:pPr>
      <w:r w:rsidRPr="003F5A79">
        <w:rPr>
          <w:spacing w:val="-2"/>
          <w:szCs w:val="22"/>
          <w:lang w:val="en-US"/>
        </w:rPr>
        <w:t xml:space="preserve">The heat pump clothes (laundry) dryer (HPCD) sales using HFC-134a are rapidly </w:t>
      </w:r>
      <w:r w:rsidRPr="003F5A79">
        <w:rPr>
          <w:szCs w:val="22"/>
          <w:lang w:val="en-US"/>
        </w:rPr>
        <w:t>growing in the EU. HPCDs using R-407C and HC-290 have also been introduced</w:t>
      </w:r>
      <w:r w:rsidR="00FE51D6">
        <w:rPr>
          <w:szCs w:val="22"/>
          <w:lang w:val="en-US"/>
        </w:rPr>
        <w:t xml:space="preserve">. </w:t>
      </w:r>
      <w:r w:rsidRPr="003F5A79">
        <w:rPr>
          <w:szCs w:val="22"/>
          <w:lang w:val="en-US"/>
        </w:rPr>
        <w:t xml:space="preserve">New research with R-744 shows significant efficiency gain may be possible. </w:t>
      </w:r>
      <w:r w:rsidRPr="003F5A79">
        <w:rPr>
          <w:spacing w:val="-2"/>
          <w:szCs w:val="22"/>
          <w:lang w:val="en-US"/>
        </w:rPr>
        <w:t xml:space="preserve">Alternative refrigerant solutions that are being explored include HC-600a and low GWP </w:t>
      </w:r>
      <w:r w:rsidR="00DD1C7D">
        <w:rPr>
          <w:spacing w:val="-2"/>
          <w:szCs w:val="22"/>
          <w:lang w:val="en-US"/>
        </w:rPr>
        <w:t>HFOs</w:t>
      </w:r>
      <w:r w:rsidRPr="003F5A79">
        <w:rPr>
          <w:spacing w:val="-2"/>
          <w:szCs w:val="22"/>
          <w:lang w:val="en-US"/>
        </w:rPr>
        <w:t xml:space="preserve">. </w:t>
      </w:r>
    </w:p>
    <w:p w:rsidR="00644249" w:rsidRPr="00636FD9" w:rsidRDefault="00644249" w:rsidP="00644249">
      <w:pPr>
        <w:widowControl w:val="0"/>
        <w:autoSpaceDE w:val="0"/>
        <w:autoSpaceDN w:val="0"/>
        <w:adjustRightInd w:val="0"/>
        <w:ind w:right="488"/>
        <w:rPr>
          <w:spacing w:val="-2"/>
          <w:szCs w:val="22"/>
        </w:rPr>
      </w:pPr>
    </w:p>
    <w:p w:rsidR="00644249" w:rsidRPr="007670FB" w:rsidRDefault="00644249" w:rsidP="00644249">
      <w:pPr>
        <w:pStyle w:val="Heading2"/>
      </w:pPr>
      <w:bookmarkStart w:id="62" w:name="_Toc451686534"/>
      <w:bookmarkStart w:id="63" w:name="_Toc452653367"/>
      <w:r>
        <w:t>3.2</w:t>
      </w:r>
      <w:r>
        <w:tab/>
      </w:r>
      <w:r>
        <w:tab/>
      </w:r>
      <w:r w:rsidRPr="007670FB">
        <w:t>Commercial Refrigeration</w:t>
      </w:r>
      <w:bookmarkEnd w:id="62"/>
      <w:bookmarkEnd w:id="63"/>
    </w:p>
    <w:p w:rsidR="00644249" w:rsidRDefault="00644249" w:rsidP="00644249">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While the F-gas regulation 517/2014 is now effective in Europe, in the United States, the Environmental Protection Agency (EPA), as already mentioned above, published a final rule for change of status of refrigerants in several applications under its SNAP program. Of significance were three changes of status</w:t>
      </w:r>
      <w:r w:rsidR="00DD1C7D">
        <w:rPr>
          <w:rFonts w:ascii="Times New Roman" w:hAnsi="Times New Roman"/>
          <w:color w:val="auto"/>
          <w:sz w:val="22"/>
        </w:rPr>
        <w:t xml:space="preserve">: (1) </w:t>
      </w:r>
      <w:r w:rsidRPr="00ED3C08">
        <w:rPr>
          <w:rFonts w:ascii="Times New Roman" w:hAnsi="Times New Roman"/>
          <w:color w:val="auto"/>
          <w:sz w:val="22"/>
        </w:rPr>
        <w:t xml:space="preserve">for supermarket systems, </w:t>
      </w:r>
      <w:r w:rsidR="00DD1C7D">
        <w:rPr>
          <w:rFonts w:ascii="Times New Roman" w:hAnsi="Times New Roman"/>
          <w:color w:val="auto"/>
          <w:sz w:val="22"/>
        </w:rPr>
        <w:t xml:space="preserve">(2) </w:t>
      </w:r>
      <w:r w:rsidRPr="00ED3C08">
        <w:rPr>
          <w:rFonts w:ascii="Times New Roman" w:hAnsi="Times New Roman"/>
          <w:color w:val="auto"/>
          <w:sz w:val="22"/>
        </w:rPr>
        <w:t xml:space="preserve"> for condensing units and </w:t>
      </w:r>
      <w:r w:rsidR="00DD1C7D">
        <w:rPr>
          <w:rFonts w:ascii="Times New Roman" w:hAnsi="Times New Roman"/>
          <w:color w:val="auto"/>
          <w:sz w:val="22"/>
        </w:rPr>
        <w:t xml:space="preserve">(3) one for </w:t>
      </w:r>
      <w:r w:rsidRPr="00ED3C08">
        <w:rPr>
          <w:rFonts w:ascii="Times New Roman" w:hAnsi="Times New Roman"/>
          <w:color w:val="auto"/>
          <w:sz w:val="22"/>
        </w:rPr>
        <w:t>self-contained coolers and freezers. In all of these applications</w:t>
      </w:r>
      <w:r w:rsidR="00184C08">
        <w:rPr>
          <w:rFonts w:ascii="Times New Roman" w:hAnsi="Times New Roman"/>
          <w:color w:val="auto"/>
          <w:sz w:val="22"/>
        </w:rPr>
        <w:t>,</w:t>
      </w:r>
      <w:r w:rsidRPr="00ED3C08">
        <w:rPr>
          <w:rFonts w:ascii="Times New Roman" w:hAnsi="Times New Roman"/>
          <w:color w:val="auto"/>
          <w:sz w:val="22"/>
        </w:rPr>
        <w:t xml:space="preserve"> the high GWP HFC blend R-404A is not allowed in new equipment starting in January 1, 2017 for supermarkets, January 1, 2018 for condensing units and January 1, 2019</w:t>
      </w:r>
      <w:r w:rsidR="00184C08">
        <w:rPr>
          <w:rFonts w:ascii="Times New Roman" w:hAnsi="Times New Roman"/>
          <w:color w:val="auto"/>
          <w:sz w:val="22"/>
        </w:rPr>
        <w:t xml:space="preserve"> or 2</w:t>
      </w:r>
      <w:r w:rsidRPr="00ED3C08">
        <w:rPr>
          <w:rFonts w:ascii="Times New Roman" w:hAnsi="Times New Roman"/>
          <w:color w:val="auto"/>
          <w:sz w:val="22"/>
        </w:rPr>
        <w:t xml:space="preserve">020 for </w:t>
      </w:r>
      <w:r w:rsidR="00184C08">
        <w:rPr>
          <w:rFonts w:ascii="Times New Roman" w:hAnsi="Times New Roman"/>
          <w:color w:val="auto"/>
          <w:sz w:val="22"/>
        </w:rPr>
        <w:t xml:space="preserve">certain </w:t>
      </w:r>
      <w:r w:rsidRPr="00ED3C08">
        <w:rPr>
          <w:rFonts w:ascii="Times New Roman" w:hAnsi="Times New Roman"/>
          <w:color w:val="auto"/>
          <w:sz w:val="22"/>
        </w:rPr>
        <w:t>self</w:t>
      </w:r>
      <w:r w:rsidR="00475DC3">
        <w:rPr>
          <w:rFonts w:ascii="Times New Roman" w:hAnsi="Times New Roman"/>
          <w:color w:val="auto"/>
          <w:sz w:val="22"/>
        </w:rPr>
        <w:t>-</w:t>
      </w:r>
      <w:r w:rsidRPr="00ED3C08">
        <w:rPr>
          <w:rFonts w:ascii="Times New Roman" w:hAnsi="Times New Roman"/>
          <w:color w:val="auto"/>
          <w:sz w:val="22"/>
        </w:rPr>
        <w:t>contained systems. Canada has signal</w:t>
      </w:r>
      <w:r>
        <w:rPr>
          <w:rFonts w:ascii="Times New Roman" w:hAnsi="Times New Roman"/>
          <w:color w:val="auto"/>
          <w:sz w:val="22"/>
        </w:rPr>
        <w:t>l</w:t>
      </w:r>
      <w:r w:rsidRPr="00ED3C08">
        <w:rPr>
          <w:rFonts w:ascii="Times New Roman" w:hAnsi="Times New Roman"/>
          <w:color w:val="auto"/>
          <w:sz w:val="22"/>
        </w:rPr>
        <w:t>ed its intention to do something similar, and the</w:t>
      </w:r>
      <w:r w:rsidR="00184C08">
        <w:rPr>
          <w:rFonts w:ascii="Times New Roman" w:hAnsi="Times New Roman"/>
          <w:color w:val="auto"/>
          <w:sz w:val="22"/>
        </w:rPr>
        <w:t xml:space="preserve"> US </w:t>
      </w:r>
      <w:r w:rsidRPr="00ED3C08">
        <w:rPr>
          <w:rFonts w:ascii="Times New Roman" w:hAnsi="Times New Roman"/>
          <w:color w:val="auto"/>
          <w:sz w:val="22"/>
        </w:rPr>
        <w:t xml:space="preserve">state of California is looking to the European F-gas regulation for its regulation. These are examples of governments that have started down the path of not allowing high GWP HFC refrigerants or HFC based blends in new equipment. </w:t>
      </w:r>
    </w:p>
    <w:p w:rsidR="00644249" w:rsidRPr="002926ED" w:rsidRDefault="00644249" w:rsidP="00644249"/>
    <w:p w:rsidR="00644249" w:rsidRPr="00ED3C08" w:rsidRDefault="00644249" w:rsidP="00644249">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 xml:space="preserve">Lower GWP refrigerants and HFC blends (both </w:t>
      </w:r>
      <w:r w:rsidR="00FD6BC8">
        <w:rPr>
          <w:rFonts w:ascii="Times New Roman" w:hAnsi="Times New Roman"/>
          <w:color w:val="auto"/>
          <w:sz w:val="22"/>
        </w:rPr>
        <w:t xml:space="preserve">class </w:t>
      </w:r>
      <w:r w:rsidRPr="00ED3C08">
        <w:rPr>
          <w:rFonts w:ascii="Times New Roman" w:hAnsi="Times New Roman"/>
          <w:color w:val="auto"/>
          <w:sz w:val="22"/>
        </w:rPr>
        <w:t xml:space="preserve">A1 and </w:t>
      </w:r>
      <w:r w:rsidR="00FD6BC8">
        <w:rPr>
          <w:rFonts w:ascii="Times New Roman" w:hAnsi="Times New Roman"/>
          <w:color w:val="auto"/>
          <w:sz w:val="22"/>
        </w:rPr>
        <w:t xml:space="preserve">class </w:t>
      </w:r>
      <w:r w:rsidRPr="00ED3C08">
        <w:rPr>
          <w:rFonts w:ascii="Times New Roman" w:hAnsi="Times New Roman"/>
          <w:color w:val="auto"/>
          <w:sz w:val="22"/>
        </w:rPr>
        <w:t xml:space="preserve">A2L) are also being approved for use in various equipment types. The recent impact of these developments is </w:t>
      </w:r>
      <w:r w:rsidRPr="00ED3C08">
        <w:rPr>
          <w:rFonts w:ascii="Times New Roman" w:hAnsi="Times New Roman"/>
          <w:color w:val="auto"/>
          <w:sz w:val="22"/>
        </w:rPr>
        <w:lastRenderedPageBreak/>
        <w:t xml:space="preserve">summarized below for </w:t>
      </w:r>
      <w:r w:rsidR="00F97D6D">
        <w:rPr>
          <w:rFonts w:ascii="Times New Roman" w:hAnsi="Times New Roman"/>
          <w:color w:val="auto"/>
          <w:sz w:val="22"/>
        </w:rPr>
        <w:t xml:space="preserve">various </w:t>
      </w:r>
      <w:r w:rsidRPr="00ED3C08">
        <w:rPr>
          <w:rFonts w:ascii="Times New Roman" w:hAnsi="Times New Roman"/>
          <w:color w:val="auto"/>
          <w:sz w:val="22"/>
        </w:rPr>
        <w:t>refrigerants as relevant to commercial refrigeration equipment.</w:t>
      </w:r>
    </w:p>
    <w:p w:rsidR="00644249" w:rsidRPr="00ED3C08" w:rsidRDefault="00644249" w:rsidP="00644249">
      <w:pPr>
        <w:pStyle w:val="Title"/>
        <w:pBdr>
          <w:bottom w:val="none" w:sz="0" w:space="0" w:color="auto"/>
        </w:pBdr>
        <w:spacing w:after="0"/>
        <w:rPr>
          <w:rFonts w:ascii="Times New Roman" w:hAnsi="Times New Roman"/>
          <w:color w:val="auto"/>
          <w:sz w:val="22"/>
        </w:rPr>
      </w:pPr>
    </w:p>
    <w:p w:rsidR="00644249" w:rsidRDefault="00644249" w:rsidP="00644249">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 xml:space="preserve">In supermarkets, blends such as R-448A, </w:t>
      </w:r>
      <w:r w:rsidR="00E63AFD">
        <w:rPr>
          <w:rFonts w:ascii="Times New Roman" w:hAnsi="Times New Roman"/>
          <w:color w:val="auto"/>
          <w:sz w:val="22"/>
        </w:rPr>
        <w:t>R-4</w:t>
      </w:r>
      <w:r w:rsidRPr="00ED3C08">
        <w:rPr>
          <w:rFonts w:ascii="Times New Roman" w:hAnsi="Times New Roman"/>
          <w:color w:val="auto"/>
          <w:sz w:val="22"/>
        </w:rPr>
        <w:t>49-A, R-449B, R-450A, and R-513A are now beginning to grow in use, starting with Europe and the US. Component manufacturers (compressors, valves, controls</w:t>
      </w:r>
      <w:r w:rsidR="00184C08">
        <w:rPr>
          <w:rFonts w:ascii="Times New Roman" w:hAnsi="Times New Roman"/>
          <w:color w:val="auto"/>
          <w:sz w:val="22"/>
        </w:rPr>
        <w:t xml:space="preserve"> etc.,</w:t>
      </w:r>
      <w:r w:rsidRPr="00ED3C08">
        <w:rPr>
          <w:rFonts w:ascii="Times New Roman" w:hAnsi="Times New Roman"/>
          <w:color w:val="auto"/>
          <w:sz w:val="22"/>
        </w:rPr>
        <w:t xml:space="preserve">) are releasing new products and approving existing products for use with these new refrigerants which range from half to a third of the GWP of the refrigerants that they are replacing. </w:t>
      </w:r>
    </w:p>
    <w:p w:rsidR="00644249" w:rsidRPr="002926ED" w:rsidRDefault="00644249" w:rsidP="00644249"/>
    <w:p w:rsidR="00644249" w:rsidRPr="00ED3C08" w:rsidRDefault="00644249" w:rsidP="00644249">
      <w:pPr>
        <w:pStyle w:val="Title"/>
        <w:pBdr>
          <w:bottom w:val="none" w:sz="0" w:space="0" w:color="auto"/>
        </w:pBdr>
        <w:spacing w:after="0"/>
        <w:rPr>
          <w:rFonts w:ascii="Times New Roman" w:hAnsi="Times New Roman"/>
          <w:color w:val="auto"/>
          <w:sz w:val="22"/>
        </w:rPr>
      </w:pPr>
      <w:r w:rsidRPr="00ED3C08">
        <w:rPr>
          <w:rFonts w:ascii="Times New Roman" w:hAnsi="Times New Roman"/>
          <w:color w:val="auto"/>
          <w:sz w:val="22"/>
        </w:rPr>
        <w:t>The same holds true for condensing units and self</w:t>
      </w:r>
      <w:r w:rsidR="00A006A1">
        <w:rPr>
          <w:rFonts w:ascii="Times New Roman" w:hAnsi="Times New Roman"/>
          <w:color w:val="auto"/>
          <w:sz w:val="22"/>
        </w:rPr>
        <w:t>-</w:t>
      </w:r>
      <w:r w:rsidRPr="00ED3C08">
        <w:rPr>
          <w:rFonts w:ascii="Times New Roman" w:hAnsi="Times New Roman"/>
          <w:color w:val="auto"/>
          <w:sz w:val="22"/>
        </w:rPr>
        <w:t>contained equipment. In the self-contained equipment category, early trials with HF</w:t>
      </w:r>
      <w:r w:rsidR="00184C08">
        <w:rPr>
          <w:rFonts w:ascii="Times New Roman" w:hAnsi="Times New Roman"/>
          <w:color w:val="auto"/>
          <w:sz w:val="22"/>
        </w:rPr>
        <w:t>O</w:t>
      </w:r>
      <w:r w:rsidRPr="00ED3C08">
        <w:rPr>
          <w:rFonts w:ascii="Times New Roman" w:hAnsi="Times New Roman"/>
          <w:color w:val="auto"/>
          <w:sz w:val="22"/>
        </w:rPr>
        <w:t>-1234yf and HF</w:t>
      </w:r>
      <w:r w:rsidR="00184C08">
        <w:rPr>
          <w:rFonts w:ascii="Times New Roman" w:hAnsi="Times New Roman"/>
          <w:color w:val="auto"/>
          <w:sz w:val="22"/>
        </w:rPr>
        <w:t>O</w:t>
      </w:r>
      <w:r w:rsidRPr="00ED3C08">
        <w:rPr>
          <w:rFonts w:ascii="Times New Roman" w:hAnsi="Times New Roman"/>
          <w:color w:val="auto"/>
          <w:sz w:val="22"/>
        </w:rPr>
        <w:t>-1234ze</w:t>
      </w:r>
      <w:r w:rsidR="00407A81">
        <w:rPr>
          <w:rFonts w:ascii="Times New Roman" w:hAnsi="Times New Roman"/>
          <w:color w:val="auto"/>
          <w:sz w:val="22"/>
        </w:rPr>
        <w:t>(E)</w:t>
      </w:r>
      <w:r w:rsidRPr="00ED3C08">
        <w:rPr>
          <w:rFonts w:ascii="Times New Roman" w:hAnsi="Times New Roman"/>
          <w:color w:val="auto"/>
          <w:sz w:val="22"/>
        </w:rPr>
        <w:t xml:space="preserve"> </w:t>
      </w:r>
      <w:r>
        <w:rPr>
          <w:rFonts w:ascii="Times New Roman" w:hAnsi="Times New Roman"/>
          <w:color w:val="auto"/>
          <w:sz w:val="22"/>
        </w:rPr>
        <w:t xml:space="preserve">have </w:t>
      </w:r>
      <w:r w:rsidR="00184C08">
        <w:rPr>
          <w:rFonts w:ascii="Times New Roman" w:hAnsi="Times New Roman"/>
          <w:color w:val="auto"/>
          <w:sz w:val="22"/>
        </w:rPr>
        <w:t xml:space="preserve">begun </w:t>
      </w:r>
      <w:r w:rsidRPr="00ED3C08">
        <w:rPr>
          <w:rFonts w:ascii="Times New Roman" w:hAnsi="Times New Roman"/>
          <w:color w:val="auto"/>
          <w:sz w:val="22"/>
        </w:rPr>
        <w:t>as well.</w:t>
      </w:r>
      <w:r>
        <w:rPr>
          <w:rFonts w:ascii="Times New Roman" w:hAnsi="Times New Roman"/>
          <w:color w:val="auto"/>
          <w:sz w:val="22"/>
        </w:rPr>
        <w:t xml:space="preserve"> T</w:t>
      </w:r>
      <w:r w:rsidRPr="00ED3C08">
        <w:rPr>
          <w:rFonts w:ascii="Times New Roman" w:hAnsi="Times New Roman"/>
          <w:color w:val="auto"/>
          <w:sz w:val="22"/>
        </w:rPr>
        <w:t>he use of R-407A and R-407F (at approximately half the GWP of R-404A and with similar performance in systems) continues to grow in many parts of the world.</w:t>
      </w:r>
    </w:p>
    <w:p w:rsidR="00644249" w:rsidRPr="00ED3C08" w:rsidRDefault="00644249" w:rsidP="00644249"/>
    <w:p w:rsidR="00644249" w:rsidRPr="00ED3C08" w:rsidRDefault="00F97D6D" w:rsidP="00644249">
      <w:r>
        <w:t>R</w:t>
      </w:r>
      <w:r w:rsidR="00644249" w:rsidRPr="00ED3C08">
        <w:t xml:space="preserve">efrigerants </w:t>
      </w:r>
      <w:r w:rsidR="007F2716">
        <w:t xml:space="preserve">such as </w:t>
      </w:r>
      <w:r w:rsidR="00644249" w:rsidRPr="00ED3C08">
        <w:t>R-744 are increasingly being used in supermarket systems worldwide – both in cascaded systems (R-744 for low temperature cascaded with a second refrigerant like HFC-134a or similar and R-717 in limited cases) and in transcritical systems. Transcritical syste</w:t>
      </w:r>
      <w:r w:rsidR="00644249">
        <w:t>ms are being researched extensi</w:t>
      </w:r>
      <w:r w:rsidR="00644249" w:rsidRPr="00ED3C08">
        <w:t>vely to reduce their energy penalty at high ambient conditions through the use of component and system technologies such as ejector, adiabatic condensing, sub-cooling and parallel compression. R-744 is also beginning to see its use in walk-in applications with condensing units. Self-contained systems are increasingly moving from R-404A, HCFC-22</w:t>
      </w:r>
      <w:r w:rsidR="00407A81">
        <w:t xml:space="preserve"> and HFC-134a</w:t>
      </w:r>
      <w:r w:rsidR="00644249" w:rsidRPr="00ED3C08">
        <w:t xml:space="preserve"> to HC-290 or R-744. Charge limits continue to limit the size of the equipment possible with the hydrocarbon refrigerant.</w:t>
      </w:r>
    </w:p>
    <w:p w:rsidR="00644249" w:rsidRPr="00A92C72" w:rsidRDefault="00644249" w:rsidP="00644249">
      <w:pPr>
        <w:rPr>
          <w:lang w:eastAsia="ja-JP"/>
        </w:rPr>
      </w:pPr>
    </w:p>
    <w:p w:rsidR="00644249" w:rsidRPr="007670FB" w:rsidRDefault="00644249" w:rsidP="00644249">
      <w:pPr>
        <w:pStyle w:val="Heading2"/>
      </w:pPr>
      <w:bookmarkStart w:id="64" w:name="_Toc451686535"/>
      <w:bookmarkStart w:id="65" w:name="_Toc452653368"/>
      <w:r>
        <w:t>3.3</w:t>
      </w:r>
      <w:r>
        <w:tab/>
      </w:r>
      <w:r>
        <w:tab/>
      </w:r>
      <w:r w:rsidRPr="007670FB">
        <w:t>Industrial Systems</w:t>
      </w:r>
      <w:bookmarkEnd w:id="64"/>
      <w:bookmarkEnd w:id="65"/>
    </w:p>
    <w:p w:rsidR="00644249" w:rsidRPr="003F5A79" w:rsidRDefault="00644249" w:rsidP="00644249">
      <w:pPr>
        <w:rPr>
          <w:szCs w:val="22"/>
          <w:lang w:val="en-US"/>
        </w:rPr>
      </w:pPr>
      <w:r w:rsidRPr="003F5A79">
        <w:rPr>
          <w:lang w:val="en-US"/>
        </w:rPr>
        <w:t xml:space="preserve">In the time since the release of the 2014 RTOC Assessment report, a number of </w:t>
      </w:r>
      <w:r w:rsidR="00184C08">
        <w:rPr>
          <w:lang w:val="en-US"/>
        </w:rPr>
        <w:t xml:space="preserve">overarching </w:t>
      </w:r>
      <w:r w:rsidRPr="003F5A79">
        <w:rPr>
          <w:lang w:val="en-US"/>
        </w:rPr>
        <w:t>trends have been identified and are expected to be included in the 2018 Assessment report.</w:t>
      </w:r>
    </w:p>
    <w:p w:rsidR="00644249" w:rsidRPr="003F5A79" w:rsidRDefault="00644249" w:rsidP="00644249">
      <w:pPr>
        <w:rPr>
          <w:szCs w:val="22"/>
          <w:lang w:val="en-US"/>
        </w:rPr>
      </w:pPr>
      <w:r w:rsidRPr="003F5A79">
        <w:rPr>
          <w:szCs w:val="22"/>
          <w:lang w:val="en-US"/>
        </w:rPr>
        <w:t>The biggest trend in industrial refrigeration, which also forms a</w:t>
      </w:r>
      <w:r w:rsidR="00184C08">
        <w:rPr>
          <w:szCs w:val="22"/>
          <w:lang w:val="en-US"/>
        </w:rPr>
        <w:t xml:space="preserve">n extensive </w:t>
      </w:r>
      <w:r w:rsidRPr="003F5A79">
        <w:rPr>
          <w:szCs w:val="22"/>
          <w:lang w:val="en-US"/>
        </w:rPr>
        <w:t>challenge, is the constant focus on refrigerant charge reduction. Another big trend in the market is the heat pump market development. Industrial heat pumps use heat that is considered waste in other parts of production processes. An example is the dairy sector, where milk is both cooled and heated in different sequences. The pasteurization process requires temperatures around 70 to 80</w:t>
      </w:r>
      <w:r w:rsidRPr="003F5A79">
        <w:rPr>
          <w:rFonts w:eastAsia="MS PGothic"/>
          <w:szCs w:val="22"/>
          <w:lang w:val="en-US"/>
        </w:rPr>
        <w:t>°</w:t>
      </w:r>
      <w:r w:rsidRPr="003F5A79">
        <w:rPr>
          <w:szCs w:val="22"/>
          <w:lang w:val="en-US"/>
        </w:rPr>
        <w:t>C. Different technologies are used to achieve these temperatures.</w:t>
      </w:r>
    </w:p>
    <w:p w:rsidR="00644249" w:rsidRPr="003F5A79" w:rsidRDefault="00644249" w:rsidP="00644249">
      <w:pPr>
        <w:rPr>
          <w:szCs w:val="22"/>
          <w:lang w:val="en-US"/>
        </w:rPr>
      </w:pPr>
    </w:p>
    <w:p w:rsidR="00644249" w:rsidRPr="003F5A79" w:rsidRDefault="00644249" w:rsidP="00644249">
      <w:pPr>
        <w:rPr>
          <w:szCs w:val="22"/>
          <w:lang w:val="en-US"/>
        </w:rPr>
      </w:pPr>
      <w:r w:rsidRPr="003F5A79">
        <w:rPr>
          <w:szCs w:val="22"/>
          <w:lang w:val="en-US"/>
        </w:rPr>
        <w:t xml:space="preserve">For industrial processes, high temperature heat pumps are required, with temperatures to be produced of up to about 100 </w:t>
      </w:r>
      <w:r w:rsidRPr="003F5A79">
        <w:rPr>
          <w:rFonts w:eastAsia="MS PGothic"/>
          <w:szCs w:val="22"/>
          <w:lang w:val="en-US"/>
        </w:rPr>
        <w:t>°</w:t>
      </w:r>
      <w:r w:rsidRPr="003F5A79">
        <w:rPr>
          <w:szCs w:val="22"/>
          <w:lang w:val="en-US"/>
        </w:rPr>
        <w:t>C, sometimes even up to 180</w:t>
      </w:r>
      <w:r w:rsidRPr="003F5A79">
        <w:rPr>
          <w:rFonts w:eastAsia="MS PGothic"/>
          <w:szCs w:val="22"/>
          <w:lang w:val="en-US"/>
        </w:rPr>
        <w:t>°</w:t>
      </w:r>
      <w:r w:rsidRPr="003F5A79">
        <w:rPr>
          <w:szCs w:val="22"/>
          <w:lang w:val="en-US"/>
        </w:rPr>
        <w:t xml:space="preserve">C. Water </w:t>
      </w:r>
      <w:r>
        <w:rPr>
          <w:szCs w:val="22"/>
          <w:lang w:val="en-US"/>
        </w:rPr>
        <w:t>Vapour</w:t>
      </w:r>
      <w:r w:rsidRPr="003F5A79">
        <w:rPr>
          <w:szCs w:val="22"/>
          <w:lang w:val="en-US"/>
        </w:rPr>
        <w:t xml:space="preserve"> Recompression (VRC, process recovering low heat steam at low pressure and compressing it to a high pressure and high temperature) is gaining a lot of attention.</w:t>
      </w:r>
    </w:p>
    <w:p w:rsidR="00644249" w:rsidRPr="003F5A79" w:rsidRDefault="00644249" w:rsidP="00644249">
      <w:pPr>
        <w:rPr>
          <w:szCs w:val="22"/>
          <w:lang w:val="en-US"/>
        </w:rPr>
      </w:pPr>
    </w:p>
    <w:p w:rsidR="00644249" w:rsidRPr="003F5A79" w:rsidRDefault="00644249" w:rsidP="00644249">
      <w:pPr>
        <w:rPr>
          <w:szCs w:val="22"/>
          <w:lang w:val="en-US"/>
        </w:rPr>
      </w:pPr>
      <w:r w:rsidRPr="003F5A79">
        <w:rPr>
          <w:szCs w:val="22"/>
          <w:lang w:val="en-US"/>
        </w:rPr>
        <w:t>District energy concepts (District Heating combined with District Cooling, «DC») are growing all over the world. In Europe</w:t>
      </w:r>
      <w:r>
        <w:rPr>
          <w:szCs w:val="22"/>
          <w:lang w:val="en-US"/>
        </w:rPr>
        <w:t>,</w:t>
      </w:r>
      <w:r w:rsidRPr="003F5A79">
        <w:rPr>
          <w:szCs w:val="22"/>
          <w:lang w:val="en-US"/>
        </w:rPr>
        <w:t xml:space="preserve"> the two countries where the D</w:t>
      </w:r>
      <w:r w:rsidR="00184C08">
        <w:rPr>
          <w:szCs w:val="22"/>
          <w:lang w:val="en-US"/>
        </w:rPr>
        <w:t>C</w:t>
      </w:r>
      <w:r w:rsidRPr="003F5A79">
        <w:rPr>
          <w:szCs w:val="22"/>
          <w:lang w:val="en-US"/>
        </w:rPr>
        <w:t xml:space="preserve"> concept is most applied are France and Sweden. There is now more emphasis on applying DC in the Middle East </w:t>
      </w:r>
      <w:r w:rsidR="0038005A">
        <w:rPr>
          <w:szCs w:val="22"/>
          <w:lang w:val="en-US"/>
        </w:rPr>
        <w:t xml:space="preserve">post </w:t>
      </w:r>
      <w:r w:rsidRPr="003F5A79">
        <w:rPr>
          <w:szCs w:val="22"/>
          <w:lang w:val="en-US"/>
        </w:rPr>
        <w:t xml:space="preserve">the 2014 assessment since it has the largest DC growth potential in the world. Recently the Multilateral Fund Executive Committee approved demonstration projects in the area. Implementing agencies UNIDO/UNEP are preparing demonstration projects in Egypt, Kuwait and Colombia to help establish </w:t>
      </w:r>
      <w:r>
        <w:rPr>
          <w:szCs w:val="22"/>
          <w:lang w:val="en-US"/>
        </w:rPr>
        <w:t>“</w:t>
      </w:r>
      <w:r w:rsidRPr="003F5A79">
        <w:rPr>
          <w:szCs w:val="22"/>
          <w:lang w:val="en-US"/>
        </w:rPr>
        <w:t>New Technologies</w:t>
      </w:r>
      <w:r>
        <w:rPr>
          <w:szCs w:val="22"/>
          <w:lang w:val="en-US"/>
        </w:rPr>
        <w:t>”</w:t>
      </w:r>
      <w:r w:rsidRPr="003F5A79">
        <w:rPr>
          <w:szCs w:val="22"/>
          <w:lang w:val="en-US"/>
        </w:rPr>
        <w:t>, legislation and benefits of DC for the</w:t>
      </w:r>
      <w:r w:rsidR="0038005A">
        <w:rPr>
          <w:szCs w:val="22"/>
          <w:lang w:val="en-US"/>
        </w:rPr>
        <w:t>se</w:t>
      </w:r>
      <w:r w:rsidRPr="003F5A79">
        <w:rPr>
          <w:szCs w:val="22"/>
          <w:lang w:val="en-US"/>
        </w:rPr>
        <w:t xml:space="preserve"> area</w:t>
      </w:r>
      <w:r w:rsidR="0038005A">
        <w:rPr>
          <w:szCs w:val="22"/>
          <w:lang w:val="en-US"/>
        </w:rPr>
        <w:t>s</w:t>
      </w:r>
      <w:r w:rsidRPr="003F5A79">
        <w:rPr>
          <w:szCs w:val="22"/>
          <w:lang w:val="en-US"/>
        </w:rPr>
        <w:t xml:space="preserve">. District heating and </w:t>
      </w:r>
      <w:r w:rsidR="00184C08">
        <w:rPr>
          <w:szCs w:val="22"/>
          <w:lang w:val="en-US"/>
        </w:rPr>
        <w:t>DC</w:t>
      </w:r>
      <w:r w:rsidRPr="003F5A79">
        <w:rPr>
          <w:szCs w:val="22"/>
          <w:lang w:val="en-US"/>
        </w:rPr>
        <w:t xml:space="preserve"> are growing in many markets, including in </w:t>
      </w:r>
      <w:r w:rsidR="0038005A">
        <w:rPr>
          <w:szCs w:val="22"/>
          <w:lang w:val="en-US"/>
        </w:rPr>
        <w:t>Article 5 Parties</w:t>
      </w:r>
      <w:r w:rsidRPr="003F5A79">
        <w:rPr>
          <w:szCs w:val="22"/>
          <w:lang w:val="en-US"/>
        </w:rPr>
        <w:t>.</w:t>
      </w:r>
      <w:r>
        <w:rPr>
          <w:szCs w:val="22"/>
          <w:lang w:val="en-US"/>
        </w:rPr>
        <w:t xml:space="preserve"> DC can be driven by vapour compression or absorption (which fits into NIK) but in any case it requires significant investments in infrastructure</w:t>
      </w:r>
      <w:r w:rsidR="00184C08">
        <w:rPr>
          <w:szCs w:val="22"/>
          <w:lang w:val="en-US"/>
        </w:rPr>
        <w:t>. T</w:t>
      </w:r>
      <w:r>
        <w:rPr>
          <w:szCs w:val="22"/>
          <w:lang w:val="en-US"/>
        </w:rPr>
        <w:t>his is the reason why they are economically viable only when new buildings or new buildings networks are involved.</w:t>
      </w:r>
    </w:p>
    <w:p w:rsidR="00644249" w:rsidRPr="003F5A79" w:rsidRDefault="00644249" w:rsidP="00644249">
      <w:pPr>
        <w:rPr>
          <w:szCs w:val="22"/>
          <w:lang w:val="en-US"/>
        </w:rPr>
      </w:pPr>
    </w:p>
    <w:p w:rsidR="00644249" w:rsidRPr="003F5A79" w:rsidRDefault="00644249" w:rsidP="00644249">
      <w:pPr>
        <w:rPr>
          <w:lang w:val="en-US"/>
        </w:rPr>
      </w:pPr>
      <w:r w:rsidRPr="003F5A79">
        <w:rPr>
          <w:lang w:val="en-US"/>
        </w:rPr>
        <w:lastRenderedPageBreak/>
        <w:t xml:space="preserve">In some </w:t>
      </w:r>
      <w:r w:rsidR="0038005A">
        <w:rPr>
          <w:lang w:val="en-US"/>
        </w:rPr>
        <w:t>Parties,</w:t>
      </w:r>
      <w:r w:rsidRPr="003F5A79">
        <w:rPr>
          <w:lang w:val="en-US"/>
        </w:rPr>
        <w:t xml:space="preserve"> industrial refrigeration systems have been widely based on HCFC-22. </w:t>
      </w:r>
      <w:r>
        <w:rPr>
          <w:lang w:val="en-US"/>
        </w:rPr>
        <w:t xml:space="preserve">Also in Article 5 </w:t>
      </w:r>
      <w:r w:rsidR="00184C08">
        <w:rPr>
          <w:lang w:val="en-US"/>
        </w:rPr>
        <w:t xml:space="preserve">Parties, </w:t>
      </w:r>
      <w:r>
        <w:rPr>
          <w:lang w:val="en-US"/>
        </w:rPr>
        <w:t xml:space="preserve">the trend is now to abandon it </w:t>
      </w:r>
      <w:r w:rsidR="00F97D6D">
        <w:rPr>
          <w:lang w:val="en-US"/>
        </w:rPr>
        <w:t xml:space="preserve">and </w:t>
      </w:r>
      <w:r w:rsidRPr="003F5A79">
        <w:rPr>
          <w:lang w:val="en-US"/>
        </w:rPr>
        <w:t xml:space="preserve">look for drop-in alternatives </w:t>
      </w:r>
      <w:r>
        <w:rPr>
          <w:lang w:val="en-US"/>
        </w:rPr>
        <w:t>or</w:t>
      </w:r>
      <w:r w:rsidRPr="003F5A79">
        <w:rPr>
          <w:lang w:val="en-US"/>
        </w:rPr>
        <w:t xml:space="preserve"> for new </w:t>
      </w:r>
      <w:r w:rsidR="00F97D6D">
        <w:rPr>
          <w:lang w:val="en-US"/>
        </w:rPr>
        <w:t xml:space="preserve">refrigerant </w:t>
      </w:r>
      <w:r w:rsidRPr="003F5A79">
        <w:rPr>
          <w:lang w:val="en-US"/>
        </w:rPr>
        <w:t xml:space="preserve">solutions. </w:t>
      </w:r>
    </w:p>
    <w:p w:rsidR="00644249" w:rsidRPr="00ED3C08" w:rsidRDefault="00644249" w:rsidP="00644249">
      <w:pPr>
        <w:rPr>
          <w:szCs w:val="22"/>
          <w:lang w:val="en-US"/>
        </w:rPr>
      </w:pPr>
    </w:p>
    <w:p w:rsidR="00644249" w:rsidRPr="00CE01BD" w:rsidRDefault="00644249" w:rsidP="00644249">
      <w:pPr>
        <w:pStyle w:val="Heading2"/>
      </w:pPr>
      <w:bookmarkStart w:id="66" w:name="_Toc451686536"/>
      <w:bookmarkStart w:id="67" w:name="_Toc452653369"/>
      <w:r w:rsidRPr="00CE01BD">
        <w:t>3.4</w:t>
      </w:r>
      <w:r w:rsidRPr="00CE01BD">
        <w:tab/>
      </w:r>
      <w:r w:rsidRPr="00CE01BD">
        <w:tab/>
        <w:t>Transport</w:t>
      </w:r>
      <w:r>
        <w:t xml:space="preserve"> r</w:t>
      </w:r>
      <w:r w:rsidRPr="00CE01BD">
        <w:t>efrigeration</w:t>
      </w:r>
      <w:bookmarkEnd w:id="66"/>
      <w:bookmarkEnd w:id="67"/>
    </w:p>
    <w:p w:rsidR="001341BE" w:rsidRDefault="00644249" w:rsidP="00644249">
      <w:pPr>
        <w:rPr>
          <w:lang w:val="en-US"/>
        </w:rPr>
      </w:pPr>
      <w:r w:rsidRPr="003F5A79">
        <w:rPr>
          <w:lang w:val="en-US"/>
        </w:rPr>
        <w:t>R-452A has been introduced during 2015 as a customer option on new truck and trailer refrigeration units (it is a blend consisting of HFC</w:t>
      </w:r>
      <w:r w:rsidR="00D17DB8">
        <w:rPr>
          <w:lang w:val="en-US"/>
        </w:rPr>
        <w:t>-</w:t>
      </w:r>
      <w:r w:rsidRPr="003F5A79">
        <w:rPr>
          <w:lang w:val="en-US"/>
        </w:rPr>
        <w:t>32, HFC-125 and HF</w:t>
      </w:r>
      <w:r w:rsidR="00184C08">
        <w:rPr>
          <w:lang w:val="en-US"/>
        </w:rPr>
        <w:t>O</w:t>
      </w:r>
      <w:r w:rsidRPr="003F5A79">
        <w:rPr>
          <w:lang w:val="en-US"/>
        </w:rPr>
        <w:t>-1234yf). R-404A continues to be offered as well for its wide availability. R-452A has similar cooling capacity, fuel efficiency, reliability and refrigerant charge as R-404A, but it offers a 45% GWP reduction. The features supporting R-452A in transport refrigeration include non-flammability and low compressor discharge temperatures. By January 2016</w:t>
      </w:r>
      <w:r w:rsidR="00184C08">
        <w:rPr>
          <w:lang w:val="en-US"/>
        </w:rPr>
        <w:t>,</w:t>
      </w:r>
      <w:r w:rsidRPr="003F5A79">
        <w:rPr>
          <w:lang w:val="en-US"/>
        </w:rPr>
        <w:t xml:space="preserve"> one manufacturer has sold 1500+ units with R-452A already.</w:t>
      </w:r>
      <w:r>
        <w:rPr>
          <w:lang w:val="en-US"/>
        </w:rPr>
        <w:t xml:space="preserve"> </w:t>
      </w:r>
      <w:r w:rsidRPr="003F5A79">
        <w:rPr>
          <w:lang w:val="en-US"/>
        </w:rPr>
        <w:t>The close property match of</w:t>
      </w:r>
    </w:p>
    <w:p w:rsidR="00644249" w:rsidRPr="003F5A79" w:rsidRDefault="00644249" w:rsidP="00644249">
      <w:pPr>
        <w:rPr>
          <w:lang w:val="en-US"/>
        </w:rPr>
      </w:pPr>
      <w:r w:rsidRPr="003F5A79">
        <w:rPr>
          <w:lang w:val="en-US"/>
        </w:rPr>
        <w:t>R-452A to R-404A gives customers the option to retrofit their existing fleets. The conversion does not require component changes and it can be carried out in the field during the life of the product.</w:t>
      </w:r>
    </w:p>
    <w:p w:rsidR="00644249" w:rsidRPr="003F5A79" w:rsidRDefault="00644249" w:rsidP="00644249">
      <w:pPr>
        <w:rPr>
          <w:lang w:val="en-US"/>
        </w:rPr>
      </w:pPr>
    </w:p>
    <w:p w:rsidR="00644249" w:rsidRPr="003F5A79" w:rsidRDefault="00644249" w:rsidP="00644249">
      <w:pPr>
        <w:rPr>
          <w:lang w:val="en-US"/>
        </w:rPr>
      </w:pPr>
      <w:r w:rsidRPr="003F5A79">
        <w:rPr>
          <w:lang w:val="en-US"/>
        </w:rPr>
        <w:t>In addition, activit</w:t>
      </w:r>
      <w:r w:rsidR="009F18FC">
        <w:rPr>
          <w:lang w:val="en-US"/>
        </w:rPr>
        <w:t>ies are on</w:t>
      </w:r>
      <w:r w:rsidRPr="003F5A79">
        <w:rPr>
          <w:lang w:val="en-US"/>
        </w:rPr>
        <w:t xml:space="preserve">going to assess </w:t>
      </w:r>
      <w:r w:rsidR="00C0514B">
        <w:rPr>
          <w:lang w:val="en-US"/>
        </w:rPr>
        <w:t xml:space="preserve">R-744 and </w:t>
      </w:r>
      <w:r w:rsidRPr="003F5A79">
        <w:rPr>
          <w:lang w:val="en-US"/>
        </w:rPr>
        <w:t>other non-flammable (A1) lower GWP solutions</w:t>
      </w:r>
      <w:r w:rsidR="00C0514B">
        <w:rPr>
          <w:rFonts w:ascii="Times-Roman" w:hAnsi="Times-Roman"/>
          <w:szCs w:val="22"/>
        </w:rPr>
        <w:t xml:space="preserve"> such as R-448A and R-449A.</w:t>
      </w:r>
      <w:r w:rsidRPr="003F5A79">
        <w:rPr>
          <w:lang w:val="en-US"/>
        </w:rPr>
        <w:t xml:space="preserve"> R-513A, R-513B, and R-456A are being considered as future drop</w:t>
      </w:r>
      <w:r w:rsidR="00565299">
        <w:rPr>
          <w:lang w:val="en-US"/>
        </w:rPr>
        <w:t>-</w:t>
      </w:r>
      <w:r w:rsidRPr="003F5A79">
        <w:rPr>
          <w:lang w:val="en-US"/>
        </w:rPr>
        <w:t>in solution</w:t>
      </w:r>
      <w:r w:rsidR="00C0514B">
        <w:rPr>
          <w:lang w:val="en-US"/>
        </w:rPr>
        <w:t>s</w:t>
      </w:r>
      <w:r w:rsidRPr="003F5A79">
        <w:rPr>
          <w:lang w:val="en-US"/>
        </w:rPr>
        <w:t xml:space="preserve"> for </w:t>
      </w:r>
      <w:r w:rsidR="00C0514B">
        <w:rPr>
          <w:lang w:val="en-US"/>
        </w:rPr>
        <w:t>HFC</w:t>
      </w:r>
      <w:r w:rsidRPr="003F5A79">
        <w:rPr>
          <w:lang w:val="en-US"/>
        </w:rPr>
        <w:t xml:space="preserve">-134a that is utilized in some refrigerated vans and a large number of marine containers. These blends have approximately 50% of the GWP of </w:t>
      </w:r>
      <w:r w:rsidR="00C0514B">
        <w:rPr>
          <w:lang w:val="en-US"/>
        </w:rPr>
        <w:t>HFC</w:t>
      </w:r>
      <w:r w:rsidRPr="003F5A79">
        <w:rPr>
          <w:lang w:val="en-US"/>
        </w:rPr>
        <w:t xml:space="preserve">-134a. R&amp;D is </w:t>
      </w:r>
      <w:r w:rsidR="009F18FC">
        <w:rPr>
          <w:lang w:val="en-US"/>
        </w:rPr>
        <w:t>ongoing</w:t>
      </w:r>
      <w:r w:rsidRPr="003F5A79">
        <w:rPr>
          <w:lang w:val="en-US"/>
        </w:rPr>
        <w:t>, but no products have been released so far based on these refrigerants.</w:t>
      </w:r>
    </w:p>
    <w:p w:rsidR="00644249" w:rsidRPr="003F5A79" w:rsidRDefault="00644249" w:rsidP="00644249">
      <w:pPr>
        <w:rPr>
          <w:lang w:val="en-US"/>
        </w:rPr>
      </w:pPr>
    </w:p>
    <w:p w:rsidR="00644249" w:rsidRPr="003F5A79" w:rsidRDefault="00644249" w:rsidP="00644249">
      <w:pPr>
        <w:rPr>
          <w:lang w:val="en-US"/>
        </w:rPr>
      </w:pPr>
      <w:r w:rsidRPr="003F5A79" w:rsidDel="009F0CE1">
        <w:rPr>
          <w:lang w:val="en-US"/>
        </w:rPr>
        <w:t>Flammable</w:t>
      </w:r>
      <w:r w:rsidRPr="003F5A79">
        <w:rPr>
          <w:lang w:val="en-US"/>
        </w:rPr>
        <w:t xml:space="preserve"> (A3) and </w:t>
      </w:r>
      <w:r w:rsidR="00FD6BC8">
        <w:rPr>
          <w:lang w:val="en-US"/>
        </w:rPr>
        <w:t xml:space="preserve">lower </w:t>
      </w:r>
      <w:r w:rsidRPr="003F5A79">
        <w:rPr>
          <w:lang w:val="en-US"/>
        </w:rPr>
        <w:t>flammable</w:t>
      </w:r>
      <w:r w:rsidRPr="003F5A79" w:rsidDel="009F0CE1">
        <w:rPr>
          <w:lang w:val="en-US"/>
        </w:rPr>
        <w:t xml:space="preserve"> </w:t>
      </w:r>
      <w:r w:rsidRPr="003F5A79">
        <w:rPr>
          <w:lang w:val="en-US"/>
        </w:rPr>
        <w:t xml:space="preserve">(A2L) </w:t>
      </w:r>
      <w:r w:rsidRPr="003F5A79" w:rsidDel="009F0CE1">
        <w:rPr>
          <w:lang w:val="en-US"/>
        </w:rPr>
        <w:t>refrigerant research has continued, aiming at producing publicly available and technically sound references to support code and standard activities</w:t>
      </w:r>
      <w:r w:rsidRPr="003F5A79">
        <w:rPr>
          <w:lang w:val="en-US"/>
        </w:rPr>
        <w:t xml:space="preserve"> with regard to transport systems</w:t>
      </w:r>
      <w:r w:rsidRPr="003F5A79" w:rsidDel="009F0CE1">
        <w:rPr>
          <w:lang w:val="en-US"/>
        </w:rPr>
        <w:t xml:space="preserve">. </w:t>
      </w:r>
      <w:r w:rsidRPr="003F5A79">
        <w:rPr>
          <w:lang w:val="en-US"/>
        </w:rPr>
        <w:t>König and Bararu (2014) have shown that frequency of hazard and probabilities of fatalities for the global reefer container fleet would be below 10</w:t>
      </w:r>
      <w:r w:rsidRPr="003F5A79">
        <w:rPr>
          <w:vertAlign w:val="superscript"/>
          <w:lang w:val="en-US"/>
        </w:rPr>
        <w:t>-6</w:t>
      </w:r>
      <w:r w:rsidRPr="003F5A79">
        <w:rPr>
          <w:lang w:val="en-US"/>
        </w:rPr>
        <w:t xml:space="preserve"> </w:t>
      </w:r>
      <w:r w:rsidR="00184C08">
        <w:rPr>
          <w:lang w:val="en-US"/>
        </w:rPr>
        <w:t xml:space="preserve">(one in a million) </w:t>
      </w:r>
      <w:r w:rsidRPr="003F5A79">
        <w:rPr>
          <w:lang w:val="en-US"/>
        </w:rPr>
        <w:t xml:space="preserve">if adequate design changes were in place and best practice guidelines were established. In February 2016, the first meeting took place to develop the </w:t>
      </w:r>
      <w:r w:rsidR="0038005A">
        <w:rPr>
          <w:lang w:val="en-US"/>
        </w:rPr>
        <w:t>International Organisation for Standardisation (</w:t>
      </w:r>
      <w:r w:rsidRPr="003F5A79">
        <w:rPr>
          <w:lang w:val="en-US"/>
        </w:rPr>
        <w:t>ISO</w:t>
      </w:r>
      <w:r w:rsidR="0038005A">
        <w:rPr>
          <w:lang w:val="en-US"/>
        </w:rPr>
        <w:t>)</w:t>
      </w:r>
      <w:r w:rsidRPr="003F5A79">
        <w:rPr>
          <w:lang w:val="en-US"/>
        </w:rPr>
        <w:t xml:space="preserve"> 20854 safety standard for refrigerating systems using flammable </w:t>
      </w:r>
      <w:r w:rsidR="00FD6BC8">
        <w:rPr>
          <w:lang w:val="en-US"/>
        </w:rPr>
        <w:t xml:space="preserve">(A2) </w:t>
      </w:r>
      <w:r w:rsidRPr="003F5A79">
        <w:rPr>
          <w:lang w:val="en-US"/>
        </w:rPr>
        <w:t xml:space="preserve">and </w:t>
      </w:r>
      <w:r w:rsidR="00FD6BC8">
        <w:rPr>
          <w:lang w:val="en-US"/>
        </w:rPr>
        <w:t xml:space="preserve">lower </w:t>
      </w:r>
      <w:r w:rsidRPr="003F5A79">
        <w:rPr>
          <w:lang w:val="en-US"/>
        </w:rPr>
        <w:t xml:space="preserve">flammable </w:t>
      </w:r>
      <w:r w:rsidR="00FD6BC8">
        <w:rPr>
          <w:lang w:val="en-US"/>
        </w:rPr>
        <w:t xml:space="preserve">(A2L) </w:t>
      </w:r>
      <w:r w:rsidRPr="003F5A79">
        <w:rPr>
          <w:lang w:val="en-US"/>
        </w:rPr>
        <w:t>refrigerants in marine containers. The feasibility of using HC-290 in trucks has been demonstrated in a demo unit in South Africa and was presented at the MOP-27 in Dubai in 2015. The benefits are an improved energy performance and lower life cycle CO</w:t>
      </w:r>
      <w:r w:rsidRPr="003F5A79">
        <w:rPr>
          <w:vertAlign w:val="subscript"/>
          <w:lang w:val="en-US"/>
        </w:rPr>
        <w:t>2</w:t>
      </w:r>
      <w:r w:rsidRPr="003F5A79">
        <w:rPr>
          <w:lang w:val="en-US"/>
        </w:rPr>
        <w:t xml:space="preserve"> emissions. The project included a risk assessment, careful components selection, and leak simulation tests.</w:t>
      </w:r>
    </w:p>
    <w:p w:rsidR="00644249" w:rsidRPr="003F5A79" w:rsidRDefault="00644249" w:rsidP="00644249">
      <w:pPr>
        <w:rPr>
          <w:lang w:val="en-US"/>
        </w:rPr>
      </w:pPr>
    </w:p>
    <w:p w:rsidR="00644249" w:rsidRPr="003F5A79" w:rsidRDefault="00644249" w:rsidP="00644249">
      <w:pPr>
        <w:rPr>
          <w:lang w:val="en-US"/>
        </w:rPr>
      </w:pPr>
      <w:r w:rsidRPr="003F5A79">
        <w:rPr>
          <w:lang w:val="en-US"/>
        </w:rPr>
        <w:t>An energy optimization of a cryogenic system has entered a commercial testing phase in the U</w:t>
      </w:r>
      <w:r w:rsidR="0038005A">
        <w:rPr>
          <w:lang w:val="en-US"/>
        </w:rPr>
        <w:t>nited Kingdom (UK)</w:t>
      </w:r>
      <w:r w:rsidRPr="003F5A79">
        <w:rPr>
          <w:lang w:val="en-US"/>
        </w:rPr>
        <w:t xml:space="preserve">. The system uses liquid nitrogen to provide cooling through its expansion and to power a Dearman engine supplying a </w:t>
      </w:r>
      <w:r>
        <w:rPr>
          <w:lang w:val="en-US"/>
        </w:rPr>
        <w:t>vapour</w:t>
      </w:r>
      <w:r w:rsidRPr="003F5A79">
        <w:rPr>
          <w:lang w:val="en-US"/>
        </w:rPr>
        <w:t xml:space="preserve"> compression cycle. </w:t>
      </w:r>
      <w:r w:rsidR="00184C08">
        <w:rPr>
          <w:lang w:val="en-US"/>
        </w:rPr>
        <w:t>A</w:t>
      </w:r>
      <w:r w:rsidRPr="003F5A79">
        <w:rPr>
          <w:lang w:val="en-US"/>
        </w:rPr>
        <w:t xml:space="preserve"> second generation machine </w:t>
      </w:r>
      <w:r w:rsidR="00184C08">
        <w:rPr>
          <w:lang w:val="en-US"/>
        </w:rPr>
        <w:t xml:space="preserve">is being developed </w:t>
      </w:r>
      <w:r w:rsidRPr="003F5A79">
        <w:rPr>
          <w:lang w:val="en-US"/>
        </w:rPr>
        <w:t xml:space="preserve">but this has not yet reached a commercially viable stage. </w:t>
      </w:r>
    </w:p>
    <w:p w:rsidR="00644249" w:rsidRPr="003F5A79" w:rsidRDefault="00644249" w:rsidP="00644249">
      <w:pPr>
        <w:rPr>
          <w:lang w:val="en-US"/>
        </w:rPr>
      </w:pPr>
    </w:p>
    <w:p w:rsidR="00644249" w:rsidRPr="003F5A79" w:rsidRDefault="00644249" w:rsidP="00644249">
      <w:pPr>
        <w:rPr>
          <w:lang w:val="en-US"/>
        </w:rPr>
      </w:pPr>
      <w:r w:rsidRPr="003F5A79">
        <w:rPr>
          <w:lang w:val="en-US"/>
        </w:rPr>
        <w:t>A UK supermarket chain continues carrying out trials of an R-744 refrigerated trailer since 2013. They revealed that they have subsequently acquired a second R-744 trailer that can operate at different temperatures and this will be joined by a third in 2016. Since 2012, companies shipping and leasing reefer containers have continued to trial R-744 units from the same manufacturer.</w:t>
      </w:r>
    </w:p>
    <w:p w:rsidR="00644249" w:rsidRPr="003F5A79" w:rsidRDefault="00644249" w:rsidP="00644249">
      <w:pPr>
        <w:rPr>
          <w:lang w:val="en-US"/>
        </w:rPr>
      </w:pPr>
    </w:p>
    <w:p w:rsidR="00644249" w:rsidRPr="003F5A79" w:rsidRDefault="00644249" w:rsidP="00644249">
      <w:pPr>
        <w:rPr>
          <w:lang w:val="en-US"/>
        </w:rPr>
      </w:pPr>
      <w:r w:rsidRPr="003F5A79">
        <w:rPr>
          <w:lang w:val="en-US"/>
        </w:rPr>
        <w:t xml:space="preserve">The German and French railways have continued to look at air cycle systems as alternatives to </w:t>
      </w:r>
      <w:r>
        <w:rPr>
          <w:lang w:val="en-US"/>
        </w:rPr>
        <w:t>vapour</w:t>
      </w:r>
      <w:r w:rsidRPr="003F5A79">
        <w:rPr>
          <w:lang w:val="en-US"/>
        </w:rPr>
        <w:t xml:space="preserve"> compression systems. </w:t>
      </w:r>
      <w:r>
        <w:rPr>
          <w:lang w:val="en-US"/>
        </w:rPr>
        <w:t>Deutsche Bahn</w:t>
      </w:r>
      <w:r w:rsidR="0038005A">
        <w:rPr>
          <w:lang w:val="en-US"/>
        </w:rPr>
        <w:t xml:space="preserve"> (DB) </w:t>
      </w:r>
      <w:r w:rsidRPr="003F5A79">
        <w:rPr>
          <w:lang w:val="en-US"/>
        </w:rPr>
        <w:t>has equipped the first car of an I</w:t>
      </w:r>
      <w:r w:rsidR="0038005A">
        <w:rPr>
          <w:lang w:val="en-US"/>
        </w:rPr>
        <w:t>ntercity Express (ICE)</w:t>
      </w:r>
      <w:r w:rsidRPr="003F5A79">
        <w:rPr>
          <w:lang w:val="en-US"/>
        </w:rPr>
        <w:t xml:space="preserve"> train in March 2015 while </w:t>
      </w:r>
      <w:r w:rsidR="0038005A" w:rsidRPr="00B01C9C">
        <w:rPr>
          <w:lang w:val="en-US"/>
        </w:rPr>
        <w:t xml:space="preserve">Société </w:t>
      </w:r>
      <w:r w:rsidR="0038005A">
        <w:rPr>
          <w:lang w:val="en-US"/>
        </w:rPr>
        <w:t>N</w:t>
      </w:r>
      <w:r w:rsidR="0038005A" w:rsidRPr="00B01C9C">
        <w:rPr>
          <w:lang w:val="en-US"/>
        </w:rPr>
        <w:t xml:space="preserve">ationale des </w:t>
      </w:r>
      <w:r w:rsidR="0038005A">
        <w:rPr>
          <w:lang w:val="en-US"/>
        </w:rPr>
        <w:t>C</w:t>
      </w:r>
      <w:r w:rsidR="0038005A" w:rsidRPr="00B01C9C">
        <w:rPr>
          <w:lang w:val="en-US"/>
        </w:rPr>
        <w:t xml:space="preserve">hemins de </w:t>
      </w:r>
      <w:r w:rsidR="0038005A">
        <w:rPr>
          <w:lang w:val="en-US"/>
        </w:rPr>
        <w:t>F</w:t>
      </w:r>
      <w:r w:rsidR="0038005A" w:rsidRPr="00B01C9C">
        <w:rPr>
          <w:lang w:val="en-US"/>
        </w:rPr>
        <w:t xml:space="preserve">er </w:t>
      </w:r>
      <w:r w:rsidR="0038005A">
        <w:rPr>
          <w:lang w:val="en-US"/>
        </w:rPr>
        <w:t>(</w:t>
      </w:r>
      <w:r w:rsidRPr="003F5A79">
        <w:rPr>
          <w:lang w:val="en-US"/>
        </w:rPr>
        <w:t>SNCF</w:t>
      </w:r>
      <w:r w:rsidR="0038005A">
        <w:rPr>
          <w:lang w:val="en-US"/>
        </w:rPr>
        <w:t>)</w:t>
      </w:r>
      <w:r w:rsidRPr="003F5A79">
        <w:rPr>
          <w:lang w:val="en-US"/>
        </w:rPr>
        <w:t xml:space="preserve"> has set up a 24-months demonstration program in a regional train. </w:t>
      </w:r>
    </w:p>
    <w:p w:rsidR="00644249" w:rsidRPr="00ED3C08" w:rsidRDefault="00644249" w:rsidP="00644249">
      <w:pPr>
        <w:rPr>
          <w:szCs w:val="22"/>
          <w:lang w:val="en-US"/>
        </w:rPr>
      </w:pPr>
    </w:p>
    <w:p w:rsidR="00644249" w:rsidRPr="00D35DDD" w:rsidRDefault="00644249" w:rsidP="00644249">
      <w:pPr>
        <w:pStyle w:val="Heading2"/>
      </w:pPr>
      <w:bookmarkStart w:id="68" w:name="_Toc451686537"/>
      <w:bookmarkStart w:id="69" w:name="_Toc452653370"/>
      <w:r w:rsidRPr="00D35DDD">
        <w:lastRenderedPageBreak/>
        <w:t>3.5</w:t>
      </w:r>
      <w:r w:rsidRPr="00D35DDD">
        <w:tab/>
      </w:r>
      <w:r w:rsidRPr="00D35DDD">
        <w:tab/>
        <w:t xml:space="preserve">Air-to-air </w:t>
      </w:r>
      <w:r>
        <w:t>a</w:t>
      </w:r>
      <w:r w:rsidRPr="00D35DDD">
        <w:t xml:space="preserve">ir </w:t>
      </w:r>
      <w:r>
        <w:t>c</w:t>
      </w:r>
      <w:r w:rsidRPr="00D35DDD">
        <w:t xml:space="preserve">onditioners and </w:t>
      </w:r>
      <w:r>
        <w:t>h</w:t>
      </w:r>
      <w:r w:rsidRPr="00D35DDD">
        <w:t xml:space="preserve">eat </w:t>
      </w:r>
      <w:r>
        <w:t>p</w:t>
      </w:r>
      <w:r w:rsidRPr="00D35DDD">
        <w:t>umps</w:t>
      </w:r>
      <w:bookmarkEnd w:id="68"/>
      <w:bookmarkEnd w:id="69"/>
    </w:p>
    <w:p w:rsidR="00644249" w:rsidRDefault="00644249" w:rsidP="00644249">
      <w:r w:rsidRPr="00A5205F">
        <w:t xml:space="preserve">Air conditioners, including reversible air heating heat pumps (generally defined as “reversible heat pumps”), range in size from 1 kW to 750 kW although the majority are less than 70 kW. The most populous are non-ducted single splits, which are produced in excess of 100 million units per year. Whilst nearly all air conditioners manufactured prior to 2000 used HCFC-22, all products sold within non-Article 5 </w:t>
      </w:r>
      <w:r w:rsidR="00184C08">
        <w:t xml:space="preserve">Parties </w:t>
      </w:r>
      <w:r w:rsidRPr="00A5205F">
        <w:t xml:space="preserve">now use non-ODS refrigerants, albeit largely without the use of low-GWP alternatives. </w:t>
      </w:r>
      <w:r w:rsidR="0052321F">
        <w:t xml:space="preserve">For most products, R-410A is used. </w:t>
      </w:r>
      <w:r w:rsidRPr="00A5205F">
        <w:t xml:space="preserve">Whilst the production of air conditioners using HCFC-22 remains the dominant option within Article 5 </w:t>
      </w:r>
      <w:r w:rsidR="00184C08">
        <w:t xml:space="preserve">Parties </w:t>
      </w:r>
      <w:r w:rsidRPr="00A5205F">
        <w:t>there is a substantial shift in many countries to move to HFCs and HCs, approximately one half of all units produced globally use non-ODP refrigerants. Nevertheless, the majority of the installed unit population still uses HCFC-22; an estimated two-thirds of a billion HCFC-22 air conditioners are operating worldwide, representing approximately one million tonnes of HCFC-22.</w:t>
      </w:r>
    </w:p>
    <w:p w:rsidR="00644249" w:rsidRPr="00A5205F" w:rsidRDefault="00644249" w:rsidP="00644249"/>
    <w:p w:rsidR="00644249" w:rsidRDefault="00644249" w:rsidP="00644249">
      <w:r w:rsidRPr="00A5205F">
        <w:t xml:space="preserve">The most substantial recent developments are related to the increased rate of substitution of HCFC-22 and the greater consideration of use of medium and low GWP alternatives. Previously, medium and low GWP alternatives were not being given major consideration (except HCs such as HC-290) whereas now additional manufacturers are adopting HCs and there is also uptake of HFC-32, especially in Japan where in 2014 100% of residential split air conditioner production was switched to HFC-32. Several enterprises – </w:t>
      </w:r>
      <w:r w:rsidR="00184C08">
        <w:t xml:space="preserve">in </w:t>
      </w:r>
      <w:r w:rsidRPr="00A5205F">
        <w:t xml:space="preserve">Japan, </w:t>
      </w:r>
      <w:r w:rsidR="00184C08">
        <w:t xml:space="preserve">and </w:t>
      </w:r>
      <w:r w:rsidRPr="00A5205F">
        <w:t xml:space="preserve">recently </w:t>
      </w:r>
      <w:r w:rsidR="00184C08">
        <w:t xml:space="preserve">in </w:t>
      </w:r>
      <w:r w:rsidRPr="00A5205F">
        <w:t xml:space="preserve">other </w:t>
      </w:r>
      <w:r w:rsidR="0038005A">
        <w:t xml:space="preserve">Parties </w:t>
      </w:r>
      <w:r w:rsidR="00184C08">
        <w:t xml:space="preserve">as well, </w:t>
      </w:r>
      <w:r w:rsidRPr="00A5205F">
        <w:t xml:space="preserve">– are promoting and selling air conditioners using HFC-32 </w:t>
      </w:r>
      <w:r w:rsidR="00184C08">
        <w:t>outside of Japan</w:t>
      </w:r>
      <w:r w:rsidRPr="00A5205F">
        <w:t>. Many enterprises are also considering and evaluating new HFC/</w:t>
      </w:r>
      <w:r w:rsidR="00184C08">
        <w:t xml:space="preserve">HFO </w:t>
      </w:r>
      <w:r w:rsidRPr="00A5205F">
        <w:t>blends, such as mixtures of various compositions of HFC-32, HFC-125, HFC-134a, HF</w:t>
      </w:r>
      <w:r w:rsidR="001341BE">
        <w:t>O</w:t>
      </w:r>
      <w:r w:rsidRPr="00A5205F">
        <w:t>-1234yf and HF</w:t>
      </w:r>
      <w:r w:rsidR="001341BE">
        <w:t>O</w:t>
      </w:r>
      <w:r w:rsidRPr="00A5205F">
        <w:t>-1234ze</w:t>
      </w:r>
      <w:r w:rsidR="0052321F">
        <w:t>(E)</w:t>
      </w:r>
      <w:r w:rsidRPr="00A5205F">
        <w:t xml:space="preserve">. Broad testing has been carried out of these mixtures within various collaborative industry projects and </w:t>
      </w:r>
      <w:r w:rsidR="0038005A">
        <w:t xml:space="preserve">the </w:t>
      </w:r>
      <w:r w:rsidRPr="00A5205F">
        <w:t xml:space="preserve">results are being made available on a regular basis. Whilst R-744 remains to be applied in larger types of systems within more temperature climates, there has not been any significant shift in increasing adoption of the technology. </w:t>
      </w:r>
    </w:p>
    <w:p w:rsidR="00644249" w:rsidRPr="00A5205F" w:rsidRDefault="00644249" w:rsidP="00644249"/>
    <w:p w:rsidR="00644249" w:rsidRDefault="00644249" w:rsidP="00644249">
      <w:r w:rsidRPr="00A5205F">
        <w:t>China has completed the conversion of 18 production lines to HC-290 as part of their HPMP and portable units are being sold widely. In India</w:t>
      </w:r>
      <w:r w:rsidR="00184C08">
        <w:t xml:space="preserve">, </w:t>
      </w:r>
      <w:r w:rsidRPr="00A5205F">
        <w:t xml:space="preserve">at least one plant has produced several hundred thousand HC-290 split air conditioners. There </w:t>
      </w:r>
      <w:r w:rsidR="00184C08">
        <w:t xml:space="preserve">is also </w:t>
      </w:r>
      <w:r w:rsidRPr="00A5205F">
        <w:t>addition</w:t>
      </w:r>
      <w:r w:rsidR="00184C08">
        <w:t xml:space="preserve">al </w:t>
      </w:r>
      <w:r w:rsidRPr="00A5205F">
        <w:t xml:space="preserve">information relating to different alternatives performance under high ambient conditions. Nevertheless, some enterprises within the Middle East still see </w:t>
      </w:r>
      <w:r w:rsidR="00E63AFD">
        <w:t>R-4</w:t>
      </w:r>
      <w:r w:rsidRPr="00A5205F">
        <w:t xml:space="preserve">07C and HFC-134a as favourable alternatives to HCFC-22. </w:t>
      </w:r>
    </w:p>
    <w:p w:rsidR="00644249" w:rsidRPr="00A5205F" w:rsidRDefault="00644249" w:rsidP="00644249"/>
    <w:p w:rsidR="00644249" w:rsidRPr="00A5205F" w:rsidRDefault="009D6DA4" w:rsidP="00644249">
      <w:r w:rsidRPr="009D6DA4">
        <w:rPr>
          <w:lang w:val="en-US"/>
        </w:rPr>
        <w:t>In light of the fact that almost all medium and low GWP alternatives are flammable there has been significant progress with the development of new requirements for safety standards (particularly for increasing refrigerant charge size), with working groups addressing A2, A2</w:t>
      </w:r>
      <w:r w:rsidR="00FD6BC8">
        <w:rPr>
          <w:lang w:val="en-US"/>
        </w:rPr>
        <w:t>L</w:t>
      </w:r>
      <w:r w:rsidRPr="009D6DA4">
        <w:rPr>
          <w:lang w:val="en-US"/>
        </w:rPr>
        <w:t xml:space="preserve"> and A3 refrigerants at both IEC and ISO level. Due to the complexities of the process it is unclear by when amend</w:t>
      </w:r>
      <w:r>
        <w:rPr>
          <w:lang w:val="en-US"/>
        </w:rPr>
        <w:t>ments will be finally published</w:t>
      </w:r>
      <w:r w:rsidR="00644249" w:rsidRPr="00A5205F">
        <w:t>.</w:t>
      </w:r>
    </w:p>
    <w:p w:rsidR="00644249" w:rsidRDefault="00644249" w:rsidP="00644249"/>
    <w:p w:rsidR="00644249" w:rsidRPr="00D35DDD" w:rsidRDefault="00644249" w:rsidP="00644249">
      <w:pPr>
        <w:pStyle w:val="Heading2"/>
      </w:pPr>
      <w:bookmarkStart w:id="70" w:name="_Toc451686538"/>
      <w:bookmarkStart w:id="71" w:name="_Toc452653371"/>
      <w:r>
        <w:t>3</w:t>
      </w:r>
      <w:r w:rsidRPr="00D35DDD">
        <w:t>.6</w:t>
      </w:r>
      <w:r w:rsidRPr="00D35DDD">
        <w:tab/>
      </w:r>
      <w:r w:rsidRPr="00D35DDD">
        <w:tab/>
        <w:t xml:space="preserve">Water heating </w:t>
      </w:r>
      <w:r>
        <w:t>h</w:t>
      </w:r>
      <w:r w:rsidRPr="00D35DDD">
        <w:t xml:space="preserve">eat </w:t>
      </w:r>
      <w:r>
        <w:t>p</w:t>
      </w:r>
      <w:r w:rsidRPr="00D35DDD">
        <w:t>umps</w:t>
      </w:r>
      <w:bookmarkEnd w:id="70"/>
      <w:bookmarkEnd w:id="71"/>
    </w:p>
    <w:p w:rsidR="00644249" w:rsidRPr="00D47F7C" w:rsidRDefault="00644249" w:rsidP="00644249">
      <w:pPr>
        <w:rPr>
          <w:szCs w:val="22"/>
        </w:rPr>
      </w:pPr>
      <w:r w:rsidRPr="00D47F7C">
        <w:rPr>
          <w:szCs w:val="22"/>
        </w:rPr>
        <w:t>In Europe, Japan and the US</w:t>
      </w:r>
      <w:r w:rsidR="0038005A">
        <w:rPr>
          <w:szCs w:val="22"/>
        </w:rPr>
        <w:t>,</w:t>
      </w:r>
      <w:r w:rsidRPr="00D47F7C">
        <w:rPr>
          <w:szCs w:val="22"/>
        </w:rPr>
        <w:t xml:space="preserve"> the legislation on minimum energy efficiency for space heating and water heating heat pumps became active and has limited </w:t>
      </w:r>
      <w:r w:rsidR="00184C08">
        <w:rPr>
          <w:szCs w:val="22"/>
        </w:rPr>
        <w:t xml:space="preserve">the </w:t>
      </w:r>
      <w:r w:rsidRPr="00D47F7C">
        <w:rPr>
          <w:szCs w:val="22"/>
        </w:rPr>
        <w:t>number of air to water heat pumps that can be placed on the market.</w:t>
      </w:r>
    </w:p>
    <w:p w:rsidR="00644249" w:rsidRPr="00D47F7C" w:rsidRDefault="00644249" w:rsidP="00644249">
      <w:pPr>
        <w:rPr>
          <w:szCs w:val="22"/>
        </w:rPr>
      </w:pPr>
    </w:p>
    <w:p w:rsidR="00644249" w:rsidRPr="00D47F7C" w:rsidRDefault="00644249" w:rsidP="00644249">
      <w:pPr>
        <w:rPr>
          <w:szCs w:val="22"/>
        </w:rPr>
      </w:pPr>
      <w:r w:rsidRPr="00D47F7C">
        <w:rPr>
          <w:szCs w:val="22"/>
        </w:rPr>
        <w:t xml:space="preserve">For space heating heat pumps </w:t>
      </w:r>
      <w:r w:rsidR="0052321F">
        <w:rPr>
          <w:szCs w:val="22"/>
        </w:rPr>
        <w:t xml:space="preserve">in the EU, </w:t>
      </w:r>
      <w:r w:rsidRPr="00D47F7C">
        <w:rPr>
          <w:szCs w:val="22"/>
        </w:rPr>
        <w:t xml:space="preserve">the minimum energy </w:t>
      </w:r>
      <w:r w:rsidR="00184C08">
        <w:rPr>
          <w:szCs w:val="22"/>
        </w:rPr>
        <w:t xml:space="preserve">efficiency </w:t>
      </w:r>
      <w:r w:rsidRPr="00D47F7C">
        <w:rPr>
          <w:szCs w:val="22"/>
        </w:rPr>
        <w:t>was set as a primary energy efficiency based on seasonal efficiency, placed in an average European climate with a design temperature at -10°C</w:t>
      </w:r>
      <w:r w:rsidR="00184C08">
        <w:rPr>
          <w:szCs w:val="22"/>
        </w:rPr>
        <w:t xml:space="preserve">, </w:t>
      </w:r>
      <w:r w:rsidRPr="00D47F7C">
        <w:rPr>
          <w:szCs w:val="22"/>
        </w:rPr>
        <w:t>including standby losses. From September 2015 on, all space heating heat pumps shall have a primary energy efficiency of 100%. For low temperature space heating heat</w:t>
      </w:r>
      <w:r>
        <w:rPr>
          <w:szCs w:val="22"/>
        </w:rPr>
        <w:t xml:space="preserve"> </w:t>
      </w:r>
      <w:r w:rsidRPr="00D47F7C">
        <w:rPr>
          <w:szCs w:val="22"/>
        </w:rPr>
        <w:t>pumps it shall be 115%. This results in a seasonal coefficient of performance (SCOP) of respectively 2.5 and 2</w:t>
      </w:r>
      <w:r>
        <w:rPr>
          <w:szCs w:val="22"/>
        </w:rPr>
        <w:t>.8</w:t>
      </w:r>
      <w:r w:rsidRPr="00D47F7C">
        <w:rPr>
          <w:szCs w:val="22"/>
        </w:rPr>
        <w:t>75. From September 2017 onwards, the values shall be 110% (SCOP of 2</w:t>
      </w:r>
      <w:r>
        <w:rPr>
          <w:szCs w:val="22"/>
        </w:rPr>
        <w:t>.</w:t>
      </w:r>
      <w:r w:rsidRPr="00D47F7C">
        <w:rPr>
          <w:szCs w:val="22"/>
        </w:rPr>
        <w:t xml:space="preserve">75) and 125% (SCOP </w:t>
      </w:r>
      <w:r w:rsidR="00184C08">
        <w:rPr>
          <w:szCs w:val="22"/>
        </w:rPr>
        <w:t xml:space="preserve">of </w:t>
      </w:r>
      <w:r w:rsidRPr="00D47F7C">
        <w:rPr>
          <w:szCs w:val="22"/>
        </w:rPr>
        <w:t>3</w:t>
      </w:r>
      <w:r>
        <w:rPr>
          <w:szCs w:val="22"/>
        </w:rPr>
        <w:t>.</w:t>
      </w:r>
      <w:r w:rsidRPr="00D47F7C">
        <w:rPr>
          <w:szCs w:val="22"/>
        </w:rPr>
        <w:t>125).</w:t>
      </w:r>
      <w:r w:rsidR="00184E7E">
        <w:rPr>
          <w:szCs w:val="22"/>
        </w:rPr>
        <w:t xml:space="preserve"> </w:t>
      </w:r>
      <w:r w:rsidRPr="00D47F7C">
        <w:rPr>
          <w:szCs w:val="22"/>
        </w:rPr>
        <w:t xml:space="preserve">The seasonal efficiency is based on a specific temperature pattern and includes standby energy losses. For water heating </w:t>
      </w:r>
      <w:r w:rsidRPr="00D47F7C">
        <w:rPr>
          <w:szCs w:val="22"/>
        </w:rPr>
        <w:lastRenderedPageBreak/>
        <w:t>heat</w:t>
      </w:r>
      <w:r>
        <w:rPr>
          <w:szCs w:val="22"/>
        </w:rPr>
        <w:t xml:space="preserve"> </w:t>
      </w:r>
      <w:r w:rsidRPr="00D47F7C">
        <w:rPr>
          <w:szCs w:val="22"/>
        </w:rPr>
        <w:t>pumps the requirements are less restrictive except for larger systems where the requirements will have restrictions as of September 2018. For the moment</w:t>
      </w:r>
      <w:r w:rsidR="00184C08">
        <w:rPr>
          <w:szCs w:val="22"/>
        </w:rPr>
        <w:t>,</w:t>
      </w:r>
      <w:r w:rsidRPr="00D47F7C">
        <w:rPr>
          <w:szCs w:val="22"/>
        </w:rPr>
        <w:t xml:space="preserve"> there is no drastic impact on the refrigerant </w:t>
      </w:r>
      <w:r w:rsidR="00D20ADB">
        <w:rPr>
          <w:szCs w:val="22"/>
        </w:rPr>
        <w:t xml:space="preserve">currently </w:t>
      </w:r>
      <w:r w:rsidRPr="00D47F7C">
        <w:rPr>
          <w:szCs w:val="22"/>
        </w:rPr>
        <w:t>used.</w:t>
      </w:r>
    </w:p>
    <w:p w:rsidR="00644249" w:rsidRPr="00D47F7C" w:rsidRDefault="00644249" w:rsidP="00644249">
      <w:pPr>
        <w:rPr>
          <w:szCs w:val="22"/>
        </w:rPr>
      </w:pPr>
    </w:p>
    <w:p w:rsidR="00644249" w:rsidRPr="00D47F7C" w:rsidRDefault="00644249" w:rsidP="00644249">
      <w:pPr>
        <w:rPr>
          <w:szCs w:val="22"/>
        </w:rPr>
      </w:pPr>
      <w:r w:rsidRPr="00D47F7C">
        <w:rPr>
          <w:szCs w:val="22"/>
        </w:rPr>
        <w:t>HFC</w:t>
      </w:r>
      <w:r>
        <w:rPr>
          <w:szCs w:val="22"/>
        </w:rPr>
        <w:t>-</w:t>
      </w:r>
      <w:r w:rsidRPr="00D47F7C">
        <w:rPr>
          <w:szCs w:val="22"/>
        </w:rPr>
        <w:t xml:space="preserve">32 has been just introduced by one manufacturer in Japan as </w:t>
      </w:r>
      <w:r w:rsidR="00D20ADB">
        <w:rPr>
          <w:szCs w:val="22"/>
        </w:rPr>
        <w:t xml:space="preserve">the </w:t>
      </w:r>
      <w:r w:rsidRPr="00D47F7C">
        <w:rPr>
          <w:szCs w:val="22"/>
        </w:rPr>
        <w:t>refrigerant for water heating systems</w:t>
      </w:r>
      <w:r w:rsidR="00D20ADB">
        <w:rPr>
          <w:szCs w:val="22"/>
        </w:rPr>
        <w:t xml:space="preserve"> </w:t>
      </w:r>
      <w:r w:rsidRPr="00D47F7C">
        <w:rPr>
          <w:szCs w:val="22"/>
        </w:rPr>
        <w:t>(mainly R</w:t>
      </w:r>
      <w:r>
        <w:rPr>
          <w:szCs w:val="22"/>
        </w:rPr>
        <w:t>-</w:t>
      </w:r>
      <w:r w:rsidRPr="00D47F7C">
        <w:rPr>
          <w:szCs w:val="22"/>
        </w:rPr>
        <w:t>744 products are sold in the market). Unlike R</w:t>
      </w:r>
      <w:r>
        <w:rPr>
          <w:szCs w:val="22"/>
        </w:rPr>
        <w:t>-</w:t>
      </w:r>
      <w:r w:rsidRPr="00D47F7C">
        <w:rPr>
          <w:szCs w:val="22"/>
        </w:rPr>
        <w:t>744</w:t>
      </w:r>
      <w:r>
        <w:rPr>
          <w:szCs w:val="22"/>
        </w:rPr>
        <w:t>,</w:t>
      </w:r>
      <w:r w:rsidRPr="00D47F7C">
        <w:rPr>
          <w:szCs w:val="22"/>
        </w:rPr>
        <w:t xml:space="preserve"> which can produce hot water with temperature</w:t>
      </w:r>
      <w:r w:rsidR="0038005A">
        <w:rPr>
          <w:szCs w:val="22"/>
        </w:rPr>
        <w:t>s</w:t>
      </w:r>
      <w:r w:rsidRPr="00D47F7C">
        <w:rPr>
          <w:szCs w:val="22"/>
        </w:rPr>
        <w:t xml:space="preserve"> up to 90°C, the temperature of the water is limited to 65°C.</w:t>
      </w:r>
      <w:r w:rsidRPr="00D47F7C" w:rsidDel="00425452">
        <w:rPr>
          <w:szCs w:val="22"/>
        </w:rPr>
        <w:t xml:space="preserve"> </w:t>
      </w:r>
      <w:r w:rsidRPr="00D47F7C">
        <w:rPr>
          <w:szCs w:val="22"/>
        </w:rPr>
        <w:t>The main purpose is to offer a cost competitive and high energy efficiency solution for families with lifestyles suited to operations of this system.</w:t>
      </w:r>
    </w:p>
    <w:p w:rsidR="00644249" w:rsidRPr="007670FB" w:rsidRDefault="00644249" w:rsidP="00644249">
      <w:pPr>
        <w:rPr>
          <w:szCs w:val="22"/>
        </w:rPr>
      </w:pPr>
    </w:p>
    <w:p w:rsidR="00644249" w:rsidRPr="00D35DDD" w:rsidRDefault="00644249" w:rsidP="00644249">
      <w:pPr>
        <w:pStyle w:val="Heading2"/>
      </w:pPr>
      <w:bookmarkStart w:id="72" w:name="_Toc451686539"/>
      <w:bookmarkStart w:id="73" w:name="_Toc452653372"/>
      <w:r w:rsidRPr="00D35DDD">
        <w:t>3.7</w:t>
      </w:r>
      <w:r w:rsidRPr="00D35DDD">
        <w:tab/>
      </w:r>
      <w:r w:rsidRPr="00D35DDD">
        <w:tab/>
        <w:t>Chillers</w:t>
      </w:r>
      <w:bookmarkEnd w:id="72"/>
      <w:bookmarkEnd w:id="73"/>
    </w:p>
    <w:p w:rsidR="00644249" w:rsidRDefault="00644249" w:rsidP="00644249">
      <w:pPr>
        <w:pStyle w:val="BodyText"/>
      </w:pPr>
      <w:r>
        <w:t>The components, refrigeration cycles used, systems, and application of chillers remains largely unchanged from the 2014 RTOC Assessment Report or since 1980 for that matter with exception of increased use of variable-speed drives. Vapour compression technology dominates all chiller types, and there has been little progress towards commerciali</w:t>
      </w:r>
      <w:r w:rsidR="00D20ADB">
        <w:t>s</w:t>
      </w:r>
      <w:r>
        <w:t>ation of magnetic refrigeration based chillers and other not-in-kind technologies. However, absorption chillers are, and will continue to be, part of the global mix of chillers. In all regions, there is a demand for higher performance chillers and the systems that use them, at both full and part</w:t>
      </w:r>
      <w:r w:rsidR="00D20ADB">
        <w:t>ial</w:t>
      </w:r>
      <w:r>
        <w:t xml:space="preserve"> load. Some manufacturers are offering newly designed compressors, have expanded the use of variable speed drives and permanent magnet motors</w:t>
      </w:r>
      <w:r w:rsidR="00D20ADB">
        <w:t>,</w:t>
      </w:r>
      <w:r>
        <w:t xml:space="preserve"> and are using more sophisticated control systems. Manufacturers</w:t>
      </w:r>
      <w:r w:rsidRPr="00FB4402">
        <w:t>, consumers, and</w:t>
      </w:r>
      <w:r>
        <w:t xml:space="preserve"> </w:t>
      </w:r>
      <w:r w:rsidRPr="00FB4402">
        <w:t xml:space="preserve">regulators alike have </w:t>
      </w:r>
      <w:r>
        <w:t xml:space="preserve">had </w:t>
      </w:r>
      <w:r w:rsidRPr="00FB4402">
        <w:t>an</w:t>
      </w:r>
      <w:r>
        <w:t xml:space="preserve"> ongoing</w:t>
      </w:r>
      <w:r w:rsidRPr="00FB4402">
        <w:t xml:space="preserve"> interest in low GWP refrigerants</w:t>
      </w:r>
      <w:r>
        <w:t xml:space="preserve"> with high thermodynamic efficiency. The slow movement to new refrigerants reflects the high cost of product development and tooling changes, as well as the uncertainty in the supply of new refrigerants by chemical producers who also face huge investments and regulatory hurdles. None-the-less, chiller manufacturers seem to be gravitating to lower GWP alternative refrigerants, and have introduced a number of new products that use them.</w:t>
      </w:r>
    </w:p>
    <w:p w:rsidR="00644249" w:rsidRPr="003F5A79" w:rsidRDefault="00644249" w:rsidP="00644249">
      <w:pPr>
        <w:rPr>
          <w:szCs w:val="22"/>
          <w:lang w:val="en-US"/>
        </w:rPr>
      </w:pPr>
    </w:p>
    <w:p w:rsidR="00644249" w:rsidRDefault="00644249" w:rsidP="00644249">
      <w:pPr>
        <w:pStyle w:val="BodyText"/>
      </w:pPr>
      <w:r w:rsidRPr="00BC6AA2">
        <w:t>The 2104 RTOC Assessment Report gave a complete discussion of the trade-offs and research efforts associated with use of lower GWP refrigerants. As noted in the report, in order to be acceptable, new refrigerants should result in products with energy efficiencies that are equal to or better than the refrigerants replaced. Secondly, the global warming effects from chillers are dominated by the energy-related component from their power consumption. Total Equivalent Warming Impact (TEWI) and Life Cycle Climate Performance (LCCP) models typically show that more than 95% of the climate effect is due to energy consumption. The direct global warming effects from refrigerant emissions are significantly smaller since direct emissions have been significantly reduced in recent years through lower charge systems, low-leak designs, manufacturing and testing improvements, and improved service practices.</w:t>
      </w:r>
      <w:r w:rsidRPr="00E40524">
        <w:t xml:space="preserve"> </w:t>
      </w:r>
    </w:p>
    <w:p w:rsidR="00644249" w:rsidRDefault="00644249" w:rsidP="00644249">
      <w:pPr>
        <w:pStyle w:val="BodyText"/>
      </w:pPr>
    </w:p>
    <w:p w:rsidR="00644249" w:rsidRPr="00BC6AA2" w:rsidRDefault="00644249" w:rsidP="00644249">
      <w:pPr>
        <w:pStyle w:val="BodyText"/>
      </w:pPr>
      <w:r w:rsidRPr="00BC6AA2">
        <w:t xml:space="preserve">Chillers have traditionally used an array of refrigerants due to the economics associated with high performance compressors as well as physical size and manufacturing constraints over the range of capacities provided by chillers. Table 9-1 of the 2014 RTOC Assessment Report gave a discussion and complete listing of all chiller types by size, compressor type, and refrigerants used. </w:t>
      </w:r>
    </w:p>
    <w:p w:rsidR="00644249" w:rsidRPr="00BC6AA2" w:rsidRDefault="00644249" w:rsidP="00644249">
      <w:pPr>
        <w:pStyle w:val="BodyText"/>
      </w:pPr>
    </w:p>
    <w:p w:rsidR="00F26D73" w:rsidRDefault="00644249" w:rsidP="00644249">
      <w:pPr>
        <w:rPr>
          <w:lang w:val="en-US"/>
        </w:rPr>
      </w:pPr>
      <w:r w:rsidRPr="00BC6AA2">
        <w:rPr>
          <w:lang w:val="en-US"/>
        </w:rPr>
        <w:t>After years of research and screening tests, an array of choices is emerging. Some commercialization has started and recent new product introductions indicate that a change has started</w:t>
      </w:r>
      <w:r>
        <w:rPr>
          <w:lang w:val="en-US"/>
        </w:rPr>
        <w:t xml:space="preserve"> (</w:t>
      </w:r>
      <w:r w:rsidR="00D20ADB">
        <w:rPr>
          <w:lang w:val="en-US"/>
        </w:rPr>
        <w:t xml:space="preserve">shown in </w:t>
      </w:r>
      <w:r>
        <w:rPr>
          <w:lang w:val="en-US"/>
        </w:rPr>
        <w:t>Table 3</w:t>
      </w:r>
      <w:r w:rsidR="00F26D73">
        <w:rPr>
          <w:lang w:val="en-US"/>
        </w:rPr>
        <w:t>-</w:t>
      </w:r>
      <w:r w:rsidRPr="00BC6AA2">
        <w:rPr>
          <w:lang w:val="en-US"/>
        </w:rPr>
        <w:t>1).</w:t>
      </w:r>
    </w:p>
    <w:p w:rsidR="00F26D73" w:rsidRDefault="00F26D73" w:rsidP="00644249">
      <w:pPr>
        <w:rPr>
          <w:lang w:val="en-US"/>
        </w:rPr>
      </w:pPr>
    </w:p>
    <w:p w:rsidR="0038005A" w:rsidRDefault="0038005A" w:rsidP="00644249">
      <w:pPr>
        <w:rPr>
          <w:lang w:val="en-US"/>
        </w:rPr>
      </w:pPr>
    </w:p>
    <w:p w:rsidR="00644249" w:rsidRDefault="00644249" w:rsidP="00894C72">
      <w:pPr>
        <w:keepNext/>
        <w:keepLines/>
        <w:rPr>
          <w:b/>
          <w:i/>
        </w:rPr>
      </w:pPr>
      <w:r w:rsidRPr="00D867C7">
        <w:rPr>
          <w:b/>
          <w:i/>
        </w:rPr>
        <w:lastRenderedPageBreak/>
        <w:t xml:space="preserve">Table 3-1 Emerging </w:t>
      </w:r>
      <w:r w:rsidR="00D20ADB">
        <w:rPr>
          <w:b/>
          <w:i/>
        </w:rPr>
        <w:t>r</w:t>
      </w:r>
      <w:r w:rsidRPr="00D867C7">
        <w:rPr>
          <w:b/>
          <w:i/>
        </w:rPr>
        <w:t>efrigerants used in Chillers</w:t>
      </w:r>
    </w:p>
    <w:p w:rsidR="00644249" w:rsidRPr="00D867C7" w:rsidRDefault="00644249" w:rsidP="00894C72">
      <w:pPr>
        <w:keepNext/>
        <w:keepLines/>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843"/>
        <w:gridCol w:w="2834"/>
      </w:tblGrid>
      <w:tr w:rsidR="00644249" w:rsidRPr="004A4A6D" w:rsidTr="00F35188">
        <w:tc>
          <w:tcPr>
            <w:tcW w:w="3133" w:type="dxa"/>
            <w:shd w:val="clear" w:color="auto" w:fill="auto"/>
            <w:vAlign w:val="center"/>
          </w:tcPr>
          <w:p w:rsidR="00644249" w:rsidRPr="004A4A6D" w:rsidRDefault="00644249" w:rsidP="00894C72">
            <w:pPr>
              <w:keepNext/>
              <w:keepLines/>
              <w:rPr>
                <w:b/>
              </w:rPr>
            </w:pPr>
            <w:r w:rsidRPr="004A4A6D">
              <w:rPr>
                <w:b/>
              </w:rPr>
              <w:t>Product</w:t>
            </w:r>
          </w:p>
        </w:tc>
        <w:tc>
          <w:tcPr>
            <w:tcW w:w="3133" w:type="dxa"/>
            <w:shd w:val="clear" w:color="auto" w:fill="auto"/>
            <w:vAlign w:val="center"/>
          </w:tcPr>
          <w:p w:rsidR="00644249" w:rsidRPr="004A4A6D" w:rsidRDefault="00644249" w:rsidP="00894C72">
            <w:pPr>
              <w:keepNext/>
              <w:keepLines/>
              <w:jc w:val="center"/>
              <w:rPr>
                <w:b/>
              </w:rPr>
            </w:pPr>
            <w:r w:rsidRPr="004A4A6D">
              <w:rPr>
                <w:b/>
              </w:rPr>
              <w:t xml:space="preserve">Refrigerants </w:t>
            </w:r>
            <w:r w:rsidR="00D20ADB">
              <w:rPr>
                <w:b/>
              </w:rPr>
              <w:t>p</w:t>
            </w:r>
            <w:r w:rsidRPr="004A4A6D">
              <w:rPr>
                <w:b/>
              </w:rPr>
              <w:t xml:space="preserve">resently in </w:t>
            </w:r>
            <w:r w:rsidR="00D20ADB">
              <w:rPr>
                <w:b/>
              </w:rPr>
              <w:t>u</w:t>
            </w:r>
            <w:r w:rsidRPr="004A4A6D">
              <w:rPr>
                <w:b/>
              </w:rPr>
              <w:t>se</w:t>
            </w:r>
          </w:p>
        </w:tc>
        <w:tc>
          <w:tcPr>
            <w:tcW w:w="3134" w:type="dxa"/>
            <w:shd w:val="clear" w:color="auto" w:fill="auto"/>
            <w:vAlign w:val="center"/>
          </w:tcPr>
          <w:p w:rsidR="00644249" w:rsidRPr="004A4A6D" w:rsidRDefault="00644249" w:rsidP="00894C72">
            <w:pPr>
              <w:keepNext/>
              <w:keepLines/>
              <w:jc w:val="center"/>
              <w:rPr>
                <w:b/>
              </w:rPr>
            </w:pPr>
            <w:r w:rsidRPr="004A4A6D">
              <w:rPr>
                <w:b/>
              </w:rPr>
              <w:t xml:space="preserve">Emerging </w:t>
            </w:r>
            <w:r w:rsidR="00D20ADB">
              <w:rPr>
                <w:b/>
              </w:rPr>
              <w:t>r</w:t>
            </w:r>
            <w:r w:rsidRPr="004A4A6D">
              <w:rPr>
                <w:b/>
              </w:rPr>
              <w:t>efrigerants</w:t>
            </w:r>
          </w:p>
        </w:tc>
      </w:tr>
      <w:tr w:rsidR="00644249" w:rsidRPr="004A4A6D" w:rsidTr="00F35188">
        <w:tc>
          <w:tcPr>
            <w:tcW w:w="3133" w:type="dxa"/>
            <w:shd w:val="clear" w:color="auto" w:fill="auto"/>
            <w:vAlign w:val="center"/>
          </w:tcPr>
          <w:p w:rsidR="00644249" w:rsidRPr="004A4A6D" w:rsidRDefault="00644249" w:rsidP="00F35188">
            <w:r w:rsidRPr="004A4A6D">
              <w:t xml:space="preserve">Large </w:t>
            </w:r>
            <w:r>
              <w:t>c</w:t>
            </w:r>
            <w:r w:rsidRPr="004A4A6D">
              <w:t xml:space="preserve">hillers with </w:t>
            </w:r>
            <w:r>
              <w:t>c</w:t>
            </w:r>
            <w:r w:rsidRPr="004A4A6D">
              <w:t xml:space="preserve">entrifugal </w:t>
            </w:r>
            <w:r>
              <w:t>c</w:t>
            </w:r>
            <w:r w:rsidRPr="004A4A6D">
              <w:t>ompressors using low pressure refrigerants</w:t>
            </w:r>
          </w:p>
        </w:tc>
        <w:tc>
          <w:tcPr>
            <w:tcW w:w="3133" w:type="dxa"/>
            <w:shd w:val="clear" w:color="auto" w:fill="auto"/>
            <w:vAlign w:val="center"/>
          </w:tcPr>
          <w:p w:rsidR="00644249" w:rsidRPr="004A4A6D" w:rsidRDefault="00644249" w:rsidP="00F35188">
            <w:pPr>
              <w:jc w:val="center"/>
            </w:pPr>
            <w:r>
              <w:t>CFC</w:t>
            </w:r>
            <w:r w:rsidRPr="004A4A6D">
              <w:t>-11</w:t>
            </w:r>
            <w:r w:rsidRPr="004A4A6D">
              <w:rPr>
                <w:vertAlign w:val="superscript"/>
              </w:rPr>
              <w:t>2</w:t>
            </w:r>
          </w:p>
          <w:p w:rsidR="00644249" w:rsidRPr="004A4A6D" w:rsidRDefault="00644249" w:rsidP="00F35188">
            <w:pPr>
              <w:jc w:val="center"/>
            </w:pPr>
            <w:r>
              <w:t>HCFC</w:t>
            </w:r>
            <w:r w:rsidRPr="004A4A6D">
              <w:t xml:space="preserve">-123 </w:t>
            </w:r>
            <w:r w:rsidRPr="004A4A6D">
              <w:rPr>
                <w:vertAlign w:val="superscript"/>
              </w:rPr>
              <w:t>1</w:t>
            </w:r>
          </w:p>
          <w:p w:rsidR="00644249" w:rsidRPr="004A4A6D" w:rsidRDefault="00D1056A" w:rsidP="00D1056A">
            <w:pPr>
              <w:jc w:val="center"/>
            </w:pPr>
            <w:r>
              <w:t>HFC</w:t>
            </w:r>
            <w:r w:rsidR="00644249" w:rsidRPr="004A4A6D">
              <w:t>-245fa</w:t>
            </w:r>
          </w:p>
        </w:tc>
        <w:tc>
          <w:tcPr>
            <w:tcW w:w="3134" w:type="dxa"/>
            <w:shd w:val="clear" w:color="auto" w:fill="auto"/>
            <w:vAlign w:val="center"/>
          </w:tcPr>
          <w:p w:rsidR="00644249" w:rsidRPr="004A4A6D" w:rsidRDefault="00644249" w:rsidP="00F35188">
            <w:pPr>
              <w:jc w:val="center"/>
            </w:pPr>
            <w:r>
              <w:t>HCFO</w:t>
            </w:r>
            <w:r w:rsidRPr="004A4A6D">
              <w:t>-1233zd</w:t>
            </w:r>
            <w:r w:rsidR="0052321F">
              <w:t>(E)</w:t>
            </w:r>
          </w:p>
          <w:p w:rsidR="00644249" w:rsidRPr="004A4A6D" w:rsidRDefault="00644249" w:rsidP="00F35188">
            <w:pPr>
              <w:jc w:val="center"/>
            </w:pPr>
            <w:r w:rsidRPr="004A4A6D">
              <w:t>R-514A</w:t>
            </w:r>
          </w:p>
        </w:tc>
      </w:tr>
      <w:tr w:rsidR="00644249" w:rsidRPr="004A4A6D" w:rsidTr="00F35188">
        <w:tc>
          <w:tcPr>
            <w:tcW w:w="3133" w:type="dxa"/>
            <w:shd w:val="clear" w:color="auto" w:fill="auto"/>
            <w:vAlign w:val="center"/>
          </w:tcPr>
          <w:p w:rsidR="00644249" w:rsidRPr="004A4A6D" w:rsidRDefault="00644249" w:rsidP="00F35188">
            <w:r w:rsidRPr="004A4A6D">
              <w:t xml:space="preserve">Large </w:t>
            </w:r>
            <w:r>
              <w:t>c</w:t>
            </w:r>
            <w:r w:rsidRPr="004A4A6D">
              <w:t xml:space="preserve">hillers with </w:t>
            </w:r>
            <w:r>
              <w:t>c</w:t>
            </w:r>
            <w:r w:rsidRPr="004A4A6D">
              <w:t xml:space="preserve">entrifugal </w:t>
            </w:r>
            <w:r>
              <w:t>c</w:t>
            </w:r>
            <w:r w:rsidRPr="004A4A6D">
              <w:t>ompressors using medium pressure refrigerants</w:t>
            </w:r>
          </w:p>
        </w:tc>
        <w:tc>
          <w:tcPr>
            <w:tcW w:w="3133" w:type="dxa"/>
            <w:shd w:val="clear" w:color="auto" w:fill="auto"/>
            <w:vAlign w:val="center"/>
          </w:tcPr>
          <w:p w:rsidR="00644249" w:rsidRPr="004A4A6D" w:rsidRDefault="00644249" w:rsidP="00F35188">
            <w:pPr>
              <w:jc w:val="center"/>
            </w:pPr>
            <w:r>
              <w:t>CFC</w:t>
            </w:r>
            <w:r w:rsidRPr="004A4A6D">
              <w:t>-12</w:t>
            </w:r>
            <w:r w:rsidRPr="004A4A6D">
              <w:rPr>
                <w:vertAlign w:val="superscript"/>
              </w:rPr>
              <w:t>2</w:t>
            </w:r>
          </w:p>
          <w:p w:rsidR="00644249" w:rsidRPr="004A4A6D" w:rsidRDefault="00644249" w:rsidP="00F35188">
            <w:pPr>
              <w:jc w:val="center"/>
            </w:pPr>
            <w:r>
              <w:t>HFC</w:t>
            </w:r>
            <w:r w:rsidRPr="004A4A6D">
              <w:t>-134a</w:t>
            </w:r>
          </w:p>
        </w:tc>
        <w:tc>
          <w:tcPr>
            <w:tcW w:w="3134" w:type="dxa"/>
            <w:shd w:val="clear" w:color="auto" w:fill="auto"/>
            <w:vAlign w:val="center"/>
          </w:tcPr>
          <w:p w:rsidR="00644249" w:rsidRPr="004A4A6D" w:rsidRDefault="00644249" w:rsidP="00F35188">
            <w:pPr>
              <w:jc w:val="center"/>
            </w:pPr>
            <w:r w:rsidRPr="004A4A6D">
              <w:t>R-513A</w:t>
            </w:r>
          </w:p>
          <w:p w:rsidR="00644249" w:rsidRPr="004A4A6D" w:rsidRDefault="00644249" w:rsidP="00F35188">
            <w:pPr>
              <w:jc w:val="center"/>
            </w:pPr>
            <w:r>
              <w:t>HFO</w:t>
            </w:r>
            <w:r w:rsidRPr="004A4A6D">
              <w:t>-1234yf</w:t>
            </w:r>
          </w:p>
          <w:p w:rsidR="00644249" w:rsidRPr="004A4A6D" w:rsidRDefault="00644249" w:rsidP="004D30FC">
            <w:pPr>
              <w:jc w:val="center"/>
            </w:pPr>
            <w:r>
              <w:t>HF</w:t>
            </w:r>
            <w:r w:rsidR="00D17DB8">
              <w:t>O</w:t>
            </w:r>
            <w:r w:rsidRPr="004A4A6D">
              <w:t>-1234ze</w:t>
            </w:r>
            <w:r w:rsidR="0052321F">
              <w:t>(E)</w:t>
            </w:r>
          </w:p>
        </w:tc>
      </w:tr>
      <w:tr w:rsidR="00644249" w:rsidRPr="004A4A6D" w:rsidTr="00F35188">
        <w:tc>
          <w:tcPr>
            <w:tcW w:w="3133" w:type="dxa"/>
            <w:shd w:val="clear" w:color="auto" w:fill="auto"/>
            <w:vAlign w:val="center"/>
          </w:tcPr>
          <w:p w:rsidR="00644249" w:rsidRPr="004A4A6D" w:rsidRDefault="00644249" w:rsidP="00F35188">
            <w:r w:rsidRPr="004A4A6D">
              <w:t xml:space="preserve">Mid-size </w:t>
            </w:r>
            <w:r>
              <w:t>c</w:t>
            </w:r>
            <w:r w:rsidRPr="004A4A6D">
              <w:t>hillers with positive displacement (</w:t>
            </w:r>
            <w:r>
              <w:t>s</w:t>
            </w:r>
            <w:r w:rsidRPr="004A4A6D">
              <w:t>crew) compressors</w:t>
            </w:r>
          </w:p>
        </w:tc>
        <w:tc>
          <w:tcPr>
            <w:tcW w:w="3133" w:type="dxa"/>
            <w:shd w:val="clear" w:color="auto" w:fill="auto"/>
            <w:vAlign w:val="center"/>
          </w:tcPr>
          <w:p w:rsidR="00644249" w:rsidRPr="004A4A6D" w:rsidRDefault="00644249" w:rsidP="00F35188">
            <w:pPr>
              <w:jc w:val="center"/>
            </w:pPr>
            <w:r>
              <w:t>CFC</w:t>
            </w:r>
            <w:r w:rsidRPr="004A4A6D">
              <w:t>-12</w:t>
            </w:r>
            <w:r w:rsidRPr="004A4A6D">
              <w:rPr>
                <w:vertAlign w:val="superscript"/>
              </w:rPr>
              <w:t>2</w:t>
            </w:r>
          </w:p>
          <w:p w:rsidR="00644249" w:rsidRPr="004A4A6D" w:rsidRDefault="00644249" w:rsidP="00F35188">
            <w:pPr>
              <w:jc w:val="center"/>
            </w:pPr>
            <w:r>
              <w:t>HFC</w:t>
            </w:r>
            <w:r w:rsidRPr="004A4A6D">
              <w:t>-134a</w:t>
            </w:r>
          </w:p>
        </w:tc>
        <w:tc>
          <w:tcPr>
            <w:tcW w:w="3134" w:type="dxa"/>
            <w:shd w:val="clear" w:color="auto" w:fill="auto"/>
            <w:vAlign w:val="center"/>
          </w:tcPr>
          <w:p w:rsidR="00644249" w:rsidRPr="004A4A6D" w:rsidRDefault="00644249" w:rsidP="00F35188">
            <w:pPr>
              <w:jc w:val="center"/>
            </w:pPr>
            <w:r w:rsidRPr="004A4A6D">
              <w:t>R-513A</w:t>
            </w:r>
          </w:p>
          <w:p w:rsidR="00644249" w:rsidRPr="004A4A6D" w:rsidRDefault="00644249" w:rsidP="00F35188">
            <w:pPr>
              <w:jc w:val="center"/>
            </w:pPr>
            <w:r>
              <w:t>HFO</w:t>
            </w:r>
            <w:r w:rsidRPr="004A4A6D">
              <w:t>-1234yf</w:t>
            </w:r>
            <w:r w:rsidRPr="004A4A6D">
              <w:rPr>
                <w:vertAlign w:val="superscript"/>
              </w:rPr>
              <w:t>3</w:t>
            </w:r>
          </w:p>
          <w:p w:rsidR="00644249" w:rsidRPr="004A4A6D" w:rsidRDefault="00644249" w:rsidP="0052321F">
            <w:pPr>
              <w:jc w:val="center"/>
            </w:pPr>
            <w:r>
              <w:t>HFO</w:t>
            </w:r>
            <w:r w:rsidRPr="004A4A6D">
              <w:t>-1234ze</w:t>
            </w:r>
            <w:r w:rsidR="0052321F">
              <w:t>(E)</w:t>
            </w:r>
            <w:r w:rsidRPr="004A4A6D">
              <w:rPr>
                <w:vertAlign w:val="superscript"/>
              </w:rPr>
              <w:t>3</w:t>
            </w:r>
          </w:p>
        </w:tc>
      </w:tr>
      <w:tr w:rsidR="00644249" w:rsidRPr="004A4A6D" w:rsidTr="00F35188">
        <w:tc>
          <w:tcPr>
            <w:tcW w:w="3133" w:type="dxa"/>
            <w:shd w:val="clear" w:color="auto" w:fill="auto"/>
            <w:vAlign w:val="center"/>
          </w:tcPr>
          <w:p w:rsidR="00644249" w:rsidRPr="004A4A6D" w:rsidRDefault="00644249" w:rsidP="00F35188">
            <w:r w:rsidRPr="004A4A6D">
              <w:t xml:space="preserve">Small </w:t>
            </w:r>
            <w:r>
              <w:t>c</w:t>
            </w:r>
            <w:r w:rsidRPr="004A4A6D">
              <w:t>hillers with positive displacement (</w:t>
            </w:r>
            <w:r>
              <w:t>s</w:t>
            </w:r>
            <w:r w:rsidRPr="004A4A6D">
              <w:t xml:space="preserve">croll or </w:t>
            </w:r>
            <w:r>
              <w:t>r</w:t>
            </w:r>
            <w:r w:rsidRPr="004A4A6D">
              <w:t xml:space="preserve">ecip) </w:t>
            </w:r>
            <w:r>
              <w:t>c</w:t>
            </w:r>
            <w:r w:rsidRPr="004A4A6D">
              <w:t>ompressors</w:t>
            </w:r>
          </w:p>
        </w:tc>
        <w:tc>
          <w:tcPr>
            <w:tcW w:w="3133" w:type="dxa"/>
            <w:shd w:val="clear" w:color="auto" w:fill="auto"/>
            <w:vAlign w:val="center"/>
          </w:tcPr>
          <w:p w:rsidR="00644249" w:rsidRPr="004A4A6D" w:rsidRDefault="00644249" w:rsidP="00F35188">
            <w:pPr>
              <w:jc w:val="center"/>
              <w:rPr>
                <w:vertAlign w:val="superscript"/>
              </w:rPr>
            </w:pPr>
            <w:r>
              <w:t>HCFC</w:t>
            </w:r>
            <w:r w:rsidRPr="004A4A6D">
              <w:t>-22</w:t>
            </w:r>
            <w:r w:rsidRPr="004A4A6D">
              <w:rPr>
                <w:vertAlign w:val="superscript"/>
              </w:rPr>
              <w:t>2</w:t>
            </w:r>
          </w:p>
          <w:p w:rsidR="00644249" w:rsidRPr="004A4A6D" w:rsidRDefault="00644249" w:rsidP="00F35188">
            <w:pPr>
              <w:jc w:val="center"/>
            </w:pPr>
            <w:r w:rsidRPr="004A4A6D">
              <w:t>R-407C</w:t>
            </w:r>
          </w:p>
          <w:p w:rsidR="00644249" w:rsidRPr="004A4A6D" w:rsidRDefault="00644249" w:rsidP="00F35188">
            <w:pPr>
              <w:jc w:val="center"/>
            </w:pPr>
            <w:r w:rsidRPr="004A4A6D">
              <w:t>R-410A</w:t>
            </w:r>
          </w:p>
        </w:tc>
        <w:tc>
          <w:tcPr>
            <w:tcW w:w="3134" w:type="dxa"/>
            <w:shd w:val="clear" w:color="auto" w:fill="auto"/>
            <w:vAlign w:val="center"/>
          </w:tcPr>
          <w:p w:rsidR="00644249" w:rsidRPr="004A4A6D" w:rsidRDefault="00644249" w:rsidP="00F35188">
            <w:pPr>
              <w:jc w:val="center"/>
            </w:pPr>
            <w:r>
              <w:t>HFC</w:t>
            </w:r>
            <w:r w:rsidRPr="004A4A6D">
              <w:t>-32</w:t>
            </w:r>
            <w:r w:rsidRPr="004A4A6D">
              <w:rPr>
                <w:vertAlign w:val="superscript"/>
              </w:rPr>
              <w:t>3</w:t>
            </w:r>
          </w:p>
          <w:p w:rsidR="00644249" w:rsidRPr="004A4A6D" w:rsidRDefault="00644249" w:rsidP="00F35188">
            <w:pPr>
              <w:jc w:val="center"/>
            </w:pPr>
            <w:r w:rsidRPr="004A4A6D">
              <w:t>R-452B</w:t>
            </w:r>
            <w:r w:rsidRPr="004A4A6D">
              <w:rPr>
                <w:vertAlign w:val="superscript"/>
              </w:rPr>
              <w:t>3</w:t>
            </w:r>
          </w:p>
        </w:tc>
      </w:tr>
    </w:tbl>
    <w:p w:rsidR="00644249" w:rsidRPr="00D867C7" w:rsidRDefault="00644249" w:rsidP="00644249">
      <w:pPr>
        <w:numPr>
          <w:ilvl w:val="0"/>
          <w:numId w:val="52"/>
        </w:numPr>
        <w:rPr>
          <w:i/>
          <w:sz w:val="20"/>
          <w:szCs w:val="20"/>
        </w:rPr>
      </w:pPr>
      <w:r w:rsidRPr="00D867C7">
        <w:rPr>
          <w:i/>
          <w:sz w:val="20"/>
          <w:szCs w:val="20"/>
        </w:rPr>
        <w:t>Phase</w:t>
      </w:r>
      <w:r>
        <w:rPr>
          <w:i/>
          <w:sz w:val="20"/>
          <w:szCs w:val="20"/>
        </w:rPr>
        <w:t>-</w:t>
      </w:r>
      <w:r w:rsidRPr="00D867C7">
        <w:rPr>
          <w:i/>
          <w:sz w:val="20"/>
          <w:szCs w:val="20"/>
        </w:rPr>
        <w:t xml:space="preserve">out in </w:t>
      </w:r>
      <w:r>
        <w:rPr>
          <w:i/>
          <w:sz w:val="20"/>
          <w:szCs w:val="20"/>
        </w:rPr>
        <w:t xml:space="preserve">new equipment in </w:t>
      </w:r>
      <w:r w:rsidRPr="00D867C7">
        <w:rPr>
          <w:i/>
          <w:sz w:val="20"/>
          <w:szCs w:val="20"/>
        </w:rPr>
        <w:t>2020</w:t>
      </w:r>
    </w:p>
    <w:p w:rsidR="00644249" w:rsidRPr="00D867C7" w:rsidRDefault="00644249" w:rsidP="00644249">
      <w:pPr>
        <w:numPr>
          <w:ilvl w:val="0"/>
          <w:numId w:val="52"/>
        </w:numPr>
        <w:rPr>
          <w:i/>
          <w:sz w:val="20"/>
          <w:szCs w:val="20"/>
        </w:rPr>
      </w:pPr>
      <w:r>
        <w:rPr>
          <w:i/>
          <w:sz w:val="20"/>
          <w:szCs w:val="20"/>
        </w:rPr>
        <w:t xml:space="preserve">Phased out </w:t>
      </w:r>
      <w:r w:rsidRPr="00D867C7">
        <w:rPr>
          <w:i/>
          <w:sz w:val="20"/>
          <w:szCs w:val="20"/>
        </w:rPr>
        <w:t xml:space="preserve">but may </w:t>
      </w:r>
      <w:r>
        <w:rPr>
          <w:i/>
          <w:sz w:val="20"/>
          <w:szCs w:val="20"/>
        </w:rPr>
        <w:t xml:space="preserve">still </w:t>
      </w:r>
      <w:r w:rsidRPr="00D867C7">
        <w:rPr>
          <w:i/>
          <w:sz w:val="20"/>
          <w:szCs w:val="20"/>
        </w:rPr>
        <w:t>be used</w:t>
      </w:r>
      <w:r>
        <w:rPr>
          <w:i/>
          <w:sz w:val="20"/>
          <w:szCs w:val="20"/>
        </w:rPr>
        <w:t xml:space="preserve"> for servicing </w:t>
      </w:r>
      <w:r w:rsidRPr="00D867C7">
        <w:rPr>
          <w:i/>
          <w:sz w:val="20"/>
          <w:szCs w:val="20"/>
        </w:rPr>
        <w:t xml:space="preserve">in Article </w:t>
      </w:r>
      <w:r>
        <w:rPr>
          <w:i/>
          <w:sz w:val="20"/>
          <w:szCs w:val="20"/>
        </w:rPr>
        <w:t>5</w:t>
      </w:r>
      <w:r w:rsidRPr="00D867C7">
        <w:rPr>
          <w:i/>
          <w:sz w:val="20"/>
          <w:szCs w:val="20"/>
        </w:rPr>
        <w:t xml:space="preserve"> </w:t>
      </w:r>
      <w:r w:rsidR="0038005A">
        <w:rPr>
          <w:i/>
          <w:sz w:val="20"/>
          <w:szCs w:val="20"/>
        </w:rPr>
        <w:t>Parties</w:t>
      </w:r>
    </w:p>
    <w:p w:rsidR="00644249" w:rsidRPr="00D867C7" w:rsidRDefault="00644249" w:rsidP="00644249">
      <w:pPr>
        <w:numPr>
          <w:ilvl w:val="0"/>
          <w:numId w:val="52"/>
        </w:numPr>
        <w:rPr>
          <w:i/>
          <w:sz w:val="20"/>
          <w:szCs w:val="20"/>
        </w:rPr>
      </w:pPr>
      <w:r w:rsidRPr="00D867C7">
        <w:rPr>
          <w:i/>
          <w:sz w:val="20"/>
          <w:szCs w:val="20"/>
        </w:rPr>
        <w:t>Classified as A2L refrigerant (</w:t>
      </w:r>
      <w:r w:rsidR="00FD6BC8">
        <w:rPr>
          <w:i/>
          <w:sz w:val="20"/>
          <w:szCs w:val="20"/>
        </w:rPr>
        <w:t xml:space="preserve">lower </w:t>
      </w:r>
      <w:r w:rsidRPr="00D867C7">
        <w:rPr>
          <w:i/>
          <w:sz w:val="20"/>
          <w:szCs w:val="20"/>
        </w:rPr>
        <w:t>flammable)</w:t>
      </w:r>
    </w:p>
    <w:p w:rsidR="00644249" w:rsidRDefault="00644249" w:rsidP="00644249">
      <w:pPr>
        <w:rPr>
          <w:lang w:val="en-US"/>
        </w:rPr>
      </w:pPr>
    </w:p>
    <w:p w:rsidR="00644249" w:rsidRPr="00A06663" w:rsidRDefault="00644249" w:rsidP="00644249">
      <w:pPr>
        <w:rPr>
          <w:lang w:val="en-US"/>
        </w:rPr>
      </w:pPr>
      <w:r w:rsidRPr="003F5A79">
        <w:rPr>
          <w:lang w:val="en-US"/>
        </w:rPr>
        <w:t xml:space="preserve">The emerging refrigerants may not be the final selections. </w:t>
      </w:r>
      <w:r>
        <w:rPr>
          <w:lang w:val="en-US"/>
        </w:rPr>
        <w:t>W</w:t>
      </w:r>
      <w:r w:rsidRPr="003F5A79">
        <w:rPr>
          <w:lang w:val="en-US"/>
        </w:rPr>
        <w:t xml:space="preserve">ith high efficiency as a primary customer requirement, </w:t>
      </w:r>
      <w:r>
        <w:rPr>
          <w:lang w:val="en-US"/>
        </w:rPr>
        <w:t>new product introductions will use refrigerants that</w:t>
      </w:r>
      <w:r w:rsidRPr="003F5A79">
        <w:rPr>
          <w:lang w:val="en-US"/>
        </w:rPr>
        <w:t xml:space="preserve"> likely preserve or improve thermodynamic efficiency with significantly reduce</w:t>
      </w:r>
      <w:r w:rsidR="00D20ADB">
        <w:rPr>
          <w:lang w:val="en-US"/>
        </w:rPr>
        <w:t>d</w:t>
      </w:r>
      <w:r w:rsidRPr="003F5A79">
        <w:rPr>
          <w:lang w:val="en-US"/>
        </w:rPr>
        <w:t xml:space="preserve"> GWP</w:t>
      </w:r>
      <w:r w:rsidR="00D20ADB">
        <w:rPr>
          <w:lang w:val="en-US"/>
        </w:rPr>
        <w:t>s</w:t>
      </w:r>
      <w:r w:rsidRPr="003F5A79">
        <w:rPr>
          <w:lang w:val="en-US"/>
        </w:rPr>
        <w:t xml:space="preserve">. A number of refrigerants are </w:t>
      </w:r>
      <w:r w:rsidR="00D20ADB">
        <w:rPr>
          <w:lang w:val="en-US"/>
        </w:rPr>
        <w:t xml:space="preserve">listed as </w:t>
      </w:r>
      <w:r w:rsidRPr="003F5A79">
        <w:rPr>
          <w:lang w:val="en-US"/>
        </w:rPr>
        <w:t xml:space="preserve">safety </w:t>
      </w:r>
      <w:r w:rsidR="00FD6BC8">
        <w:rPr>
          <w:lang w:val="en-US"/>
        </w:rPr>
        <w:t>c</w:t>
      </w:r>
      <w:r w:rsidRPr="003F5A79">
        <w:rPr>
          <w:lang w:val="en-US"/>
        </w:rPr>
        <w:t xml:space="preserve">lass 2L (flammable with flame </w:t>
      </w:r>
      <w:r w:rsidR="00FD6BC8">
        <w:rPr>
          <w:lang w:val="en-US"/>
        </w:rPr>
        <w:t xml:space="preserve">propagation </w:t>
      </w:r>
      <w:r w:rsidRPr="003F5A79">
        <w:rPr>
          <w:lang w:val="en-US"/>
        </w:rPr>
        <w:t xml:space="preserve">speeds of 10 cm/s or less). </w:t>
      </w:r>
      <w:r w:rsidRPr="00A06663">
        <w:rPr>
          <w:lang w:val="en-US"/>
        </w:rPr>
        <w:t xml:space="preserve">Some </w:t>
      </w:r>
      <w:r w:rsidR="0038005A" w:rsidRPr="00A06663">
        <w:rPr>
          <w:lang w:val="en-US"/>
        </w:rPr>
        <w:t>Parties</w:t>
      </w:r>
      <w:r w:rsidRPr="00A06663">
        <w:rPr>
          <w:lang w:val="en-US"/>
        </w:rPr>
        <w:t xml:space="preserve">, notably the U.S., have not yet implemented the necessary product standards and code changes to use these refrigerants in the occupied space or in large machinery rooms without the burdensome requirements of safety </w:t>
      </w:r>
      <w:r w:rsidR="00FD6BC8">
        <w:rPr>
          <w:lang w:val="en-US"/>
        </w:rPr>
        <w:t>c</w:t>
      </w:r>
      <w:r w:rsidRPr="00A06663">
        <w:rPr>
          <w:lang w:val="en-US"/>
        </w:rPr>
        <w:t>lass 2 or 3, highly flammable refrigerants. Even with codes and standards changes, some additional application cost may be expected</w:t>
      </w:r>
      <w:r w:rsidR="00FE51D6" w:rsidRPr="00A06663">
        <w:rPr>
          <w:lang w:val="en-US"/>
        </w:rPr>
        <w:t xml:space="preserve">. </w:t>
      </w:r>
      <w:r w:rsidR="00D20ADB" w:rsidRPr="00A06663">
        <w:rPr>
          <w:lang w:val="en-US"/>
        </w:rPr>
        <w:t>T</w:t>
      </w:r>
      <w:r w:rsidRPr="00A06663">
        <w:rPr>
          <w:lang w:val="en-US"/>
        </w:rPr>
        <w:t xml:space="preserve">aken together with generally higher refrigerant costs, </w:t>
      </w:r>
      <w:r w:rsidR="00D20ADB" w:rsidRPr="00A06663">
        <w:rPr>
          <w:lang w:val="en-US"/>
        </w:rPr>
        <w:t xml:space="preserve">this </w:t>
      </w:r>
      <w:r w:rsidRPr="00A06663">
        <w:rPr>
          <w:lang w:val="en-US"/>
        </w:rPr>
        <w:t>means that the cost of new chillers with lower GWP refrigerants is likely higher. Manufacturers typically pass along additional costs, and therefore the price is likely higher, which typically will dampen the demand as long as the existing product is not discontinued.</w:t>
      </w:r>
    </w:p>
    <w:p w:rsidR="00644249" w:rsidRPr="00A06663" w:rsidRDefault="00644249" w:rsidP="00644249">
      <w:pPr>
        <w:rPr>
          <w:lang w:val="en-US"/>
        </w:rPr>
      </w:pPr>
    </w:p>
    <w:p w:rsidR="00644249" w:rsidRPr="003F5A79" w:rsidRDefault="00644249" w:rsidP="00644249">
      <w:pPr>
        <w:rPr>
          <w:lang w:val="en-US"/>
        </w:rPr>
      </w:pPr>
      <w:r w:rsidRPr="00A06663">
        <w:rPr>
          <w:lang w:val="en-US"/>
        </w:rPr>
        <w:t>Regulation is taking a leading role in mandating the adoption of new refrigerants with lower GWP</w:t>
      </w:r>
      <w:r w:rsidR="00D20ADB" w:rsidRPr="00A06663">
        <w:rPr>
          <w:lang w:val="en-US"/>
        </w:rPr>
        <w:t>s</w:t>
      </w:r>
      <w:r w:rsidRPr="00A06663">
        <w:rPr>
          <w:lang w:val="en-US"/>
        </w:rPr>
        <w:t>. There is continued pressure for the use of lower GWP refrigerants in all</w:t>
      </w:r>
      <w:r w:rsidR="0038005A" w:rsidRPr="00A06663">
        <w:rPr>
          <w:lang w:val="en-US"/>
        </w:rPr>
        <w:t xml:space="preserve"> Parties</w:t>
      </w:r>
      <w:r w:rsidRPr="00A06663">
        <w:rPr>
          <w:lang w:val="en-US"/>
        </w:rPr>
        <w:t xml:space="preserve"> and industry is responding. For example, AHRI (the manufacturer’s trade association in the US) </w:t>
      </w:r>
      <w:r w:rsidRPr="00A06663">
        <w:rPr>
          <w:szCs w:val="22"/>
          <w:lang w:val="en-US"/>
        </w:rPr>
        <w:t xml:space="preserve">and NRDC (the National Resources Defense Council, Washington, D.C.) </w:t>
      </w:r>
      <w:r w:rsidRPr="00A06663">
        <w:rPr>
          <w:lang w:val="en-US"/>
        </w:rPr>
        <w:t xml:space="preserve">recently agreed to discontinue sale of chillers using higher GWP refrigerants HFC-134a, R-410A and R-407C by 1/1/2025. </w:t>
      </w:r>
      <w:r w:rsidRPr="00A06663">
        <w:t xml:space="preserve">This agreement is consistent with the emerging refrigerants listed in Table 3-1. The agreement also provides support to the US EPA’s proposal to ban all 3 refrigerants from new production chillers, although the EPA proposed timeline is somewhat quicker. </w:t>
      </w:r>
      <w:r w:rsidRPr="00A06663">
        <w:rPr>
          <w:lang w:val="en-US"/>
        </w:rPr>
        <w:t>The time to 2025 will allow manufacturers to complete the design and implementation of full product lines, and work on cost reductions. At the same time</w:t>
      </w:r>
      <w:r w:rsidR="00D20ADB" w:rsidRPr="00A06663">
        <w:rPr>
          <w:lang w:val="en-US"/>
        </w:rPr>
        <w:t>,</w:t>
      </w:r>
      <w:r w:rsidRPr="00A06663">
        <w:rPr>
          <w:lang w:val="en-US"/>
        </w:rPr>
        <w:t xml:space="preserve"> refrigerant producers will need to increase capacity to meet demand, and put product</w:t>
      </w:r>
      <w:r w:rsidR="0038005A" w:rsidRPr="00A06663">
        <w:rPr>
          <w:lang w:val="en-US"/>
        </w:rPr>
        <w:t>s</w:t>
      </w:r>
      <w:r w:rsidRPr="00A06663">
        <w:rPr>
          <w:lang w:val="en-US"/>
        </w:rPr>
        <w:t xml:space="preserve"> into the product service infrastructure.</w:t>
      </w:r>
      <w:r w:rsidRPr="003F5A79">
        <w:rPr>
          <w:lang w:val="en-US"/>
        </w:rPr>
        <w:t xml:space="preserve"> Ideally, as the product changes occur, major disruptions will be avoided</w:t>
      </w:r>
      <w:r>
        <w:rPr>
          <w:lang w:val="en-US"/>
        </w:rPr>
        <w:t>.</w:t>
      </w:r>
      <w:r w:rsidRPr="003F5A79">
        <w:rPr>
          <w:lang w:val="en-US"/>
        </w:rPr>
        <w:t xml:space="preserve"> </w:t>
      </w:r>
    </w:p>
    <w:p w:rsidR="00644249" w:rsidRPr="003F5A79" w:rsidRDefault="00644249" w:rsidP="00644249">
      <w:pPr>
        <w:rPr>
          <w:lang w:val="en-US"/>
        </w:rPr>
      </w:pPr>
    </w:p>
    <w:p w:rsidR="00644249" w:rsidRPr="003F5A79" w:rsidRDefault="00644249" w:rsidP="00644249">
      <w:pPr>
        <w:rPr>
          <w:lang w:val="en-US"/>
        </w:rPr>
      </w:pPr>
      <w:r>
        <w:rPr>
          <w:lang w:val="en-US"/>
        </w:rPr>
        <w:t xml:space="preserve">One </w:t>
      </w:r>
      <w:r w:rsidRPr="003F5A79">
        <w:rPr>
          <w:lang w:val="en-US"/>
        </w:rPr>
        <w:t>can</w:t>
      </w:r>
      <w:r>
        <w:rPr>
          <w:lang w:val="en-US"/>
        </w:rPr>
        <w:t xml:space="preserve"> also </w:t>
      </w:r>
      <w:r w:rsidRPr="003F5A79">
        <w:rPr>
          <w:lang w:val="en-US"/>
        </w:rPr>
        <w:t xml:space="preserve">not overlook </w:t>
      </w:r>
      <w:r>
        <w:rPr>
          <w:lang w:val="en-US"/>
        </w:rPr>
        <w:t xml:space="preserve">the </w:t>
      </w:r>
      <w:r w:rsidRPr="003F5A79">
        <w:rPr>
          <w:lang w:val="en-US"/>
        </w:rPr>
        <w:t xml:space="preserve">role that zero or near-zero GWP refrigerants such as R-717, R-718, and </w:t>
      </w:r>
      <w:r>
        <w:rPr>
          <w:lang w:val="en-US"/>
        </w:rPr>
        <w:t>HC</w:t>
      </w:r>
      <w:r w:rsidRPr="003F5A79">
        <w:rPr>
          <w:lang w:val="en-US"/>
        </w:rPr>
        <w:t>-290, and absorption chillers may play. As noted in the 2014 RTOC Assessment Report, these alternatives have been available for some time, and new choices may emerge. It is impossible to predict the market mix that may emerge, especially in view of future government regulations or incentives.</w:t>
      </w:r>
    </w:p>
    <w:p w:rsidR="00644249" w:rsidRPr="003F5A79" w:rsidRDefault="00644249" w:rsidP="00644249">
      <w:pPr>
        <w:rPr>
          <w:szCs w:val="22"/>
          <w:lang w:val="en-US"/>
        </w:rPr>
      </w:pPr>
    </w:p>
    <w:p w:rsidR="00644249" w:rsidRPr="003F5A79" w:rsidRDefault="00644249" w:rsidP="00644249">
      <w:pPr>
        <w:rPr>
          <w:szCs w:val="22"/>
          <w:lang w:val="en-US"/>
        </w:rPr>
      </w:pPr>
      <w:r w:rsidRPr="003F5A79">
        <w:rPr>
          <w:lang w:val="en-US"/>
        </w:rPr>
        <w:lastRenderedPageBreak/>
        <w:t xml:space="preserve">As far as drop-in alternatives </w:t>
      </w:r>
      <w:r>
        <w:rPr>
          <w:lang w:val="en-US"/>
        </w:rPr>
        <w:t xml:space="preserve">or retrofits </w:t>
      </w:r>
      <w:r w:rsidRPr="003F5A79">
        <w:rPr>
          <w:lang w:val="en-US"/>
        </w:rPr>
        <w:t xml:space="preserve">are concerned, it is too early to tell if manufacturers will offer retrofit packages for use in upgrading existing chillers with the emerging lower GWP refrigerants. While technically possible, it would not be likely for several reasons. First, all compressor types are optimized for the specific refrigerant used. Substituting a different refrigerant usually results in a loss of capacity, efficiency or both. Second, the pressure ratio for fixed displacement compressors may limit </w:t>
      </w:r>
      <w:r w:rsidRPr="00C20C8A">
        <w:rPr>
          <w:lang w:val="en-US"/>
        </w:rPr>
        <w:t xml:space="preserve">the ability of the compressor </w:t>
      </w:r>
      <w:r w:rsidR="00D20ADB">
        <w:rPr>
          <w:lang w:val="en-US"/>
        </w:rPr>
        <w:t xml:space="preserve">to </w:t>
      </w:r>
      <w:r w:rsidRPr="00C20C8A">
        <w:rPr>
          <w:lang w:val="en-US"/>
        </w:rPr>
        <w:t xml:space="preserve">reach the appropriate pressure rise when a different refrigerant is used. A similar phenomenon is found in centrifugal compressors when changing refrigerants, but may be overcome with a change in impellers or speed when a variable speed drive is used. Third, many of the emerging refrigerants are safety </w:t>
      </w:r>
      <w:r w:rsidR="0052321F">
        <w:rPr>
          <w:lang w:val="en-US"/>
        </w:rPr>
        <w:t>c</w:t>
      </w:r>
      <w:r w:rsidRPr="00C20C8A">
        <w:rPr>
          <w:lang w:val="en-US"/>
        </w:rPr>
        <w:t xml:space="preserve">lass 2L. Use of a safety </w:t>
      </w:r>
      <w:r w:rsidR="0052321F">
        <w:rPr>
          <w:lang w:val="en-US"/>
        </w:rPr>
        <w:t>c</w:t>
      </w:r>
      <w:r w:rsidRPr="00C20C8A">
        <w:rPr>
          <w:lang w:val="en-US"/>
        </w:rPr>
        <w:t>lass 2L refrigerant to replace a safety class 1 refrigerant may require significant changes to meet the building codes and standards, as well as product standards (such as UL</w:t>
      </w:r>
      <w:r w:rsidR="0052321F">
        <w:rPr>
          <w:lang w:val="en-US"/>
        </w:rPr>
        <w:t>,</w:t>
      </w:r>
      <w:r w:rsidRPr="00C20C8A">
        <w:rPr>
          <w:lang w:val="en-US"/>
        </w:rPr>
        <w:t xml:space="preserve"> listing to a product standard). These things taken together would likely discourage retrofits.</w:t>
      </w:r>
    </w:p>
    <w:p w:rsidR="00644249" w:rsidRPr="007670FB" w:rsidRDefault="00644249" w:rsidP="00644249">
      <w:pPr>
        <w:rPr>
          <w:szCs w:val="22"/>
        </w:rPr>
      </w:pPr>
    </w:p>
    <w:p w:rsidR="00644249" w:rsidRPr="00CE01BD" w:rsidRDefault="00644249" w:rsidP="00644249">
      <w:pPr>
        <w:pStyle w:val="Heading2"/>
      </w:pPr>
      <w:bookmarkStart w:id="74" w:name="_Toc451686540"/>
      <w:bookmarkStart w:id="75" w:name="_Toc452653373"/>
      <w:r w:rsidRPr="00CE01BD">
        <w:t>3.</w:t>
      </w:r>
      <w:r>
        <w:t>8</w:t>
      </w:r>
      <w:r w:rsidRPr="00CE01BD">
        <w:tab/>
      </w:r>
      <w:r w:rsidRPr="00CE01BD">
        <w:tab/>
        <w:t>Vehicle air conditioning</w:t>
      </w:r>
      <w:bookmarkEnd w:id="74"/>
      <w:bookmarkEnd w:id="75"/>
    </w:p>
    <w:p w:rsidR="00644249" w:rsidRPr="003F5A79" w:rsidRDefault="00644249" w:rsidP="00644249">
      <w:pPr>
        <w:rPr>
          <w:lang w:val="en-US"/>
        </w:rPr>
      </w:pPr>
      <w:r w:rsidRPr="003F5A79">
        <w:rPr>
          <w:lang w:val="en-US"/>
        </w:rPr>
        <w:t>Since the 2014 RTOC Assessment Report, no new alternatives have been introduced in light-duty mobile air conditioners</w:t>
      </w:r>
      <w:r w:rsidR="008B08AE">
        <w:rPr>
          <w:lang w:val="en-US"/>
        </w:rPr>
        <w:t xml:space="preserve"> (MACs)</w:t>
      </w:r>
      <w:r w:rsidRPr="003F5A79">
        <w:rPr>
          <w:lang w:val="en-US"/>
        </w:rPr>
        <w:t>. The penetration of HF</w:t>
      </w:r>
      <w:r w:rsidR="00D20ADB">
        <w:rPr>
          <w:lang w:val="en-US"/>
        </w:rPr>
        <w:t>O</w:t>
      </w:r>
      <w:r w:rsidRPr="003F5A79">
        <w:rPr>
          <w:lang w:val="en-US"/>
        </w:rPr>
        <w:t xml:space="preserve">-1234yf for new vehicles has continued and has spread to many additional models, primarily in non-Article 5 </w:t>
      </w:r>
      <w:r w:rsidR="00D20ADB">
        <w:rPr>
          <w:lang w:val="en-US"/>
        </w:rPr>
        <w:t>Parties</w:t>
      </w:r>
      <w:r w:rsidRPr="003F5A79">
        <w:rPr>
          <w:lang w:val="en-US"/>
        </w:rPr>
        <w:t>, but is still far from complete. HFC-134a continues to be used in the majority of new vehicles, especially in vehicles used in A</w:t>
      </w:r>
      <w:r w:rsidR="00D20ADB">
        <w:rPr>
          <w:lang w:val="en-US"/>
        </w:rPr>
        <w:t>rticle 5 Parties</w:t>
      </w:r>
      <w:r w:rsidRPr="003F5A79">
        <w:rPr>
          <w:lang w:val="en-US"/>
        </w:rPr>
        <w:t>. Regulations and announcements of such</w:t>
      </w:r>
      <w:r w:rsidR="00D20ADB">
        <w:rPr>
          <w:lang w:val="en-US"/>
        </w:rPr>
        <w:t xml:space="preserve"> - </w:t>
      </w:r>
      <w:r w:rsidRPr="003F5A79">
        <w:rPr>
          <w:lang w:val="en-US"/>
        </w:rPr>
        <w:t>including the MAC Directive of 2006 in the EU, credit system and model year 2021 HFC-134a phase-out in the US, the Canadian consideration of bans and HFC phasedowns, and the Japanese target GWP of 150 by 2023</w:t>
      </w:r>
      <w:r w:rsidR="00D20ADB">
        <w:rPr>
          <w:lang w:val="en-US"/>
        </w:rPr>
        <w:t xml:space="preserve">, - </w:t>
      </w:r>
      <w:r w:rsidRPr="003F5A79">
        <w:rPr>
          <w:lang w:val="en-US"/>
        </w:rPr>
        <w:t xml:space="preserve">continues to be primary factors influencing this trend. In addition, development of R-744 MACs has continued and appears imminent, with announcements from Mercedes-Benz to use it in new S-class and E-class models for the EU beginning in 2017, and indications that Audi A8 and Volkswagen Phaeton models will also use R-744 in 2017. </w:t>
      </w:r>
    </w:p>
    <w:p w:rsidR="00644249" w:rsidRPr="003F5A79" w:rsidRDefault="00644249" w:rsidP="00644249">
      <w:pPr>
        <w:rPr>
          <w:lang w:val="en-US"/>
        </w:rPr>
      </w:pPr>
    </w:p>
    <w:p w:rsidR="00644249" w:rsidRPr="003F5A79" w:rsidRDefault="00644249" w:rsidP="00644249">
      <w:pPr>
        <w:rPr>
          <w:lang w:val="en-US"/>
        </w:rPr>
      </w:pPr>
      <w:r w:rsidRPr="003F5A79">
        <w:rPr>
          <w:lang w:val="en-US"/>
        </w:rPr>
        <w:t>Other alternatives that were discussed in the 2014 RTOC Assessment report</w:t>
      </w:r>
      <w:r w:rsidR="00D20ADB">
        <w:rPr>
          <w:lang w:val="en-US"/>
        </w:rPr>
        <w:t xml:space="preserve">, - </w:t>
      </w:r>
      <w:r w:rsidRPr="003F5A79">
        <w:rPr>
          <w:lang w:val="en-US"/>
        </w:rPr>
        <w:t>including hydrocarbons, HFC-152a and additional HFC/HFO blends R-444A and R-445A</w:t>
      </w:r>
      <w:r w:rsidR="00D20ADB">
        <w:rPr>
          <w:lang w:val="en-US"/>
        </w:rPr>
        <w:t xml:space="preserve">, - </w:t>
      </w:r>
      <w:r w:rsidRPr="003F5A79">
        <w:rPr>
          <w:lang w:val="en-US"/>
        </w:rPr>
        <w:t>have not received much additional consideration and appear unlikely to be chosen for new vehicles in the near future.</w:t>
      </w:r>
    </w:p>
    <w:p w:rsidR="00644249" w:rsidRPr="003F5A79" w:rsidRDefault="00644249" w:rsidP="00644249">
      <w:pPr>
        <w:rPr>
          <w:lang w:val="en-US"/>
        </w:rPr>
      </w:pPr>
    </w:p>
    <w:p w:rsidR="00644249" w:rsidRPr="003F5A79" w:rsidRDefault="00644249" w:rsidP="00644249">
      <w:pPr>
        <w:rPr>
          <w:lang w:val="en-US"/>
        </w:rPr>
      </w:pPr>
      <w:r w:rsidRPr="003F5A79">
        <w:rPr>
          <w:lang w:val="en-US"/>
        </w:rPr>
        <w:t>The trend in electrified drivetrains continues, with hybrids and battery-electric vehicles capturing more of the market. This is important in terms of refrigerant as these vehicles will increase the desire for heat pump (heating and cooling) systems in lieu of cooling-only systems. More advanced designs integrating battery and/or electronics cooling with the passenger comfort system are likely to be introduced.</w:t>
      </w:r>
    </w:p>
    <w:p w:rsidR="00644249" w:rsidRPr="003F5A79" w:rsidRDefault="00644249" w:rsidP="00644249">
      <w:pPr>
        <w:rPr>
          <w:lang w:val="en-US"/>
        </w:rPr>
      </w:pPr>
    </w:p>
    <w:p w:rsidR="00644249" w:rsidRPr="003F5A79" w:rsidRDefault="00644249" w:rsidP="00644249">
      <w:pPr>
        <w:rPr>
          <w:lang w:val="en-US"/>
        </w:rPr>
      </w:pPr>
      <w:r w:rsidRPr="003F5A79">
        <w:rPr>
          <w:lang w:val="en-US"/>
        </w:rPr>
        <w:t xml:space="preserve">Buses still rely primarily on HFC-134a and R-407C for passenger comfort. Some vehicles using R-744 are operating, and their use, while currently low (perhaps about 20 buses), is increasing but is limited by the availability of open-type compressors. The trend to hybrid electric buses will allow hermetic or semi-hermetic compressors, making the use of R-744 more likely. </w:t>
      </w:r>
    </w:p>
    <w:p w:rsidR="00644249" w:rsidRPr="003F5A79" w:rsidRDefault="00644249" w:rsidP="00644249">
      <w:pPr>
        <w:rPr>
          <w:lang w:val="en-US"/>
        </w:rPr>
      </w:pPr>
    </w:p>
    <w:p w:rsidR="00644249" w:rsidRPr="003F5A79" w:rsidRDefault="00644249" w:rsidP="00644249">
      <w:pPr>
        <w:rPr>
          <w:lang w:val="en-US"/>
        </w:rPr>
      </w:pPr>
      <w:r w:rsidRPr="003F5A79">
        <w:rPr>
          <w:lang w:val="en-US"/>
        </w:rPr>
        <w:t>Heavy Duty trucks still rely on HFC-134a for driver comfort. Some versions are likely to introduce HF</w:t>
      </w:r>
      <w:r w:rsidR="00D20ADB">
        <w:rPr>
          <w:lang w:val="en-US"/>
        </w:rPr>
        <w:t>O</w:t>
      </w:r>
      <w:r w:rsidRPr="003F5A79">
        <w:rPr>
          <w:lang w:val="en-US"/>
        </w:rPr>
        <w:t>-1234yf soon.</w:t>
      </w:r>
    </w:p>
    <w:p w:rsidR="00644249" w:rsidRPr="00F42F54" w:rsidRDefault="00644249" w:rsidP="00644249">
      <w:pPr>
        <w:pStyle w:val="Heading2"/>
        <w:rPr>
          <w:sz w:val="22"/>
          <w:szCs w:val="22"/>
          <w:lang w:val="en-US"/>
        </w:rPr>
      </w:pPr>
    </w:p>
    <w:p w:rsidR="00644249" w:rsidRPr="007670FB" w:rsidRDefault="00644249" w:rsidP="00644249">
      <w:pPr>
        <w:pStyle w:val="Heading2"/>
        <w:ind w:left="0" w:firstLine="0"/>
      </w:pPr>
      <w:bookmarkStart w:id="76" w:name="_Toc451686541"/>
      <w:bookmarkStart w:id="77" w:name="_Toc452653374"/>
      <w:r>
        <w:t>3.9</w:t>
      </w:r>
      <w:r>
        <w:tab/>
      </w:r>
      <w:r>
        <w:tab/>
      </w:r>
      <w:r w:rsidRPr="007670FB">
        <w:t xml:space="preserve">Not-In-Kind </w:t>
      </w:r>
      <w:r>
        <w:t>t</w:t>
      </w:r>
      <w:r w:rsidRPr="007670FB">
        <w:t>echnologies</w:t>
      </w:r>
      <w:bookmarkEnd w:id="76"/>
      <w:bookmarkEnd w:id="77"/>
    </w:p>
    <w:p w:rsidR="00644249" w:rsidRPr="00D867C7" w:rsidRDefault="00644249" w:rsidP="00644249">
      <w:pPr>
        <w:rPr>
          <w:szCs w:val="22"/>
          <w:lang w:val="en-US"/>
        </w:rPr>
      </w:pPr>
      <w:r w:rsidRPr="00A03F11">
        <w:rPr>
          <w:szCs w:val="22"/>
          <w:lang w:val="en-US"/>
        </w:rPr>
        <w:t>This chapter looks into technologies that do not employ vapour compression technology</w:t>
      </w:r>
      <w:r>
        <w:rPr>
          <w:szCs w:val="22"/>
          <w:lang w:val="en-US"/>
        </w:rPr>
        <w:t>. They are</w:t>
      </w:r>
      <w:r w:rsidRPr="00A03F11">
        <w:rPr>
          <w:szCs w:val="22"/>
          <w:lang w:val="en-US"/>
        </w:rPr>
        <w:t xml:space="preserve"> </w:t>
      </w:r>
      <w:r>
        <w:rPr>
          <w:szCs w:val="22"/>
          <w:lang w:val="en-US"/>
        </w:rPr>
        <w:t>called</w:t>
      </w:r>
      <w:r w:rsidRPr="00A03F11">
        <w:rPr>
          <w:szCs w:val="22"/>
          <w:lang w:val="en-US"/>
        </w:rPr>
        <w:t xml:space="preserve"> Not</w:t>
      </w:r>
      <w:r>
        <w:rPr>
          <w:szCs w:val="22"/>
          <w:lang w:val="en-US"/>
        </w:rPr>
        <w:t>-In –</w:t>
      </w:r>
      <w:r w:rsidRPr="00A03F11">
        <w:rPr>
          <w:szCs w:val="22"/>
          <w:lang w:val="en-US"/>
        </w:rPr>
        <w:t>Kind</w:t>
      </w:r>
      <w:r>
        <w:rPr>
          <w:szCs w:val="22"/>
          <w:lang w:val="en-US"/>
        </w:rPr>
        <w:t>-</w:t>
      </w:r>
      <w:r w:rsidRPr="00A03F11">
        <w:rPr>
          <w:szCs w:val="22"/>
          <w:lang w:val="en-US"/>
        </w:rPr>
        <w:t>Technologies (NIK)</w:t>
      </w:r>
      <w:r>
        <w:rPr>
          <w:szCs w:val="22"/>
          <w:lang w:val="en-US"/>
        </w:rPr>
        <w:t xml:space="preserve">. Vapour compression technology has been the </w:t>
      </w:r>
      <w:r w:rsidR="00D20ADB">
        <w:rPr>
          <w:szCs w:val="22"/>
          <w:lang w:val="en-US"/>
        </w:rPr>
        <w:t xml:space="preserve">dominant </w:t>
      </w:r>
      <w:r>
        <w:rPr>
          <w:szCs w:val="22"/>
          <w:lang w:val="en-US"/>
        </w:rPr>
        <w:t xml:space="preserve">technology for all R/AC applications in the last 100 years. Nevertheless, during </w:t>
      </w:r>
      <w:r>
        <w:rPr>
          <w:szCs w:val="22"/>
          <w:lang w:val="en-US"/>
        </w:rPr>
        <w:lastRenderedPageBreak/>
        <w:t xml:space="preserve">past years several other technologies have been developed. The </w:t>
      </w:r>
      <w:r>
        <w:rPr>
          <w:szCs w:val="22"/>
        </w:rPr>
        <w:t xml:space="preserve">development status of those </w:t>
      </w:r>
      <w:r w:rsidRPr="00A03F11">
        <w:rPr>
          <w:szCs w:val="22"/>
        </w:rPr>
        <w:t>techno</w:t>
      </w:r>
      <w:r>
        <w:rPr>
          <w:szCs w:val="22"/>
        </w:rPr>
        <w:t xml:space="preserve">logies can be </w:t>
      </w:r>
      <w:r w:rsidRPr="00A03F11">
        <w:rPr>
          <w:szCs w:val="22"/>
        </w:rPr>
        <w:t xml:space="preserve">classified as: </w:t>
      </w:r>
    </w:p>
    <w:p w:rsidR="00644249" w:rsidRPr="00A03F11" w:rsidRDefault="00644249" w:rsidP="00644249">
      <w:pPr>
        <w:numPr>
          <w:ilvl w:val="0"/>
          <w:numId w:val="54"/>
        </w:numPr>
        <w:rPr>
          <w:szCs w:val="22"/>
        </w:rPr>
      </w:pPr>
      <w:r w:rsidRPr="00A03F11">
        <w:rPr>
          <w:szCs w:val="22"/>
        </w:rPr>
        <w:t>R&amp;D status</w:t>
      </w:r>
    </w:p>
    <w:p w:rsidR="00644249" w:rsidRPr="00A03F11" w:rsidRDefault="00644249" w:rsidP="00644249">
      <w:pPr>
        <w:numPr>
          <w:ilvl w:val="0"/>
          <w:numId w:val="54"/>
        </w:numPr>
        <w:rPr>
          <w:szCs w:val="22"/>
        </w:rPr>
      </w:pPr>
      <w:r w:rsidRPr="00A03F11">
        <w:rPr>
          <w:szCs w:val="22"/>
        </w:rPr>
        <w:t>Emerging technology</w:t>
      </w:r>
    </w:p>
    <w:p w:rsidR="00644249" w:rsidRDefault="00644249" w:rsidP="00644249">
      <w:pPr>
        <w:numPr>
          <w:ilvl w:val="0"/>
          <w:numId w:val="54"/>
        </w:numPr>
        <w:rPr>
          <w:szCs w:val="22"/>
        </w:rPr>
      </w:pPr>
      <w:r w:rsidRPr="00A03F11">
        <w:rPr>
          <w:szCs w:val="22"/>
        </w:rPr>
        <w:t xml:space="preserve">Commercially </w:t>
      </w:r>
      <w:r>
        <w:rPr>
          <w:szCs w:val="22"/>
        </w:rPr>
        <w:t>a</w:t>
      </w:r>
      <w:r w:rsidRPr="00A03F11">
        <w:rPr>
          <w:szCs w:val="22"/>
        </w:rPr>
        <w:t>vailable</w:t>
      </w:r>
    </w:p>
    <w:p w:rsidR="00644249" w:rsidRDefault="00644249" w:rsidP="00644249">
      <w:pPr>
        <w:rPr>
          <w:szCs w:val="22"/>
          <w:lang w:val="en-US"/>
        </w:rPr>
      </w:pPr>
    </w:p>
    <w:p w:rsidR="00644249" w:rsidRDefault="00644249" w:rsidP="00644249">
      <w:pPr>
        <w:rPr>
          <w:szCs w:val="22"/>
          <w:lang w:val="en-US"/>
        </w:rPr>
      </w:pPr>
      <w:r>
        <w:rPr>
          <w:szCs w:val="22"/>
          <w:lang w:val="en-US"/>
        </w:rPr>
        <w:t>Recently, the</w:t>
      </w:r>
      <w:r w:rsidR="009C2ACF">
        <w:rPr>
          <w:szCs w:val="22"/>
          <w:lang w:val="en-US"/>
        </w:rPr>
        <w:t xml:space="preserve"> </w:t>
      </w:r>
      <w:r>
        <w:rPr>
          <w:szCs w:val="22"/>
          <w:lang w:val="en-US"/>
        </w:rPr>
        <w:t xml:space="preserve">U.S. Department of Energy (U.S. DoE, 2014) developed a study </w:t>
      </w:r>
      <w:r w:rsidRPr="00691072">
        <w:rPr>
          <w:szCs w:val="22"/>
          <w:lang w:val="en-US"/>
        </w:rPr>
        <w:t>to characterize and evaluate alternatives to vapo</w:t>
      </w:r>
      <w:r>
        <w:rPr>
          <w:szCs w:val="22"/>
          <w:lang w:val="en-US"/>
        </w:rPr>
        <w:t>u</w:t>
      </w:r>
      <w:r w:rsidRPr="00691072">
        <w:rPr>
          <w:szCs w:val="22"/>
          <w:lang w:val="en-US"/>
        </w:rPr>
        <w:t>r-compression technology to serve future residential and commercial HVAC applications.</w:t>
      </w:r>
      <w:r>
        <w:rPr>
          <w:szCs w:val="22"/>
          <w:lang w:val="en-US"/>
        </w:rPr>
        <w:t xml:space="preserve"> </w:t>
      </w:r>
      <w:r w:rsidR="00D20ADB">
        <w:rPr>
          <w:szCs w:val="22"/>
          <w:lang w:val="en-US"/>
        </w:rPr>
        <w:t>Provided b</w:t>
      </w:r>
      <w:r>
        <w:rPr>
          <w:szCs w:val="22"/>
          <w:lang w:val="en-US"/>
        </w:rPr>
        <w:t xml:space="preserve">elow </w:t>
      </w:r>
      <w:r w:rsidR="00D20ADB">
        <w:rPr>
          <w:szCs w:val="22"/>
          <w:lang w:val="en-US"/>
        </w:rPr>
        <w:t xml:space="preserve">are some </w:t>
      </w:r>
      <w:r>
        <w:rPr>
          <w:szCs w:val="22"/>
          <w:lang w:val="en-US"/>
        </w:rPr>
        <w:t>of the main aspects of this study.</w:t>
      </w:r>
    </w:p>
    <w:p w:rsidR="00644249" w:rsidRDefault="00644249" w:rsidP="00644249">
      <w:pPr>
        <w:rPr>
          <w:szCs w:val="22"/>
          <w:lang w:val="en-US"/>
        </w:rPr>
      </w:pPr>
    </w:p>
    <w:p w:rsidR="00644249" w:rsidRPr="0021145A" w:rsidRDefault="00644249" w:rsidP="00644249">
      <w:pPr>
        <w:rPr>
          <w:szCs w:val="22"/>
          <w:lang w:val="en-US"/>
        </w:rPr>
      </w:pPr>
      <w:r w:rsidRPr="00A03F11">
        <w:rPr>
          <w:szCs w:val="22"/>
          <w:lang w:val="en-US"/>
        </w:rPr>
        <w:t>NIK technology classification</w:t>
      </w:r>
      <w:r>
        <w:rPr>
          <w:szCs w:val="22"/>
          <w:lang w:val="en-US"/>
        </w:rPr>
        <w:t>s</w:t>
      </w:r>
      <w:r w:rsidRPr="00A03F11">
        <w:rPr>
          <w:szCs w:val="22"/>
          <w:lang w:val="en-US"/>
        </w:rPr>
        <w:t xml:space="preserve"> are divided into three groups according to their particular driving energy</w:t>
      </w:r>
      <w:r>
        <w:rPr>
          <w:szCs w:val="22"/>
          <w:lang w:val="en-US"/>
        </w:rPr>
        <w:t xml:space="preserve">. </w:t>
      </w:r>
      <w:r w:rsidRPr="00A03F11">
        <w:rPr>
          <w:szCs w:val="22"/>
        </w:rPr>
        <w:t>Those are:</w:t>
      </w:r>
    </w:p>
    <w:p w:rsidR="00644249" w:rsidRPr="00A03F11" w:rsidRDefault="00644249" w:rsidP="00644249">
      <w:pPr>
        <w:numPr>
          <w:ilvl w:val="0"/>
          <w:numId w:val="42"/>
        </w:numPr>
        <w:ind w:left="720"/>
        <w:contextualSpacing/>
        <w:rPr>
          <w:szCs w:val="22"/>
        </w:rPr>
      </w:pPr>
      <w:r w:rsidRPr="00A03F11">
        <w:rPr>
          <w:szCs w:val="22"/>
        </w:rPr>
        <w:t>Thermally driven.</w:t>
      </w:r>
    </w:p>
    <w:p w:rsidR="00644249" w:rsidRPr="00A03F11" w:rsidRDefault="00644249" w:rsidP="00644249">
      <w:pPr>
        <w:numPr>
          <w:ilvl w:val="0"/>
          <w:numId w:val="42"/>
        </w:numPr>
        <w:ind w:left="720"/>
        <w:contextualSpacing/>
        <w:rPr>
          <w:szCs w:val="22"/>
        </w:rPr>
      </w:pPr>
      <w:r w:rsidRPr="00A03F11">
        <w:rPr>
          <w:szCs w:val="22"/>
        </w:rPr>
        <w:t>Electro- mechanically driven.</w:t>
      </w:r>
    </w:p>
    <w:p w:rsidR="00644249" w:rsidRPr="00A03F11" w:rsidRDefault="00644249" w:rsidP="00644249">
      <w:pPr>
        <w:numPr>
          <w:ilvl w:val="0"/>
          <w:numId w:val="42"/>
        </w:numPr>
        <w:ind w:left="720"/>
        <w:contextualSpacing/>
        <w:rPr>
          <w:szCs w:val="22"/>
        </w:rPr>
      </w:pPr>
      <w:r w:rsidRPr="00A03F11">
        <w:rPr>
          <w:szCs w:val="22"/>
        </w:rPr>
        <w:t>Solid State driven.</w:t>
      </w:r>
    </w:p>
    <w:p w:rsidR="00644249" w:rsidRDefault="00644249" w:rsidP="00644249">
      <w:pPr>
        <w:rPr>
          <w:szCs w:val="22"/>
          <w:lang w:val="en-US"/>
        </w:rPr>
      </w:pPr>
    </w:p>
    <w:p w:rsidR="00644249" w:rsidRDefault="00D20ADB" w:rsidP="00644249">
      <w:pPr>
        <w:rPr>
          <w:szCs w:val="22"/>
        </w:rPr>
      </w:pPr>
      <w:r>
        <w:rPr>
          <w:szCs w:val="22"/>
          <w:lang w:val="en-US"/>
        </w:rPr>
        <w:t xml:space="preserve">Seventeen </w:t>
      </w:r>
      <w:r w:rsidR="00644249" w:rsidRPr="00A03F11">
        <w:rPr>
          <w:szCs w:val="22"/>
          <w:lang w:val="en-US"/>
        </w:rPr>
        <w:t xml:space="preserve">NIK technologies </w:t>
      </w:r>
      <w:r w:rsidR="00644249">
        <w:rPr>
          <w:szCs w:val="22"/>
          <w:lang w:val="en-US"/>
        </w:rPr>
        <w:t>from these 3 groups were</w:t>
      </w:r>
      <w:r w:rsidR="00644249" w:rsidRPr="00A03F11">
        <w:rPr>
          <w:szCs w:val="22"/>
          <w:lang w:val="en-US"/>
        </w:rPr>
        <w:t xml:space="preserve"> compared </w:t>
      </w:r>
      <w:r w:rsidR="00644249">
        <w:rPr>
          <w:szCs w:val="22"/>
          <w:lang w:val="en-US"/>
        </w:rPr>
        <w:t xml:space="preserve">in the study </w:t>
      </w:r>
      <w:r w:rsidR="00644249" w:rsidRPr="00A03F11">
        <w:rPr>
          <w:szCs w:val="22"/>
          <w:lang w:val="en-US"/>
        </w:rPr>
        <w:t>to a baseline vapour compression technology</w:t>
      </w:r>
      <w:r>
        <w:rPr>
          <w:szCs w:val="22"/>
          <w:lang w:val="en-US"/>
        </w:rPr>
        <w:t>,</w:t>
      </w:r>
      <w:r w:rsidR="00644249">
        <w:rPr>
          <w:szCs w:val="22"/>
          <w:lang w:val="en-US"/>
        </w:rPr>
        <w:t xml:space="preserve"> considering the </w:t>
      </w:r>
      <w:r w:rsidR="00644249" w:rsidRPr="00691072">
        <w:rPr>
          <w:szCs w:val="22"/>
        </w:rPr>
        <w:t xml:space="preserve">following criteria: </w:t>
      </w:r>
    </w:p>
    <w:p w:rsidR="00644249" w:rsidRDefault="00644249" w:rsidP="00644249">
      <w:pPr>
        <w:numPr>
          <w:ilvl w:val="0"/>
          <w:numId w:val="55"/>
        </w:numPr>
        <w:rPr>
          <w:szCs w:val="22"/>
        </w:rPr>
      </w:pPr>
      <w:r>
        <w:rPr>
          <w:szCs w:val="22"/>
        </w:rPr>
        <w:t>Energy savings potential.</w:t>
      </w:r>
    </w:p>
    <w:p w:rsidR="00644249" w:rsidRDefault="00644249" w:rsidP="00644249">
      <w:pPr>
        <w:numPr>
          <w:ilvl w:val="0"/>
          <w:numId w:val="55"/>
        </w:numPr>
        <w:rPr>
          <w:szCs w:val="22"/>
        </w:rPr>
      </w:pPr>
      <w:r>
        <w:rPr>
          <w:szCs w:val="22"/>
        </w:rPr>
        <w:t>Non-energy benefits.</w:t>
      </w:r>
    </w:p>
    <w:p w:rsidR="00644249" w:rsidRDefault="00644249" w:rsidP="00644249">
      <w:pPr>
        <w:numPr>
          <w:ilvl w:val="0"/>
          <w:numId w:val="55"/>
        </w:numPr>
        <w:rPr>
          <w:szCs w:val="22"/>
        </w:rPr>
      </w:pPr>
      <w:r>
        <w:rPr>
          <w:szCs w:val="22"/>
        </w:rPr>
        <w:t>C</w:t>
      </w:r>
      <w:r w:rsidRPr="00691072">
        <w:rPr>
          <w:szCs w:val="22"/>
        </w:rPr>
        <w:t>ost/complexity.</w:t>
      </w:r>
    </w:p>
    <w:p w:rsidR="00644249" w:rsidRPr="00A03F11" w:rsidRDefault="00644249" w:rsidP="00644249">
      <w:pPr>
        <w:numPr>
          <w:ilvl w:val="0"/>
          <w:numId w:val="53"/>
        </w:numPr>
        <w:contextualSpacing/>
        <w:rPr>
          <w:szCs w:val="22"/>
        </w:rPr>
      </w:pPr>
      <w:r w:rsidRPr="00A03F11">
        <w:rPr>
          <w:szCs w:val="22"/>
        </w:rPr>
        <w:t>Heating and cooling capabilities.</w:t>
      </w:r>
    </w:p>
    <w:p w:rsidR="00644249" w:rsidRPr="00A03F11" w:rsidRDefault="00644249" w:rsidP="00644249">
      <w:pPr>
        <w:numPr>
          <w:ilvl w:val="0"/>
          <w:numId w:val="53"/>
        </w:numPr>
        <w:contextualSpacing/>
        <w:rPr>
          <w:szCs w:val="22"/>
        </w:rPr>
      </w:pPr>
      <w:r w:rsidRPr="00A03F11">
        <w:rPr>
          <w:szCs w:val="22"/>
        </w:rPr>
        <w:t>Development status.</w:t>
      </w:r>
    </w:p>
    <w:p w:rsidR="00644249" w:rsidRPr="005D2F4C" w:rsidRDefault="00644249" w:rsidP="00644249">
      <w:pPr>
        <w:numPr>
          <w:ilvl w:val="0"/>
          <w:numId w:val="53"/>
        </w:numPr>
        <w:contextualSpacing/>
        <w:rPr>
          <w:szCs w:val="22"/>
        </w:rPr>
      </w:pPr>
      <w:r w:rsidRPr="00A03F11">
        <w:rPr>
          <w:szCs w:val="22"/>
        </w:rPr>
        <w:t xml:space="preserve">Market barriers. </w:t>
      </w:r>
    </w:p>
    <w:p w:rsidR="00644249" w:rsidRPr="00A03F11" w:rsidRDefault="00644249" w:rsidP="00644249">
      <w:pPr>
        <w:rPr>
          <w:szCs w:val="22"/>
        </w:rPr>
      </w:pPr>
    </w:p>
    <w:p w:rsidR="00644249" w:rsidRPr="00A03F11" w:rsidRDefault="00D20ADB" w:rsidP="00644249">
      <w:pPr>
        <w:rPr>
          <w:szCs w:val="22"/>
          <w:lang w:val="en-US"/>
        </w:rPr>
      </w:pPr>
      <w:r>
        <w:rPr>
          <w:szCs w:val="22"/>
          <w:lang w:val="en-US"/>
        </w:rPr>
        <w:t xml:space="preserve">Based on </w:t>
      </w:r>
      <w:r w:rsidR="00644249">
        <w:rPr>
          <w:szCs w:val="22"/>
          <w:lang w:val="en-US"/>
        </w:rPr>
        <w:t xml:space="preserve">these criteria they were classified </w:t>
      </w:r>
      <w:r w:rsidR="00644249" w:rsidRPr="00A03F11">
        <w:rPr>
          <w:szCs w:val="22"/>
          <w:lang w:val="en-US"/>
        </w:rPr>
        <w:t>as i) most promising, ii) very promising, iii) moderately promising, and i</w:t>
      </w:r>
      <w:r w:rsidR="0052321F">
        <w:rPr>
          <w:szCs w:val="22"/>
          <w:lang w:val="en-US"/>
        </w:rPr>
        <w:t>v</w:t>
      </w:r>
      <w:r w:rsidR="00644249" w:rsidRPr="00A03F11">
        <w:rPr>
          <w:szCs w:val="22"/>
          <w:lang w:val="en-US"/>
        </w:rPr>
        <w:t xml:space="preserve">) least promising: </w:t>
      </w:r>
    </w:p>
    <w:p w:rsidR="00644249" w:rsidRPr="00A03F11" w:rsidRDefault="00644249" w:rsidP="00644249">
      <w:pPr>
        <w:numPr>
          <w:ilvl w:val="0"/>
          <w:numId w:val="43"/>
        </w:numPr>
        <w:ind w:left="720"/>
        <w:rPr>
          <w:szCs w:val="22"/>
          <w:lang w:val="en-US"/>
        </w:rPr>
      </w:pPr>
      <w:r w:rsidRPr="00A03F11">
        <w:rPr>
          <w:szCs w:val="22"/>
          <w:lang w:val="en-US"/>
        </w:rPr>
        <w:t xml:space="preserve">Most promising: membrane heat pump, </w:t>
      </w:r>
      <w:r>
        <w:rPr>
          <w:szCs w:val="22"/>
          <w:lang w:val="en-US"/>
        </w:rPr>
        <w:t>thermo-</w:t>
      </w:r>
      <w:r w:rsidRPr="00A03F11">
        <w:rPr>
          <w:szCs w:val="22"/>
          <w:lang w:val="en-US"/>
        </w:rPr>
        <w:t xml:space="preserve">elastic; </w:t>
      </w:r>
    </w:p>
    <w:p w:rsidR="00644249" w:rsidRPr="00A03F11" w:rsidRDefault="00644249" w:rsidP="00644249">
      <w:pPr>
        <w:numPr>
          <w:ilvl w:val="0"/>
          <w:numId w:val="43"/>
        </w:numPr>
        <w:ind w:left="720"/>
        <w:rPr>
          <w:szCs w:val="22"/>
          <w:lang w:val="en-US"/>
        </w:rPr>
      </w:pPr>
      <w:r w:rsidRPr="00A03F11">
        <w:rPr>
          <w:szCs w:val="22"/>
          <w:lang w:val="en-US"/>
        </w:rPr>
        <w:t>Very promising: evaporative liquid desiccant A/C, magneto</w:t>
      </w:r>
      <w:r>
        <w:rPr>
          <w:szCs w:val="22"/>
          <w:lang w:val="en-US"/>
        </w:rPr>
        <w:t>-</w:t>
      </w:r>
      <w:r w:rsidRPr="00A03F11">
        <w:rPr>
          <w:szCs w:val="22"/>
          <w:lang w:val="en-US"/>
        </w:rPr>
        <w:t xml:space="preserve">caloric, </w:t>
      </w:r>
      <w:r>
        <w:rPr>
          <w:szCs w:val="22"/>
          <w:lang w:val="en-US"/>
        </w:rPr>
        <w:t>V</w:t>
      </w:r>
      <w:r w:rsidR="00A006A1">
        <w:rPr>
          <w:szCs w:val="22"/>
          <w:lang w:val="en-US"/>
        </w:rPr>
        <w:t>u</w:t>
      </w:r>
      <w:r w:rsidRPr="00A03F11">
        <w:rPr>
          <w:szCs w:val="22"/>
          <w:lang w:val="en-US"/>
        </w:rPr>
        <w:t>illeumier heat pump;</w:t>
      </w:r>
    </w:p>
    <w:p w:rsidR="00644249" w:rsidRPr="00A03F11" w:rsidRDefault="00644249" w:rsidP="00644249">
      <w:pPr>
        <w:numPr>
          <w:ilvl w:val="0"/>
          <w:numId w:val="43"/>
        </w:numPr>
        <w:ind w:left="720"/>
        <w:rPr>
          <w:szCs w:val="22"/>
          <w:lang w:val="en-US"/>
        </w:rPr>
      </w:pPr>
      <w:r w:rsidRPr="00A03F11">
        <w:rPr>
          <w:szCs w:val="22"/>
          <w:lang w:val="en-US"/>
        </w:rPr>
        <w:t xml:space="preserve">Moderately promising: evaporative cooling, </w:t>
      </w:r>
      <w:r>
        <w:rPr>
          <w:szCs w:val="22"/>
          <w:lang w:val="en-US"/>
        </w:rPr>
        <w:t>thermo-</w:t>
      </w:r>
      <w:r w:rsidRPr="00A03F11">
        <w:rPr>
          <w:szCs w:val="22"/>
          <w:lang w:val="en-US"/>
        </w:rPr>
        <w:t xml:space="preserve">electric, ground-coupled solid desiccant A/C, absorption heat pump, duplex-Stirling heat pump, </w:t>
      </w:r>
      <w:r>
        <w:rPr>
          <w:szCs w:val="22"/>
          <w:lang w:val="en-US"/>
        </w:rPr>
        <w:t>thermo-</w:t>
      </w:r>
      <w:r w:rsidRPr="00A03F11">
        <w:rPr>
          <w:szCs w:val="22"/>
          <w:lang w:val="en-US"/>
        </w:rPr>
        <w:t>ac</w:t>
      </w:r>
      <w:r>
        <w:rPr>
          <w:szCs w:val="22"/>
          <w:lang w:val="en-US"/>
        </w:rPr>
        <w:t>o</w:t>
      </w:r>
      <w:r w:rsidRPr="00A03F11">
        <w:rPr>
          <w:szCs w:val="22"/>
          <w:lang w:val="en-US"/>
        </w:rPr>
        <w:t xml:space="preserve">ustic, adsorption heat pump, </w:t>
      </w:r>
      <w:r>
        <w:rPr>
          <w:szCs w:val="22"/>
          <w:lang w:val="en-US"/>
        </w:rPr>
        <w:t>thermo-</w:t>
      </w:r>
      <w:r w:rsidRPr="00A03F11">
        <w:rPr>
          <w:szCs w:val="22"/>
          <w:lang w:val="en-US"/>
        </w:rPr>
        <w:t xml:space="preserve">tunneling; </w:t>
      </w:r>
    </w:p>
    <w:p w:rsidR="00644249" w:rsidRPr="005D2F4C" w:rsidRDefault="00644249" w:rsidP="00644249">
      <w:pPr>
        <w:numPr>
          <w:ilvl w:val="0"/>
          <w:numId w:val="43"/>
        </w:numPr>
        <w:ind w:left="720"/>
        <w:rPr>
          <w:szCs w:val="22"/>
          <w:lang w:val="en-US"/>
        </w:rPr>
      </w:pPr>
      <w:r w:rsidRPr="00A03F11">
        <w:rPr>
          <w:szCs w:val="22"/>
          <w:lang w:val="en-US"/>
        </w:rPr>
        <w:t>Least promising: stand</w:t>
      </w:r>
      <w:r>
        <w:rPr>
          <w:szCs w:val="22"/>
          <w:lang w:val="en-US"/>
        </w:rPr>
        <w:t>-</w:t>
      </w:r>
      <w:r w:rsidRPr="00A03F11">
        <w:rPr>
          <w:szCs w:val="22"/>
          <w:lang w:val="en-US"/>
        </w:rPr>
        <w:t>alone solid desiccant A/C, stand</w:t>
      </w:r>
      <w:r>
        <w:rPr>
          <w:szCs w:val="22"/>
          <w:lang w:val="en-US"/>
        </w:rPr>
        <w:t>-</w:t>
      </w:r>
      <w:r w:rsidRPr="00A03F11">
        <w:rPr>
          <w:szCs w:val="22"/>
          <w:lang w:val="en-US"/>
        </w:rPr>
        <w:t xml:space="preserve">alone liquid desiccant A/C, ejector heat pump, </w:t>
      </w:r>
      <w:r>
        <w:rPr>
          <w:szCs w:val="22"/>
          <w:lang w:val="en-US"/>
        </w:rPr>
        <w:t>B</w:t>
      </w:r>
      <w:r w:rsidRPr="00A03F11">
        <w:rPr>
          <w:szCs w:val="22"/>
          <w:lang w:val="en-US"/>
        </w:rPr>
        <w:t>rayton heat pump.</w:t>
      </w:r>
    </w:p>
    <w:p w:rsidR="00644249" w:rsidRPr="00A03F11" w:rsidRDefault="00644249" w:rsidP="00644249">
      <w:pPr>
        <w:rPr>
          <w:szCs w:val="22"/>
        </w:rPr>
      </w:pPr>
    </w:p>
    <w:p w:rsidR="00644249" w:rsidRPr="00A03F11" w:rsidRDefault="00644249" w:rsidP="00644249">
      <w:pPr>
        <w:rPr>
          <w:szCs w:val="22"/>
        </w:rPr>
      </w:pPr>
      <w:r>
        <w:rPr>
          <w:szCs w:val="22"/>
        </w:rPr>
        <w:t>The present status, the development of prototypes and equipment and the expected t</w:t>
      </w:r>
      <w:r w:rsidRPr="00A03F11">
        <w:rPr>
          <w:szCs w:val="22"/>
        </w:rPr>
        <w:t>echnical progress</w:t>
      </w:r>
      <w:r>
        <w:rPr>
          <w:szCs w:val="22"/>
        </w:rPr>
        <w:t xml:space="preserve"> of some NIK technologies are</w:t>
      </w:r>
      <w:r w:rsidR="00D20ADB">
        <w:rPr>
          <w:szCs w:val="22"/>
        </w:rPr>
        <w:t xml:space="preserve"> as follows</w:t>
      </w:r>
      <w:r w:rsidRPr="00A03F11">
        <w:rPr>
          <w:szCs w:val="22"/>
        </w:rPr>
        <w:t>:</w:t>
      </w:r>
    </w:p>
    <w:p w:rsidR="00644249" w:rsidRDefault="00644249" w:rsidP="00644249">
      <w:pPr>
        <w:rPr>
          <w:bCs/>
          <w:i/>
          <w:szCs w:val="22"/>
        </w:rPr>
      </w:pPr>
    </w:p>
    <w:p w:rsidR="00644249" w:rsidRPr="00D867C7" w:rsidRDefault="00644249" w:rsidP="00644249">
      <w:pPr>
        <w:rPr>
          <w:bCs/>
          <w:i/>
          <w:szCs w:val="22"/>
        </w:rPr>
      </w:pPr>
      <w:r w:rsidRPr="00D867C7">
        <w:rPr>
          <w:bCs/>
          <w:i/>
          <w:szCs w:val="22"/>
        </w:rPr>
        <w:t>Thermo</w:t>
      </w:r>
      <w:r>
        <w:rPr>
          <w:bCs/>
          <w:i/>
          <w:szCs w:val="22"/>
        </w:rPr>
        <w:t>-</w:t>
      </w:r>
      <w:r w:rsidRPr="00D867C7">
        <w:rPr>
          <w:bCs/>
          <w:i/>
          <w:szCs w:val="22"/>
        </w:rPr>
        <w:t>elastic and Membrane Technologies:</w:t>
      </w:r>
    </w:p>
    <w:p w:rsidR="00644249" w:rsidRPr="00A03F11" w:rsidRDefault="00644249" w:rsidP="00644249">
      <w:pPr>
        <w:rPr>
          <w:szCs w:val="22"/>
        </w:rPr>
      </w:pPr>
      <w:r w:rsidRPr="00A03F11">
        <w:rPr>
          <w:szCs w:val="22"/>
        </w:rPr>
        <w:t xml:space="preserve">A one TR (3.52 kW) window air conditioner prototype </w:t>
      </w:r>
      <w:r w:rsidR="00A5426D">
        <w:rPr>
          <w:szCs w:val="22"/>
        </w:rPr>
        <w:t xml:space="preserve">that </w:t>
      </w:r>
      <w:r w:rsidRPr="00A03F11">
        <w:rPr>
          <w:szCs w:val="22"/>
        </w:rPr>
        <w:t>operat</w:t>
      </w:r>
      <w:r w:rsidR="00A5426D">
        <w:rPr>
          <w:szCs w:val="22"/>
        </w:rPr>
        <w:t>es</w:t>
      </w:r>
      <w:r w:rsidRPr="00A03F11">
        <w:rPr>
          <w:szCs w:val="22"/>
        </w:rPr>
        <w:t xml:space="preserve"> on </w:t>
      </w:r>
      <w:r>
        <w:rPr>
          <w:szCs w:val="22"/>
        </w:rPr>
        <w:t>thermo-</w:t>
      </w:r>
      <w:r w:rsidRPr="00A03F11">
        <w:rPr>
          <w:szCs w:val="22"/>
        </w:rPr>
        <w:t>elastic technology</w:t>
      </w:r>
      <w:r w:rsidRPr="00A03F11">
        <w:rPr>
          <w:b/>
          <w:bCs/>
          <w:szCs w:val="22"/>
        </w:rPr>
        <w:t xml:space="preserve"> </w:t>
      </w:r>
      <w:r w:rsidRPr="00A03F11">
        <w:rPr>
          <w:szCs w:val="22"/>
        </w:rPr>
        <w:t>is undergoing testing. In another facility, one manufacturer developed a one TR (3.52 kW) prototype space- conditioning system that operate</w:t>
      </w:r>
      <w:r w:rsidR="00A5426D">
        <w:rPr>
          <w:szCs w:val="22"/>
        </w:rPr>
        <w:t>s</w:t>
      </w:r>
      <w:r w:rsidRPr="00A03F11">
        <w:rPr>
          <w:szCs w:val="22"/>
        </w:rPr>
        <w:t xml:space="preserve"> on Membrane Heat Pump technology using this two stage</w:t>
      </w:r>
      <w:r w:rsidR="00D20ADB">
        <w:rPr>
          <w:szCs w:val="22"/>
        </w:rPr>
        <w:t xml:space="preserve"> (</w:t>
      </w:r>
      <w:r w:rsidRPr="00A03F11">
        <w:rPr>
          <w:szCs w:val="22"/>
        </w:rPr>
        <w:t>latent and sensible</w:t>
      </w:r>
      <w:r w:rsidR="00D20ADB">
        <w:rPr>
          <w:szCs w:val="22"/>
        </w:rPr>
        <w:t>)</w:t>
      </w:r>
      <w:r w:rsidRPr="00A03F11">
        <w:rPr>
          <w:szCs w:val="22"/>
        </w:rPr>
        <w:t xml:space="preserve"> technology. The manufacturer predicts an EER of 26 Btu/Whr or greater.</w:t>
      </w:r>
    </w:p>
    <w:p w:rsidR="00644249" w:rsidRDefault="00644249" w:rsidP="00644249">
      <w:pPr>
        <w:rPr>
          <w:bCs/>
          <w:i/>
          <w:szCs w:val="22"/>
        </w:rPr>
      </w:pPr>
    </w:p>
    <w:p w:rsidR="00644249" w:rsidRPr="00D867C7" w:rsidRDefault="00644249" w:rsidP="00644249">
      <w:pPr>
        <w:rPr>
          <w:bCs/>
          <w:i/>
          <w:szCs w:val="22"/>
        </w:rPr>
      </w:pPr>
      <w:r w:rsidRPr="00D867C7">
        <w:rPr>
          <w:bCs/>
          <w:i/>
          <w:szCs w:val="22"/>
        </w:rPr>
        <w:t>Absorption, Evaporative and Evaporative Liquid Desiccant Technologies:</w:t>
      </w:r>
    </w:p>
    <w:p w:rsidR="00644249" w:rsidRPr="00A03F11" w:rsidRDefault="00644249" w:rsidP="00644249">
      <w:pPr>
        <w:rPr>
          <w:b/>
          <w:bCs/>
          <w:szCs w:val="22"/>
        </w:rPr>
      </w:pPr>
      <w:r w:rsidRPr="00A03F11">
        <w:rPr>
          <w:szCs w:val="22"/>
        </w:rPr>
        <w:t xml:space="preserve">Absorption heat pumps are commercially available and have an inherent advantage since they can operate on low heat energy exergy thus saving on </w:t>
      </w:r>
      <w:r w:rsidR="00D20ADB">
        <w:rPr>
          <w:szCs w:val="22"/>
        </w:rPr>
        <w:t xml:space="preserve">precious peak </w:t>
      </w:r>
      <w:r w:rsidRPr="00A03F11">
        <w:rPr>
          <w:szCs w:val="22"/>
        </w:rPr>
        <w:t xml:space="preserve">electric power. Evaporative cooling has always been an attractive alternative in Hot-Dry conditions, although Indirect/Direct evaporative cooling can be used in both dry and humid hot conditions, its water consumption rates can be a risk in arid conditions. Evaporative Liquid Desiccant technology, a R&amp;D technology, also consumes water and careful selection </w:t>
      </w:r>
      <w:r w:rsidR="00D20ADB">
        <w:rPr>
          <w:szCs w:val="22"/>
        </w:rPr>
        <w:t xml:space="preserve">is </w:t>
      </w:r>
      <w:r w:rsidRPr="00A03F11">
        <w:rPr>
          <w:szCs w:val="22"/>
        </w:rPr>
        <w:t xml:space="preserve">needed in </w:t>
      </w:r>
      <w:r w:rsidR="00D20ADB">
        <w:rPr>
          <w:szCs w:val="22"/>
        </w:rPr>
        <w:t>r</w:t>
      </w:r>
      <w:r w:rsidRPr="00A03F11">
        <w:rPr>
          <w:szCs w:val="22"/>
        </w:rPr>
        <w:t>egions where water is scarce</w:t>
      </w:r>
      <w:r w:rsidRPr="00A03F11">
        <w:rPr>
          <w:b/>
          <w:bCs/>
          <w:szCs w:val="22"/>
        </w:rPr>
        <w:t xml:space="preserve">. </w:t>
      </w:r>
    </w:p>
    <w:p w:rsidR="00644249" w:rsidRDefault="00644249" w:rsidP="00644249">
      <w:pPr>
        <w:rPr>
          <w:bCs/>
          <w:i/>
          <w:szCs w:val="22"/>
        </w:rPr>
      </w:pPr>
    </w:p>
    <w:p w:rsidR="00644249" w:rsidRPr="00D867C7" w:rsidRDefault="00644249" w:rsidP="00644249">
      <w:pPr>
        <w:rPr>
          <w:bCs/>
          <w:i/>
          <w:szCs w:val="22"/>
        </w:rPr>
      </w:pPr>
      <w:r w:rsidRPr="00D867C7">
        <w:rPr>
          <w:bCs/>
          <w:i/>
          <w:szCs w:val="22"/>
        </w:rPr>
        <w:t>Ground coupled Solid Desiccant AC Magneto</w:t>
      </w:r>
      <w:r>
        <w:rPr>
          <w:bCs/>
          <w:i/>
          <w:szCs w:val="22"/>
        </w:rPr>
        <w:t>-</w:t>
      </w:r>
      <w:r w:rsidRPr="00D867C7">
        <w:rPr>
          <w:bCs/>
          <w:i/>
          <w:szCs w:val="22"/>
        </w:rPr>
        <w:t xml:space="preserve">caloric and Vuilleumier Heat Pump technologies. </w:t>
      </w:r>
    </w:p>
    <w:p w:rsidR="00644249" w:rsidRPr="00A03F11" w:rsidRDefault="00644249" w:rsidP="00644249">
      <w:pPr>
        <w:rPr>
          <w:szCs w:val="22"/>
        </w:rPr>
      </w:pPr>
      <w:r w:rsidRPr="00A03F11">
        <w:rPr>
          <w:szCs w:val="22"/>
        </w:rPr>
        <w:t xml:space="preserve">Ground coupled Solid Desiccant AC is also a R&amp;D technology and uses </w:t>
      </w:r>
      <w:r w:rsidR="00D20ADB">
        <w:rPr>
          <w:szCs w:val="22"/>
        </w:rPr>
        <w:t>(</w:t>
      </w:r>
      <w:r w:rsidRPr="00A03F11">
        <w:rPr>
          <w:szCs w:val="22"/>
        </w:rPr>
        <w:t>low exergy</w:t>
      </w:r>
      <w:r w:rsidR="00D20ADB">
        <w:rPr>
          <w:szCs w:val="22"/>
        </w:rPr>
        <w:t>)</w:t>
      </w:r>
      <w:r w:rsidRPr="00A03F11">
        <w:rPr>
          <w:szCs w:val="22"/>
        </w:rPr>
        <w:t xml:space="preserve"> thermal energy</w:t>
      </w:r>
      <w:r w:rsidRPr="00A03F11">
        <w:rPr>
          <w:b/>
          <w:bCs/>
          <w:szCs w:val="22"/>
        </w:rPr>
        <w:t xml:space="preserve">. </w:t>
      </w:r>
      <w:r w:rsidRPr="00A03F11">
        <w:rPr>
          <w:szCs w:val="22"/>
        </w:rPr>
        <w:t>Magneto</w:t>
      </w:r>
      <w:r>
        <w:rPr>
          <w:szCs w:val="22"/>
        </w:rPr>
        <w:t>-</w:t>
      </w:r>
      <w:r w:rsidRPr="00A03F11">
        <w:rPr>
          <w:szCs w:val="22"/>
        </w:rPr>
        <w:t xml:space="preserve">caloric and Vuilleumier Heat Pump technologies are both in the emerging phase and </w:t>
      </w:r>
      <w:r w:rsidR="00D17DB8">
        <w:rPr>
          <w:szCs w:val="22"/>
        </w:rPr>
        <w:t xml:space="preserve">are </w:t>
      </w:r>
      <w:r w:rsidRPr="00A03F11">
        <w:rPr>
          <w:szCs w:val="22"/>
        </w:rPr>
        <w:t>promising technologies.</w:t>
      </w:r>
    </w:p>
    <w:p w:rsidR="00644249" w:rsidRDefault="00644249" w:rsidP="00644249">
      <w:pPr>
        <w:pStyle w:val="Heading2"/>
        <w:spacing w:before="240"/>
      </w:pPr>
      <w:bookmarkStart w:id="78" w:name="_Toc451686542"/>
      <w:bookmarkStart w:id="79" w:name="_Toc452653375"/>
      <w:r>
        <w:t>3.10</w:t>
      </w:r>
      <w:r>
        <w:tab/>
      </w:r>
      <w:r>
        <w:tab/>
        <w:t>Developments of CO</w:t>
      </w:r>
      <w:r w:rsidRPr="005409E5">
        <w:rPr>
          <w:vertAlign w:val="subscript"/>
        </w:rPr>
        <w:t>2</w:t>
      </w:r>
      <w:r>
        <w:t xml:space="preserve"> technology</w:t>
      </w:r>
      <w:bookmarkEnd w:id="78"/>
      <w:bookmarkEnd w:id="79"/>
    </w:p>
    <w:p w:rsidR="00644249" w:rsidRPr="006737ED" w:rsidRDefault="00644249" w:rsidP="00644249">
      <w:pPr>
        <w:pStyle w:val="NormalWeb"/>
        <w:spacing w:before="0" w:after="0"/>
        <w:rPr>
          <w:lang w:val="nb-NO"/>
        </w:rPr>
      </w:pPr>
      <w:r w:rsidRPr="006737ED">
        <w:rPr>
          <w:color w:val="000000"/>
        </w:rPr>
        <w:t>Applying CO</w:t>
      </w:r>
      <w:r w:rsidRPr="006737ED">
        <w:rPr>
          <w:color w:val="000000"/>
          <w:sz w:val="20"/>
          <w:szCs w:val="20"/>
          <w:vertAlign w:val="subscript"/>
        </w:rPr>
        <w:t>2</w:t>
      </w:r>
      <w:r w:rsidRPr="006737ED">
        <w:rPr>
          <w:color w:val="000000"/>
        </w:rPr>
        <w:t xml:space="preserve"> (</w:t>
      </w:r>
      <w:r w:rsidR="00E63AFD">
        <w:rPr>
          <w:color w:val="000000"/>
        </w:rPr>
        <w:t>R-7</w:t>
      </w:r>
      <w:r w:rsidRPr="006737ED">
        <w:rPr>
          <w:color w:val="000000"/>
        </w:rPr>
        <w:t xml:space="preserve">44) as </w:t>
      </w:r>
      <w:r>
        <w:rPr>
          <w:color w:val="000000"/>
        </w:rPr>
        <w:t xml:space="preserve">a </w:t>
      </w:r>
      <w:r w:rsidRPr="006737ED">
        <w:rPr>
          <w:color w:val="000000"/>
        </w:rPr>
        <w:t>working fluid is common in hot water and industrial heat pumps, light commercial beverage cooling and especially in supermarket refrigeration.</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nb-NO"/>
        </w:rPr>
      </w:pPr>
      <w:r w:rsidRPr="006737ED">
        <w:rPr>
          <w:color w:val="000000"/>
        </w:rPr>
        <w:t>Due to the thermodynamic properties of CO</w:t>
      </w:r>
      <w:r w:rsidRPr="006737ED">
        <w:rPr>
          <w:color w:val="000000"/>
          <w:sz w:val="20"/>
          <w:szCs w:val="20"/>
          <w:vertAlign w:val="subscript"/>
        </w:rPr>
        <w:t>2</w:t>
      </w:r>
      <w:r w:rsidR="00D1386C">
        <w:rPr>
          <w:color w:val="000000"/>
        </w:rPr>
        <w:t xml:space="preserve">, </w:t>
      </w:r>
      <w:r w:rsidRPr="006737ED">
        <w:rPr>
          <w:color w:val="000000"/>
        </w:rPr>
        <w:t>throttling losses compared to conventional low-pressure fluids are significantly higher, particularly at elevated heat rejection temperatures common at higher ambient temperatures where the energy efficiency of the CO</w:t>
      </w:r>
      <w:r w:rsidRPr="006737ED">
        <w:rPr>
          <w:color w:val="000000"/>
          <w:vertAlign w:val="subscript"/>
        </w:rPr>
        <w:t>2</w:t>
      </w:r>
      <w:r w:rsidRPr="006737ED">
        <w:rPr>
          <w:color w:val="000000"/>
        </w:rPr>
        <w:t xml:space="preserve"> units is lower. </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nb-NO"/>
        </w:rPr>
      </w:pPr>
      <w:r w:rsidRPr="006737ED">
        <w:rPr>
          <w:color w:val="000000"/>
        </w:rPr>
        <w:t>Introducing an internal heat exchanger can help to reduce the throttling losses. In addition, utili</w:t>
      </w:r>
      <w:r w:rsidR="00D1386C">
        <w:rPr>
          <w:color w:val="000000"/>
        </w:rPr>
        <w:t>s</w:t>
      </w:r>
      <w:r w:rsidRPr="006737ED">
        <w:rPr>
          <w:color w:val="000000"/>
        </w:rPr>
        <w:t xml:space="preserve">ing the kinetic energy of the fluid flowing from the high- to the low-pressure side can save compressor work instead of dissipating it in the throttling process. Two apparatuses are able to perform such work recovery, expanders and ejectors. </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nb-NO"/>
        </w:rPr>
      </w:pPr>
      <w:r w:rsidRPr="006737ED">
        <w:rPr>
          <w:color w:val="000000"/>
        </w:rPr>
        <w:t>Expanders uses the throttling energy to assist the compressor and are comparable with compressors with respect to cost and complexity</w:t>
      </w:r>
      <w:r w:rsidRPr="006737ED">
        <w:rPr>
          <w:strike/>
          <w:color w:val="000000"/>
        </w:rPr>
        <w:t>.</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nb-NO"/>
        </w:rPr>
      </w:pPr>
      <w:r w:rsidRPr="006737ED">
        <w:rPr>
          <w:color w:val="000000"/>
        </w:rPr>
        <w:t>Ejectors are more comparable to expansion devices</w:t>
      </w:r>
      <w:r w:rsidR="00D1386C">
        <w:rPr>
          <w:color w:val="000000"/>
        </w:rPr>
        <w:t xml:space="preserve">, </w:t>
      </w:r>
      <w:r w:rsidRPr="006737ED">
        <w:rPr>
          <w:color w:val="000000"/>
        </w:rPr>
        <w:t>however</w:t>
      </w:r>
      <w:r w:rsidR="00D1386C">
        <w:rPr>
          <w:color w:val="000000"/>
        </w:rPr>
        <w:t>,</w:t>
      </w:r>
      <w:r w:rsidRPr="006737ED">
        <w:rPr>
          <w:color w:val="000000"/>
        </w:rPr>
        <w:t xml:space="preserve"> </w:t>
      </w:r>
      <w:r w:rsidR="008B08AE">
        <w:rPr>
          <w:color w:val="000000"/>
        </w:rPr>
        <w:t xml:space="preserve">they </w:t>
      </w:r>
      <w:r w:rsidRPr="006737ED">
        <w:rPr>
          <w:color w:val="000000"/>
        </w:rPr>
        <w:t>us</w:t>
      </w:r>
      <w:r w:rsidR="00D1386C">
        <w:rPr>
          <w:color w:val="000000"/>
        </w:rPr>
        <w:t>e</w:t>
      </w:r>
      <w:r w:rsidRPr="006737ED">
        <w:rPr>
          <w:color w:val="000000"/>
        </w:rPr>
        <w:t xml:space="preserve"> the expansion of the high-pressure fluid to entrain and compress a low-pressure fluid by means of momentum transfer between the two steams inside the ejector without moving parts. </w:t>
      </w:r>
      <w:r w:rsidR="00D1386C">
        <w:rPr>
          <w:color w:val="000000"/>
        </w:rPr>
        <w:t>Ej</w:t>
      </w:r>
      <w:r w:rsidRPr="006737ED">
        <w:rPr>
          <w:color w:val="000000"/>
        </w:rPr>
        <w:t xml:space="preserve">ectors are suitable for dedicated applications due to their high robustness, reliability and potential low cost. </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nb-NO"/>
        </w:rPr>
      </w:pPr>
      <w:r w:rsidRPr="006737ED">
        <w:rPr>
          <w:color w:val="000000"/>
        </w:rPr>
        <w:t>As reported by Elbel and Lawrence (2016), the work recovery efficiency of CO</w:t>
      </w:r>
      <w:r w:rsidRPr="006737ED">
        <w:rPr>
          <w:color w:val="000000"/>
          <w:sz w:val="20"/>
          <w:szCs w:val="20"/>
          <w:vertAlign w:val="subscript"/>
        </w:rPr>
        <w:t>2</w:t>
      </w:r>
      <w:r w:rsidRPr="006737ED">
        <w:rPr>
          <w:color w:val="000000"/>
        </w:rPr>
        <w:t xml:space="preserve"> ejectors is generally in the range of 20-30%, which means that 20-30% of the normally dissipated expansion work is applied to unload the compressor by pre-compressing the suction stream from suction inlet pressure (evaporator outlet) to the separator pressure (compressor inlet). Unloading the compressor is not the only benefit of an ejector, using it to simultaneously pump additional liquid through the evaporators, i.e. overfeeding them, avoids dry</w:t>
      </w:r>
      <w:r>
        <w:rPr>
          <w:color w:val="000000"/>
        </w:rPr>
        <w:t>-</w:t>
      </w:r>
      <w:r w:rsidRPr="006737ED">
        <w:rPr>
          <w:color w:val="000000"/>
        </w:rPr>
        <w:t>out and improves the evaporator and system performance significantly. This increases the required suction pressure of the compressor twice, firstly due to the elevated evaporation temperature (flooded evaporation) and the pre-compression of the evaporator outlet fluid</w:t>
      </w:r>
      <w:r w:rsidR="00FE51D6">
        <w:rPr>
          <w:color w:val="000000"/>
        </w:rPr>
        <w:t xml:space="preserve">. </w:t>
      </w:r>
      <w:r w:rsidRPr="006737ED">
        <w:rPr>
          <w:color w:val="000000"/>
        </w:rPr>
        <w:t xml:space="preserve"> </w:t>
      </w:r>
    </w:p>
    <w:p w:rsidR="00644249" w:rsidRPr="006737ED" w:rsidRDefault="00644249" w:rsidP="00644249">
      <w:pPr>
        <w:pStyle w:val="NormalWeb"/>
        <w:spacing w:before="0" w:after="0"/>
        <w:rPr>
          <w:lang w:val="nb-NO"/>
        </w:rPr>
      </w:pPr>
      <w:r w:rsidRPr="006737ED">
        <w:rPr>
          <w:color w:val="000000"/>
        </w:rPr>
        <w:t> </w:t>
      </w:r>
    </w:p>
    <w:p w:rsidR="00644249" w:rsidRPr="006737ED" w:rsidRDefault="00644249" w:rsidP="00644249">
      <w:pPr>
        <w:pStyle w:val="NormalWeb"/>
        <w:spacing w:before="0" w:after="0"/>
        <w:rPr>
          <w:lang w:val="en-US"/>
        </w:rPr>
      </w:pPr>
      <w:r w:rsidRPr="006737ED">
        <w:rPr>
          <w:color w:val="000000"/>
        </w:rPr>
        <w:t xml:space="preserve">For commercial refrigeration applications, as </w:t>
      </w:r>
      <w:r w:rsidR="00D1386C">
        <w:rPr>
          <w:color w:val="000000"/>
        </w:rPr>
        <w:t xml:space="preserve">in </w:t>
      </w:r>
      <w:r w:rsidRPr="006737ED">
        <w:rPr>
          <w:color w:val="000000"/>
        </w:rPr>
        <w:t>supermarkets, ejector systems enabling continuously flooded evaporator operation are commercially available. There are more than 40 ejector supported CO</w:t>
      </w:r>
      <w:r w:rsidRPr="006737ED">
        <w:rPr>
          <w:color w:val="000000"/>
          <w:vertAlign w:val="subscript"/>
        </w:rPr>
        <w:t>2</w:t>
      </w:r>
      <w:r w:rsidRPr="006737ED">
        <w:rPr>
          <w:color w:val="000000"/>
        </w:rPr>
        <w:t xml:space="preserve"> installations around the globe. The first pilot systems applying additional compressor unloading by pre-compressing of medium temperature vapour (from chilled food display cabinet</w:t>
      </w:r>
      <w:r w:rsidR="00D1386C">
        <w:rPr>
          <w:color w:val="000000"/>
        </w:rPr>
        <w:t>s</w:t>
      </w:r>
      <w:r w:rsidRPr="006737ED">
        <w:rPr>
          <w:color w:val="000000"/>
        </w:rPr>
        <w:t>) are successfully operated for several years in Switzerland (Schönenberger et al. 2014</w:t>
      </w:r>
      <w:r>
        <w:rPr>
          <w:color w:val="000000"/>
        </w:rPr>
        <w:t>)</w:t>
      </w:r>
      <w:r w:rsidRPr="006737ED">
        <w:rPr>
          <w:color w:val="000000"/>
        </w:rPr>
        <w:t xml:space="preserve">. </w:t>
      </w:r>
    </w:p>
    <w:p w:rsidR="00644249" w:rsidRPr="006737ED" w:rsidRDefault="00644249" w:rsidP="00644249">
      <w:pPr>
        <w:pStyle w:val="NormalWeb"/>
        <w:spacing w:before="0" w:after="0"/>
        <w:rPr>
          <w:lang w:val="en-US"/>
        </w:rPr>
      </w:pPr>
      <w:r w:rsidRPr="006737ED">
        <w:rPr>
          <w:color w:val="000000"/>
        </w:rPr>
        <w:t> </w:t>
      </w:r>
    </w:p>
    <w:p w:rsidR="00644249" w:rsidRPr="006737ED" w:rsidRDefault="00644249" w:rsidP="00644249">
      <w:pPr>
        <w:pStyle w:val="NormalWeb"/>
        <w:spacing w:before="0" w:after="0"/>
        <w:rPr>
          <w:lang w:val="nb-NO"/>
        </w:rPr>
      </w:pPr>
      <w:r w:rsidRPr="006737ED">
        <w:rPr>
          <w:color w:val="000000"/>
        </w:rPr>
        <w:t>The multi-ejector is an add-on enhancement technology increasing the energy efficiency at high ambient temperatures to a state of the art CO</w:t>
      </w:r>
      <w:r w:rsidRPr="006737ED">
        <w:rPr>
          <w:color w:val="000000"/>
          <w:sz w:val="20"/>
          <w:szCs w:val="20"/>
          <w:vertAlign w:val="subscript"/>
        </w:rPr>
        <w:t>2</w:t>
      </w:r>
      <w:r w:rsidRPr="006737ED">
        <w:rPr>
          <w:color w:val="000000"/>
        </w:rPr>
        <w:t xml:space="preserve"> booster system with parallel compression. The parallel compression booster system represents a development step towards higher energy efficiency compared to the traditional booster systems with flash gas by-pass. </w:t>
      </w:r>
    </w:p>
    <w:p w:rsidR="00644249" w:rsidRPr="006737ED" w:rsidRDefault="00644249" w:rsidP="00644249">
      <w:pPr>
        <w:pStyle w:val="NormalWeb"/>
        <w:spacing w:before="0" w:after="0"/>
        <w:rPr>
          <w:lang w:val="en-US"/>
        </w:rPr>
      </w:pPr>
      <w:r w:rsidRPr="006737ED">
        <w:rPr>
          <w:color w:val="000000"/>
        </w:rPr>
        <w:t>Based on the experimental investigations in laboratories and field tests of the CO</w:t>
      </w:r>
      <w:r w:rsidRPr="006737ED">
        <w:rPr>
          <w:color w:val="000000"/>
          <w:sz w:val="20"/>
          <w:szCs w:val="20"/>
          <w:vertAlign w:val="subscript"/>
        </w:rPr>
        <w:t>2</w:t>
      </w:r>
      <w:r w:rsidRPr="006737ED">
        <w:rPr>
          <w:color w:val="000000"/>
        </w:rPr>
        <w:t xml:space="preserve"> supermarket systems</w:t>
      </w:r>
      <w:r w:rsidR="00D1386C">
        <w:rPr>
          <w:color w:val="000000"/>
        </w:rPr>
        <w:t>,</w:t>
      </w:r>
      <w:r w:rsidRPr="006737ED">
        <w:rPr>
          <w:color w:val="000000"/>
        </w:rPr>
        <w:t xml:space="preserve"> a seasonal energy efficiency improvement of 10% is obtained between a CO</w:t>
      </w:r>
      <w:r w:rsidRPr="006737ED">
        <w:rPr>
          <w:color w:val="000000"/>
          <w:vertAlign w:val="subscript"/>
        </w:rPr>
        <w:t>2</w:t>
      </w:r>
      <w:r w:rsidRPr="006737ED">
        <w:rPr>
          <w:color w:val="000000"/>
        </w:rPr>
        <w:t xml:space="preserve"> booster and a similar system with parallel compression. At high ambient temperatures, another 20% improvement is achievable when adding the multi-ejector technology to a well-</w:t>
      </w:r>
      <w:r w:rsidRPr="006737ED">
        <w:rPr>
          <w:color w:val="000000"/>
        </w:rPr>
        <w:lastRenderedPageBreak/>
        <w:t>designed CO</w:t>
      </w:r>
      <w:r w:rsidRPr="006737ED">
        <w:rPr>
          <w:color w:val="000000"/>
          <w:sz w:val="20"/>
          <w:szCs w:val="20"/>
          <w:vertAlign w:val="subscript"/>
        </w:rPr>
        <w:t>2</w:t>
      </w:r>
      <w:r w:rsidRPr="006737ED">
        <w:rPr>
          <w:color w:val="000000"/>
        </w:rPr>
        <w:t xml:space="preserve"> parallel compression system. Global supermarket chains, operating CO</w:t>
      </w:r>
      <w:r w:rsidRPr="006737ED">
        <w:rPr>
          <w:color w:val="000000"/>
          <w:vertAlign w:val="subscript"/>
        </w:rPr>
        <w:t>2</w:t>
      </w:r>
      <w:r w:rsidRPr="006737ED">
        <w:rPr>
          <w:color w:val="000000"/>
        </w:rPr>
        <w:t xml:space="preserve"> ejector supported supermarkets in Spain</w:t>
      </w:r>
      <w:r>
        <w:rPr>
          <w:color w:val="000000"/>
        </w:rPr>
        <w:t>,</w:t>
      </w:r>
      <w:r w:rsidRPr="006737ED">
        <w:rPr>
          <w:color w:val="000000"/>
        </w:rPr>
        <w:t xml:space="preserve"> have measured an annual energy saving of 25% compared to the previous HFC unit installed prior </w:t>
      </w:r>
      <w:r>
        <w:rPr>
          <w:color w:val="000000"/>
        </w:rPr>
        <w:t xml:space="preserve">to </w:t>
      </w:r>
      <w:r w:rsidRPr="006737ED">
        <w:rPr>
          <w:color w:val="000000"/>
        </w:rPr>
        <w:t xml:space="preserve">the remodelling of the </w:t>
      </w:r>
      <w:r>
        <w:rPr>
          <w:color w:val="000000"/>
        </w:rPr>
        <w:t>supermarket</w:t>
      </w:r>
      <w:r w:rsidRPr="006737ED">
        <w:rPr>
          <w:color w:val="000000"/>
        </w:rPr>
        <w:t>.</w:t>
      </w:r>
    </w:p>
    <w:p w:rsidR="00644249" w:rsidRPr="006737ED" w:rsidRDefault="00644249" w:rsidP="00644249">
      <w:pPr>
        <w:pStyle w:val="NormalWeb"/>
        <w:spacing w:before="0" w:after="0"/>
        <w:rPr>
          <w:lang w:val="en-US"/>
        </w:rPr>
      </w:pPr>
      <w:r w:rsidRPr="006737ED">
        <w:rPr>
          <w:color w:val="000000"/>
        </w:rPr>
        <w:t> </w:t>
      </w:r>
    </w:p>
    <w:p w:rsidR="00644249" w:rsidRPr="006737ED" w:rsidRDefault="00644249" w:rsidP="00644249">
      <w:pPr>
        <w:pStyle w:val="NormalWeb"/>
        <w:spacing w:before="0" w:after="0"/>
        <w:rPr>
          <w:lang w:val="nb-NO"/>
        </w:rPr>
      </w:pPr>
      <w:r w:rsidRPr="006737ED">
        <w:rPr>
          <w:color w:val="000000"/>
        </w:rPr>
        <w:t>Utilization of heat recovery for space heating (where needed) and hot water production is an important part of the refrigeration systems and can be done with CO</w:t>
      </w:r>
      <w:r w:rsidRPr="006737ED">
        <w:rPr>
          <w:color w:val="000000"/>
          <w:vertAlign w:val="subscript"/>
        </w:rPr>
        <w:t>2</w:t>
      </w:r>
      <w:r w:rsidRPr="006737ED">
        <w:rPr>
          <w:color w:val="000000"/>
        </w:rPr>
        <w:t xml:space="preserve"> without </w:t>
      </w:r>
      <w:r>
        <w:rPr>
          <w:color w:val="000000"/>
        </w:rPr>
        <w:t xml:space="preserve">any </w:t>
      </w:r>
      <w:r w:rsidRPr="006737ED">
        <w:rPr>
          <w:color w:val="000000"/>
        </w:rPr>
        <w:t xml:space="preserve">large </w:t>
      </w:r>
      <w:r>
        <w:rPr>
          <w:color w:val="000000"/>
        </w:rPr>
        <w:t xml:space="preserve">extra </w:t>
      </w:r>
      <w:r w:rsidRPr="006737ED">
        <w:rPr>
          <w:color w:val="000000"/>
        </w:rPr>
        <w:t xml:space="preserve">effort. </w:t>
      </w:r>
    </w:p>
    <w:p w:rsidR="00644249" w:rsidRPr="006737ED" w:rsidRDefault="00644249" w:rsidP="00644249">
      <w:pPr>
        <w:pStyle w:val="NormalWeb"/>
        <w:spacing w:before="0" w:after="0"/>
        <w:rPr>
          <w:lang w:val="nb-NO"/>
        </w:rPr>
      </w:pPr>
      <w:r w:rsidRPr="006737ED">
        <w:rPr>
          <w:color w:val="000000"/>
        </w:rPr>
        <w:t> </w:t>
      </w:r>
    </w:p>
    <w:p w:rsidR="00644249" w:rsidRDefault="00644249" w:rsidP="00644249">
      <w:pPr>
        <w:pStyle w:val="NormalWeb"/>
        <w:spacing w:before="0" w:after="0"/>
        <w:rPr>
          <w:color w:val="000000"/>
        </w:rPr>
      </w:pPr>
      <w:r w:rsidRPr="006737ED">
        <w:rPr>
          <w:color w:val="000000"/>
        </w:rPr>
        <w:t>CO</w:t>
      </w:r>
      <w:r w:rsidRPr="006737ED">
        <w:rPr>
          <w:color w:val="000000"/>
          <w:vertAlign w:val="subscript"/>
        </w:rPr>
        <w:t>2</w:t>
      </w:r>
      <w:r w:rsidRPr="006737ED">
        <w:rPr>
          <w:color w:val="000000"/>
        </w:rPr>
        <w:t xml:space="preserve"> ejector technology is under development for other applications such as industrial or commercial cold storage refrigeration systems, transport refrigeration systems, industrial heat pump applications, chillers, etc.</w:t>
      </w:r>
    </w:p>
    <w:p w:rsidR="00644249" w:rsidRDefault="00644249" w:rsidP="00644249">
      <w:pPr>
        <w:pStyle w:val="NormalWeb"/>
        <w:spacing w:before="0" w:after="0"/>
        <w:rPr>
          <w:color w:val="000000"/>
        </w:rPr>
      </w:pPr>
    </w:p>
    <w:p w:rsidR="00644249" w:rsidRDefault="00644249" w:rsidP="00644249">
      <w:pPr>
        <w:pStyle w:val="Heading2"/>
      </w:pPr>
      <w:bookmarkStart w:id="80" w:name="_Toc451686543"/>
      <w:bookmarkStart w:id="81" w:name="_Toc452653376"/>
      <w:r>
        <w:t xml:space="preserve">3.11 </w:t>
      </w:r>
      <w:r>
        <w:tab/>
      </w:r>
      <w:r>
        <w:tab/>
        <w:t>Standards in the R/AC industry</w:t>
      </w:r>
      <w:bookmarkEnd w:id="80"/>
      <w:bookmarkEnd w:id="81"/>
    </w:p>
    <w:p w:rsidR="00644249" w:rsidRPr="005155C9" w:rsidRDefault="00644249" w:rsidP="00644249">
      <w:r w:rsidRPr="005155C9">
        <w:t>For the refrigeration, air-conditioning and heat-pump industry the two most important standardisation organisations for international standards are the International Organization for Standardi</w:t>
      </w:r>
      <w:r w:rsidR="00D1386C">
        <w:t>s</w:t>
      </w:r>
      <w:r w:rsidRPr="005155C9">
        <w:t>ation (ISO) and the International Electro</w:t>
      </w:r>
      <w:r w:rsidR="00A5426D">
        <w:t>-</w:t>
      </w:r>
      <w:r w:rsidRPr="005155C9">
        <w:t>technical Commission (IEC).</w:t>
      </w:r>
      <w:r w:rsidR="00A5426D">
        <w:t xml:space="preserve"> In some cases, standards from nationally based organisations will be more recognised in the field (e.g., ASHRAE, UL and SAE in the United States). In these cases, efforts may be made to harmonise with ISO and IEC standards as appropriate</w:t>
      </w:r>
      <w:r w:rsidR="00FE51D6">
        <w:t xml:space="preserve">. </w:t>
      </w:r>
    </w:p>
    <w:p w:rsidR="00644249" w:rsidRPr="005155C9" w:rsidRDefault="00644249" w:rsidP="00644249">
      <w:pPr>
        <w:rPr>
          <w:rFonts w:eastAsia="Times New Roman"/>
          <w:lang w:eastAsia="da-DK"/>
        </w:rPr>
      </w:pPr>
    </w:p>
    <w:p w:rsidR="00644249" w:rsidRPr="005155C9" w:rsidRDefault="00644249" w:rsidP="00644249">
      <w:pPr>
        <w:rPr>
          <w:rFonts w:eastAsia="Times New Roman"/>
          <w:lang w:eastAsia="da-DK"/>
        </w:rPr>
      </w:pPr>
      <w:r w:rsidRPr="005155C9">
        <w:rPr>
          <w:rFonts w:eastAsia="Times New Roman"/>
          <w:lang w:eastAsia="da-DK"/>
        </w:rPr>
        <w:t>ISO has published two standards of high relevance to the topic of refrigerants</w:t>
      </w:r>
      <w:r w:rsidR="00D1386C">
        <w:rPr>
          <w:rFonts w:eastAsia="Times New Roman"/>
          <w:lang w:eastAsia="da-DK"/>
        </w:rPr>
        <w:t>: (1)</w:t>
      </w:r>
      <w:r w:rsidRPr="005155C9">
        <w:rPr>
          <w:rFonts w:eastAsia="Times New Roman"/>
          <w:lang w:eastAsia="da-DK"/>
        </w:rPr>
        <w:t xml:space="preserve"> “ISO 817 Refrigerants </w:t>
      </w:r>
      <w:r>
        <w:rPr>
          <w:rFonts w:eastAsia="Times New Roman"/>
          <w:lang w:eastAsia="da-DK"/>
        </w:rPr>
        <w:t>-</w:t>
      </w:r>
      <w:r w:rsidRPr="005155C9">
        <w:rPr>
          <w:rFonts w:eastAsia="Times New Roman"/>
          <w:lang w:eastAsia="da-DK"/>
        </w:rPr>
        <w:t xml:space="preserve"> Designation and safety classification” and </w:t>
      </w:r>
      <w:r w:rsidR="00D1386C">
        <w:rPr>
          <w:rFonts w:eastAsia="Times New Roman"/>
          <w:lang w:eastAsia="da-DK"/>
        </w:rPr>
        <w:t xml:space="preserve">(2) </w:t>
      </w:r>
      <w:r w:rsidRPr="005155C9">
        <w:rPr>
          <w:rFonts w:eastAsia="Times New Roman"/>
          <w:lang w:eastAsia="da-DK"/>
        </w:rPr>
        <w:t>“ISO 5149 Refrigerating systems and heat pumps</w:t>
      </w:r>
      <w:r>
        <w:rPr>
          <w:rFonts w:eastAsia="Times New Roman"/>
          <w:lang w:eastAsia="da-DK"/>
        </w:rPr>
        <w:t xml:space="preserve"> - </w:t>
      </w:r>
      <w:r w:rsidRPr="005155C9">
        <w:rPr>
          <w:rFonts w:eastAsia="Times New Roman"/>
          <w:lang w:eastAsia="da-DK"/>
        </w:rPr>
        <w:t>Safety and environmental requirements”. ISO 5149 is the primary standard for larger systems. IEC has published relevant application specific standard</w:t>
      </w:r>
      <w:r w:rsidR="00D1386C">
        <w:rPr>
          <w:rFonts w:eastAsia="Times New Roman"/>
          <w:lang w:eastAsia="da-DK"/>
        </w:rPr>
        <w:t>s</w:t>
      </w:r>
      <w:r w:rsidRPr="005155C9">
        <w:rPr>
          <w:rFonts w:eastAsia="Times New Roman"/>
          <w:lang w:eastAsia="da-DK"/>
        </w:rPr>
        <w:t xml:space="preserve"> as parts of the standard “IEC 60335 Household and similar electrical appliances – Safety”, for instance “IEC 60335-2-40 Household and similar electrical appliances - Safety - Part 2-40: Particular requirements for electrical heat pumps, air-conditioners and dehumidifiers”. The IEC application standards are typically used for factory build systems, while the ISO 5149 is typically used for larger systems.</w:t>
      </w:r>
    </w:p>
    <w:p w:rsidR="00644249" w:rsidRPr="005155C9" w:rsidRDefault="00644249" w:rsidP="00644249">
      <w:pPr>
        <w:rPr>
          <w:rFonts w:eastAsia="Times New Roman"/>
          <w:lang w:eastAsia="da-DK"/>
        </w:rPr>
      </w:pPr>
    </w:p>
    <w:p w:rsidR="00644249" w:rsidRPr="005155C9" w:rsidRDefault="00644249" w:rsidP="00F26D73">
      <w:pPr>
        <w:spacing w:after="60"/>
        <w:rPr>
          <w:rFonts w:eastAsia="Times New Roman"/>
          <w:lang w:eastAsia="da-DK"/>
        </w:rPr>
      </w:pPr>
      <w:r w:rsidRPr="005155C9">
        <w:rPr>
          <w:rFonts w:eastAsia="Times New Roman"/>
          <w:lang w:eastAsia="da-DK"/>
        </w:rPr>
        <w:t>The safety standards covers topics such as:</w:t>
      </w:r>
    </w:p>
    <w:p w:rsidR="00644249" w:rsidRPr="005155C9" w:rsidRDefault="00644249" w:rsidP="00644249">
      <w:pPr>
        <w:numPr>
          <w:ilvl w:val="0"/>
          <w:numId w:val="45"/>
        </w:numPr>
        <w:spacing w:after="60" w:line="259" w:lineRule="auto"/>
        <w:ind w:left="714" w:hanging="357"/>
        <w:rPr>
          <w:rFonts w:eastAsia="Times New Roman"/>
          <w:lang w:eastAsia="da-DK"/>
        </w:rPr>
      </w:pPr>
      <w:r w:rsidRPr="005155C9">
        <w:rPr>
          <w:rFonts w:eastAsia="Times New Roman"/>
          <w:lang w:eastAsia="da-DK"/>
        </w:rPr>
        <w:t>Refrigerant safety: Definitions and charge limits and definitions.</w:t>
      </w:r>
    </w:p>
    <w:p w:rsidR="00644249" w:rsidRPr="005155C9" w:rsidRDefault="00644249" w:rsidP="00644249">
      <w:pPr>
        <w:numPr>
          <w:ilvl w:val="0"/>
          <w:numId w:val="45"/>
        </w:numPr>
        <w:spacing w:after="60" w:line="259" w:lineRule="auto"/>
        <w:ind w:left="714" w:hanging="357"/>
        <w:rPr>
          <w:rFonts w:eastAsia="Times New Roman"/>
          <w:lang w:eastAsia="da-DK"/>
        </w:rPr>
      </w:pPr>
      <w:r w:rsidRPr="005155C9">
        <w:rPr>
          <w:rFonts w:eastAsia="Times New Roman"/>
          <w:lang w:eastAsia="da-DK"/>
        </w:rPr>
        <w:t xml:space="preserve">Construction: Approval of components, piping, joints and assemblies, pressure testing and tightness requirements, safety valves and switches, setting and selection, </w:t>
      </w:r>
      <w:r w:rsidR="00FD6BC8">
        <w:rPr>
          <w:rFonts w:eastAsia="Times New Roman"/>
          <w:lang w:eastAsia="da-DK"/>
        </w:rPr>
        <w:t>a</w:t>
      </w:r>
      <w:r w:rsidRPr="005155C9">
        <w:rPr>
          <w:rFonts w:eastAsia="Times New Roman"/>
          <w:bCs/>
          <w:lang w:eastAsia="da-DK"/>
        </w:rPr>
        <w:t>voidance of ignition sources for flammables.</w:t>
      </w:r>
    </w:p>
    <w:p w:rsidR="00644249" w:rsidRPr="005155C9" w:rsidRDefault="00644249" w:rsidP="00644249">
      <w:pPr>
        <w:numPr>
          <w:ilvl w:val="0"/>
          <w:numId w:val="45"/>
        </w:numPr>
        <w:spacing w:after="60" w:line="259" w:lineRule="auto"/>
        <w:ind w:left="714" w:hanging="357"/>
        <w:rPr>
          <w:rFonts w:eastAsia="Times New Roman"/>
          <w:lang w:eastAsia="da-DK"/>
        </w:rPr>
      </w:pPr>
      <w:r w:rsidRPr="005155C9">
        <w:rPr>
          <w:rFonts w:eastAsia="Times New Roman"/>
          <w:lang w:eastAsia="da-DK"/>
        </w:rPr>
        <w:t>Installation: Machine rooms, other installation sites, v</w:t>
      </w:r>
      <w:r w:rsidRPr="005155C9">
        <w:rPr>
          <w:rFonts w:eastAsia="Times New Roman"/>
          <w:bCs/>
          <w:lang w:eastAsia="da-DK"/>
        </w:rPr>
        <w:t>entilation.</w:t>
      </w:r>
    </w:p>
    <w:p w:rsidR="00644249" w:rsidRPr="005155C9" w:rsidRDefault="00644249" w:rsidP="00644249">
      <w:pPr>
        <w:numPr>
          <w:ilvl w:val="0"/>
          <w:numId w:val="44"/>
        </w:numPr>
        <w:spacing w:after="160" w:line="259" w:lineRule="auto"/>
        <w:rPr>
          <w:rFonts w:eastAsia="Times New Roman"/>
          <w:lang w:eastAsia="da-DK"/>
        </w:rPr>
      </w:pPr>
      <w:r w:rsidRPr="005155C9">
        <w:rPr>
          <w:rFonts w:eastAsia="Times New Roman"/>
          <w:lang w:eastAsia="da-DK"/>
        </w:rPr>
        <w:t xml:space="preserve">Maintenance: </w:t>
      </w:r>
      <w:r w:rsidRPr="005155C9">
        <w:rPr>
          <w:rFonts w:eastAsia="Times New Roman"/>
          <w:bCs/>
          <w:lang w:eastAsia="da-DK"/>
        </w:rPr>
        <w:t>Safe practices</w:t>
      </w:r>
      <w:r w:rsidRPr="005155C9">
        <w:rPr>
          <w:rFonts w:eastAsia="Times New Roman"/>
          <w:lang w:eastAsia="da-DK"/>
        </w:rPr>
        <w:t>, avoid leaking refrigerants</w:t>
      </w:r>
    </w:p>
    <w:p w:rsidR="00644249" w:rsidRPr="005155C9" w:rsidRDefault="00644249" w:rsidP="00644249">
      <w:pPr>
        <w:rPr>
          <w:rFonts w:eastAsia="Times New Roman"/>
          <w:lang w:eastAsia="da-DK"/>
        </w:rPr>
      </w:pPr>
      <w:r w:rsidRPr="005155C9">
        <w:rPr>
          <w:rFonts w:eastAsia="Times New Roman"/>
          <w:lang w:eastAsia="da-DK"/>
        </w:rPr>
        <w:t>Some of these topics, especially the charge limits, have profound influence on which refrigerants are considered safe to use in what applications.</w:t>
      </w:r>
    </w:p>
    <w:p w:rsidR="00644249" w:rsidRPr="005155C9" w:rsidRDefault="00644249" w:rsidP="00644249">
      <w:pPr>
        <w:rPr>
          <w:rFonts w:eastAsia="Times New Roman"/>
          <w:lang w:eastAsia="da-DK"/>
        </w:rPr>
      </w:pPr>
    </w:p>
    <w:p w:rsidR="00644249" w:rsidRPr="005155C9" w:rsidRDefault="00644249" w:rsidP="00644249">
      <w:pPr>
        <w:rPr>
          <w:rFonts w:eastAsia="Times New Roman"/>
          <w:lang w:eastAsia="da-DK"/>
        </w:rPr>
      </w:pPr>
      <w:r w:rsidRPr="005155C9">
        <w:rPr>
          <w:rFonts w:eastAsia="Times New Roman"/>
          <w:lang w:eastAsia="da-DK"/>
        </w:rPr>
        <w:t>The text of a standard is produced by a Working Group, a sub-committee of the Technical Committee of either ISO or IEC responsible for all standards related to refrigerating systems safety. In shorthand this is ISO/TC86/SC1 or IEC/TC61D/SC61. The technical committee members are nominated representatives of national standards bodies (NSB) and the committee business is conducted by ballot, with votes cast by the head of delegation from each country on behalf of their NSB. In contrast</w:t>
      </w:r>
      <w:r w:rsidR="00D1386C">
        <w:rPr>
          <w:rFonts w:eastAsia="Times New Roman"/>
          <w:lang w:eastAsia="da-DK"/>
        </w:rPr>
        <w:t>,</w:t>
      </w:r>
      <w:r w:rsidRPr="005155C9">
        <w:rPr>
          <w:rFonts w:eastAsia="Times New Roman"/>
          <w:lang w:eastAsia="da-DK"/>
        </w:rPr>
        <w:t xml:space="preserve"> the members of a WG are nominated experts who do not represent a country or NSB and who do not need to be members of the TC. </w:t>
      </w:r>
      <w:r w:rsidRPr="005155C9">
        <w:t>The WG strives to meet face-to-face, and participation of experts in the standardisation working groups is typically sponsored by the employer of the expert.</w:t>
      </w:r>
      <w:r w:rsidRPr="005155C9">
        <w:rPr>
          <w:rFonts w:eastAsia="Times New Roman"/>
          <w:lang w:eastAsia="da-DK"/>
        </w:rPr>
        <w:t xml:space="preserve"> Membership of the Technical Committee is open to representatives of all member countries (ISO has 161 members, while IEC has 83 members and associated members). </w:t>
      </w:r>
    </w:p>
    <w:p w:rsidR="00644249" w:rsidRPr="005155C9" w:rsidRDefault="00644249" w:rsidP="00644249"/>
    <w:p w:rsidR="00644249" w:rsidRPr="005155C9" w:rsidRDefault="00644249" w:rsidP="00644249">
      <w:r w:rsidRPr="005155C9">
        <w:lastRenderedPageBreak/>
        <w:t>The international standards preparation processes comprise several defined stages requiring alternate input from NSBs and Working Group members. A committee draft is prepared by the WG and circulated to NSBs for comment. The comments received are resolved to the best of the WG’s ability in discussion, within a consensus process and the resultant draft standard is sent to the NSB’s for vote. The rules for voting are complex but clearly defined. The standard is only accepted if several criteria are met. In some cases, particularly if a large number of comments are received to the draft standard, the text will go back to the working group for review and will then be recirculated as a second draft. Once the text has been refined</w:t>
      </w:r>
      <w:r w:rsidR="00D1386C">
        <w:t>,</w:t>
      </w:r>
      <w:r w:rsidRPr="005155C9">
        <w:t xml:space="preserve"> the standard will be reissued as a final draft for vote by the NSB’s. If the votes meet the criteria then the text will proceed to publication. </w:t>
      </w:r>
    </w:p>
    <w:p w:rsidR="00644249" w:rsidRDefault="00644249" w:rsidP="00644249">
      <w:pPr>
        <w:pStyle w:val="NormalWeb"/>
        <w:spacing w:before="0" w:after="0"/>
        <w:rPr>
          <w:color w:val="000000"/>
        </w:rPr>
      </w:pPr>
    </w:p>
    <w:p w:rsidR="00644249" w:rsidRDefault="00644249" w:rsidP="00644249">
      <w:pPr>
        <w:pStyle w:val="Heading2"/>
      </w:pPr>
      <w:bookmarkStart w:id="82" w:name="_Toc451686544"/>
      <w:bookmarkStart w:id="83" w:name="_Toc452653377"/>
      <w:r>
        <w:t xml:space="preserve">3.12 </w:t>
      </w:r>
      <w:r>
        <w:tab/>
      </w:r>
      <w:r>
        <w:tab/>
        <w:t>References</w:t>
      </w:r>
      <w:bookmarkEnd w:id="82"/>
      <w:bookmarkEnd w:id="83"/>
    </w:p>
    <w:p w:rsidR="005C7790" w:rsidRDefault="00644249" w:rsidP="005C7790">
      <w:pPr>
        <w:pStyle w:val="NormalWeb"/>
        <w:ind w:left="2608" w:hanging="2608"/>
        <w:rPr>
          <w:color w:val="000000"/>
        </w:rPr>
      </w:pPr>
      <w:r w:rsidRPr="00754CB0">
        <w:rPr>
          <w:color w:val="000000"/>
        </w:rPr>
        <w:t>Elbel and Lawrence</w:t>
      </w:r>
      <w:r>
        <w:rPr>
          <w:color w:val="000000"/>
        </w:rPr>
        <w:t xml:space="preserve">, </w:t>
      </w:r>
      <w:r w:rsidRPr="00754CB0">
        <w:rPr>
          <w:color w:val="000000"/>
        </w:rPr>
        <w:t>2016</w:t>
      </w:r>
      <w:r w:rsidR="005C7790">
        <w:rPr>
          <w:color w:val="000000"/>
        </w:rPr>
        <w:t xml:space="preserve">     Review of recent developments in advanced ejector technology. 2016. Int. J. Refrigeration, Volume 62, February 2016, pp. 1-18, ISSN 0140-7007</w:t>
      </w:r>
      <w:r w:rsidR="005C7790" w:rsidRPr="00754CB0">
        <w:rPr>
          <w:color w:val="000000"/>
        </w:rPr>
        <w:t xml:space="preserve"> </w:t>
      </w:r>
    </w:p>
    <w:p w:rsidR="008B08AE" w:rsidRPr="00754CB0" w:rsidRDefault="008B08AE" w:rsidP="008B08AE">
      <w:pPr>
        <w:pStyle w:val="NormalWeb"/>
        <w:ind w:left="2608" w:hanging="2608"/>
        <w:rPr>
          <w:lang w:val="en-US"/>
        </w:rPr>
      </w:pPr>
      <w:r w:rsidRPr="00754CB0">
        <w:rPr>
          <w:color w:val="000000"/>
        </w:rPr>
        <w:t>Schönenberger et al.</w:t>
      </w:r>
      <w:r>
        <w:rPr>
          <w:color w:val="000000"/>
        </w:rPr>
        <w:t>,</w:t>
      </w:r>
      <w:r w:rsidRPr="00754CB0">
        <w:rPr>
          <w:color w:val="000000"/>
        </w:rPr>
        <w:t xml:space="preserve"> 2014</w:t>
      </w:r>
      <w:r>
        <w:rPr>
          <w:color w:val="000000"/>
        </w:rPr>
        <w:tab/>
      </w:r>
      <w:r w:rsidRPr="00754CB0">
        <w:rPr>
          <w:color w:val="000000"/>
        </w:rPr>
        <w:t>Experience with ejectors implemented in a R</w:t>
      </w:r>
      <w:r>
        <w:rPr>
          <w:color w:val="000000"/>
        </w:rPr>
        <w:t>-</w:t>
      </w:r>
      <w:r w:rsidRPr="00754CB0">
        <w:rPr>
          <w:color w:val="000000"/>
        </w:rPr>
        <w:t>744 booster system operating in a supermarket</w:t>
      </w:r>
      <w:r>
        <w:rPr>
          <w:color w:val="000000"/>
        </w:rPr>
        <w:t>. 2014. 1</w:t>
      </w:r>
      <w:r w:rsidRPr="00754CB0">
        <w:rPr>
          <w:color w:val="000000"/>
        </w:rPr>
        <w:t>1</w:t>
      </w:r>
      <w:r>
        <w:rPr>
          <w:color w:val="000000"/>
        </w:rPr>
        <w:t xml:space="preserve">th </w:t>
      </w:r>
      <w:r w:rsidRPr="00754CB0">
        <w:rPr>
          <w:color w:val="000000"/>
        </w:rPr>
        <w:t>IIR GL Conference</w:t>
      </w:r>
      <w:r>
        <w:rPr>
          <w:color w:val="000000"/>
        </w:rPr>
        <w:t xml:space="preserve">, </w:t>
      </w:r>
      <w:r w:rsidRPr="00754CB0">
        <w:rPr>
          <w:color w:val="000000"/>
        </w:rPr>
        <w:t>Hangzhou</w:t>
      </w:r>
      <w:r>
        <w:rPr>
          <w:color w:val="000000"/>
        </w:rPr>
        <w:t>,</w:t>
      </w:r>
      <w:r w:rsidRPr="00754CB0">
        <w:rPr>
          <w:color w:val="000000"/>
        </w:rPr>
        <w:t xml:space="preserve"> China</w:t>
      </w:r>
      <w:r>
        <w:rPr>
          <w:color w:val="000000"/>
        </w:rPr>
        <w:t xml:space="preserve"> (</w:t>
      </w:r>
      <w:r w:rsidRPr="00754CB0">
        <w:rPr>
          <w:color w:val="000000"/>
        </w:rPr>
        <w:t xml:space="preserve">paper 19) </w:t>
      </w:r>
    </w:p>
    <w:p w:rsidR="00644249" w:rsidRPr="00F72D7F" w:rsidRDefault="00644249" w:rsidP="00644249">
      <w:pPr>
        <w:ind w:left="2608" w:hanging="2608"/>
        <w:rPr>
          <w:szCs w:val="22"/>
        </w:rPr>
      </w:pPr>
      <w:r w:rsidRPr="00F72D7F">
        <w:rPr>
          <w:szCs w:val="22"/>
        </w:rPr>
        <w:t xml:space="preserve">U.S. DoE, 2014 </w:t>
      </w:r>
      <w:r w:rsidRPr="00F72D7F">
        <w:rPr>
          <w:szCs w:val="22"/>
        </w:rPr>
        <w:tab/>
        <w:t>Energy Savings Potential and RD&amp;D Opportunities for Non-Vapor-Compression HVAC Technologies</w:t>
      </w:r>
    </w:p>
    <w:bookmarkEnd w:id="61"/>
    <w:p w:rsidR="00CE01BD" w:rsidRPr="00CE01BD" w:rsidRDefault="00CE01BD" w:rsidP="00CE01BD">
      <w:pPr>
        <w:rPr>
          <w:lang w:val="en-US"/>
        </w:rPr>
      </w:pPr>
    </w:p>
    <w:p w:rsidR="001F455C" w:rsidRDefault="001F455C" w:rsidP="00DD0DB7">
      <w:pPr>
        <w:pStyle w:val="Heading1"/>
        <w:jc w:val="left"/>
      </w:pPr>
    </w:p>
    <w:p w:rsidR="001F455C" w:rsidRDefault="001F455C" w:rsidP="00DD0DB7">
      <w:pPr>
        <w:pStyle w:val="Heading1"/>
        <w:jc w:val="left"/>
      </w:pPr>
    </w:p>
    <w:p w:rsidR="006718A1" w:rsidRDefault="006718A1" w:rsidP="005155C9">
      <w:pPr>
        <w:pStyle w:val="Heading1"/>
        <w:sectPr w:rsidR="006718A1" w:rsidSect="00C32CE4">
          <w:headerReference w:type="even" r:id="rId32"/>
          <w:type w:val="oddPage"/>
          <w:pgSz w:w="11900" w:h="16840"/>
          <w:pgMar w:top="1440" w:right="1800" w:bottom="1440" w:left="1800" w:header="708" w:footer="708" w:gutter="0"/>
          <w:cols w:space="708"/>
          <w:docGrid w:linePitch="360"/>
        </w:sectPr>
      </w:pPr>
    </w:p>
    <w:p w:rsidR="005155C9" w:rsidRDefault="005155C9" w:rsidP="005155C9">
      <w:pPr>
        <w:pStyle w:val="Heading1"/>
        <w:rPr>
          <w:lang w:eastAsia="en-GB"/>
        </w:rPr>
      </w:pPr>
      <w:bookmarkStart w:id="84" w:name="_Toc452653378"/>
      <w:r>
        <w:lastRenderedPageBreak/>
        <w:t>4</w:t>
      </w:r>
      <w:r w:rsidRPr="005155C9">
        <w:rPr>
          <w:lang w:eastAsia="en-GB"/>
        </w:rPr>
        <w:t xml:space="preserve"> </w:t>
      </w:r>
      <w:r>
        <w:rPr>
          <w:lang w:eastAsia="en-GB"/>
        </w:rPr>
        <w:tab/>
        <w:t>A</w:t>
      </w:r>
      <w:r w:rsidRPr="003A33EC">
        <w:rPr>
          <w:lang w:eastAsia="en-GB"/>
        </w:rPr>
        <w:t>lternatives to refrigeration systems on fishing vessels</w:t>
      </w:r>
      <w:bookmarkEnd w:id="84"/>
    </w:p>
    <w:p w:rsidR="001C7359" w:rsidRPr="00DF1E74" w:rsidRDefault="001C7359" w:rsidP="001C7359">
      <w:pPr>
        <w:rPr>
          <w:color w:val="7030A0"/>
          <w:lang w:eastAsia="en-GB"/>
        </w:rPr>
      </w:pPr>
      <w:r w:rsidRPr="00DF1E74">
        <w:rPr>
          <w:color w:val="7030A0"/>
          <w:lang w:eastAsia="en-GB"/>
        </w:rPr>
        <w:t>This new chapter responds to the decision request to provide new and update</w:t>
      </w:r>
      <w:r w:rsidR="00CF596A">
        <w:rPr>
          <w:color w:val="7030A0"/>
          <w:lang w:eastAsia="en-GB"/>
        </w:rPr>
        <w:t>d</w:t>
      </w:r>
      <w:r w:rsidRPr="00DF1E74">
        <w:rPr>
          <w:color w:val="7030A0"/>
          <w:lang w:eastAsia="en-GB"/>
        </w:rPr>
        <w:t xml:space="preserve"> information, as this is available, related to “the availability of alternatives for replacement and retrofit of refrigeration systems in</w:t>
      </w:r>
      <w:r w:rsidR="009C2ACF">
        <w:rPr>
          <w:color w:val="7030A0"/>
          <w:lang w:eastAsia="en-GB"/>
        </w:rPr>
        <w:t xml:space="preserve"> </w:t>
      </w:r>
      <w:r w:rsidRPr="00DF1E74">
        <w:rPr>
          <w:color w:val="7030A0"/>
          <w:lang w:eastAsia="en-GB"/>
        </w:rPr>
        <w:t>fishing vessels, including in small island countries.” Related to this chapter, Annex 2 contains additional background information on refrigeration systems in the fishing industry</w:t>
      </w:r>
      <w:r w:rsidR="003A4F2C" w:rsidRPr="00DF1E74">
        <w:rPr>
          <w:color w:val="7030A0"/>
          <w:lang w:eastAsia="en-GB"/>
        </w:rPr>
        <w:t xml:space="preserve"> </w:t>
      </w:r>
      <w:r w:rsidR="003A4F2C" w:rsidRPr="00DF1E74">
        <w:rPr>
          <w:rFonts w:eastAsia="FrutigerLTStd-Roman"/>
          <w:color w:val="7030A0"/>
          <w:szCs w:val="22"/>
          <w:lang w:eastAsia="en-GB"/>
        </w:rPr>
        <w:t>(</w:t>
      </w:r>
      <w:r w:rsidR="003A4F2C" w:rsidRPr="00DF1E74">
        <w:rPr>
          <w:color w:val="7030A0"/>
          <w:szCs w:val="22"/>
          <w:lang w:eastAsia="en-GB"/>
        </w:rPr>
        <w:t>with a special focus on the situation of the Pacific Islands region</w:t>
      </w:r>
      <w:r w:rsidR="003A4F2C" w:rsidRPr="00DF1E74">
        <w:rPr>
          <w:rFonts w:eastAsia="FrutigerLTStd-Roman"/>
          <w:color w:val="7030A0"/>
          <w:szCs w:val="22"/>
          <w:lang w:eastAsia="en-GB"/>
        </w:rPr>
        <w:t>)</w:t>
      </w:r>
      <w:r w:rsidRPr="00DF1E74">
        <w:rPr>
          <w:color w:val="7030A0"/>
          <w:lang w:eastAsia="en-GB"/>
        </w:rPr>
        <w:t>.</w:t>
      </w:r>
    </w:p>
    <w:p w:rsidR="001C7359" w:rsidRPr="001C7359" w:rsidRDefault="001C7359" w:rsidP="001C7359">
      <w:pPr>
        <w:rPr>
          <w:lang w:eastAsia="en-GB"/>
        </w:rPr>
      </w:pPr>
    </w:p>
    <w:p w:rsidR="00146B22" w:rsidRPr="00C61B4A" w:rsidRDefault="00146B22" w:rsidP="00723652">
      <w:pPr>
        <w:pStyle w:val="Heading2"/>
        <w:tabs>
          <w:tab w:val="clear" w:pos="578"/>
        </w:tabs>
        <w:spacing w:line="240" w:lineRule="auto"/>
        <w:ind w:left="1080" w:hanging="1080"/>
      </w:pPr>
      <w:bookmarkStart w:id="85" w:name="_Toc451252549"/>
      <w:bookmarkStart w:id="86" w:name="_Toc452653379"/>
      <w:r>
        <w:t>4</w:t>
      </w:r>
      <w:r w:rsidRPr="00C61B4A">
        <w:t>.1</w:t>
      </w:r>
      <w:r>
        <w:tab/>
        <w:t>Introduction</w:t>
      </w:r>
      <w:bookmarkEnd w:id="85"/>
      <w:bookmarkEnd w:id="86"/>
    </w:p>
    <w:p w:rsidR="00146B22" w:rsidRDefault="00146B22" w:rsidP="00146B22">
      <w:pPr>
        <w:spacing w:after="120"/>
        <w:rPr>
          <w:szCs w:val="22"/>
        </w:rPr>
      </w:pPr>
      <w:r>
        <w:rPr>
          <w:rFonts w:eastAsia="FrutigerLTStd-Roman"/>
          <w:szCs w:val="22"/>
          <w:lang w:eastAsia="en-GB"/>
        </w:rPr>
        <w:t xml:space="preserve">In order to respond to the following question asked within the </w:t>
      </w:r>
      <w:r w:rsidRPr="005B13F6">
        <w:rPr>
          <w:szCs w:val="22"/>
        </w:rPr>
        <w:t>Decision XXVII/4 of the Twenty-seventh Meeting of the Parties</w:t>
      </w:r>
      <w:r>
        <w:rPr>
          <w:szCs w:val="22"/>
        </w:rPr>
        <w:t>:</w:t>
      </w:r>
    </w:p>
    <w:p w:rsidR="00146B22" w:rsidRPr="00E67A7E" w:rsidRDefault="00146B22" w:rsidP="00146B22">
      <w:pPr>
        <w:tabs>
          <w:tab w:val="left" w:pos="1247"/>
          <w:tab w:val="left" w:pos="1814"/>
          <w:tab w:val="left" w:pos="2381"/>
          <w:tab w:val="left" w:pos="2948"/>
          <w:tab w:val="left" w:pos="3515"/>
        </w:tabs>
        <w:spacing w:after="120"/>
        <w:ind w:left="567" w:hanging="567"/>
        <w:rPr>
          <w:i/>
          <w:szCs w:val="22"/>
          <w:lang w:eastAsia="en-AU"/>
        </w:rPr>
      </w:pPr>
      <w:r w:rsidRPr="00E67A7E">
        <w:rPr>
          <w:i/>
          <w:szCs w:val="22"/>
          <w:lang w:eastAsia="en-AU"/>
        </w:rPr>
        <w:t>(a)</w:t>
      </w:r>
      <w:r w:rsidRPr="00E67A7E">
        <w:rPr>
          <w:i/>
          <w:szCs w:val="22"/>
          <w:lang w:eastAsia="en-AU"/>
        </w:rPr>
        <w:tab/>
        <w:t xml:space="preserve">Update, where necessary, and provide new information on alternatives to ozone-depleting substances, including not-in-kind alternatives, based on </w:t>
      </w:r>
      <w:r w:rsidRPr="00E67A7E">
        <w:rPr>
          <w:i/>
          <w:szCs w:val="22"/>
        </w:rPr>
        <w:t>the</w:t>
      </w:r>
      <w:r w:rsidRPr="00E67A7E">
        <w:rPr>
          <w:i/>
          <w:szCs w:val="22"/>
          <w:lang w:eastAsia="en-AU"/>
        </w:rPr>
        <w:t xml:space="preserve"> guidance and assessment criteria provided in subparagraph 1 (a) of decision XXVI/9, and taking into account the most recent findings on the suitability of alternatives under high-ambient temperatures, highlighting in particular</w:t>
      </w:r>
      <w:r>
        <w:rPr>
          <w:i/>
          <w:szCs w:val="22"/>
          <w:lang w:eastAsia="en-AU"/>
        </w:rPr>
        <w:t xml:space="preserve"> </w:t>
      </w:r>
      <w:r w:rsidRPr="00E67A7E">
        <w:rPr>
          <w:i/>
          <w:szCs w:val="22"/>
          <w:lang w:eastAsia="en-AU"/>
        </w:rPr>
        <w:t xml:space="preserve">: </w:t>
      </w:r>
    </w:p>
    <w:p w:rsidR="00146B22" w:rsidRPr="00E67A7E" w:rsidRDefault="00146B22" w:rsidP="00146B22">
      <w:pPr>
        <w:tabs>
          <w:tab w:val="left" w:pos="1814"/>
          <w:tab w:val="left" w:pos="2381"/>
          <w:tab w:val="left" w:pos="2694"/>
          <w:tab w:val="left" w:pos="2948"/>
          <w:tab w:val="left" w:pos="3515"/>
        </w:tabs>
        <w:spacing w:after="120"/>
        <w:ind w:left="993" w:hanging="426"/>
        <w:rPr>
          <w:i/>
          <w:szCs w:val="22"/>
          <w:lang w:eastAsia="en-AU"/>
        </w:rPr>
      </w:pPr>
      <w:r w:rsidRPr="00D51802">
        <w:rPr>
          <w:i/>
          <w:szCs w:val="22"/>
          <w:lang w:eastAsia="en-AU"/>
        </w:rPr>
        <w:t>(ii)</w:t>
      </w:r>
      <w:r w:rsidRPr="00E67A7E">
        <w:rPr>
          <w:i/>
          <w:szCs w:val="22"/>
          <w:lang w:eastAsia="en-AU"/>
        </w:rPr>
        <w:tab/>
        <w:t>the availability of alternatives for replacement and retro</w:t>
      </w:r>
      <w:r>
        <w:rPr>
          <w:i/>
          <w:szCs w:val="22"/>
          <w:lang w:eastAsia="en-AU"/>
        </w:rPr>
        <w:t>fit of refrigeration systems in</w:t>
      </w:r>
      <w:r w:rsidRPr="00E67A7E">
        <w:rPr>
          <w:i/>
          <w:szCs w:val="22"/>
          <w:lang w:eastAsia="en-AU"/>
        </w:rPr>
        <w:t xml:space="preserve"> fishing vessels, including in small island countries;</w:t>
      </w:r>
    </w:p>
    <w:p w:rsidR="00146B22" w:rsidRDefault="00146B22" w:rsidP="00146B22">
      <w:pPr>
        <w:spacing w:after="120"/>
        <w:rPr>
          <w:szCs w:val="22"/>
        </w:rPr>
      </w:pPr>
      <w:r>
        <w:rPr>
          <w:szCs w:val="22"/>
        </w:rPr>
        <w:t xml:space="preserve">a Working Group was established within the </w:t>
      </w:r>
      <w:r w:rsidR="006C2B2F">
        <w:rPr>
          <w:szCs w:val="22"/>
        </w:rPr>
        <w:t xml:space="preserve">TEAP Decision </w:t>
      </w:r>
      <w:r>
        <w:rPr>
          <w:szCs w:val="22"/>
        </w:rPr>
        <w:t>XXVII/4 Task Force.</w:t>
      </w:r>
    </w:p>
    <w:p w:rsidR="00146B22" w:rsidRDefault="00146B22" w:rsidP="00146B22">
      <w:pPr>
        <w:spacing w:after="120"/>
        <w:rPr>
          <w:szCs w:val="22"/>
        </w:rPr>
      </w:pPr>
      <w:r>
        <w:rPr>
          <w:szCs w:val="22"/>
        </w:rPr>
        <w:t>As their first action</w:t>
      </w:r>
      <w:r w:rsidR="00CF596A">
        <w:rPr>
          <w:szCs w:val="22"/>
        </w:rPr>
        <w:t>,</w:t>
      </w:r>
      <w:r>
        <w:rPr>
          <w:szCs w:val="22"/>
        </w:rPr>
        <w:t xml:space="preserve"> the members of the Working Group, aiming at clarifying the problems being experienced by the fishing industry, </w:t>
      </w:r>
      <w:r>
        <w:rPr>
          <w:rFonts w:eastAsia="FrutigerLTStd-Roman"/>
          <w:szCs w:val="22"/>
          <w:lang w:eastAsia="en-GB"/>
        </w:rPr>
        <w:t xml:space="preserve">compiled a </w:t>
      </w:r>
      <w:r w:rsidR="001C7359">
        <w:rPr>
          <w:rFonts w:eastAsia="FrutigerLTStd-Roman"/>
          <w:szCs w:val="22"/>
          <w:lang w:eastAsia="en-GB"/>
        </w:rPr>
        <w:t>q</w:t>
      </w:r>
      <w:r w:rsidRPr="003A33EC">
        <w:rPr>
          <w:rFonts w:eastAsia="FrutigerLTStd-Roman"/>
          <w:szCs w:val="22"/>
          <w:lang w:eastAsia="en-GB"/>
        </w:rPr>
        <w:t xml:space="preserve">uestionnaire to be circulated to </w:t>
      </w:r>
      <w:r>
        <w:rPr>
          <w:rFonts w:eastAsia="FrutigerLTStd-Roman"/>
          <w:szCs w:val="22"/>
          <w:lang w:eastAsia="en-GB"/>
        </w:rPr>
        <w:t>Parties</w:t>
      </w:r>
      <w:r w:rsidRPr="003A33EC">
        <w:rPr>
          <w:rFonts w:eastAsia="FrutigerLTStd-Roman"/>
          <w:szCs w:val="22"/>
          <w:lang w:eastAsia="en-GB"/>
        </w:rPr>
        <w:t xml:space="preserve"> in order that an understanding of their needs could be ascertained. </w:t>
      </w:r>
      <w:r w:rsidR="001C7359">
        <w:rPr>
          <w:rFonts w:eastAsia="FrutigerLTStd-Roman"/>
          <w:szCs w:val="22"/>
          <w:lang w:eastAsia="en-GB"/>
        </w:rPr>
        <w:t xml:space="preserve">Responses to </w:t>
      </w:r>
      <w:r w:rsidRPr="003A33EC">
        <w:rPr>
          <w:rFonts w:eastAsia="FrutigerLTStd-Roman"/>
          <w:szCs w:val="22"/>
          <w:lang w:eastAsia="en-GB"/>
        </w:rPr>
        <w:t xml:space="preserve">the questionnaire </w:t>
      </w:r>
      <w:r w:rsidR="003A4F2C">
        <w:rPr>
          <w:rFonts w:eastAsia="FrutigerLTStd-Roman"/>
          <w:szCs w:val="22"/>
          <w:lang w:eastAsia="en-GB"/>
        </w:rPr>
        <w:t xml:space="preserve">as well as further </w:t>
      </w:r>
      <w:r w:rsidRPr="003A33EC">
        <w:rPr>
          <w:rFonts w:eastAsia="FrutigerLTStd-Roman"/>
          <w:szCs w:val="22"/>
          <w:lang w:eastAsia="en-GB"/>
        </w:rPr>
        <w:t xml:space="preserve">investigation of worldwide fishing practices, </w:t>
      </w:r>
      <w:r>
        <w:rPr>
          <w:rFonts w:eastAsia="FrutigerLTStd-Roman"/>
          <w:szCs w:val="22"/>
          <w:lang w:eastAsia="en-GB"/>
        </w:rPr>
        <w:t xml:space="preserve">refrigeration </w:t>
      </w:r>
      <w:r w:rsidRPr="003A33EC">
        <w:rPr>
          <w:rFonts w:eastAsia="FrutigerLTStd-Roman"/>
          <w:szCs w:val="22"/>
          <w:lang w:eastAsia="en-GB"/>
        </w:rPr>
        <w:t>systems and techniques employed</w:t>
      </w:r>
      <w:r>
        <w:rPr>
          <w:rFonts w:eastAsia="FrutigerLTStd-Roman"/>
          <w:szCs w:val="22"/>
          <w:lang w:eastAsia="en-GB"/>
        </w:rPr>
        <w:t xml:space="preserve"> </w:t>
      </w:r>
      <w:r w:rsidR="003A4F2C">
        <w:rPr>
          <w:rFonts w:eastAsia="FrutigerLTStd-Roman"/>
          <w:szCs w:val="22"/>
          <w:lang w:eastAsia="en-GB"/>
        </w:rPr>
        <w:t>were considered by the Working Group in the development of this chapter</w:t>
      </w:r>
      <w:r w:rsidR="00E434EF">
        <w:rPr>
          <w:rFonts w:eastAsia="FrutigerLTStd-Roman"/>
          <w:szCs w:val="22"/>
          <w:lang w:eastAsia="en-GB"/>
        </w:rPr>
        <w:t xml:space="preserve"> (see Annex 2 for a broader description)</w:t>
      </w:r>
      <w:r w:rsidR="003A4F2C">
        <w:rPr>
          <w:rFonts w:eastAsia="FrutigerLTStd-Roman"/>
          <w:szCs w:val="22"/>
          <w:lang w:eastAsia="en-GB"/>
        </w:rPr>
        <w:t>.</w:t>
      </w:r>
    </w:p>
    <w:p w:rsidR="00146B22" w:rsidRPr="00977814" w:rsidRDefault="00146B22" w:rsidP="00723652">
      <w:pPr>
        <w:pStyle w:val="Heading2"/>
        <w:tabs>
          <w:tab w:val="clear" w:pos="578"/>
          <w:tab w:val="num" w:pos="630"/>
        </w:tabs>
        <w:spacing w:line="240" w:lineRule="auto"/>
        <w:ind w:left="1080" w:hanging="1080"/>
      </w:pPr>
      <w:bookmarkStart w:id="87" w:name="_Toc451252550"/>
      <w:bookmarkStart w:id="88" w:name="_Toc452653380"/>
      <w:r>
        <w:t>4.2</w:t>
      </w:r>
      <w:r w:rsidRPr="00977814">
        <w:tab/>
      </w:r>
      <w:bookmarkEnd w:id="87"/>
      <w:r w:rsidR="00A62903">
        <w:tab/>
      </w:r>
      <w:r w:rsidR="003A4F2C">
        <w:t>Considerations and options for replacement and retrofit of refrigeration systems in fishing vessels</w:t>
      </w:r>
      <w:bookmarkEnd w:id="88"/>
    </w:p>
    <w:p w:rsidR="00146B22" w:rsidRDefault="00146B22" w:rsidP="00146B22">
      <w:pPr>
        <w:spacing w:after="120"/>
        <w:rPr>
          <w:szCs w:val="22"/>
          <w:lang w:eastAsia="en-GB"/>
        </w:rPr>
      </w:pPr>
      <w:r>
        <w:rPr>
          <w:szCs w:val="22"/>
          <w:lang w:eastAsia="en-GB"/>
        </w:rPr>
        <w:t>As a summary of the analysis performed on the world fishing industry, with a particular attention on the situation</w:t>
      </w:r>
      <w:r w:rsidR="003A4F2C" w:rsidRPr="003A4F2C">
        <w:rPr>
          <w:szCs w:val="22"/>
          <w:lang w:eastAsia="en-GB"/>
        </w:rPr>
        <w:t xml:space="preserve"> </w:t>
      </w:r>
      <w:r w:rsidR="003A4F2C">
        <w:rPr>
          <w:szCs w:val="22"/>
          <w:lang w:eastAsia="en-GB"/>
        </w:rPr>
        <w:t>in the Pacific Islands region</w:t>
      </w:r>
      <w:r>
        <w:rPr>
          <w:szCs w:val="22"/>
          <w:lang w:eastAsia="en-GB"/>
        </w:rPr>
        <w:t xml:space="preserve">, the following </w:t>
      </w:r>
      <w:r w:rsidR="003A4F2C">
        <w:rPr>
          <w:szCs w:val="22"/>
          <w:lang w:eastAsia="en-GB"/>
        </w:rPr>
        <w:t xml:space="preserve">are important </w:t>
      </w:r>
      <w:r>
        <w:rPr>
          <w:szCs w:val="22"/>
          <w:lang w:eastAsia="en-GB"/>
        </w:rPr>
        <w:t>considerations</w:t>
      </w:r>
      <w:r w:rsidR="003A4F2C">
        <w:rPr>
          <w:szCs w:val="22"/>
          <w:lang w:eastAsia="en-GB"/>
        </w:rPr>
        <w:t xml:space="preserve"> </w:t>
      </w:r>
      <w:r w:rsidR="006C2B2F">
        <w:rPr>
          <w:szCs w:val="22"/>
          <w:lang w:eastAsia="en-GB"/>
        </w:rPr>
        <w:t>of the</w:t>
      </w:r>
      <w:r>
        <w:rPr>
          <w:szCs w:val="22"/>
          <w:lang w:eastAsia="en-GB"/>
        </w:rPr>
        <w:t xml:space="preserve"> </w:t>
      </w:r>
      <w:r w:rsidR="003A4F2C">
        <w:rPr>
          <w:szCs w:val="22"/>
          <w:lang w:eastAsia="en-GB"/>
        </w:rPr>
        <w:t>options for replacement and retrofit of refrigeration systems on fishing vessels</w:t>
      </w:r>
      <w:r>
        <w:rPr>
          <w:szCs w:val="22"/>
          <w:lang w:eastAsia="en-GB"/>
        </w:rPr>
        <w:t>:</w:t>
      </w:r>
    </w:p>
    <w:p w:rsidR="006C2B2F" w:rsidRDefault="00146B22" w:rsidP="008A52E4">
      <w:pPr>
        <w:numPr>
          <w:ilvl w:val="0"/>
          <w:numId w:val="57"/>
        </w:numPr>
        <w:spacing w:after="40"/>
        <w:ind w:left="714" w:hanging="357"/>
        <w:rPr>
          <w:szCs w:val="22"/>
          <w:lang w:eastAsia="en-GB"/>
        </w:rPr>
      </w:pPr>
      <w:r>
        <w:rPr>
          <w:szCs w:val="22"/>
          <w:lang w:eastAsia="en-GB"/>
        </w:rPr>
        <w:t xml:space="preserve">70% of the global fishing fleet continues to use HCFC-22 as its main refrigerant. Therefore the main challenge for the industry is to find a feasible transition from HCFC-22 to low-GWP alternatives. </w:t>
      </w:r>
    </w:p>
    <w:p w:rsidR="00146B22" w:rsidRDefault="00146B22" w:rsidP="008A52E4">
      <w:pPr>
        <w:numPr>
          <w:ilvl w:val="0"/>
          <w:numId w:val="57"/>
        </w:numPr>
        <w:spacing w:after="40"/>
        <w:ind w:left="714" w:hanging="357"/>
        <w:rPr>
          <w:szCs w:val="22"/>
          <w:lang w:eastAsia="en-GB"/>
        </w:rPr>
      </w:pPr>
      <w:r>
        <w:rPr>
          <w:szCs w:val="22"/>
          <w:lang w:eastAsia="en-GB"/>
        </w:rPr>
        <w:t xml:space="preserve">Considering that 70% of the global fishing fleet is based in Asia/Pacific, this challenge becomes even more important for Asia/Pacific </w:t>
      </w:r>
      <w:r w:rsidR="008B08AE">
        <w:rPr>
          <w:szCs w:val="22"/>
          <w:lang w:eastAsia="en-GB"/>
        </w:rPr>
        <w:t>Parties</w:t>
      </w:r>
      <w:r>
        <w:rPr>
          <w:szCs w:val="22"/>
          <w:lang w:eastAsia="en-GB"/>
        </w:rPr>
        <w:t xml:space="preserve"> and specifically for </w:t>
      </w:r>
      <w:r w:rsidR="003A4F2C">
        <w:rPr>
          <w:szCs w:val="22"/>
          <w:lang w:eastAsia="en-GB"/>
        </w:rPr>
        <w:t xml:space="preserve">the </w:t>
      </w:r>
      <w:r>
        <w:rPr>
          <w:szCs w:val="22"/>
          <w:lang w:eastAsia="en-GB"/>
        </w:rPr>
        <w:t xml:space="preserve">Pacific </w:t>
      </w:r>
      <w:r w:rsidR="003A4F2C">
        <w:rPr>
          <w:szCs w:val="22"/>
          <w:lang w:eastAsia="en-GB"/>
        </w:rPr>
        <w:t>I</w:t>
      </w:r>
      <w:r>
        <w:rPr>
          <w:szCs w:val="22"/>
          <w:lang w:eastAsia="en-GB"/>
        </w:rPr>
        <w:t>sland</w:t>
      </w:r>
      <w:r w:rsidR="003A4F2C">
        <w:rPr>
          <w:szCs w:val="22"/>
          <w:lang w:eastAsia="en-GB"/>
        </w:rPr>
        <w:t xml:space="preserve"> region</w:t>
      </w:r>
      <w:r>
        <w:rPr>
          <w:szCs w:val="22"/>
          <w:lang w:eastAsia="en-GB"/>
        </w:rPr>
        <w:t>, whose economy is heavily dependent on their fishing industry</w:t>
      </w:r>
      <w:r w:rsidR="009540ED">
        <w:rPr>
          <w:szCs w:val="22"/>
          <w:lang w:eastAsia="en-GB"/>
        </w:rPr>
        <w:t>.</w:t>
      </w:r>
    </w:p>
    <w:p w:rsidR="003A4F2C" w:rsidRPr="000F658F" w:rsidRDefault="00146B22" w:rsidP="008A52E4">
      <w:pPr>
        <w:numPr>
          <w:ilvl w:val="0"/>
          <w:numId w:val="57"/>
        </w:numPr>
        <w:spacing w:after="40"/>
        <w:ind w:left="714" w:hanging="357"/>
        <w:rPr>
          <w:szCs w:val="22"/>
          <w:lang w:eastAsia="en-GB"/>
        </w:rPr>
      </w:pPr>
      <w:r>
        <w:rPr>
          <w:szCs w:val="22"/>
          <w:lang w:eastAsia="en-GB"/>
        </w:rPr>
        <w:t>Based on several parameters (</w:t>
      </w:r>
      <w:r w:rsidRPr="00C02213">
        <w:rPr>
          <w:rFonts w:eastAsia="Times New Roman"/>
          <w:color w:val="auto"/>
          <w:szCs w:val="22"/>
          <w:lang w:eastAsia="it-IT"/>
        </w:rPr>
        <w:t>age of vessels, availability of alternatives, technical and economic feasibility of conversions, meeting regulatory requirements of product importe</w:t>
      </w:r>
      <w:r>
        <w:rPr>
          <w:rFonts w:eastAsia="Times New Roman"/>
          <w:color w:val="auto"/>
          <w:szCs w:val="22"/>
          <w:lang w:eastAsia="it-IT"/>
        </w:rPr>
        <w:t xml:space="preserve">r), the transition from HCFC-22 to low-GWP alternatives can be implemented following </w:t>
      </w:r>
      <w:r w:rsidR="003A4F2C">
        <w:rPr>
          <w:rFonts w:eastAsia="Times New Roman"/>
          <w:color w:val="auto"/>
          <w:szCs w:val="22"/>
          <w:lang w:eastAsia="it-IT"/>
        </w:rPr>
        <w:t xml:space="preserve">four </w:t>
      </w:r>
      <w:r>
        <w:rPr>
          <w:rFonts w:eastAsia="Times New Roman"/>
          <w:color w:val="auto"/>
          <w:szCs w:val="22"/>
          <w:lang w:eastAsia="it-IT"/>
        </w:rPr>
        <w:t>different options</w:t>
      </w:r>
      <w:r w:rsidR="000F658F">
        <w:rPr>
          <w:rFonts w:eastAsia="Times New Roman"/>
          <w:color w:val="auto"/>
          <w:szCs w:val="22"/>
          <w:lang w:eastAsia="it-IT"/>
        </w:rPr>
        <w:t xml:space="preserve"> as further discussed in the following sections</w:t>
      </w:r>
      <w:r w:rsidR="00B67E4B">
        <w:rPr>
          <w:rFonts w:eastAsia="Times New Roman"/>
          <w:color w:val="auto"/>
          <w:szCs w:val="22"/>
          <w:lang w:eastAsia="it-IT"/>
        </w:rPr>
        <w:t xml:space="preserve">, with rating provided according to the degree of financial, technical and regulatory risk, </w:t>
      </w:r>
      <w:r w:rsidR="000F658F">
        <w:rPr>
          <w:rFonts w:eastAsia="Times New Roman"/>
          <w:color w:val="auto"/>
          <w:szCs w:val="22"/>
          <w:lang w:eastAsia="it-IT"/>
        </w:rPr>
        <w:t>and in Annex 2</w:t>
      </w:r>
      <w:r w:rsidR="003A4F2C">
        <w:rPr>
          <w:rFonts w:eastAsia="Times New Roman"/>
          <w:color w:val="auto"/>
          <w:szCs w:val="22"/>
          <w:lang w:eastAsia="it-IT"/>
        </w:rPr>
        <w:t>:</w:t>
      </w:r>
    </w:p>
    <w:p w:rsidR="000F658F" w:rsidRPr="000F658F" w:rsidRDefault="003A4F2C" w:rsidP="000F658F">
      <w:pPr>
        <w:numPr>
          <w:ilvl w:val="1"/>
          <w:numId w:val="57"/>
        </w:numPr>
        <w:spacing w:after="120"/>
        <w:rPr>
          <w:szCs w:val="22"/>
          <w:lang w:eastAsia="en-GB"/>
        </w:rPr>
      </w:pPr>
      <w:r>
        <w:rPr>
          <w:rFonts w:eastAsia="Times New Roman"/>
          <w:color w:val="auto"/>
          <w:szCs w:val="22"/>
          <w:lang w:eastAsia="it-IT"/>
        </w:rPr>
        <w:t>Option 1 – Non-</w:t>
      </w:r>
      <w:r w:rsidR="000F658F">
        <w:rPr>
          <w:rFonts w:eastAsia="Times New Roman"/>
          <w:color w:val="auto"/>
          <w:szCs w:val="22"/>
          <w:lang w:eastAsia="it-IT"/>
        </w:rPr>
        <w:t>halocarbon refrigerants</w:t>
      </w:r>
    </w:p>
    <w:p w:rsidR="000F658F" w:rsidRPr="000F658F" w:rsidRDefault="000F658F" w:rsidP="000F658F">
      <w:pPr>
        <w:numPr>
          <w:ilvl w:val="1"/>
          <w:numId w:val="57"/>
        </w:numPr>
        <w:spacing w:after="120"/>
        <w:rPr>
          <w:szCs w:val="22"/>
          <w:lang w:eastAsia="en-GB"/>
        </w:rPr>
      </w:pPr>
      <w:r>
        <w:rPr>
          <w:rFonts w:eastAsia="Times New Roman"/>
          <w:color w:val="auto"/>
          <w:szCs w:val="22"/>
          <w:lang w:eastAsia="it-IT"/>
        </w:rPr>
        <w:t>Option 2 -  Refrigerant replacement with plant adjustments</w:t>
      </w:r>
    </w:p>
    <w:p w:rsidR="000F658F" w:rsidRPr="000F658F" w:rsidRDefault="000F658F" w:rsidP="000F658F">
      <w:pPr>
        <w:numPr>
          <w:ilvl w:val="1"/>
          <w:numId w:val="57"/>
        </w:numPr>
        <w:spacing w:after="120"/>
        <w:rPr>
          <w:szCs w:val="22"/>
          <w:lang w:eastAsia="en-GB"/>
        </w:rPr>
      </w:pPr>
      <w:r>
        <w:rPr>
          <w:rFonts w:eastAsia="Times New Roman"/>
          <w:color w:val="auto"/>
          <w:szCs w:val="22"/>
          <w:lang w:eastAsia="it-IT"/>
        </w:rPr>
        <w:t xml:space="preserve">Option </w:t>
      </w:r>
      <w:r w:rsidR="00E434EF">
        <w:rPr>
          <w:rFonts w:eastAsia="Times New Roman"/>
          <w:color w:val="auto"/>
          <w:szCs w:val="22"/>
          <w:lang w:eastAsia="it-IT"/>
        </w:rPr>
        <w:t>3</w:t>
      </w:r>
      <w:r>
        <w:rPr>
          <w:rFonts w:eastAsia="Times New Roman"/>
          <w:color w:val="auto"/>
          <w:szCs w:val="22"/>
          <w:lang w:eastAsia="it-IT"/>
        </w:rPr>
        <w:t xml:space="preserve"> – Refrigerant drop-in</w:t>
      </w:r>
    </w:p>
    <w:p w:rsidR="00146B22" w:rsidRDefault="000F658F" w:rsidP="000F658F">
      <w:pPr>
        <w:numPr>
          <w:ilvl w:val="1"/>
          <w:numId w:val="57"/>
        </w:numPr>
        <w:spacing w:after="120"/>
        <w:rPr>
          <w:szCs w:val="22"/>
          <w:lang w:eastAsia="en-GB"/>
        </w:rPr>
      </w:pPr>
      <w:r>
        <w:rPr>
          <w:rFonts w:eastAsia="Times New Roman"/>
          <w:color w:val="auto"/>
          <w:szCs w:val="22"/>
          <w:lang w:eastAsia="it-IT"/>
        </w:rPr>
        <w:t>Option 4 -  Maintaining HCFC-22</w:t>
      </w:r>
    </w:p>
    <w:p w:rsidR="003A4F2C" w:rsidRDefault="003A4F2C" w:rsidP="000F658F">
      <w:pPr>
        <w:spacing w:after="120"/>
        <w:ind w:left="360"/>
        <w:rPr>
          <w:i/>
          <w:szCs w:val="22"/>
          <w:lang w:eastAsia="en-GB"/>
        </w:rPr>
      </w:pPr>
      <w:r>
        <w:rPr>
          <w:i/>
          <w:szCs w:val="22"/>
          <w:lang w:eastAsia="en-GB"/>
        </w:rPr>
        <w:lastRenderedPageBreak/>
        <w:t xml:space="preserve">4.2.1 </w:t>
      </w:r>
      <w:r w:rsidR="00146B22" w:rsidRPr="00E11535">
        <w:rPr>
          <w:i/>
          <w:szCs w:val="22"/>
          <w:lang w:eastAsia="en-GB"/>
        </w:rPr>
        <w:t>Option 1 – N</w:t>
      </w:r>
      <w:r w:rsidR="00146B22">
        <w:rPr>
          <w:i/>
          <w:szCs w:val="22"/>
          <w:lang w:eastAsia="en-GB"/>
        </w:rPr>
        <w:t>on-halocarbon</w:t>
      </w:r>
      <w:r w:rsidR="00146B22" w:rsidRPr="00E11535">
        <w:rPr>
          <w:i/>
          <w:szCs w:val="22"/>
          <w:lang w:eastAsia="en-GB"/>
        </w:rPr>
        <w:t xml:space="preserve"> refrigerants</w:t>
      </w:r>
      <w:r w:rsidR="00E434EF">
        <w:rPr>
          <w:i/>
          <w:szCs w:val="22"/>
          <w:lang w:eastAsia="en-GB"/>
        </w:rPr>
        <w:t xml:space="preserve"> (R-717 and R-744)</w:t>
      </w:r>
    </w:p>
    <w:p w:rsidR="00E434EF" w:rsidRPr="003A4F2C" w:rsidRDefault="00146B22" w:rsidP="00C9149E">
      <w:pPr>
        <w:spacing w:after="240"/>
        <w:rPr>
          <w:i/>
          <w:szCs w:val="22"/>
          <w:lang w:eastAsia="en-GB"/>
        </w:rPr>
      </w:pPr>
      <w:r>
        <w:rPr>
          <w:szCs w:val="22"/>
          <w:lang w:eastAsia="en-GB"/>
        </w:rPr>
        <w:t>Current technology present several interesting options, catering for almost all the industry requirements</w:t>
      </w:r>
      <w:r w:rsidR="00F97D6D">
        <w:rPr>
          <w:szCs w:val="22"/>
          <w:lang w:eastAsia="en-GB"/>
        </w:rPr>
        <w:t>. Systems</w:t>
      </w:r>
      <w:r>
        <w:rPr>
          <w:szCs w:val="22"/>
          <w:lang w:eastAsia="en-GB"/>
        </w:rPr>
        <w:t xml:space="preserve"> with ammonia (R-717), carbon dioxide (R-744) or ammonia/carbon dioxide cascade cover almost all the possible applications. Due to the costs and modifications involved when transiting from an HCFC-22 plant to a non-halocarbon refrigerant, </w:t>
      </w:r>
      <w:r w:rsidR="00E434EF">
        <w:rPr>
          <w:szCs w:val="22"/>
          <w:lang w:eastAsia="en-GB"/>
        </w:rPr>
        <w:t xml:space="preserve">R-717 options </w:t>
      </w:r>
      <w:r>
        <w:rPr>
          <w:szCs w:val="22"/>
          <w:lang w:eastAsia="en-GB"/>
        </w:rPr>
        <w:t>cannot be considered a viable solution for the replacement or retrofit of refrigeration plants on existing vessels</w:t>
      </w:r>
      <w:r w:rsidR="00F97D6D">
        <w:rPr>
          <w:szCs w:val="22"/>
          <w:lang w:eastAsia="en-GB"/>
        </w:rPr>
        <w:t xml:space="preserve"> considered here</w:t>
      </w:r>
      <w:r>
        <w:rPr>
          <w:szCs w:val="22"/>
          <w:lang w:eastAsia="en-GB"/>
        </w:rPr>
        <w:t xml:space="preserve">. </w:t>
      </w:r>
      <w:r w:rsidR="00E434EF">
        <w:rPr>
          <w:szCs w:val="22"/>
          <w:lang w:eastAsia="en-GB"/>
        </w:rPr>
        <w:t>However, their choice is probably the right one when new ships are considered or when rebuilding can be accepted. Running an ammonia plant requires skilled personnel. R-744 option can be a good solution also for existing vessels as demonstrated by recent experiences. Cost of systems for conversion to R-717 and R-744 options compete with HFC systems in the markets where they so far have been sold.</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E434EF" w:rsidRPr="00A729D3" w:rsidTr="00E434EF">
        <w:trPr>
          <w:trHeight w:val="227"/>
          <w:jc w:val="center"/>
        </w:trPr>
        <w:tc>
          <w:tcPr>
            <w:tcW w:w="2155" w:type="dxa"/>
            <w:vMerge w:val="restart"/>
            <w:tcBorders>
              <w:top w:val="single" w:sz="18" w:space="0" w:color="auto"/>
              <w:bottom w:val="single" w:sz="4" w:space="0" w:color="auto"/>
            </w:tcBorders>
            <w:shd w:val="clear" w:color="auto" w:fill="auto"/>
          </w:tcPr>
          <w:p w:rsidR="00E434EF" w:rsidRPr="00A729D3" w:rsidRDefault="00E434EF"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E434EF" w:rsidRPr="00A729D3" w:rsidRDefault="00E434EF" w:rsidP="00791040">
            <w:pPr>
              <w:jc w:val="center"/>
              <w:rPr>
                <w:szCs w:val="22"/>
                <w:lang w:eastAsia="en-GB"/>
              </w:rPr>
            </w:pPr>
            <w:r w:rsidRPr="00A729D3">
              <w:rPr>
                <w:szCs w:val="22"/>
                <w:lang w:eastAsia="en-GB"/>
              </w:rPr>
              <w:t>Financial considerations</w:t>
            </w:r>
          </w:p>
        </w:tc>
        <w:tc>
          <w:tcPr>
            <w:tcW w:w="2098" w:type="dxa"/>
            <w:vMerge w:val="restart"/>
            <w:tcBorders>
              <w:top w:val="single" w:sz="18" w:space="0" w:color="auto"/>
              <w:bottom w:val="single" w:sz="18" w:space="0" w:color="auto"/>
            </w:tcBorders>
            <w:shd w:val="clear" w:color="auto" w:fill="auto"/>
          </w:tcPr>
          <w:p w:rsidR="00E434EF" w:rsidRPr="00A729D3" w:rsidRDefault="00E434EF" w:rsidP="00791040">
            <w:pPr>
              <w:jc w:val="center"/>
              <w:rPr>
                <w:szCs w:val="22"/>
                <w:lang w:eastAsia="en-GB"/>
              </w:rPr>
            </w:pPr>
            <w:r w:rsidRPr="00A729D3">
              <w:rPr>
                <w:szCs w:val="22"/>
                <w:lang w:eastAsia="en-GB"/>
              </w:rPr>
              <w:t>Technology risk</w:t>
            </w:r>
          </w:p>
          <w:p w:rsidR="00E434EF" w:rsidRPr="00A729D3" w:rsidRDefault="00E434EF" w:rsidP="00791040">
            <w:pPr>
              <w:jc w:val="center"/>
              <w:rPr>
                <w:szCs w:val="22"/>
                <w:lang w:eastAsia="en-GB"/>
              </w:rPr>
            </w:pPr>
            <w:r w:rsidRPr="00A729D3">
              <w:rPr>
                <w:szCs w:val="22"/>
                <w:lang w:eastAsia="en-GB"/>
              </w:rPr>
              <w:t>(Complexity and performance)</w:t>
            </w:r>
          </w:p>
        </w:tc>
        <w:tc>
          <w:tcPr>
            <w:tcW w:w="1985" w:type="dxa"/>
            <w:vMerge w:val="restart"/>
            <w:tcBorders>
              <w:top w:val="single" w:sz="18" w:space="0" w:color="auto"/>
              <w:bottom w:val="single" w:sz="18" w:space="0" w:color="auto"/>
            </w:tcBorders>
            <w:shd w:val="clear" w:color="auto" w:fill="auto"/>
          </w:tcPr>
          <w:p w:rsidR="00E434EF" w:rsidRPr="00A729D3" w:rsidRDefault="00E434EF" w:rsidP="00791040">
            <w:pPr>
              <w:jc w:val="center"/>
              <w:rPr>
                <w:szCs w:val="22"/>
                <w:lang w:eastAsia="en-GB"/>
              </w:rPr>
            </w:pPr>
            <w:r w:rsidRPr="00A729D3">
              <w:rPr>
                <w:szCs w:val="22"/>
                <w:lang w:eastAsia="en-GB"/>
              </w:rPr>
              <w:t>Regulatory and environmental risk</w:t>
            </w:r>
          </w:p>
          <w:p w:rsidR="00E434EF" w:rsidRPr="00A729D3" w:rsidRDefault="00E434EF" w:rsidP="00791040">
            <w:pPr>
              <w:jc w:val="center"/>
              <w:rPr>
                <w:szCs w:val="22"/>
                <w:lang w:eastAsia="en-GB"/>
              </w:rPr>
            </w:pPr>
            <w:r w:rsidRPr="00A729D3">
              <w:rPr>
                <w:szCs w:val="22"/>
                <w:lang w:eastAsia="en-GB"/>
              </w:rPr>
              <w:t>(10 years horizon)</w:t>
            </w:r>
          </w:p>
        </w:tc>
      </w:tr>
      <w:tr w:rsidR="00E434EF" w:rsidRPr="00A729D3" w:rsidTr="00E434EF">
        <w:trPr>
          <w:trHeight w:val="517"/>
          <w:jc w:val="center"/>
        </w:trPr>
        <w:tc>
          <w:tcPr>
            <w:tcW w:w="2155" w:type="dxa"/>
            <w:vMerge/>
            <w:tcBorders>
              <w:top w:val="single" w:sz="4" w:space="0" w:color="auto"/>
              <w:bottom w:val="single" w:sz="18" w:space="0" w:color="auto"/>
            </w:tcBorders>
            <w:shd w:val="clear" w:color="auto" w:fill="auto"/>
          </w:tcPr>
          <w:p w:rsidR="00E434EF" w:rsidRPr="00A729D3" w:rsidRDefault="00E434EF" w:rsidP="00791040">
            <w:pPr>
              <w:rPr>
                <w:szCs w:val="22"/>
                <w:lang w:eastAsia="en-GB"/>
              </w:rPr>
            </w:pPr>
          </w:p>
        </w:tc>
        <w:tc>
          <w:tcPr>
            <w:tcW w:w="1418" w:type="dxa"/>
            <w:tcBorders>
              <w:top w:val="single" w:sz="4" w:space="0" w:color="auto"/>
              <w:bottom w:val="single" w:sz="18" w:space="0" w:color="auto"/>
            </w:tcBorders>
            <w:shd w:val="clear" w:color="auto" w:fill="auto"/>
            <w:vAlign w:val="center"/>
          </w:tcPr>
          <w:p w:rsidR="00E434EF" w:rsidRPr="00A729D3" w:rsidRDefault="00E434EF"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18" w:space="0" w:color="auto"/>
            </w:tcBorders>
            <w:shd w:val="clear" w:color="auto" w:fill="auto"/>
            <w:vAlign w:val="center"/>
          </w:tcPr>
          <w:p w:rsidR="00E434EF" w:rsidRPr="00A729D3" w:rsidRDefault="00E434EF" w:rsidP="00791040">
            <w:pPr>
              <w:jc w:val="center"/>
              <w:rPr>
                <w:szCs w:val="22"/>
                <w:lang w:eastAsia="en-GB"/>
              </w:rPr>
            </w:pPr>
            <w:r w:rsidRPr="00A729D3">
              <w:rPr>
                <w:szCs w:val="22"/>
                <w:lang w:eastAsia="en-GB"/>
              </w:rPr>
              <w:t>Operating</w:t>
            </w:r>
          </w:p>
          <w:p w:rsidR="00E434EF" w:rsidRPr="00A729D3" w:rsidRDefault="00E434EF" w:rsidP="00791040">
            <w:pPr>
              <w:jc w:val="center"/>
              <w:rPr>
                <w:szCs w:val="22"/>
                <w:lang w:eastAsia="en-GB"/>
              </w:rPr>
            </w:pPr>
            <w:r w:rsidRPr="00A729D3">
              <w:rPr>
                <w:szCs w:val="22"/>
                <w:lang w:eastAsia="en-GB"/>
              </w:rPr>
              <w:t>expenses</w:t>
            </w:r>
          </w:p>
        </w:tc>
        <w:tc>
          <w:tcPr>
            <w:tcW w:w="2098" w:type="dxa"/>
            <w:vMerge/>
            <w:tcBorders>
              <w:top w:val="single" w:sz="4" w:space="0" w:color="auto"/>
              <w:bottom w:val="single" w:sz="18" w:space="0" w:color="auto"/>
            </w:tcBorders>
            <w:shd w:val="clear" w:color="auto" w:fill="auto"/>
          </w:tcPr>
          <w:p w:rsidR="00E434EF" w:rsidRPr="00A729D3" w:rsidRDefault="00E434EF" w:rsidP="00791040">
            <w:pPr>
              <w:jc w:val="center"/>
              <w:rPr>
                <w:szCs w:val="22"/>
                <w:lang w:eastAsia="en-GB"/>
              </w:rPr>
            </w:pPr>
          </w:p>
        </w:tc>
        <w:tc>
          <w:tcPr>
            <w:tcW w:w="1985" w:type="dxa"/>
            <w:vMerge/>
            <w:tcBorders>
              <w:top w:val="single" w:sz="4" w:space="0" w:color="auto"/>
              <w:bottom w:val="single" w:sz="18" w:space="0" w:color="auto"/>
            </w:tcBorders>
            <w:shd w:val="clear" w:color="auto" w:fill="auto"/>
          </w:tcPr>
          <w:p w:rsidR="00E434EF" w:rsidRPr="00A729D3" w:rsidRDefault="00E434EF" w:rsidP="00791040">
            <w:pPr>
              <w:jc w:val="center"/>
              <w:rPr>
                <w:szCs w:val="22"/>
                <w:lang w:eastAsia="en-GB"/>
              </w:rPr>
            </w:pPr>
          </w:p>
        </w:tc>
      </w:tr>
      <w:tr w:rsidR="00E434EF" w:rsidRPr="00A729D3" w:rsidTr="00E434EF">
        <w:trPr>
          <w:jc w:val="center"/>
        </w:trPr>
        <w:tc>
          <w:tcPr>
            <w:tcW w:w="9074" w:type="dxa"/>
            <w:gridSpan w:val="5"/>
            <w:tcBorders>
              <w:top w:val="single" w:sz="4" w:space="0" w:color="auto"/>
              <w:bottom w:val="single" w:sz="4" w:space="0" w:color="auto"/>
            </w:tcBorders>
            <w:shd w:val="clear" w:color="auto" w:fill="auto"/>
          </w:tcPr>
          <w:p w:rsidR="00E434EF" w:rsidRDefault="00E434EF" w:rsidP="00791040">
            <w:pPr>
              <w:rPr>
                <w:szCs w:val="22"/>
                <w:lang w:eastAsia="en-GB"/>
              </w:rPr>
            </w:pPr>
            <w:r w:rsidRPr="00A729D3">
              <w:rPr>
                <w:b/>
                <w:i/>
                <w:szCs w:val="22"/>
                <w:lang w:eastAsia="en-GB"/>
              </w:rPr>
              <w:t>Option 1 – N</w:t>
            </w:r>
            <w:r>
              <w:rPr>
                <w:b/>
                <w:i/>
                <w:szCs w:val="22"/>
                <w:lang w:eastAsia="en-GB"/>
              </w:rPr>
              <w:t>on-halocarbon</w:t>
            </w:r>
            <w:r w:rsidRPr="00A729D3">
              <w:rPr>
                <w:b/>
                <w:i/>
                <w:szCs w:val="22"/>
                <w:lang w:eastAsia="en-GB"/>
              </w:rPr>
              <w:t xml:space="preserve"> refrigerants</w:t>
            </w:r>
          </w:p>
        </w:tc>
      </w:tr>
      <w:tr w:rsidR="00E434EF" w:rsidRPr="00A729D3" w:rsidTr="00E434EF">
        <w:trPr>
          <w:jc w:val="center"/>
        </w:trPr>
        <w:tc>
          <w:tcPr>
            <w:tcW w:w="2155" w:type="dxa"/>
            <w:vMerge w:val="restart"/>
            <w:tcBorders>
              <w:top w:val="single" w:sz="4" w:space="0" w:color="auto"/>
            </w:tcBorders>
            <w:shd w:val="clear" w:color="auto" w:fill="auto"/>
          </w:tcPr>
          <w:p w:rsidR="00E434EF" w:rsidRPr="00A729D3" w:rsidRDefault="00E434EF" w:rsidP="00791040">
            <w:pPr>
              <w:rPr>
                <w:szCs w:val="22"/>
                <w:lang w:eastAsia="en-GB"/>
              </w:rPr>
            </w:pPr>
            <w:r w:rsidRPr="00A729D3">
              <w:rPr>
                <w:szCs w:val="22"/>
                <w:lang w:eastAsia="en-GB"/>
              </w:rPr>
              <w:t>R-717</w:t>
            </w:r>
            <w:r>
              <w:rPr>
                <w:szCs w:val="22"/>
                <w:lang w:eastAsia="en-GB"/>
              </w:rPr>
              <w:t xml:space="preserve"> </w:t>
            </w:r>
            <w:r w:rsidRPr="00A729D3">
              <w:rPr>
                <w:szCs w:val="22"/>
                <w:lang w:eastAsia="en-GB"/>
              </w:rPr>
              <w:t>system</w:t>
            </w:r>
          </w:p>
        </w:tc>
        <w:tc>
          <w:tcPr>
            <w:tcW w:w="1418" w:type="dxa"/>
            <w:tcBorders>
              <w:top w:val="single" w:sz="4" w:space="0" w:color="auto"/>
              <w:bottom w:val="single" w:sz="4" w:space="0" w:color="auto"/>
            </w:tcBorders>
            <w:shd w:val="clear" w:color="auto" w:fill="FFC000"/>
            <w:vAlign w:val="center"/>
          </w:tcPr>
          <w:p w:rsidR="00E434EF" w:rsidRPr="00A729D3" w:rsidRDefault="00E434EF" w:rsidP="00791040">
            <w:pPr>
              <w:jc w:val="center"/>
              <w:rPr>
                <w:szCs w:val="22"/>
                <w:lang w:eastAsia="en-GB"/>
              </w:rPr>
            </w:pPr>
            <w:r>
              <w:rPr>
                <w:szCs w:val="22"/>
                <w:lang w:eastAsia="en-GB"/>
              </w:rPr>
              <w:t>Medium</w:t>
            </w:r>
          </w:p>
        </w:tc>
        <w:tc>
          <w:tcPr>
            <w:tcW w:w="1418" w:type="dxa"/>
            <w:tcBorders>
              <w:top w:val="single" w:sz="4" w:space="0" w:color="auto"/>
              <w:bottom w:val="single" w:sz="4" w:space="0" w:color="auto"/>
            </w:tcBorders>
            <w:shd w:val="clear" w:color="auto" w:fill="FFC000"/>
            <w:vAlign w:val="center"/>
          </w:tcPr>
          <w:p w:rsidR="00E434EF" w:rsidRPr="00A729D3" w:rsidRDefault="00E434EF" w:rsidP="00791040">
            <w:pPr>
              <w:jc w:val="center"/>
              <w:rPr>
                <w:szCs w:val="22"/>
                <w:lang w:eastAsia="en-GB"/>
              </w:rPr>
            </w:pPr>
            <w:r>
              <w:rPr>
                <w:szCs w:val="22"/>
                <w:lang w:eastAsia="en-GB"/>
              </w:rPr>
              <w:t>Medium</w:t>
            </w:r>
          </w:p>
        </w:tc>
        <w:tc>
          <w:tcPr>
            <w:tcW w:w="2098" w:type="dxa"/>
            <w:tcBorders>
              <w:top w:val="single" w:sz="4" w:space="0" w:color="auto"/>
              <w:bottom w:val="single" w:sz="4" w:space="0" w:color="auto"/>
            </w:tcBorders>
            <w:shd w:val="clear" w:color="auto" w:fill="FF0000"/>
            <w:vAlign w:val="center"/>
          </w:tcPr>
          <w:p w:rsidR="00E434EF" w:rsidRPr="00A729D3" w:rsidRDefault="00E434EF" w:rsidP="00791040">
            <w:pPr>
              <w:jc w:val="center"/>
              <w:rPr>
                <w:szCs w:val="22"/>
                <w:lang w:eastAsia="en-GB"/>
              </w:rPr>
            </w:pPr>
            <w:r>
              <w:rPr>
                <w:szCs w:val="22"/>
                <w:lang w:eastAsia="en-GB"/>
              </w:rPr>
              <w:t>High</w:t>
            </w:r>
          </w:p>
        </w:tc>
        <w:tc>
          <w:tcPr>
            <w:tcW w:w="1985" w:type="dxa"/>
            <w:tcBorders>
              <w:top w:val="single" w:sz="4" w:space="0" w:color="auto"/>
              <w:bottom w:val="single" w:sz="4" w:space="0" w:color="auto"/>
            </w:tcBorders>
            <w:shd w:val="clear" w:color="auto" w:fill="92D050"/>
            <w:vAlign w:val="center"/>
          </w:tcPr>
          <w:p w:rsidR="00E434EF" w:rsidRPr="00A729D3" w:rsidRDefault="00E434EF" w:rsidP="00791040">
            <w:pPr>
              <w:jc w:val="center"/>
              <w:rPr>
                <w:szCs w:val="22"/>
                <w:lang w:eastAsia="en-GB"/>
              </w:rPr>
            </w:pPr>
            <w:r>
              <w:rPr>
                <w:szCs w:val="22"/>
                <w:lang w:eastAsia="en-GB"/>
              </w:rPr>
              <w:t>Nil</w:t>
            </w:r>
          </w:p>
        </w:tc>
      </w:tr>
      <w:tr w:rsidR="00E434EF" w:rsidRPr="00A729D3" w:rsidTr="00E434EF">
        <w:trPr>
          <w:jc w:val="center"/>
        </w:trPr>
        <w:tc>
          <w:tcPr>
            <w:tcW w:w="2155" w:type="dxa"/>
            <w:vMerge/>
            <w:tcBorders>
              <w:bottom w:val="single" w:sz="18" w:space="0" w:color="auto"/>
            </w:tcBorders>
            <w:shd w:val="clear" w:color="auto" w:fill="auto"/>
          </w:tcPr>
          <w:p w:rsidR="00E434EF" w:rsidRPr="00A729D3" w:rsidRDefault="00E434EF" w:rsidP="00791040">
            <w:pPr>
              <w:rPr>
                <w:szCs w:val="22"/>
                <w:lang w:eastAsia="en-GB"/>
              </w:rPr>
            </w:pPr>
          </w:p>
        </w:tc>
        <w:tc>
          <w:tcPr>
            <w:tcW w:w="1418" w:type="dxa"/>
            <w:tcBorders>
              <w:bottom w:val="single" w:sz="18" w:space="0" w:color="auto"/>
            </w:tcBorders>
            <w:shd w:val="clear" w:color="auto" w:fill="auto"/>
          </w:tcPr>
          <w:p w:rsidR="00E434EF" w:rsidRPr="00A729D3" w:rsidRDefault="00E434EF" w:rsidP="00791040">
            <w:pPr>
              <w:rPr>
                <w:szCs w:val="22"/>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bottom w:val="single" w:sz="18" w:space="0" w:color="auto"/>
            </w:tcBorders>
            <w:shd w:val="clear" w:color="auto" w:fill="auto"/>
          </w:tcPr>
          <w:p w:rsidR="00E434EF" w:rsidRDefault="00E434EF" w:rsidP="00791040">
            <w:pPr>
              <w:rPr>
                <w:szCs w:val="22"/>
                <w:lang w:eastAsia="en-GB"/>
              </w:rPr>
            </w:pPr>
            <w:r w:rsidRPr="00A729D3">
              <w:rPr>
                <w:szCs w:val="22"/>
                <w:lang w:eastAsia="en-GB"/>
              </w:rPr>
              <w:t>Poten</w:t>
            </w:r>
            <w:r>
              <w:rPr>
                <w:szCs w:val="22"/>
                <w:lang w:eastAsia="en-GB"/>
              </w:rPr>
              <w:t>tial improvement in efficiency.</w:t>
            </w:r>
          </w:p>
          <w:p w:rsidR="00E434EF" w:rsidRPr="00A729D3" w:rsidRDefault="00E434EF" w:rsidP="00791040">
            <w:pPr>
              <w:rPr>
                <w:szCs w:val="22"/>
                <w:lang w:eastAsia="en-GB"/>
              </w:rPr>
            </w:pPr>
            <w:r>
              <w:rPr>
                <w:szCs w:val="22"/>
                <w:lang w:eastAsia="en-GB"/>
              </w:rPr>
              <w:t>Require competence, but inexpensive refrigerant</w:t>
            </w:r>
          </w:p>
        </w:tc>
        <w:tc>
          <w:tcPr>
            <w:tcW w:w="2098" w:type="dxa"/>
            <w:tcBorders>
              <w:bottom w:val="single" w:sz="18" w:space="0" w:color="auto"/>
            </w:tcBorders>
            <w:shd w:val="clear" w:color="auto" w:fill="auto"/>
          </w:tcPr>
          <w:p w:rsidR="00E434EF" w:rsidRPr="00A729D3" w:rsidRDefault="00E434EF" w:rsidP="00791040">
            <w:pPr>
              <w:rPr>
                <w:szCs w:val="22"/>
                <w:lang w:eastAsia="en-GB"/>
              </w:rPr>
            </w:pPr>
            <w:r w:rsidRPr="00A729D3">
              <w:rPr>
                <w:szCs w:val="22"/>
                <w:lang w:eastAsia="en-GB"/>
              </w:rPr>
              <w:t>Highly complex relative to on-board capabilities.</w:t>
            </w:r>
          </w:p>
          <w:p w:rsidR="00E434EF" w:rsidRPr="00A729D3" w:rsidRDefault="00E434EF" w:rsidP="00FD6BC8">
            <w:pPr>
              <w:rPr>
                <w:szCs w:val="22"/>
                <w:lang w:eastAsia="en-GB"/>
              </w:rPr>
            </w:pPr>
            <w:r w:rsidRPr="00A729D3">
              <w:rPr>
                <w:szCs w:val="22"/>
                <w:lang w:eastAsia="en-GB"/>
              </w:rPr>
              <w:t>Additional safety risk of ammonia (</w:t>
            </w:r>
            <w:r w:rsidR="00FD6BC8">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bottom w:val="single" w:sz="18" w:space="0" w:color="auto"/>
            </w:tcBorders>
            <w:shd w:val="clear" w:color="auto" w:fill="auto"/>
          </w:tcPr>
          <w:p w:rsidR="00E434EF" w:rsidRPr="00A729D3" w:rsidRDefault="00E434EF" w:rsidP="00791040">
            <w:pPr>
              <w:rPr>
                <w:szCs w:val="22"/>
                <w:lang w:eastAsia="en-GB"/>
              </w:rPr>
            </w:pPr>
            <w:r w:rsidRPr="00A729D3">
              <w:rPr>
                <w:szCs w:val="22"/>
                <w:lang w:eastAsia="en-GB"/>
              </w:rPr>
              <w:t>No environmental policy risk throughout expected life of equipment.</w:t>
            </w:r>
          </w:p>
        </w:tc>
      </w:tr>
      <w:tr w:rsidR="00E434EF" w:rsidRPr="00A729D3" w:rsidTr="00E434EF">
        <w:trPr>
          <w:jc w:val="center"/>
        </w:trPr>
        <w:tc>
          <w:tcPr>
            <w:tcW w:w="2155" w:type="dxa"/>
            <w:vMerge w:val="restart"/>
            <w:tcBorders>
              <w:top w:val="single" w:sz="18" w:space="0" w:color="auto"/>
            </w:tcBorders>
            <w:shd w:val="clear" w:color="auto" w:fill="auto"/>
          </w:tcPr>
          <w:p w:rsidR="00E434EF" w:rsidRPr="00A729D3" w:rsidRDefault="00E434EF" w:rsidP="00791040">
            <w:pPr>
              <w:rPr>
                <w:szCs w:val="22"/>
                <w:lang w:eastAsia="en-GB"/>
              </w:rPr>
            </w:pPr>
            <w:r w:rsidRPr="00A729D3">
              <w:rPr>
                <w:szCs w:val="22"/>
                <w:lang w:eastAsia="en-GB"/>
              </w:rPr>
              <w:t>R-717/R-744 cascade system</w:t>
            </w:r>
          </w:p>
          <w:p w:rsidR="00E434EF" w:rsidRPr="00A729D3" w:rsidRDefault="00E434EF" w:rsidP="00791040">
            <w:pPr>
              <w:rPr>
                <w:szCs w:val="22"/>
                <w:lang w:eastAsia="en-GB"/>
              </w:rPr>
            </w:pPr>
          </w:p>
        </w:tc>
        <w:tc>
          <w:tcPr>
            <w:tcW w:w="1418" w:type="dxa"/>
            <w:tcBorders>
              <w:top w:val="single" w:sz="18" w:space="0" w:color="auto"/>
              <w:bottom w:val="single" w:sz="4" w:space="0" w:color="auto"/>
            </w:tcBorders>
            <w:shd w:val="clear" w:color="auto" w:fill="FFC000"/>
            <w:vAlign w:val="center"/>
          </w:tcPr>
          <w:p w:rsidR="00E434EF" w:rsidRPr="00D66824" w:rsidRDefault="00E434EF" w:rsidP="00791040">
            <w:pPr>
              <w:jc w:val="center"/>
              <w:rPr>
                <w:szCs w:val="22"/>
                <w:shd w:val="clear" w:color="auto" w:fill="FFC000"/>
                <w:lang w:eastAsia="en-GB"/>
              </w:rPr>
            </w:pPr>
            <w:r>
              <w:rPr>
                <w:szCs w:val="22"/>
                <w:lang w:eastAsia="en-GB"/>
              </w:rPr>
              <w:t>Medium</w:t>
            </w:r>
          </w:p>
        </w:tc>
        <w:tc>
          <w:tcPr>
            <w:tcW w:w="1418" w:type="dxa"/>
            <w:tcBorders>
              <w:top w:val="single" w:sz="18" w:space="0" w:color="auto"/>
              <w:bottom w:val="single" w:sz="4" w:space="0" w:color="auto"/>
            </w:tcBorders>
            <w:shd w:val="clear" w:color="auto" w:fill="FFC000"/>
            <w:vAlign w:val="center"/>
          </w:tcPr>
          <w:p w:rsidR="00E434EF" w:rsidRDefault="00E434EF" w:rsidP="00791040">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0000"/>
            <w:vAlign w:val="center"/>
          </w:tcPr>
          <w:p w:rsidR="00E434EF" w:rsidRDefault="00E434EF" w:rsidP="00791040">
            <w:pPr>
              <w:jc w:val="center"/>
              <w:rPr>
                <w:szCs w:val="22"/>
                <w:lang w:eastAsia="en-GB"/>
              </w:rPr>
            </w:pPr>
            <w:r>
              <w:rPr>
                <w:szCs w:val="22"/>
                <w:lang w:eastAsia="en-GB"/>
              </w:rPr>
              <w:t>High</w:t>
            </w:r>
          </w:p>
        </w:tc>
        <w:tc>
          <w:tcPr>
            <w:tcW w:w="1985" w:type="dxa"/>
            <w:tcBorders>
              <w:top w:val="single" w:sz="18" w:space="0" w:color="auto"/>
              <w:bottom w:val="single" w:sz="4" w:space="0" w:color="auto"/>
            </w:tcBorders>
            <w:shd w:val="clear" w:color="auto" w:fill="92D050"/>
            <w:vAlign w:val="center"/>
          </w:tcPr>
          <w:p w:rsidR="00E434EF" w:rsidRDefault="00E434EF" w:rsidP="00791040">
            <w:pPr>
              <w:jc w:val="center"/>
              <w:rPr>
                <w:szCs w:val="22"/>
                <w:lang w:eastAsia="en-GB"/>
              </w:rPr>
            </w:pPr>
            <w:r>
              <w:rPr>
                <w:szCs w:val="22"/>
                <w:lang w:eastAsia="en-GB"/>
              </w:rPr>
              <w:t>Nil</w:t>
            </w:r>
          </w:p>
        </w:tc>
      </w:tr>
      <w:tr w:rsidR="00E434EF" w:rsidRPr="00A729D3" w:rsidTr="00E434EF">
        <w:trPr>
          <w:jc w:val="center"/>
        </w:trPr>
        <w:tc>
          <w:tcPr>
            <w:tcW w:w="2155" w:type="dxa"/>
            <w:vMerge/>
            <w:shd w:val="clear" w:color="auto" w:fill="auto"/>
          </w:tcPr>
          <w:p w:rsidR="00E434EF" w:rsidRDefault="00E434EF" w:rsidP="00791040">
            <w:pPr>
              <w:rPr>
                <w:szCs w:val="22"/>
                <w:lang w:eastAsia="en-GB"/>
              </w:rPr>
            </w:pPr>
          </w:p>
        </w:tc>
        <w:tc>
          <w:tcPr>
            <w:tcW w:w="1418" w:type="dxa"/>
            <w:tcBorders>
              <w:top w:val="single" w:sz="4" w:space="0" w:color="auto"/>
              <w:bottom w:val="single" w:sz="4" w:space="0" w:color="auto"/>
            </w:tcBorders>
            <w:shd w:val="clear" w:color="auto" w:fill="auto"/>
          </w:tcPr>
          <w:p w:rsidR="00E434EF" w:rsidRPr="00D66824" w:rsidRDefault="00E434EF" w:rsidP="00791040">
            <w:pPr>
              <w:rPr>
                <w:szCs w:val="22"/>
                <w:shd w:val="clear" w:color="auto" w:fill="FFC000"/>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top w:val="single" w:sz="4" w:space="0" w:color="auto"/>
              <w:bottom w:val="single" w:sz="4" w:space="0" w:color="auto"/>
            </w:tcBorders>
            <w:shd w:val="clear" w:color="auto" w:fill="auto"/>
          </w:tcPr>
          <w:p w:rsidR="00E434EF" w:rsidRPr="00A729D3" w:rsidRDefault="00E434EF" w:rsidP="00791040">
            <w:pPr>
              <w:rPr>
                <w:szCs w:val="22"/>
                <w:lang w:eastAsia="en-GB"/>
              </w:rPr>
            </w:pPr>
            <w:r w:rsidRPr="00A729D3">
              <w:rPr>
                <w:szCs w:val="22"/>
                <w:lang w:eastAsia="en-GB"/>
              </w:rPr>
              <w:t>Potential improvement in efficiency.</w:t>
            </w:r>
          </w:p>
          <w:p w:rsidR="00E434EF" w:rsidRDefault="00E434EF" w:rsidP="00791040">
            <w:pPr>
              <w:rPr>
                <w:szCs w:val="22"/>
                <w:lang w:eastAsia="en-GB"/>
              </w:rPr>
            </w:pPr>
            <w:r w:rsidRPr="00A729D3">
              <w:rPr>
                <w:szCs w:val="22"/>
                <w:lang w:eastAsia="en-GB"/>
              </w:rPr>
              <w:t>High maintenance cost due to complexity</w:t>
            </w:r>
            <w:r>
              <w:rPr>
                <w:szCs w:val="22"/>
                <w:lang w:eastAsia="en-GB"/>
              </w:rPr>
              <w:t>. Require competence, but inexpensive refrigerant</w:t>
            </w:r>
          </w:p>
        </w:tc>
        <w:tc>
          <w:tcPr>
            <w:tcW w:w="2098" w:type="dxa"/>
            <w:tcBorders>
              <w:top w:val="single" w:sz="4" w:space="0" w:color="auto"/>
              <w:bottom w:val="single" w:sz="4" w:space="0" w:color="auto"/>
            </w:tcBorders>
            <w:shd w:val="clear" w:color="auto" w:fill="auto"/>
          </w:tcPr>
          <w:p w:rsidR="00E434EF" w:rsidRPr="00A729D3" w:rsidRDefault="00E434EF" w:rsidP="00791040">
            <w:pPr>
              <w:rPr>
                <w:szCs w:val="22"/>
                <w:lang w:eastAsia="en-GB"/>
              </w:rPr>
            </w:pPr>
            <w:r w:rsidRPr="00A729D3">
              <w:rPr>
                <w:szCs w:val="22"/>
                <w:lang w:eastAsia="en-GB"/>
              </w:rPr>
              <w:t>Highly complex relative to on-board capabilities.</w:t>
            </w:r>
          </w:p>
          <w:p w:rsidR="00E434EF" w:rsidRDefault="00E434EF" w:rsidP="00FD6BC8">
            <w:pPr>
              <w:rPr>
                <w:szCs w:val="22"/>
                <w:lang w:eastAsia="en-GB"/>
              </w:rPr>
            </w:pPr>
            <w:r w:rsidRPr="00A729D3">
              <w:rPr>
                <w:szCs w:val="22"/>
                <w:lang w:eastAsia="en-GB"/>
              </w:rPr>
              <w:t>Additional safety risk of ammonia (</w:t>
            </w:r>
            <w:r w:rsidR="00FD6BC8">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top w:val="single" w:sz="4" w:space="0" w:color="auto"/>
              <w:bottom w:val="single" w:sz="4" w:space="0" w:color="auto"/>
            </w:tcBorders>
            <w:shd w:val="clear" w:color="auto" w:fill="auto"/>
          </w:tcPr>
          <w:p w:rsidR="00E434EF" w:rsidRDefault="00E434EF" w:rsidP="00791040">
            <w:pPr>
              <w:rPr>
                <w:szCs w:val="22"/>
                <w:lang w:eastAsia="en-GB"/>
              </w:rPr>
            </w:pPr>
            <w:r w:rsidRPr="00A729D3">
              <w:rPr>
                <w:szCs w:val="22"/>
                <w:lang w:eastAsia="en-GB"/>
              </w:rPr>
              <w:t>No environmental policy risk throughout expected life of equipment.</w:t>
            </w:r>
          </w:p>
        </w:tc>
      </w:tr>
      <w:tr w:rsidR="00E434EF" w:rsidRPr="00A729D3" w:rsidTr="00E434EF">
        <w:trPr>
          <w:jc w:val="center"/>
        </w:trPr>
        <w:tc>
          <w:tcPr>
            <w:tcW w:w="2155" w:type="dxa"/>
            <w:vMerge w:val="restart"/>
            <w:tcBorders>
              <w:top w:val="single" w:sz="18" w:space="0" w:color="auto"/>
            </w:tcBorders>
          </w:tcPr>
          <w:p w:rsidR="00E434EF" w:rsidRPr="00A729D3" w:rsidRDefault="00E434EF" w:rsidP="00791040">
            <w:pPr>
              <w:rPr>
                <w:szCs w:val="22"/>
                <w:lang w:eastAsia="en-GB"/>
              </w:rPr>
            </w:pPr>
            <w:r w:rsidRPr="00A729D3">
              <w:rPr>
                <w:szCs w:val="22"/>
                <w:lang w:eastAsia="en-GB"/>
              </w:rPr>
              <w:t xml:space="preserve">R-744 </w:t>
            </w:r>
            <w:r>
              <w:rPr>
                <w:szCs w:val="22"/>
                <w:lang w:eastAsia="en-GB"/>
              </w:rPr>
              <w:t>system</w:t>
            </w:r>
          </w:p>
        </w:tc>
        <w:tc>
          <w:tcPr>
            <w:tcW w:w="1418" w:type="dxa"/>
            <w:tcBorders>
              <w:top w:val="single" w:sz="18" w:space="0" w:color="auto"/>
              <w:bottom w:val="single" w:sz="4" w:space="0" w:color="auto"/>
            </w:tcBorders>
            <w:shd w:val="clear" w:color="auto" w:fill="FFC000"/>
          </w:tcPr>
          <w:p w:rsidR="00E434EF" w:rsidRPr="00A729D3" w:rsidRDefault="00E434EF" w:rsidP="00791040">
            <w:pPr>
              <w:jc w:val="center"/>
              <w:rPr>
                <w:szCs w:val="22"/>
                <w:lang w:eastAsia="en-GB"/>
              </w:rPr>
            </w:pPr>
            <w:r w:rsidRPr="00D66824">
              <w:rPr>
                <w:szCs w:val="22"/>
                <w:shd w:val="clear" w:color="auto" w:fill="FFC000"/>
                <w:lang w:eastAsia="en-GB"/>
              </w:rPr>
              <w:t>Medium</w:t>
            </w:r>
          </w:p>
        </w:tc>
        <w:tc>
          <w:tcPr>
            <w:tcW w:w="1418" w:type="dxa"/>
            <w:tcBorders>
              <w:top w:val="single" w:sz="18" w:space="0" w:color="auto"/>
              <w:bottom w:val="single" w:sz="4" w:space="0" w:color="auto"/>
            </w:tcBorders>
            <w:shd w:val="clear" w:color="auto" w:fill="FFC000"/>
            <w:vAlign w:val="center"/>
          </w:tcPr>
          <w:p w:rsidR="00E434EF" w:rsidRPr="00A729D3" w:rsidRDefault="00E434EF" w:rsidP="00791040">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C000"/>
          </w:tcPr>
          <w:p w:rsidR="00E434EF" w:rsidRPr="00A729D3" w:rsidRDefault="00E434EF" w:rsidP="00791040">
            <w:pPr>
              <w:jc w:val="center"/>
              <w:rPr>
                <w:szCs w:val="22"/>
                <w:lang w:eastAsia="en-GB"/>
              </w:rPr>
            </w:pPr>
            <w:r>
              <w:rPr>
                <w:szCs w:val="22"/>
                <w:lang w:eastAsia="en-GB"/>
              </w:rPr>
              <w:t>Medium</w:t>
            </w:r>
          </w:p>
        </w:tc>
        <w:tc>
          <w:tcPr>
            <w:tcW w:w="1985" w:type="dxa"/>
            <w:tcBorders>
              <w:top w:val="single" w:sz="18" w:space="0" w:color="auto"/>
              <w:bottom w:val="single" w:sz="4" w:space="0" w:color="auto"/>
            </w:tcBorders>
            <w:shd w:val="clear" w:color="auto" w:fill="92D050"/>
          </w:tcPr>
          <w:p w:rsidR="00E434EF" w:rsidRPr="00A729D3" w:rsidRDefault="00E434EF" w:rsidP="00791040">
            <w:pPr>
              <w:jc w:val="center"/>
              <w:rPr>
                <w:szCs w:val="22"/>
                <w:lang w:eastAsia="en-GB"/>
              </w:rPr>
            </w:pPr>
            <w:r>
              <w:rPr>
                <w:szCs w:val="22"/>
                <w:lang w:eastAsia="en-GB"/>
              </w:rPr>
              <w:t>Nil</w:t>
            </w:r>
          </w:p>
        </w:tc>
      </w:tr>
      <w:tr w:rsidR="00E434EF" w:rsidRPr="00A729D3" w:rsidTr="00E434EF">
        <w:trPr>
          <w:jc w:val="center"/>
        </w:trPr>
        <w:tc>
          <w:tcPr>
            <w:tcW w:w="2155" w:type="dxa"/>
            <w:vMerge/>
            <w:shd w:val="clear" w:color="auto" w:fill="auto"/>
          </w:tcPr>
          <w:p w:rsidR="00E434EF" w:rsidRPr="00A729D3" w:rsidRDefault="00E434EF" w:rsidP="00791040">
            <w:pPr>
              <w:rPr>
                <w:szCs w:val="22"/>
                <w:lang w:eastAsia="en-GB"/>
              </w:rPr>
            </w:pPr>
          </w:p>
        </w:tc>
        <w:tc>
          <w:tcPr>
            <w:tcW w:w="1418" w:type="dxa"/>
            <w:tcBorders>
              <w:top w:val="single" w:sz="4" w:space="0" w:color="auto"/>
            </w:tcBorders>
            <w:shd w:val="clear" w:color="auto" w:fill="auto"/>
          </w:tcPr>
          <w:p w:rsidR="00E434EF" w:rsidRPr="00A729D3" w:rsidRDefault="00E434EF" w:rsidP="00791040">
            <w:pPr>
              <w:rPr>
                <w:szCs w:val="22"/>
                <w:lang w:eastAsia="en-GB"/>
              </w:rPr>
            </w:pPr>
            <w:r w:rsidRPr="00A729D3">
              <w:rPr>
                <w:szCs w:val="22"/>
                <w:lang w:eastAsia="en-GB"/>
              </w:rPr>
              <w:t xml:space="preserve">Suitable for existing vessels with </w:t>
            </w:r>
            <w:r>
              <w:rPr>
                <w:szCs w:val="22"/>
                <w:lang w:eastAsia="en-GB"/>
              </w:rPr>
              <w:t>replacement of system</w:t>
            </w:r>
          </w:p>
        </w:tc>
        <w:tc>
          <w:tcPr>
            <w:tcW w:w="1418" w:type="dxa"/>
            <w:tcBorders>
              <w:top w:val="single" w:sz="4" w:space="0" w:color="auto"/>
            </w:tcBorders>
            <w:shd w:val="clear" w:color="auto" w:fill="auto"/>
          </w:tcPr>
          <w:p w:rsidR="00E434EF" w:rsidRPr="00A729D3" w:rsidRDefault="00E434EF" w:rsidP="00791040">
            <w:pPr>
              <w:rPr>
                <w:szCs w:val="22"/>
                <w:lang w:eastAsia="en-GB"/>
              </w:rPr>
            </w:pPr>
            <w:r w:rsidRPr="00A729D3">
              <w:rPr>
                <w:szCs w:val="22"/>
                <w:lang w:eastAsia="en-GB"/>
              </w:rPr>
              <w:t>Potential improvement in efficiency</w:t>
            </w:r>
            <w:r>
              <w:rPr>
                <w:szCs w:val="22"/>
                <w:lang w:eastAsia="en-GB"/>
              </w:rPr>
              <w:t xml:space="preserve"> at the expenses of complexity. Require competence, but inexpensive refrigerant</w:t>
            </w:r>
          </w:p>
        </w:tc>
        <w:tc>
          <w:tcPr>
            <w:tcW w:w="2098" w:type="dxa"/>
            <w:tcBorders>
              <w:top w:val="single" w:sz="4" w:space="0" w:color="auto"/>
            </w:tcBorders>
            <w:shd w:val="clear" w:color="auto" w:fill="auto"/>
          </w:tcPr>
          <w:p w:rsidR="00E434EF" w:rsidRPr="00A729D3" w:rsidRDefault="00E434EF" w:rsidP="00791040">
            <w:pPr>
              <w:rPr>
                <w:szCs w:val="22"/>
                <w:lang w:eastAsia="en-GB"/>
              </w:rPr>
            </w:pPr>
            <w:r>
              <w:rPr>
                <w:szCs w:val="22"/>
                <w:lang w:eastAsia="en-GB"/>
              </w:rPr>
              <w:t>Some</w:t>
            </w:r>
            <w:r w:rsidRPr="00A729D3">
              <w:rPr>
                <w:szCs w:val="22"/>
                <w:lang w:eastAsia="en-GB"/>
              </w:rPr>
              <w:t xml:space="preserve"> complex</w:t>
            </w:r>
            <w:r>
              <w:rPr>
                <w:szCs w:val="22"/>
                <w:lang w:eastAsia="en-GB"/>
              </w:rPr>
              <w:t>ity</w:t>
            </w:r>
            <w:r w:rsidRPr="00A729D3">
              <w:rPr>
                <w:szCs w:val="22"/>
                <w:lang w:eastAsia="en-GB"/>
              </w:rPr>
              <w:t xml:space="preserve"> rel</w:t>
            </w:r>
            <w:r>
              <w:rPr>
                <w:szCs w:val="22"/>
                <w:lang w:eastAsia="en-GB"/>
              </w:rPr>
              <w:t>ative to on-board capabilities. Training required in new markets</w:t>
            </w:r>
          </w:p>
        </w:tc>
        <w:tc>
          <w:tcPr>
            <w:tcW w:w="1985" w:type="dxa"/>
            <w:tcBorders>
              <w:top w:val="single" w:sz="4" w:space="0" w:color="auto"/>
            </w:tcBorders>
            <w:shd w:val="clear" w:color="auto" w:fill="auto"/>
          </w:tcPr>
          <w:p w:rsidR="00E434EF" w:rsidRPr="00A729D3" w:rsidRDefault="00E434EF" w:rsidP="00791040">
            <w:pPr>
              <w:rPr>
                <w:szCs w:val="22"/>
                <w:lang w:eastAsia="en-GB"/>
              </w:rPr>
            </w:pPr>
            <w:r w:rsidRPr="00A729D3">
              <w:rPr>
                <w:szCs w:val="22"/>
                <w:lang w:eastAsia="en-GB"/>
              </w:rPr>
              <w:t>No environmental policy risk throughout expected life of equipment.</w:t>
            </w:r>
          </w:p>
        </w:tc>
      </w:tr>
    </w:tbl>
    <w:p w:rsidR="00B67E4B" w:rsidRDefault="00B67E4B" w:rsidP="005A32E7">
      <w:pPr>
        <w:spacing w:after="120"/>
        <w:rPr>
          <w:i/>
          <w:szCs w:val="22"/>
          <w:lang w:eastAsia="en-GB"/>
        </w:rPr>
      </w:pPr>
    </w:p>
    <w:p w:rsidR="005A32E7" w:rsidRDefault="005A32E7" w:rsidP="00894C72">
      <w:pPr>
        <w:keepNext/>
        <w:keepLines/>
        <w:spacing w:after="120"/>
        <w:rPr>
          <w:b/>
          <w:szCs w:val="22"/>
          <w:lang w:eastAsia="en-GB"/>
        </w:rPr>
      </w:pPr>
      <w:r>
        <w:rPr>
          <w:i/>
          <w:szCs w:val="22"/>
          <w:lang w:eastAsia="en-GB"/>
        </w:rPr>
        <w:lastRenderedPageBreak/>
        <w:t xml:space="preserve">4.2.2 </w:t>
      </w:r>
      <w:r w:rsidRPr="00E11535">
        <w:rPr>
          <w:i/>
          <w:szCs w:val="22"/>
          <w:lang w:eastAsia="en-GB"/>
        </w:rPr>
        <w:t>Option 2 –</w:t>
      </w:r>
      <w:r>
        <w:rPr>
          <w:i/>
          <w:szCs w:val="22"/>
          <w:lang w:eastAsia="en-GB"/>
        </w:rPr>
        <w:t xml:space="preserve"> R</w:t>
      </w:r>
      <w:r w:rsidRPr="00E11535">
        <w:rPr>
          <w:i/>
        </w:rPr>
        <w:t>efrigerant replacement with plant adjustm</w:t>
      </w:r>
      <w:r>
        <w:rPr>
          <w:i/>
        </w:rPr>
        <w:t>ents</w:t>
      </w:r>
    </w:p>
    <w:p w:rsidR="005A32E7" w:rsidRPr="00AB0D28" w:rsidRDefault="005A32E7" w:rsidP="005A32E7">
      <w:pPr>
        <w:spacing w:after="240"/>
        <w:rPr>
          <w:szCs w:val="22"/>
          <w:lang w:eastAsia="en-GB"/>
        </w:rPr>
      </w:pPr>
      <w:r>
        <w:rPr>
          <w:szCs w:val="22"/>
          <w:lang w:eastAsia="en-GB"/>
        </w:rPr>
        <w:t>The conversion of an existing plant to a halocarbon refrigerant is a technically and economically feasible option, provided a low-GWP fluid is available for the task. Even if many HFC blends are presently under scrutiny, there is no solution ready at the moment and</w:t>
      </w:r>
      <w:r>
        <w:t xml:space="preserve"> it is not possible, at this stage, to name a refrigerant that will be the definitive low-GWP substitute to HCFC-22. As is well known, </w:t>
      </w:r>
      <w:r w:rsidRPr="00166609">
        <w:t>the situation is evolving</w:t>
      </w:r>
      <w:r>
        <w:t xml:space="preserve"> rapidly and it may be reasonable, nevertheless, to expect in the medium term that a solution will </w:t>
      </w:r>
      <w:r w:rsidRPr="00166609">
        <w:t>e</w:t>
      </w:r>
      <w:r>
        <w:t>merge for this type of conversion. The economics of the operation will, of course, depend on the cost of the new refrigerant. Most likely, the possible alternatives will be flammable in category A2 or A2L, thus requiring adequate safety considerations and precautions.</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5A32E7" w:rsidRPr="00166609" w:rsidTr="005A32E7">
        <w:trPr>
          <w:trHeight w:val="227"/>
          <w:jc w:val="center"/>
        </w:trPr>
        <w:tc>
          <w:tcPr>
            <w:tcW w:w="2155" w:type="dxa"/>
            <w:vMerge w:val="restart"/>
            <w:tcBorders>
              <w:top w:val="single" w:sz="18" w:space="0" w:color="auto"/>
            </w:tcBorders>
            <w:shd w:val="clear" w:color="auto" w:fill="auto"/>
          </w:tcPr>
          <w:p w:rsidR="005A32E7" w:rsidRPr="00A729D3" w:rsidRDefault="005A32E7"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5A32E7" w:rsidRPr="00166609" w:rsidRDefault="005A32E7" w:rsidP="00791040">
            <w:pPr>
              <w:jc w:val="center"/>
              <w:rPr>
                <w:szCs w:val="22"/>
                <w:lang w:eastAsia="en-GB"/>
              </w:rPr>
            </w:pPr>
            <w:r w:rsidRPr="00166609">
              <w:rPr>
                <w:szCs w:val="22"/>
                <w:lang w:eastAsia="en-GB"/>
              </w:rPr>
              <w:t>Financial considerations</w:t>
            </w:r>
          </w:p>
        </w:tc>
        <w:tc>
          <w:tcPr>
            <w:tcW w:w="2098" w:type="dxa"/>
            <w:vMerge w:val="restart"/>
            <w:tcBorders>
              <w:top w:val="single" w:sz="18" w:space="0" w:color="auto"/>
            </w:tcBorders>
            <w:shd w:val="clear" w:color="auto" w:fill="auto"/>
          </w:tcPr>
          <w:p w:rsidR="005A32E7" w:rsidRPr="00166609" w:rsidRDefault="005A32E7" w:rsidP="00791040">
            <w:pPr>
              <w:jc w:val="center"/>
              <w:rPr>
                <w:szCs w:val="22"/>
                <w:lang w:eastAsia="en-GB"/>
              </w:rPr>
            </w:pPr>
            <w:r w:rsidRPr="00166609">
              <w:rPr>
                <w:szCs w:val="22"/>
                <w:lang w:eastAsia="en-GB"/>
              </w:rPr>
              <w:t>Technology risk</w:t>
            </w:r>
          </w:p>
          <w:p w:rsidR="005A32E7" w:rsidRPr="00166609" w:rsidRDefault="005A32E7" w:rsidP="00791040">
            <w:pPr>
              <w:jc w:val="center"/>
              <w:rPr>
                <w:szCs w:val="22"/>
                <w:lang w:eastAsia="en-GB"/>
              </w:rPr>
            </w:pPr>
            <w:r w:rsidRPr="00166609">
              <w:rPr>
                <w:szCs w:val="22"/>
                <w:lang w:eastAsia="en-GB"/>
              </w:rPr>
              <w:t>(Complexity and performance)</w:t>
            </w:r>
          </w:p>
        </w:tc>
        <w:tc>
          <w:tcPr>
            <w:tcW w:w="1985" w:type="dxa"/>
            <w:vMerge w:val="restart"/>
            <w:tcBorders>
              <w:top w:val="single" w:sz="18" w:space="0" w:color="auto"/>
            </w:tcBorders>
            <w:shd w:val="clear" w:color="auto" w:fill="auto"/>
          </w:tcPr>
          <w:p w:rsidR="005A32E7" w:rsidRPr="00166609" w:rsidRDefault="005A32E7" w:rsidP="00791040">
            <w:pPr>
              <w:jc w:val="center"/>
              <w:rPr>
                <w:szCs w:val="22"/>
                <w:lang w:eastAsia="en-GB"/>
              </w:rPr>
            </w:pPr>
            <w:r w:rsidRPr="00166609">
              <w:rPr>
                <w:szCs w:val="22"/>
                <w:lang w:eastAsia="en-GB"/>
              </w:rPr>
              <w:t>Regulatory and environmental risk</w:t>
            </w:r>
          </w:p>
          <w:p w:rsidR="005A32E7" w:rsidRPr="00166609" w:rsidRDefault="005A32E7" w:rsidP="00791040">
            <w:pPr>
              <w:jc w:val="center"/>
              <w:rPr>
                <w:szCs w:val="22"/>
                <w:lang w:eastAsia="en-GB"/>
              </w:rPr>
            </w:pPr>
            <w:r w:rsidRPr="00166609">
              <w:rPr>
                <w:szCs w:val="22"/>
                <w:lang w:eastAsia="en-GB"/>
              </w:rPr>
              <w:t>(10 years horizon)</w:t>
            </w:r>
          </w:p>
        </w:tc>
      </w:tr>
      <w:tr w:rsidR="005A32E7" w:rsidRPr="00166609" w:rsidTr="005A32E7">
        <w:trPr>
          <w:trHeight w:val="517"/>
          <w:jc w:val="center"/>
        </w:trPr>
        <w:tc>
          <w:tcPr>
            <w:tcW w:w="2155" w:type="dxa"/>
            <w:vMerge/>
            <w:tcBorders>
              <w:bottom w:val="single" w:sz="4" w:space="0" w:color="auto"/>
            </w:tcBorders>
            <w:shd w:val="clear" w:color="auto" w:fill="auto"/>
          </w:tcPr>
          <w:p w:rsidR="005A32E7" w:rsidRPr="00166609" w:rsidRDefault="005A32E7" w:rsidP="00791040">
            <w:pPr>
              <w:rPr>
                <w:szCs w:val="22"/>
                <w:lang w:eastAsia="en-GB"/>
              </w:rPr>
            </w:pPr>
          </w:p>
        </w:tc>
        <w:tc>
          <w:tcPr>
            <w:tcW w:w="1418" w:type="dxa"/>
            <w:tcBorders>
              <w:top w:val="single" w:sz="4" w:space="0" w:color="auto"/>
              <w:bottom w:val="single" w:sz="4" w:space="0" w:color="auto"/>
            </w:tcBorders>
            <w:shd w:val="clear" w:color="auto" w:fill="auto"/>
            <w:vAlign w:val="center"/>
          </w:tcPr>
          <w:p w:rsidR="005A32E7" w:rsidRPr="00166609" w:rsidRDefault="005A32E7" w:rsidP="00791040">
            <w:pPr>
              <w:jc w:val="center"/>
              <w:rPr>
                <w:szCs w:val="22"/>
                <w:lang w:eastAsia="en-GB"/>
              </w:rPr>
            </w:pPr>
            <w:r w:rsidRPr="00166609">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5A32E7" w:rsidRPr="00166609" w:rsidRDefault="005A32E7" w:rsidP="00791040">
            <w:pPr>
              <w:jc w:val="center"/>
              <w:rPr>
                <w:szCs w:val="22"/>
                <w:lang w:eastAsia="en-GB"/>
              </w:rPr>
            </w:pPr>
            <w:r w:rsidRPr="00166609">
              <w:rPr>
                <w:szCs w:val="22"/>
                <w:lang w:eastAsia="en-GB"/>
              </w:rPr>
              <w:t>Operating</w:t>
            </w:r>
          </w:p>
          <w:p w:rsidR="005A32E7" w:rsidRPr="00166609" w:rsidRDefault="005A32E7" w:rsidP="00791040">
            <w:pPr>
              <w:jc w:val="center"/>
              <w:rPr>
                <w:szCs w:val="22"/>
                <w:lang w:eastAsia="en-GB"/>
              </w:rPr>
            </w:pPr>
            <w:r w:rsidRPr="00166609">
              <w:rPr>
                <w:szCs w:val="22"/>
                <w:lang w:eastAsia="en-GB"/>
              </w:rPr>
              <w:t>expenses</w:t>
            </w:r>
          </w:p>
        </w:tc>
        <w:tc>
          <w:tcPr>
            <w:tcW w:w="2098" w:type="dxa"/>
            <w:vMerge/>
            <w:tcBorders>
              <w:bottom w:val="single" w:sz="4" w:space="0" w:color="auto"/>
            </w:tcBorders>
            <w:shd w:val="clear" w:color="auto" w:fill="auto"/>
          </w:tcPr>
          <w:p w:rsidR="005A32E7" w:rsidRPr="00166609" w:rsidRDefault="005A32E7" w:rsidP="00791040">
            <w:pPr>
              <w:jc w:val="center"/>
              <w:rPr>
                <w:szCs w:val="22"/>
                <w:lang w:eastAsia="en-GB"/>
              </w:rPr>
            </w:pPr>
          </w:p>
        </w:tc>
        <w:tc>
          <w:tcPr>
            <w:tcW w:w="1985" w:type="dxa"/>
            <w:vMerge/>
            <w:tcBorders>
              <w:bottom w:val="single" w:sz="4" w:space="0" w:color="auto"/>
            </w:tcBorders>
            <w:shd w:val="clear" w:color="auto" w:fill="auto"/>
          </w:tcPr>
          <w:p w:rsidR="005A32E7" w:rsidRPr="00166609" w:rsidRDefault="005A32E7" w:rsidP="00791040">
            <w:pPr>
              <w:jc w:val="center"/>
              <w:rPr>
                <w:szCs w:val="22"/>
                <w:lang w:eastAsia="en-GB"/>
              </w:rPr>
            </w:pPr>
          </w:p>
        </w:tc>
      </w:tr>
      <w:tr w:rsidR="005A32E7" w:rsidRPr="00166609" w:rsidTr="005A32E7">
        <w:trPr>
          <w:jc w:val="center"/>
        </w:trPr>
        <w:tc>
          <w:tcPr>
            <w:tcW w:w="2155" w:type="dxa"/>
            <w:tcBorders>
              <w:top w:val="single" w:sz="4" w:space="0" w:color="auto"/>
              <w:bottom w:val="single" w:sz="18" w:space="0" w:color="auto"/>
            </w:tcBorders>
          </w:tcPr>
          <w:p w:rsidR="005A32E7" w:rsidRPr="00166609" w:rsidRDefault="005A32E7" w:rsidP="00791040">
            <w:pPr>
              <w:rPr>
                <w:szCs w:val="22"/>
                <w:lang w:eastAsia="en-GB"/>
              </w:rPr>
            </w:pPr>
          </w:p>
        </w:tc>
        <w:tc>
          <w:tcPr>
            <w:tcW w:w="1418" w:type="dxa"/>
            <w:tcBorders>
              <w:top w:val="single" w:sz="4" w:space="0" w:color="auto"/>
              <w:bottom w:val="nil"/>
            </w:tcBorders>
            <w:shd w:val="clear" w:color="auto" w:fill="FFC000"/>
            <w:vAlign w:val="center"/>
          </w:tcPr>
          <w:p w:rsidR="005A32E7" w:rsidRPr="00166609" w:rsidRDefault="005A32E7" w:rsidP="00791040">
            <w:pPr>
              <w:jc w:val="center"/>
              <w:rPr>
                <w:szCs w:val="22"/>
                <w:lang w:eastAsia="en-GB"/>
              </w:rPr>
            </w:pPr>
            <w:r w:rsidRPr="00166609">
              <w:rPr>
                <w:szCs w:val="22"/>
                <w:lang w:eastAsia="en-GB"/>
              </w:rPr>
              <w:t>Medium</w:t>
            </w:r>
          </w:p>
        </w:tc>
        <w:tc>
          <w:tcPr>
            <w:tcW w:w="1418" w:type="dxa"/>
            <w:tcBorders>
              <w:top w:val="single" w:sz="4" w:space="0" w:color="auto"/>
              <w:bottom w:val="single" w:sz="18" w:space="0" w:color="auto"/>
            </w:tcBorders>
            <w:shd w:val="clear" w:color="auto" w:fill="FF0000"/>
            <w:vAlign w:val="center"/>
          </w:tcPr>
          <w:p w:rsidR="005A32E7" w:rsidRPr="00166609" w:rsidRDefault="005A32E7" w:rsidP="00791040">
            <w:pPr>
              <w:jc w:val="center"/>
              <w:rPr>
                <w:color w:val="auto"/>
                <w:szCs w:val="22"/>
                <w:lang w:eastAsia="en-GB"/>
              </w:rPr>
            </w:pPr>
            <w:r w:rsidRPr="00166609">
              <w:rPr>
                <w:color w:val="auto"/>
                <w:szCs w:val="22"/>
                <w:lang w:eastAsia="en-GB"/>
              </w:rPr>
              <w:t>Unknown</w:t>
            </w:r>
          </w:p>
        </w:tc>
        <w:tc>
          <w:tcPr>
            <w:tcW w:w="2098" w:type="dxa"/>
            <w:tcBorders>
              <w:top w:val="single" w:sz="4" w:space="0" w:color="auto"/>
              <w:bottom w:val="single" w:sz="18" w:space="0" w:color="auto"/>
            </w:tcBorders>
            <w:shd w:val="clear" w:color="auto" w:fill="FF0000"/>
            <w:vAlign w:val="center"/>
          </w:tcPr>
          <w:p w:rsidR="005A32E7" w:rsidRPr="00166609" w:rsidRDefault="005A32E7" w:rsidP="00791040">
            <w:pPr>
              <w:jc w:val="center"/>
              <w:rPr>
                <w:color w:val="auto"/>
                <w:szCs w:val="22"/>
                <w:lang w:eastAsia="en-GB"/>
              </w:rPr>
            </w:pPr>
            <w:r w:rsidRPr="00166609">
              <w:rPr>
                <w:color w:val="auto"/>
                <w:szCs w:val="22"/>
                <w:lang w:eastAsia="en-GB"/>
              </w:rPr>
              <w:t>Unknown</w:t>
            </w:r>
          </w:p>
        </w:tc>
        <w:tc>
          <w:tcPr>
            <w:tcW w:w="1985" w:type="dxa"/>
            <w:tcBorders>
              <w:top w:val="single" w:sz="4" w:space="0" w:color="auto"/>
              <w:bottom w:val="single" w:sz="18" w:space="0" w:color="auto"/>
            </w:tcBorders>
            <w:shd w:val="clear" w:color="auto" w:fill="FF0000"/>
            <w:vAlign w:val="center"/>
          </w:tcPr>
          <w:p w:rsidR="005A32E7" w:rsidRPr="00166609" w:rsidRDefault="005A32E7" w:rsidP="00791040">
            <w:pPr>
              <w:jc w:val="center"/>
              <w:rPr>
                <w:color w:val="auto"/>
                <w:szCs w:val="22"/>
                <w:lang w:eastAsia="en-GB"/>
              </w:rPr>
            </w:pPr>
            <w:r w:rsidRPr="00166609">
              <w:rPr>
                <w:color w:val="auto"/>
                <w:szCs w:val="22"/>
                <w:lang w:eastAsia="en-GB"/>
              </w:rPr>
              <w:t>Unknown</w:t>
            </w:r>
          </w:p>
        </w:tc>
      </w:tr>
      <w:tr w:rsidR="005A32E7" w:rsidRPr="00166609" w:rsidTr="005A32E7">
        <w:trPr>
          <w:jc w:val="center"/>
        </w:trPr>
        <w:tc>
          <w:tcPr>
            <w:tcW w:w="9074" w:type="dxa"/>
            <w:gridSpan w:val="5"/>
            <w:shd w:val="clear" w:color="auto" w:fill="auto"/>
          </w:tcPr>
          <w:p w:rsidR="005A32E7" w:rsidRPr="00166609" w:rsidRDefault="005A32E7" w:rsidP="00791040">
            <w:pPr>
              <w:rPr>
                <w:b/>
                <w:i/>
                <w:szCs w:val="22"/>
                <w:lang w:eastAsia="en-GB"/>
              </w:rPr>
            </w:pPr>
            <w:r w:rsidRPr="00166609">
              <w:rPr>
                <w:b/>
                <w:i/>
                <w:szCs w:val="22"/>
                <w:lang w:eastAsia="en-GB"/>
              </w:rPr>
              <w:t xml:space="preserve">Option 2 – </w:t>
            </w:r>
            <w:r w:rsidRPr="00166609">
              <w:rPr>
                <w:b/>
                <w:i/>
              </w:rPr>
              <w:t>Refrigerant replacement with plant adjustments</w:t>
            </w:r>
          </w:p>
        </w:tc>
      </w:tr>
      <w:tr w:rsidR="005A32E7" w:rsidRPr="00A729D3" w:rsidTr="005A32E7">
        <w:trPr>
          <w:jc w:val="center"/>
        </w:trPr>
        <w:tc>
          <w:tcPr>
            <w:tcW w:w="2155" w:type="dxa"/>
            <w:shd w:val="clear" w:color="auto" w:fill="auto"/>
          </w:tcPr>
          <w:p w:rsidR="005A32E7" w:rsidRPr="00166609" w:rsidRDefault="005A32E7" w:rsidP="00791040">
            <w:pPr>
              <w:rPr>
                <w:szCs w:val="22"/>
                <w:lang w:eastAsia="en-GB"/>
              </w:rPr>
            </w:pPr>
            <w:r w:rsidRPr="00166609">
              <w:rPr>
                <w:szCs w:val="22"/>
                <w:lang w:eastAsia="en-GB"/>
              </w:rPr>
              <w:t>Conventional refrigeration plant system operating with low-GWP HFC blend</w:t>
            </w:r>
          </w:p>
        </w:tc>
        <w:tc>
          <w:tcPr>
            <w:tcW w:w="1418" w:type="dxa"/>
            <w:shd w:val="clear" w:color="auto" w:fill="auto"/>
          </w:tcPr>
          <w:p w:rsidR="005A32E7" w:rsidRPr="00166609" w:rsidRDefault="005A32E7" w:rsidP="00791040">
            <w:pPr>
              <w:rPr>
                <w:szCs w:val="22"/>
                <w:lang w:eastAsia="en-GB"/>
              </w:rPr>
            </w:pPr>
            <w:r w:rsidRPr="00166609">
              <w:rPr>
                <w:szCs w:val="22"/>
                <w:lang w:eastAsia="en-GB"/>
              </w:rPr>
              <w:t>Suitable for existing vessels with change of components and adjustments</w:t>
            </w:r>
          </w:p>
        </w:tc>
        <w:tc>
          <w:tcPr>
            <w:tcW w:w="1418" w:type="dxa"/>
            <w:shd w:val="clear" w:color="auto" w:fill="auto"/>
          </w:tcPr>
          <w:p w:rsidR="005A32E7" w:rsidRPr="00166609" w:rsidRDefault="005A32E7" w:rsidP="00791040">
            <w:pPr>
              <w:rPr>
                <w:szCs w:val="22"/>
                <w:lang w:eastAsia="en-GB"/>
              </w:rPr>
            </w:pPr>
            <w:r w:rsidRPr="00166609">
              <w:rPr>
                <w:szCs w:val="22"/>
                <w:lang w:eastAsia="en-GB"/>
              </w:rPr>
              <w:t xml:space="preserve">Cost of refrigerants at present unknown </w:t>
            </w:r>
          </w:p>
          <w:p w:rsidR="005A32E7" w:rsidRPr="00166609" w:rsidRDefault="00FD6BC8" w:rsidP="00FD6BC8">
            <w:pPr>
              <w:rPr>
                <w:szCs w:val="22"/>
                <w:lang w:eastAsia="en-GB"/>
              </w:rPr>
            </w:pPr>
            <w:r>
              <w:rPr>
                <w:szCs w:val="22"/>
                <w:lang w:eastAsia="en-GB"/>
              </w:rPr>
              <w:t>f</w:t>
            </w:r>
            <w:r w:rsidR="005A32E7" w:rsidRPr="00166609">
              <w:rPr>
                <w:szCs w:val="22"/>
                <w:lang w:eastAsia="en-GB"/>
              </w:rPr>
              <w:t>lammability must be addressed</w:t>
            </w:r>
          </w:p>
        </w:tc>
        <w:tc>
          <w:tcPr>
            <w:tcW w:w="2098" w:type="dxa"/>
            <w:shd w:val="clear" w:color="auto" w:fill="auto"/>
          </w:tcPr>
          <w:p w:rsidR="005A32E7" w:rsidRPr="00166609" w:rsidRDefault="005A32E7" w:rsidP="00791040">
            <w:pPr>
              <w:rPr>
                <w:szCs w:val="22"/>
                <w:lang w:eastAsia="en-GB"/>
              </w:rPr>
            </w:pPr>
            <w:r w:rsidRPr="00166609">
              <w:rPr>
                <w:szCs w:val="22"/>
                <w:lang w:eastAsia="en-GB"/>
              </w:rPr>
              <w:t>No significant change in type of technology and components</w:t>
            </w:r>
          </w:p>
        </w:tc>
        <w:tc>
          <w:tcPr>
            <w:tcW w:w="1985" w:type="dxa"/>
            <w:shd w:val="clear" w:color="auto" w:fill="auto"/>
          </w:tcPr>
          <w:p w:rsidR="005A32E7" w:rsidRPr="00A729D3" w:rsidRDefault="005A32E7" w:rsidP="00791040">
            <w:pPr>
              <w:rPr>
                <w:szCs w:val="22"/>
                <w:lang w:eastAsia="en-GB"/>
              </w:rPr>
            </w:pPr>
            <w:r w:rsidRPr="00166609">
              <w:rPr>
                <w:szCs w:val="22"/>
                <w:lang w:eastAsia="en-GB"/>
              </w:rPr>
              <w:t>Environmental policy risk throughout expected life of equipment unknown at present</w:t>
            </w:r>
          </w:p>
        </w:tc>
      </w:tr>
    </w:tbl>
    <w:p w:rsidR="005A32E7" w:rsidRPr="008A52E4" w:rsidRDefault="005A32E7" w:rsidP="005A32E7">
      <w:pPr>
        <w:spacing w:after="120"/>
        <w:rPr>
          <w:i/>
          <w:sz w:val="12"/>
          <w:szCs w:val="12"/>
        </w:rPr>
      </w:pPr>
    </w:p>
    <w:p w:rsidR="005A32E7" w:rsidRDefault="005A32E7" w:rsidP="005A32E7">
      <w:pPr>
        <w:spacing w:after="120"/>
        <w:rPr>
          <w:szCs w:val="22"/>
        </w:rPr>
      </w:pPr>
      <w:r>
        <w:rPr>
          <w:i/>
          <w:szCs w:val="22"/>
        </w:rPr>
        <w:t xml:space="preserve">4.2.3 </w:t>
      </w:r>
      <w:r w:rsidRPr="00E11535">
        <w:rPr>
          <w:i/>
          <w:szCs w:val="22"/>
        </w:rPr>
        <w:t>Option 3 – Refrigerant drop-in</w:t>
      </w:r>
      <w:r>
        <w:rPr>
          <w:szCs w:val="22"/>
        </w:rPr>
        <w:t xml:space="preserve"> </w:t>
      </w:r>
    </w:p>
    <w:p w:rsidR="005A32E7" w:rsidRDefault="005A32E7" w:rsidP="005A32E7">
      <w:pPr>
        <w:spacing w:after="120"/>
        <w:rPr>
          <w:szCs w:val="22"/>
          <w:lang w:eastAsia="en-GB"/>
        </w:rPr>
      </w:pPr>
      <w:r w:rsidRPr="003A33EC">
        <w:rPr>
          <w:szCs w:val="22"/>
        </w:rPr>
        <w:t xml:space="preserve">For </w:t>
      </w:r>
      <w:r>
        <w:rPr>
          <w:szCs w:val="22"/>
          <w:lang w:eastAsia="en-GB"/>
        </w:rPr>
        <w:t xml:space="preserve">systems with less than 10 to 15 years’ service life, a retrofit using a drop-in refrigerant becomes a feasible option, provided there is such a drop-in. </w:t>
      </w:r>
      <w:r>
        <w:rPr>
          <w:szCs w:val="22"/>
        </w:rPr>
        <w:t xml:space="preserve">At present, however, there is no low-GWP HFC available on the market that can be used as drop-in for on-board systems. As </w:t>
      </w:r>
      <w:r w:rsidR="009144C1">
        <w:rPr>
          <w:szCs w:val="22"/>
        </w:rPr>
        <w:t>mentioned above</w:t>
      </w:r>
      <w:r>
        <w:rPr>
          <w:szCs w:val="22"/>
        </w:rPr>
        <w:t xml:space="preserve">, </w:t>
      </w:r>
      <w:r w:rsidR="009144C1">
        <w:rPr>
          <w:szCs w:val="22"/>
        </w:rPr>
        <w:t xml:space="preserve">the situation with alternatives is evolving rapidly so that alternatives for this option </w:t>
      </w:r>
      <w:r>
        <w:rPr>
          <w:szCs w:val="22"/>
        </w:rPr>
        <w:t xml:space="preserve">may </w:t>
      </w:r>
      <w:r w:rsidR="009144C1">
        <w:rPr>
          <w:szCs w:val="22"/>
        </w:rPr>
        <w:t xml:space="preserve">become more apparent </w:t>
      </w:r>
      <w:r>
        <w:rPr>
          <w:szCs w:val="22"/>
        </w:rPr>
        <w:t>in the near future.</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5A32E7" w:rsidRPr="00A729D3" w:rsidTr="00791040">
        <w:trPr>
          <w:trHeight w:val="227"/>
          <w:jc w:val="center"/>
        </w:trPr>
        <w:tc>
          <w:tcPr>
            <w:tcW w:w="2155" w:type="dxa"/>
            <w:vMerge w:val="restart"/>
            <w:tcBorders>
              <w:top w:val="single" w:sz="18" w:space="0" w:color="auto"/>
            </w:tcBorders>
            <w:shd w:val="clear" w:color="auto" w:fill="auto"/>
          </w:tcPr>
          <w:p w:rsidR="005A32E7" w:rsidRPr="00A729D3" w:rsidRDefault="005A32E7"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5A32E7" w:rsidRPr="00A729D3" w:rsidRDefault="005A32E7" w:rsidP="00791040">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rsidR="005A32E7" w:rsidRPr="00A729D3" w:rsidRDefault="005A32E7" w:rsidP="00791040">
            <w:pPr>
              <w:jc w:val="center"/>
              <w:rPr>
                <w:szCs w:val="22"/>
                <w:lang w:eastAsia="en-GB"/>
              </w:rPr>
            </w:pPr>
            <w:r w:rsidRPr="00A729D3">
              <w:rPr>
                <w:szCs w:val="22"/>
                <w:lang w:eastAsia="en-GB"/>
              </w:rPr>
              <w:t>Technology risk</w:t>
            </w:r>
          </w:p>
          <w:p w:rsidR="005A32E7" w:rsidRPr="00A729D3" w:rsidRDefault="005A32E7" w:rsidP="00791040">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rsidR="005A32E7" w:rsidRPr="00A729D3" w:rsidRDefault="005A32E7" w:rsidP="00791040">
            <w:pPr>
              <w:jc w:val="center"/>
              <w:rPr>
                <w:szCs w:val="22"/>
                <w:lang w:eastAsia="en-GB"/>
              </w:rPr>
            </w:pPr>
            <w:r w:rsidRPr="00A729D3">
              <w:rPr>
                <w:szCs w:val="22"/>
                <w:lang w:eastAsia="en-GB"/>
              </w:rPr>
              <w:t>Regulatory and environmental risk</w:t>
            </w:r>
          </w:p>
          <w:p w:rsidR="005A32E7" w:rsidRPr="00A729D3" w:rsidRDefault="005A32E7" w:rsidP="00791040">
            <w:pPr>
              <w:jc w:val="center"/>
              <w:rPr>
                <w:szCs w:val="22"/>
                <w:lang w:eastAsia="en-GB"/>
              </w:rPr>
            </w:pPr>
            <w:r w:rsidRPr="00A729D3">
              <w:rPr>
                <w:szCs w:val="22"/>
                <w:lang w:eastAsia="en-GB"/>
              </w:rPr>
              <w:t>(10 years horizon)</w:t>
            </w:r>
          </w:p>
        </w:tc>
      </w:tr>
      <w:tr w:rsidR="005A32E7" w:rsidRPr="00A729D3" w:rsidTr="00791040">
        <w:trPr>
          <w:trHeight w:val="517"/>
          <w:jc w:val="center"/>
        </w:trPr>
        <w:tc>
          <w:tcPr>
            <w:tcW w:w="2155" w:type="dxa"/>
            <w:vMerge/>
            <w:tcBorders>
              <w:bottom w:val="single" w:sz="4" w:space="0" w:color="auto"/>
            </w:tcBorders>
            <w:shd w:val="clear" w:color="auto" w:fill="auto"/>
          </w:tcPr>
          <w:p w:rsidR="005A32E7" w:rsidRPr="00A729D3" w:rsidRDefault="005A32E7" w:rsidP="00791040">
            <w:pPr>
              <w:rPr>
                <w:szCs w:val="22"/>
                <w:lang w:eastAsia="en-GB"/>
              </w:rPr>
            </w:pPr>
          </w:p>
        </w:tc>
        <w:tc>
          <w:tcPr>
            <w:tcW w:w="1418" w:type="dxa"/>
            <w:tcBorders>
              <w:top w:val="single" w:sz="4" w:space="0" w:color="auto"/>
              <w:bottom w:val="single" w:sz="4" w:space="0" w:color="auto"/>
            </w:tcBorders>
            <w:shd w:val="clear" w:color="auto" w:fill="auto"/>
            <w:vAlign w:val="center"/>
          </w:tcPr>
          <w:p w:rsidR="005A32E7" w:rsidRPr="00A729D3" w:rsidRDefault="005A32E7"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5A32E7" w:rsidRPr="00A729D3" w:rsidRDefault="005A32E7" w:rsidP="00791040">
            <w:pPr>
              <w:jc w:val="center"/>
              <w:rPr>
                <w:szCs w:val="22"/>
                <w:lang w:eastAsia="en-GB"/>
              </w:rPr>
            </w:pPr>
            <w:r w:rsidRPr="00A729D3">
              <w:rPr>
                <w:szCs w:val="22"/>
                <w:lang w:eastAsia="en-GB"/>
              </w:rPr>
              <w:t>Operating</w:t>
            </w:r>
          </w:p>
          <w:p w:rsidR="005A32E7" w:rsidRPr="00A729D3" w:rsidRDefault="005A32E7" w:rsidP="00791040">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rsidR="005A32E7" w:rsidRPr="00A729D3" w:rsidRDefault="005A32E7" w:rsidP="00791040">
            <w:pPr>
              <w:jc w:val="center"/>
              <w:rPr>
                <w:szCs w:val="22"/>
                <w:lang w:eastAsia="en-GB"/>
              </w:rPr>
            </w:pPr>
          </w:p>
        </w:tc>
        <w:tc>
          <w:tcPr>
            <w:tcW w:w="1985" w:type="dxa"/>
            <w:vMerge/>
            <w:tcBorders>
              <w:bottom w:val="single" w:sz="4" w:space="0" w:color="auto"/>
            </w:tcBorders>
            <w:shd w:val="clear" w:color="auto" w:fill="auto"/>
          </w:tcPr>
          <w:p w:rsidR="005A32E7" w:rsidRPr="00A729D3" w:rsidRDefault="005A32E7" w:rsidP="00791040">
            <w:pPr>
              <w:jc w:val="center"/>
              <w:rPr>
                <w:szCs w:val="22"/>
                <w:lang w:eastAsia="en-GB"/>
              </w:rPr>
            </w:pPr>
          </w:p>
        </w:tc>
      </w:tr>
      <w:tr w:rsidR="005A32E7" w:rsidRPr="00A729D3" w:rsidTr="00791040">
        <w:trPr>
          <w:jc w:val="center"/>
        </w:trPr>
        <w:tc>
          <w:tcPr>
            <w:tcW w:w="2155" w:type="dxa"/>
            <w:tcBorders>
              <w:top w:val="single" w:sz="4" w:space="0" w:color="auto"/>
              <w:bottom w:val="single" w:sz="18" w:space="0" w:color="auto"/>
            </w:tcBorders>
          </w:tcPr>
          <w:p w:rsidR="005A32E7" w:rsidRPr="00A729D3" w:rsidRDefault="005A32E7" w:rsidP="00791040">
            <w:pPr>
              <w:rPr>
                <w:szCs w:val="22"/>
                <w:lang w:eastAsia="en-GB"/>
              </w:rPr>
            </w:pPr>
          </w:p>
        </w:tc>
        <w:tc>
          <w:tcPr>
            <w:tcW w:w="1418" w:type="dxa"/>
            <w:tcBorders>
              <w:top w:val="single" w:sz="4" w:space="0" w:color="auto"/>
              <w:bottom w:val="single" w:sz="18" w:space="0" w:color="auto"/>
            </w:tcBorders>
            <w:shd w:val="clear" w:color="auto" w:fill="FF0000"/>
            <w:vAlign w:val="center"/>
          </w:tcPr>
          <w:p w:rsidR="005A32E7" w:rsidRPr="004E3953" w:rsidRDefault="005A32E7" w:rsidP="00791040">
            <w:pPr>
              <w:jc w:val="center"/>
              <w:rPr>
                <w:color w:val="FF0000"/>
                <w:szCs w:val="22"/>
                <w:lang w:eastAsia="en-GB"/>
              </w:rPr>
            </w:pPr>
            <w:r>
              <w:rPr>
                <w:szCs w:val="22"/>
                <w:lang w:eastAsia="en-GB"/>
              </w:rPr>
              <w:t>Unknown</w:t>
            </w:r>
          </w:p>
        </w:tc>
        <w:tc>
          <w:tcPr>
            <w:tcW w:w="1418" w:type="dxa"/>
            <w:tcBorders>
              <w:top w:val="single" w:sz="4" w:space="0" w:color="auto"/>
              <w:bottom w:val="single" w:sz="18" w:space="0" w:color="auto"/>
            </w:tcBorders>
            <w:shd w:val="clear" w:color="auto" w:fill="FF0000"/>
            <w:vAlign w:val="center"/>
          </w:tcPr>
          <w:p w:rsidR="005A32E7" w:rsidRPr="00A729D3" w:rsidRDefault="005A32E7" w:rsidP="00791040">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rsidR="005A32E7" w:rsidRPr="00A729D3" w:rsidRDefault="005A32E7" w:rsidP="00791040">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rsidR="005A32E7" w:rsidRPr="00D962E0" w:rsidRDefault="005A32E7" w:rsidP="00791040">
            <w:pPr>
              <w:jc w:val="center"/>
              <w:rPr>
                <w:color w:val="auto"/>
                <w:szCs w:val="22"/>
                <w:lang w:eastAsia="en-GB"/>
              </w:rPr>
            </w:pPr>
            <w:r>
              <w:rPr>
                <w:color w:val="auto"/>
                <w:szCs w:val="22"/>
                <w:lang w:eastAsia="en-GB"/>
              </w:rPr>
              <w:t>Unknown</w:t>
            </w:r>
          </w:p>
        </w:tc>
      </w:tr>
      <w:tr w:rsidR="005A32E7" w:rsidRPr="00A729D3" w:rsidTr="00791040">
        <w:trPr>
          <w:jc w:val="center"/>
        </w:trPr>
        <w:tc>
          <w:tcPr>
            <w:tcW w:w="9074" w:type="dxa"/>
            <w:gridSpan w:val="5"/>
            <w:shd w:val="clear" w:color="auto" w:fill="auto"/>
          </w:tcPr>
          <w:p w:rsidR="005A32E7" w:rsidRPr="00A729D3" w:rsidRDefault="005A32E7" w:rsidP="00791040">
            <w:pPr>
              <w:rPr>
                <w:b/>
                <w:i/>
                <w:szCs w:val="22"/>
                <w:lang w:eastAsia="en-GB"/>
              </w:rPr>
            </w:pPr>
            <w:r w:rsidRPr="00A729D3">
              <w:rPr>
                <w:b/>
                <w:i/>
                <w:szCs w:val="22"/>
                <w:lang w:eastAsia="en-GB"/>
              </w:rPr>
              <w:t xml:space="preserve">Option 3 – </w:t>
            </w:r>
            <w:r w:rsidRPr="00A729D3">
              <w:rPr>
                <w:b/>
                <w:i/>
              </w:rPr>
              <w:t>Refrigerant</w:t>
            </w:r>
            <w:r>
              <w:t xml:space="preserve"> </w:t>
            </w:r>
            <w:r w:rsidRPr="00E11535">
              <w:rPr>
                <w:b/>
                <w:i/>
              </w:rPr>
              <w:t>drop-in</w:t>
            </w:r>
          </w:p>
        </w:tc>
      </w:tr>
      <w:tr w:rsidR="005A32E7" w:rsidRPr="00A729D3" w:rsidTr="00791040">
        <w:trPr>
          <w:jc w:val="center"/>
        </w:trPr>
        <w:tc>
          <w:tcPr>
            <w:tcW w:w="2155" w:type="dxa"/>
            <w:shd w:val="clear" w:color="auto" w:fill="auto"/>
          </w:tcPr>
          <w:p w:rsidR="005A32E7" w:rsidRPr="00A729D3" w:rsidRDefault="005A32E7" w:rsidP="00791040">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rsidR="005A32E7" w:rsidRPr="00A729D3" w:rsidRDefault="005A32E7" w:rsidP="00791040">
            <w:pPr>
              <w:rPr>
                <w:szCs w:val="22"/>
                <w:lang w:eastAsia="en-GB"/>
              </w:rPr>
            </w:pPr>
            <w:r w:rsidRPr="00A729D3">
              <w:rPr>
                <w:szCs w:val="22"/>
                <w:lang w:eastAsia="en-GB"/>
              </w:rPr>
              <w:t>Requires improvement of refrigerant containment</w:t>
            </w:r>
          </w:p>
        </w:tc>
        <w:tc>
          <w:tcPr>
            <w:tcW w:w="1418" w:type="dxa"/>
            <w:shd w:val="clear" w:color="auto" w:fill="auto"/>
          </w:tcPr>
          <w:p w:rsidR="005A32E7" w:rsidRDefault="005A32E7" w:rsidP="00791040">
            <w:pPr>
              <w:rPr>
                <w:szCs w:val="22"/>
                <w:lang w:eastAsia="en-GB"/>
              </w:rPr>
            </w:pPr>
            <w:r w:rsidRPr="00A729D3">
              <w:rPr>
                <w:szCs w:val="22"/>
                <w:lang w:eastAsia="en-GB"/>
              </w:rPr>
              <w:t xml:space="preserve">Cost of refrigerants at present unknown </w:t>
            </w:r>
          </w:p>
          <w:p w:rsidR="005A32E7" w:rsidRPr="00A729D3" w:rsidRDefault="00FD6BC8" w:rsidP="00FD6BC8">
            <w:pPr>
              <w:rPr>
                <w:szCs w:val="22"/>
                <w:lang w:eastAsia="en-GB"/>
              </w:rPr>
            </w:pPr>
            <w:r>
              <w:rPr>
                <w:szCs w:val="22"/>
                <w:lang w:eastAsia="en-GB"/>
              </w:rPr>
              <w:t>f</w:t>
            </w:r>
            <w:r w:rsidR="005A32E7">
              <w:rPr>
                <w:szCs w:val="22"/>
                <w:lang w:eastAsia="en-GB"/>
              </w:rPr>
              <w:t>lammability must be addressed</w:t>
            </w:r>
          </w:p>
        </w:tc>
        <w:tc>
          <w:tcPr>
            <w:tcW w:w="2098" w:type="dxa"/>
            <w:shd w:val="clear" w:color="auto" w:fill="auto"/>
          </w:tcPr>
          <w:p w:rsidR="005A32E7" w:rsidRPr="00A729D3" w:rsidRDefault="005A32E7" w:rsidP="00791040">
            <w:pPr>
              <w:rPr>
                <w:szCs w:val="22"/>
                <w:lang w:eastAsia="en-GB"/>
              </w:rPr>
            </w:pPr>
            <w:r w:rsidRPr="00A729D3">
              <w:rPr>
                <w:szCs w:val="22"/>
                <w:lang w:eastAsia="en-GB"/>
              </w:rPr>
              <w:t>No significant change in type of technology and components</w:t>
            </w:r>
          </w:p>
        </w:tc>
        <w:tc>
          <w:tcPr>
            <w:tcW w:w="1985" w:type="dxa"/>
            <w:shd w:val="clear" w:color="auto" w:fill="auto"/>
          </w:tcPr>
          <w:p w:rsidR="005A32E7" w:rsidRPr="00A729D3" w:rsidRDefault="005A32E7" w:rsidP="00791040">
            <w:pPr>
              <w:rPr>
                <w:szCs w:val="22"/>
                <w:lang w:eastAsia="en-GB"/>
              </w:rPr>
            </w:pPr>
            <w:r w:rsidRPr="00A729D3">
              <w:rPr>
                <w:szCs w:val="22"/>
                <w:lang w:eastAsia="en-GB"/>
              </w:rPr>
              <w:t>Environmental policy risk throughout expected life of equipment unknown at present</w:t>
            </w:r>
          </w:p>
        </w:tc>
      </w:tr>
    </w:tbl>
    <w:p w:rsidR="005A32E7" w:rsidRDefault="005A32E7" w:rsidP="005A32E7">
      <w:pPr>
        <w:spacing w:after="120"/>
        <w:rPr>
          <w:szCs w:val="22"/>
          <w:lang w:eastAsia="en-GB"/>
        </w:rPr>
      </w:pPr>
    </w:p>
    <w:p w:rsidR="000F658F" w:rsidRDefault="000F658F" w:rsidP="000F658F">
      <w:pPr>
        <w:spacing w:after="120"/>
        <w:rPr>
          <w:szCs w:val="22"/>
        </w:rPr>
      </w:pPr>
      <w:r>
        <w:rPr>
          <w:i/>
          <w:szCs w:val="22"/>
        </w:rPr>
        <w:t xml:space="preserve">4.2.4 </w:t>
      </w:r>
      <w:r w:rsidR="00146B22" w:rsidRPr="0028563F">
        <w:rPr>
          <w:i/>
          <w:szCs w:val="22"/>
        </w:rPr>
        <w:t xml:space="preserve">Option </w:t>
      </w:r>
      <w:r w:rsidR="00146B22">
        <w:rPr>
          <w:i/>
          <w:szCs w:val="22"/>
        </w:rPr>
        <w:t>4</w:t>
      </w:r>
      <w:r w:rsidR="00146B22" w:rsidRPr="0028563F">
        <w:rPr>
          <w:i/>
          <w:szCs w:val="22"/>
        </w:rPr>
        <w:t xml:space="preserve"> – </w:t>
      </w:r>
      <w:r w:rsidR="00146B22">
        <w:rPr>
          <w:i/>
          <w:szCs w:val="22"/>
        </w:rPr>
        <w:t>Maintaining HCFC-22</w:t>
      </w:r>
      <w:r w:rsidR="00146B22">
        <w:rPr>
          <w:szCs w:val="22"/>
        </w:rPr>
        <w:t xml:space="preserve"> </w:t>
      </w:r>
    </w:p>
    <w:p w:rsidR="00146B22" w:rsidRDefault="00146B22" w:rsidP="000F658F">
      <w:pPr>
        <w:spacing w:after="120"/>
        <w:rPr>
          <w:szCs w:val="22"/>
          <w:lang w:eastAsia="en-GB"/>
        </w:rPr>
      </w:pPr>
      <w:r>
        <w:rPr>
          <w:szCs w:val="22"/>
        </w:rPr>
        <w:t xml:space="preserve">Considering the current problems in finding proper solutions for the retrofit of on-board systems equipped with HCFC-22, one reasonable option could be </w:t>
      </w:r>
      <w:r w:rsidR="00373AA3">
        <w:rPr>
          <w:szCs w:val="22"/>
        </w:rPr>
        <w:t xml:space="preserve">to </w:t>
      </w:r>
      <w:r>
        <w:rPr>
          <w:szCs w:val="22"/>
        </w:rPr>
        <w:t>keep</w:t>
      </w:r>
      <w:r w:rsidR="00373AA3">
        <w:rPr>
          <w:szCs w:val="22"/>
        </w:rPr>
        <w:t xml:space="preserve"> using HCFC-22 </w:t>
      </w:r>
      <w:r>
        <w:rPr>
          <w:szCs w:val="22"/>
        </w:rPr>
        <w:t xml:space="preserve">in the system for a few </w:t>
      </w:r>
      <w:r w:rsidR="00373AA3">
        <w:rPr>
          <w:szCs w:val="22"/>
        </w:rPr>
        <w:t xml:space="preserve">more </w:t>
      </w:r>
      <w:r>
        <w:rPr>
          <w:szCs w:val="22"/>
        </w:rPr>
        <w:t>years, until the end of the ship life cycle or until a cost and environmentally effective solution becomes available. The time horizon for this type of option should be no more than 4-5 years and the target should be those on-board plants with more than 10-15 years’ service life remaining. Maintaining HCFC-22 would require the contextual execution of some actions that increase operational efficiency</w:t>
      </w:r>
      <w:r>
        <w:rPr>
          <w:szCs w:val="22"/>
          <w:lang w:eastAsia="en-GB"/>
        </w:rPr>
        <w:t>.</w:t>
      </w:r>
    </w:p>
    <w:p w:rsidR="005A32E7" w:rsidRDefault="005A32E7" w:rsidP="008A52E4">
      <w:pPr>
        <w:spacing w:after="160"/>
        <w:rPr>
          <w:szCs w:val="22"/>
        </w:rPr>
      </w:pPr>
      <w:r>
        <w:rPr>
          <w:szCs w:val="22"/>
        </w:rPr>
        <w:lastRenderedPageBreak/>
        <w:t xml:space="preserve">One aspect to be considered is how to </w:t>
      </w:r>
      <w:r>
        <w:rPr>
          <w:szCs w:val="22"/>
          <w:lang w:eastAsia="en-GB"/>
        </w:rPr>
        <w:t>meet regulatory requirement of product importers, especially when non-flagged vessels are involved.</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146B22" w:rsidRPr="00A729D3" w:rsidTr="004C4FC8">
        <w:trPr>
          <w:trHeight w:val="227"/>
          <w:jc w:val="center"/>
        </w:trPr>
        <w:tc>
          <w:tcPr>
            <w:tcW w:w="2155" w:type="dxa"/>
            <w:vMerge w:val="restart"/>
            <w:tcBorders>
              <w:top w:val="single" w:sz="18" w:space="0" w:color="auto"/>
            </w:tcBorders>
            <w:shd w:val="clear" w:color="auto" w:fill="auto"/>
          </w:tcPr>
          <w:p w:rsidR="00146B22" w:rsidRPr="00A729D3" w:rsidRDefault="00146B22" w:rsidP="008A52E4">
            <w:pPr>
              <w:spacing w:after="160"/>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146B22" w:rsidRPr="00A729D3" w:rsidRDefault="00146B22" w:rsidP="004C4FC8">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rsidR="00146B22" w:rsidRPr="00A729D3" w:rsidRDefault="00146B22" w:rsidP="004C4FC8">
            <w:pPr>
              <w:jc w:val="center"/>
              <w:rPr>
                <w:szCs w:val="22"/>
                <w:lang w:eastAsia="en-GB"/>
              </w:rPr>
            </w:pPr>
            <w:r w:rsidRPr="00A729D3">
              <w:rPr>
                <w:szCs w:val="22"/>
                <w:lang w:eastAsia="en-GB"/>
              </w:rPr>
              <w:t>Technology risk</w:t>
            </w:r>
          </w:p>
          <w:p w:rsidR="00146B22" w:rsidRPr="00A729D3" w:rsidRDefault="00146B22" w:rsidP="004C4FC8">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rsidR="00146B22" w:rsidRPr="00A729D3" w:rsidRDefault="00146B22" w:rsidP="004C4FC8">
            <w:pPr>
              <w:jc w:val="center"/>
              <w:rPr>
                <w:szCs w:val="22"/>
                <w:lang w:eastAsia="en-GB"/>
              </w:rPr>
            </w:pPr>
            <w:r w:rsidRPr="00A729D3">
              <w:rPr>
                <w:szCs w:val="22"/>
                <w:lang w:eastAsia="en-GB"/>
              </w:rPr>
              <w:t>Regulatory and environmental risk</w:t>
            </w:r>
          </w:p>
          <w:p w:rsidR="00146B22" w:rsidRPr="00A729D3" w:rsidRDefault="00146B22" w:rsidP="004C4FC8">
            <w:pPr>
              <w:jc w:val="center"/>
              <w:rPr>
                <w:szCs w:val="22"/>
                <w:lang w:eastAsia="en-GB"/>
              </w:rPr>
            </w:pPr>
            <w:r w:rsidRPr="00A729D3">
              <w:rPr>
                <w:szCs w:val="22"/>
                <w:lang w:eastAsia="en-GB"/>
              </w:rPr>
              <w:t>(10 years horizon)</w:t>
            </w:r>
          </w:p>
        </w:tc>
      </w:tr>
      <w:tr w:rsidR="00146B22" w:rsidRPr="00A729D3" w:rsidTr="004C4FC8">
        <w:trPr>
          <w:trHeight w:val="517"/>
          <w:jc w:val="center"/>
        </w:trPr>
        <w:tc>
          <w:tcPr>
            <w:tcW w:w="2155" w:type="dxa"/>
            <w:vMerge/>
            <w:tcBorders>
              <w:bottom w:val="single" w:sz="4" w:space="0" w:color="auto"/>
            </w:tcBorders>
            <w:shd w:val="clear" w:color="auto" w:fill="auto"/>
          </w:tcPr>
          <w:p w:rsidR="00146B22" w:rsidRPr="00A729D3" w:rsidRDefault="00146B22" w:rsidP="004C4FC8">
            <w:pPr>
              <w:rPr>
                <w:szCs w:val="22"/>
                <w:lang w:eastAsia="en-GB"/>
              </w:rPr>
            </w:pPr>
          </w:p>
        </w:tc>
        <w:tc>
          <w:tcPr>
            <w:tcW w:w="1418" w:type="dxa"/>
            <w:tcBorders>
              <w:top w:val="single" w:sz="4" w:space="0" w:color="auto"/>
              <w:bottom w:val="single" w:sz="4" w:space="0" w:color="auto"/>
            </w:tcBorders>
            <w:shd w:val="clear" w:color="auto" w:fill="auto"/>
            <w:vAlign w:val="center"/>
          </w:tcPr>
          <w:p w:rsidR="00146B22" w:rsidRPr="00A729D3" w:rsidRDefault="00146B22" w:rsidP="004C4FC8">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146B22" w:rsidRPr="00A729D3" w:rsidRDefault="00146B22" w:rsidP="004C4FC8">
            <w:pPr>
              <w:jc w:val="center"/>
              <w:rPr>
                <w:szCs w:val="22"/>
                <w:lang w:eastAsia="en-GB"/>
              </w:rPr>
            </w:pPr>
            <w:r w:rsidRPr="00A729D3">
              <w:rPr>
                <w:szCs w:val="22"/>
                <w:lang w:eastAsia="en-GB"/>
              </w:rPr>
              <w:t>Operating</w:t>
            </w:r>
          </w:p>
          <w:p w:rsidR="00146B22" w:rsidRPr="00A729D3" w:rsidRDefault="00146B22" w:rsidP="004C4FC8">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rsidR="00146B22" w:rsidRPr="00A729D3" w:rsidRDefault="00146B22" w:rsidP="004C4FC8">
            <w:pPr>
              <w:jc w:val="center"/>
              <w:rPr>
                <w:szCs w:val="22"/>
                <w:lang w:eastAsia="en-GB"/>
              </w:rPr>
            </w:pPr>
          </w:p>
        </w:tc>
        <w:tc>
          <w:tcPr>
            <w:tcW w:w="1985" w:type="dxa"/>
            <w:vMerge/>
            <w:tcBorders>
              <w:bottom w:val="single" w:sz="4" w:space="0" w:color="auto"/>
            </w:tcBorders>
            <w:shd w:val="clear" w:color="auto" w:fill="auto"/>
          </w:tcPr>
          <w:p w:rsidR="00146B22" w:rsidRPr="00A729D3" w:rsidRDefault="00146B22" w:rsidP="004C4FC8">
            <w:pPr>
              <w:jc w:val="center"/>
              <w:rPr>
                <w:szCs w:val="22"/>
                <w:lang w:eastAsia="en-GB"/>
              </w:rPr>
            </w:pPr>
          </w:p>
        </w:tc>
      </w:tr>
      <w:tr w:rsidR="00146B22" w:rsidRPr="00A729D3" w:rsidTr="004C4FC8">
        <w:trPr>
          <w:jc w:val="center"/>
        </w:trPr>
        <w:tc>
          <w:tcPr>
            <w:tcW w:w="2155" w:type="dxa"/>
            <w:tcBorders>
              <w:top w:val="single" w:sz="4" w:space="0" w:color="auto"/>
              <w:bottom w:val="single" w:sz="18" w:space="0" w:color="auto"/>
            </w:tcBorders>
            <w:shd w:val="clear" w:color="auto" w:fill="auto"/>
          </w:tcPr>
          <w:p w:rsidR="00146B22" w:rsidRPr="00A729D3" w:rsidRDefault="00146B22" w:rsidP="004C4FC8">
            <w:pPr>
              <w:rPr>
                <w:szCs w:val="22"/>
                <w:lang w:eastAsia="en-GB"/>
              </w:rPr>
            </w:pPr>
          </w:p>
        </w:tc>
        <w:tc>
          <w:tcPr>
            <w:tcW w:w="1418" w:type="dxa"/>
            <w:tcBorders>
              <w:top w:val="single" w:sz="4" w:space="0" w:color="auto"/>
              <w:bottom w:val="single" w:sz="18" w:space="0" w:color="auto"/>
            </w:tcBorders>
            <w:shd w:val="clear" w:color="auto" w:fill="92D050"/>
            <w:vAlign w:val="center"/>
          </w:tcPr>
          <w:p w:rsidR="00146B22" w:rsidRPr="00A729D3" w:rsidRDefault="00146B22" w:rsidP="004C4FC8">
            <w:pPr>
              <w:jc w:val="center"/>
              <w:rPr>
                <w:szCs w:val="22"/>
                <w:lang w:eastAsia="en-GB"/>
              </w:rPr>
            </w:pPr>
            <w:r w:rsidRPr="00A729D3">
              <w:rPr>
                <w:szCs w:val="22"/>
                <w:lang w:eastAsia="en-GB"/>
              </w:rPr>
              <w:t>Low</w:t>
            </w:r>
          </w:p>
        </w:tc>
        <w:tc>
          <w:tcPr>
            <w:tcW w:w="1418" w:type="dxa"/>
            <w:tcBorders>
              <w:top w:val="single" w:sz="4" w:space="0" w:color="auto"/>
              <w:bottom w:val="single" w:sz="18" w:space="0" w:color="auto"/>
            </w:tcBorders>
            <w:shd w:val="clear" w:color="auto" w:fill="FF0000"/>
            <w:vAlign w:val="center"/>
          </w:tcPr>
          <w:p w:rsidR="00146B22" w:rsidRPr="00A729D3" w:rsidRDefault="00146B22" w:rsidP="004C4FC8">
            <w:pPr>
              <w:jc w:val="center"/>
              <w:rPr>
                <w:szCs w:val="22"/>
                <w:lang w:eastAsia="en-GB"/>
              </w:rPr>
            </w:pPr>
            <w:r w:rsidRPr="00A729D3">
              <w:rPr>
                <w:szCs w:val="22"/>
                <w:lang w:eastAsia="en-GB"/>
              </w:rPr>
              <w:t>High</w:t>
            </w:r>
          </w:p>
        </w:tc>
        <w:tc>
          <w:tcPr>
            <w:tcW w:w="2098" w:type="dxa"/>
            <w:tcBorders>
              <w:top w:val="single" w:sz="4" w:space="0" w:color="auto"/>
              <w:bottom w:val="single" w:sz="18" w:space="0" w:color="auto"/>
            </w:tcBorders>
            <w:shd w:val="clear" w:color="auto" w:fill="92D050"/>
            <w:vAlign w:val="center"/>
          </w:tcPr>
          <w:p w:rsidR="00146B22" w:rsidRPr="00A729D3" w:rsidRDefault="00146B22" w:rsidP="004C4FC8">
            <w:pPr>
              <w:jc w:val="center"/>
              <w:rPr>
                <w:szCs w:val="22"/>
                <w:lang w:eastAsia="en-GB"/>
              </w:rPr>
            </w:pPr>
            <w:r w:rsidRPr="00A729D3">
              <w:rPr>
                <w:szCs w:val="22"/>
                <w:lang w:eastAsia="en-GB"/>
              </w:rPr>
              <w:t>Low</w:t>
            </w:r>
          </w:p>
        </w:tc>
        <w:tc>
          <w:tcPr>
            <w:tcW w:w="1985" w:type="dxa"/>
            <w:tcBorders>
              <w:top w:val="single" w:sz="4" w:space="0" w:color="auto"/>
              <w:bottom w:val="single" w:sz="18" w:space="0" w:color="auto"/>
            </w:tcBorders>
            <w:shd w:val="clear" w:color="auto" w:fill="FF0000"/>
            <w:vAlign w:val="center"/>
          </w:tcPr>
          <w:p w:rsidR="00146B22" w:rsidRPr="00A729D3" w:rsidRDefault="00146B22" w:rsidP="004C4FC8">
            <w:pPr>
              <w:jc w:val="center"/>
              <w:rPr>
                <w:szCs w:val="22"/>
                <w:lang w:eastAsia="en-GB"/>
              </w:rPr>
            </w:pPr>
            <w:r w:rsidRPr="00A729D3">
              <w:rPr>
                <w:szCs w:val="22"/>
                <w:lang w:eastAsia="en-GB"/>
              </w:rPr>
              <w:t>Very high</w:t>
            </w:r>
          </w:p>
        </w:tc>
      </w:tr>
      <w:tr w:rsidR="00146B22" w:rsidRPr="00A729D3" w:rsidTr="004C4FC8">
        <w:trPr>
          <w:jc w:val="center"/>
        </w:trPr>
        <w:tc>
          <w:tcPr>
            <w:tcW w:w="9074" w:type="dxa"/>
            <w:gridSpan w:val="5"/>
            <w:tcBorders>
              <w:top w:val="single" w:sz="18" w:space="0" w:color="auto"/>
            </w:tcBorders>
            <w:shd w:val="clear" w:color="auto" w:fill="auto"/>
          </w:tcPr>
          <w:p w:rsidR="00146B22" w:rsidRPr="00A729D3" w:rsidRDefault="00146B22" w:rsidP="004C4FC8">
            <w:pPr>
              <w:rPr>
                <w:b/>
                <w:i/>
                <w:szCs w:val="22"/>
                <w:lang w:eastAsia="en-GB"/>
              </w:rPr>
            </w:pPr>
            <w:r w:rsidRPr="00A729D3">
              <w:rPr>
                <w:b/>
                <w:i/>
                <w:szCs w:val="22"/>
                <w:lang w:eastAsia="en-GB"/>
              </w:rPr>
              <w:t>Option 4 – Maintaining HCFC-22</w:t>
            </w:r>
          </w:p>
        </w:tc>
      </w:tr>
      <w:tr w:rsidR="00146B22" w:rsidRPr="00A729D3" w:rsidTr="004C4FC8">
        <w:trPr>
          <w:jc w:val="center"/>
        </w:trPr>
        <w:tc>
          <w:tcPr>
            <w:tcW w:w="2155" w:type="dxa"/>
            <w:shd w:val="clear" w:color="auto" w:fill="auto"/>
          </w:tcPr>
          <w:p w:rsidR="00146B22" w:rsidRPr="00A729D3" w:rsidRDefault="00146B22" w:rsidP="004C4FC8">
            <w:pPr>
              <w:rPr>
                <w:szCs w:val="22"/>
                <w:lang w:eastAsia="en-GB"/>
              </w:rPr>
            </w:pPr>
            <w:r w:rsidRPr="00A729D3">
              <w:rPr>
                <w:szCs w:val="22"/>
                <w:lang w:eastAsia="en-GB"/>
              </w:rPr>
              <w:t>Existing plant, operating with HCFC-22, with improved containment</w:t>
            </w:r>
          </w:p>
          <w:p w:rsidR="00146B22" w:rsidRPr="00A729D3" w:rsidRDefault="00146B22" w:rsidP="004C4FC8">
            <w:pPr>
              <w:rPr>
                <w:szCs w:val="22"/>
                <w:lang w:eastAsia="en-GB"/>
              </w:rPr>
            </w:pPr>
            <w:r w:rsidRPr="00A729D3">
              <w:rPr>
                <w:szCs w:val="22"/>
                <w:lang w:eastAsia="en-GB"/>
              </w:rPr>
              <w:t>Short term solution (max 4-5 years)</w:t>
            </w:r>
          </w:p>
          <w:p w:rsidR="00146B22" w:rsidRPr="00A729D3" w:rsidRDefault="00146B22" w:rsidP="004C4FC8">
            <w:pPr>
              <w:rPr>
                <w:szCs w:val="22"/>
                <w:lang w:eastAsia="en-GB"/>
              </w:rPr>
            </w:pPr>
            <w:r w:rsidRPr="00A729D3">
              <w:rPr>
                <w:szCs w:val="22"/>
                <w:lang w:eastAsia="en-GB"/>
              </w:rPr>
              <w:t xml:space="preserve">May not be practical </w:t>
            </w:r>
            <w:r>
              <w:rPr>
                <w:szCs w:val="22"/>
                <w:lang w:eastAsia="en-GB"/>
              </w:rPr>
              <w:t>for</w:t>
            </w:r>
            <w:r w:rsidRPr="00A729D3">
              <w:rPr>
                <w:szCs w:val="22"/>
                <w:lang w:eastAsia="en-GB"/>
              </w:rPr>
              <w:t xml:space="preserve"> all vessels</w:t>
            </w:r>
          </w:p>
        </w:tc>
        <w:tc>
          <w:tcPr>
            <w:tcW w:w="1418" w:type="dxa"/>
            <w:shd w:val="clear" w:color="auto" w:fill="auto"/>
          </w:tcPr>
          <w:p w:rsidR="00146B22" w:rsidRPr="00A729D3" w:rsidRDefault="00146B22" w:rsidP="004C4FC8">
            <w:pPr>
              <w:rPr>
                <w:szCs w:val="22"/>
                <w:lang w:eastAsia="en-GB"/>
              </w:rPr>
            </w:pPr>
            <w:r w:rsidRPr="00A729D3">
              <w:rPr>
                <w:szCs w:val="22"/>
                <w:lang w:eastAsia="en-GB"/>
              </w:rPr>
              <w:t>Requires improvement of refrigerant containment</w:t>
            </w:r>
          </w:p>
        </w:tc>
        <w:tc>
          <w:tcPr>
            <w:tcW w:w="1418" w:type="dxa"/>
            <w:shd w:val="clear" w:color="auto" w:fill="auto"/>
          </w:tcPr>
          <w:p w:rsidR="00146B22" w:rsidRPr="00A729D3" w:rsidRDefault="00146B22" w:rsidP="004C4FC8">
            <w:pPr>
              <w:rPr>
                <w:szCs w:val="22"/>
                <w:lang w:eastAsia="en-GB"/>
              </w:rPr>
            </w:pPr>
            <w:r w:rsidRPr="00A729D3">
              <w:rPr>
                <w:szCs w:val="22"/>
                <w:lang w:eastAsia="en-GB"/>
              </w:rPr>
              <w:t>HCFC-22 price expected to increase</w:t>
            </w:r>
          </w:p>
        </w:tc>
        <w:tc>
          <w:tcPr>
            <w:tcW w:w="2098" w:type="dxa"/>
            <w:shd w:val="clear" w:color="auto" w:fill="auto"/>
          </w:tcPr>
          <w:p w:rsidR="00146B22" w:rsidRPr="00A729D3" w:rsidRDefault="00146B22" w:rsidP="004C4FC8">
            <w:pPr>
              <w:rPr>
                <w:szCs w:val="22"/>
                <w:lang w:eastAsia="en-GB"/>
              </w:rPr>
            </w:pPr>
            <w:r w:rsidRPr="00A729D3">
              <w:rPr>
                <w:szCs w:val="22"/>
                <w:lang w:eastAsia="en-GB"/>
              </w:rPr>
              <w:t xml:space="preserve">No change in technology </w:t>
            </w:r>
          </w:p>
          <w:p w:rsidR="00146B22" w:rsidRPr="00A729D3" w:rsidRDefault="00146B22" w:rsidP="004C4FC8">
            <w:pPr>
              <w:rPr>
                <w:szCs w:val="22"/>
                <w:lang w:eastAsia="en-GB"/>
              </w:rPr>
            </w:pPr>
            <w:r w:rsidRPr="00A729D3">
              <w:rPr>
                <w:szCs w:val="22"/>
                <w:lang w:eastAsia="en-GB"/>
              </w:rPr>
              <w:t>Limited supply of HCFC-22 in emergency</w:t>
            </w:r>
          </w:p>
        </w:tc>
        <w:tc>
          <w:tcPr>
            <w:tcW w:w="1985" w:type="dxa"/>
            <w:shd w:val="clear" w:color="auto" w:fill="auto"/>
          </w:tcPr>
          <w:p w:rsidR="00146B22" w:rsidRPr="00A729D3" w:rsidRDefault="00146B22" w:rsidP="004C4FC8">
            <w:pPr>
              <w:rPr>
                <w:szCs w:val="22"/>
                <w:lang w:eastAsia="en-GB"/>
              </w:rPr>
            </w:pPr>
            <w:r w:rsidRPr="00A729D3">
              <w:rPr>
                <w:szCs w:val="22"/>
                <w:lang w:eastAsia="en-GB"/>
              </w:rPr>
              <w:t>HFC-22 phase-out in advanced stages</w:t>
            </w:r>
          </w:p>
        </w:tc>
      </w:tr>
    </w:tbl>
    <w:p w:rsidR="005A32E7" w:rsidRDefault="005A32E7" w:rsidP="00146B22">
      <w:pPr>
        <w:spacing w:after="120"/>
        <w:rPr>
          <w:szCs w:val="22"/>
          <w:lang w:eastAsia="en-GB"/>
        </w:rPr>
      </w:pPr>
    </w:p>
    <w:p w:rsidR="0064261A" w:rsidRDefault="0064261A" w:rsidP="0064261A">
      <w:pPr>
        <w:spacing w:after="120"/>
        <w:rPr>
          <w:szCs w:val="22"/>
        </w:rPr>
      </w:pPr>
      <w:r>
        <w:rPr>
          <w:i/>
          <w:szCs w:val="22"/>
        </w:rPr>
        <w:t xml:space="preserve">4.2.5 </w:t>
      </w:r>
      <w:r w:rsidR="000409F4">
        <w:rPr>
          <w:i/>
          <w:szCs w:val="22"/>
        </w:rPr>
        <w:t>A</w:t>
      </w:r>
      <w:r>
        <w:rPr>
          <w:i/>
          <w:szCs w:val="22"/>
        </w:rPr>
        <w:t>dditional considerations</w:t>
      </w:r>
      <w:r>
        <w:rPr>
          <w:szCs w:val="22"/>
        </w:rPr>
        <w:t xml:space="preserve"> </w:t>
      </w:r>
    </w:p>
    <w:p w:rsidR="000F658F" w:rsidRDefault="000F658F" w:rsidP="00146B22">
      <w:pPr>
        <w:spacing w:after="120"/>
        <w:rPr>
          <w:szCs w:val="22"/>
          <w:lang w:eastAsia="en-GB"/>
        </w:rPr>
      </w:pPr>
      <w:r>
        <w:rPr>
          <w:szCs w:val="22"/>
          <w:lang w:eastAsia="en-GB"/>
        </w:rPr>
        <w:t>Some additional considerations with regard to replacement and retrofit of refrigerant systems in fishing vessels include the following:</w:t>
      </w:r>
    </w:p>
    <w:p w:rsidR="00146B22" w:rsidRDefault="00146B22" w:rsidP="00DF1E74">
      <w:pPr>
        <w:numPr>
          <w:ilvl w:val="0"/>
          <w:numId w:val="57"/>
        </w:numPr>
        <w:spacing w:after="120"/>
        <w:rPr>
          <w:szCs w:val="22"/>
          <w:lang w:eastAsia="en-GB"/>
        </w:rPr>
      </w:pPr>
      <w:r>
        <w:rPr>
          <w:szCs w:val="22"/>
          <w:lang w:eastAsia="en-GB"/>
        </w:rPr>
        <w:t>The only sector where both replacement and retrofit are currently missing a real and final solution is the ultra-low temperature refrigeration, needed for the conservation of sashimi and sushi grade tuna.</w:t>
      </w:r>
    </w:p>
    <w:p w:rsidR="0064261A" w:rsidRDefault="0064261A" w:rsidP="0064261A">
      <w:pPr>
        <w:numPr>
          <w:ilvl w:val="0"/>
          <w:numId w:val="57"/>
        </w:numPr>
        <w:spacing w:after="120"/>
        <w:rPr>
          <w:szCs w:val="22"/>
          <w:lang w:eastAsia="en-GB"/>
        </w:rPr>
      </w:pPr>
      <w:r>
        <w:rPr>
          <w:szCs w:val="22"/>
          <w:lang w:eastAsia="en-GB"/>
        </w:rPr>
        <w:t>The only sector where both replacement and retrofit are currently missing a real and final solution is the ultra-low temperature refrigeration (lower than -50</w:t>
      </w:r>
      <w:r w:rsidR="000409F4" w:rsidRPr="006A5F67">
        <w:rPr>
          <w:bCs/>
        </w:rPr>
        <w:t>°C</w:t>
      </w:r>
      <w:r>
        <w:rPr>
          <w:szCs w:val="22"/>
          <w:lang w:eastAsia="en-GB"/>
        </w:rPr>
        <w:t xml:space="preserve"> evaporation), that may be needed in some systems for the conservation of sashimi and sushi grade tuna.</w:t>
      </w:r>
    </w:p>
    <w:p w:rsidR="00146B22" w:rsidRPr="00032BD7" w:rsidRDefault="00146B22" w:rsidP="00DF1E74">
      <w:pPr>
        <w:numPr>
          <w:ilvl w:val="0"/>
          <w:numId w:val="57"/>
        </w:numPr>
        <w:spacing w:after="120"/>
        <w:rPr>
          <w:szCs w:val="22"/>
          <w:lang w:eastAsia="en-GB"/>
        </w:rPr>
      </w:pPr>
      <w:r>
        <w:rPr>
          <w:szCs w:val="22"/>
          <w:lang w:eastAsia="en-GB"/>
        </w:rPr>
        <w:t xml:space="preserve">High Ambient Temperature issues do not pose a problem for this specific sector </w:t>
      </w:r>
      <w:r w:rsidRPr="003A33EC">
        <w:rPr>
          <w:szCs w:val="22"/>
          <w:lang w:eastAsia="en-GB"/>
        </w:rPr>
        <w:t>as refrigeration systems are generally cooled by sea wate</w:t>
      </w:r>
      <w:r>
        <w:rPr>
          <w:szCs w:val="22"/>
          <w:lang w:eastAsia="en-GB"/>
        </w:rPr>
        <w:t>r.</w:t>
      </w:r>
    </w:p>
    <w:p w:rsidR="00146B22" w:rsidRDefault="00146B22" w:rsidP="00DF1E74">
      <w:pPr>
        <w:numPr>
          <w:ilvl w:val="0"/>
          <w:numId w:val="57"/>
        </w:numPr>
        <w:spacing w:after="120"/>
        <w:rPr>
          <w:szCs w:val="22"/>
          <w:lang w:eastAsia="en-GB"/>
        </w:rPr>
      </w:pPr>
      <w:r>
        <w:rPr>
          <w:szCs w:val="22"/>
          <w:lang w:eastAsia="en-GB"/>
        </w:rPr>
        <w:t xml:space="preserve">Not-In-Kind technologies (defined as </w:t>
      </w:r>
      <w:r>
        <w:rPr>
          <w:szCs w:val="22"/>
        </w:rPr>
        <w:t>those refrigeration techniques which do not use vapour compression reverse cycle), even though presenting some interesting options for application within the fishing industry, are not expected to be commercially available for the sector in the short term.</w:t>
      </w:r>
    </w:p>
    <w:p w:rsidR="006718A1" w:rsidRDefault="006718A1" w:rsidP="00B13B39">
      <w:pPr>
        <w:pStyle w:val="Heading1"/>
        <w:jc w:val="left"/>
        <w:sectPr w:rsidR="006718A1" w:rsidSect="00C32CE4">
          <w:type w:val="oddPage"/>
          <w:pgSz w:w="11900" w:h="16840"/>
          <w:pgMar w:top="1440" w:right="1800" w:bottom="1440" w:left="1800" w:header="708" w:footer="708" w:gutter="0"/>
          <w:cols w:space="708"/>
          <w:docGrid w:linePitch="360"/>
        </w:sectPr>
      </w:pPr>
    </w:p>
    <w:p w:rsidR="00B13B39" w:rsidRPr="006A5F67" w:rsidRDefault="00B13B39" w:rsidP="00B13B39">
      <w:pPr>
        <w:pStyle w:val="Heading1"/>
        <w:jc w:val="left"/>
      </w:pPr>
      <w:bookmarkStart w:id="89" w:name="_Toc452653381"/>
      <w:r>
        <w:lastRenderedPageBreak/>
        <w:t>5</w:t>
      </w:r>
      <w:r w:rsidRPr="006A5F67">
        <w:tab/>
      </w:r>
      <w:r>
        <w:t xml:space="preserve">Suitability of alternatives under </w:t>
      </w:r>
      <w:r w:rsidRPr="006A5F67">
        <w:t>H</w:t>
      </w:r>
      <w:r>
        <w:t>igh Ambient Temperature</w:t>
      </w:r>
      <w:r w:rsidR="009C2ACF">
        <w:t xml:space="preserve"> </w:t>
      </w:r>
      <w:r>
        <w:t>(HAT) conditions</w:t>
      </w:r>
      <w:bookmarkEnd w:id="89"/>
    </w:p>
    <w:p w:rsidR="00B13B39" w:rsidRDefault="00B13B39" w:rsidP="00B13B39"/>
    <w:p w:rsidR="00463E12" w:rsidRPr="00DF1E74" w:rsidRDefault="00463E12" w:rsidP="00B13B39">
      <w:pPr>
        <w:rPr>
          <w:color w:val="7030A0"/>
        </w:rPr>
      </w:pPr>
      <w:r w:rsidRPr="00DF1E74">
        <w:rPr>
          <w:color w:val="7030A0"/>
        </w:rPr>
        <w:t xml:space="preserve">Based on comments from Parties on TEAP’s first report to OEWG-37, this revised chapter provides a more balanced discussion (both positive and negative) of the results </w:t>
      </w:r>
      <w:r w:rsidR="001C7359" w:rsidRPr="00DF1E74">
        <w:rPr>
          <w:color w:val="7030A0"/>
        </w:rPr>
        <w:t>as well as additional information on</w:t>
      </w:r>
      <w:r w:rsidRPr="00DF1E74">
        <w:rPr>
          <w:color w:val="7030A0"/>
        </w:rPr>
        <w:t xml:space="preserve"> the three testing programs for refrigerants under HAT conditions</w:t>
      </w:r>
      <w:r w:rsidR="001C7359" w:rsidRPr="00DF1E74">
        <w:rPr>
          <w:color w:val="7030A0"/>
        </w:rPr>
        <w:t xml:space="preserve"> and </w:t>
      </w:r>
      <w:r w:rsidRPr="00DF1E74">
        <w:rPr>
          <w:color w:val="7030A0"/>
        </w:rPr>
        <w:t>includes the following changes and additions:</w:t>
      </w:r>
    </w:p>
    <w:p w:rsidR="001C7359" w:rsidRPr="00DF1E74" w:rsidRDefault="001C7359" w:rsidP="008A52E4">
      <w:pPr>
        <w:numPr>
          <w:ilvl w:val="0"/>
          <w:numId w:val="62"/>
        </w:numPr>
        <w:ind w:left="714" w:hanging="357"/>
        <w:rPr>
          <w:color w:val="7030A0"/>
        </w:rPr>
      </w:pPr>
      <w:r w:rsidRPr="00DF1E74">
        <w:rPr>
          <w:color w:val="7030A0"/>
        </w:rPr>
        <w:t xml:space="preserve">Further discussion </w:t>
      </w:r>
      <w:r w:rsidR="00B13B39" w:rsidRPr="00DF1E74">
        <w:rPr>
          <w:color w:val="7030A0"/>
        </w:rPr>
        <w:t xml:space="preserve">on the discussion of the methods for considering the impact of the </w:t>
      </w:r>
      <w:r w:rsidR="009144C1">
        <w:rPr>
          <w:color w:val="7030A0"/>
        </w:rPr>
        <w:t xml:space="preserve">high </w:t>
      </w:r>
      <w:r w:rsidR="00B13B39" w:rsidRPr="00DF1E74">
        <w:rPr>
          <w:color w:val="7030A0"/>
        </w:rPr>
        <w:t xml:space="preserve">ambient temperatures on the design of R/AC equipment </w:t>
      </w:r>
      <w:r w:rsidRPr="00DF1E74">
        <w:rPr>
          <w:color w:val="7030A0"/>
        </w:rPr>
        <w:t>(see section 5.1); and</w:t>
      </w:r>
    </w:p>
    <w:p w:rsidR="00B13B39" w:rsidRPr="00DF1E74" w:rsidRDefault="001C7359" w:rsidP="008A52E4">
      <w:pPr>
        <w:numPr>
          <w:ilvl w:val="0"/>
          <w:numId w:val="62"/>
        </w:numPr>
        <w:ind w:left="714" w:hanging="357"/>
        <w:rPr>
          <w:color w:val="7030A0"/>
        </w:rPr>
      </w:pPr>
      <w:r w:rsidRPr="00DF1E74">
        <w:rPr>
          <w:color w:val="7030A0"/>
        </w:rPr>
        <w:t xml:space="preserve">Further information </w:t>
      </w:r>
      <w:r w:rsidR="00B13B39" w:rsidRPr="00DF1E74">
        <w:rPr>
          <w:color w:val="7030A0"/>
        </w:rPr>
        <w:t>on the reports published for the three projects, which tested alternative refrigerants at temperatures above 35°C</w:t>
      </w:r>
      <w:r w:rsidRPr="00DF1E74">
        <w:rPr>
          <w:color w:val="7030A0"/>
        </w:rPr>
        <w:t xml:space="preserve"> and including tabulated summaries of each of the three projects (see section 5.2)</w:t>
      </w:r>
      <w:r w:rsidR="00B13B39" w:rsidRPr="00DF1E74">
        <w:rPr>
          <w:color w:val="7030A0"/>
        </w:rPr>
        <w:t xml:space="preserve">. </w:t>
      </w:r>
      <w:r w:rsidR="00463E12" w:rsidRPr="00DF1E74">
        <w:rPr>
          <w:color w:val="7030A0"/>
        </w:rPr>
        <w:tab/>
      </w:r>
    </w:p>
    <w:p w:rsidR="00162299" w:rsidRDefault="00162299" w:rsidP="00DF1E74">
      <w:pPr>
        <w:ind w:left="60"/>
      </w:pPr>
    </w:p>
    <w:p w:rsidR="00B13B39" w:rsidRPr="00C61B4A" w:rsidRDefault="00B13B39" w:rsidP="00B13B39">
      <w:pPr>
        <w:pStyle w:val="Heading2"/>
      </w:pPr>
      <w:bookmarkStart w:id="90" w:name="_Toc452653382"/>
      <w:r>
        <w:t>5</w:t>
      </w:r>
      <w:r w:rsidRPr="00C61B4A">
        <w:t xml:space="preserve">.1 </w:t>
      </w:r>
      <w:r>
        <w:tab/>
      </w:r>
      <w:r>
        <w:tab/>
        <w:t>Influence of HAT</w:t>
      </w:r>
      <w:r w:rsidRPr="00C61B4A">
        <w:t xml:space="preserve"> </w:t>
      </w:r>
      <w:r>
        <w:t>conditions on R/AC equipment design</w:t>
      </w:r>
      <w:bookmarkEnd w:id="90"/>
      <w:r>
        <w:t xml:space="preserve"> </w:t>
      </w:r>
    </w:p>
    <w:p w:rsidR="00B13B39" w:rsidRDefault="00B13B39" w:rsidP="00B13B39">
      <w:r w:rsidRPr="007B53BC">
        <w:t xml:space="preserve">As mentioned previously in the TF reports, HAT conditions are an important issue for the design of </w:t>
      </w:r>
      <w:r w:rsidR="008B08AE">
        <w:t xml:space="preserve">R/AC </w:t>
      </w:r>
      <w:r w:rsidRPr="007B53BC">
        <w:t xml:space="preserve">systems. Ambient temperatures are also used in cooling load calculation and building envelope </w:t>
      </w:r>
      <w:r w:rsidRPr="00FD7880">
        <w:t>design</w:t>
      </w:r>
      <w:r w:rsidR="00FE51D6">
        <w:t xml:space="preserve">. </w:t>
      </w:r>
    </w:p>
    <w:p w:rsidR="00B13B39" w:rsidRDefault="00B13B39" w:rsidP="00B13B39"/>
    <w:p w:rsidR="00B13B39" w:rsidRPr="00144718" w:rsidRDefault="00B13B39" w:rsidP="00B13B39">
      <w:pPr>
        <w:rPr>
          <w:bCs/>
        </w:rPr>
      </w:pPr>
      <w:r w:rsidRPr="00144718">
        <w:t xml:space="preserve">As the ambient temperature increases, system load increases and capacity decreases. With increasing ambient temperatures, the condensing pressure and compressor discharge temperatures also increase, thus leading to possible reliability issues. </w:t>
      </w:r>
      <w:r w:rsidRPr="00144718">
        <w:rPr>
          <w:bCs/>
        </w:rPr>
        <w:t>ISO and EN (European Standards) prescribe pressures corresponding to certain design temperatures for the safe operation of a system</w:t>
      </w:r>
      <w:r w:rsidR="00FE51D6">
        <w:rPr>
          <w:bCs/>
        </w:rPr>
        <w:t xml:space="preserve">. </w:t>
      </w:r>
      <w:r w:rsidRPr="00144718">
        <w:rPr>
          <w:bCs/>
        </w:rPr>
        <w:t>This information is required by design engineers to specify material and pipe wall thickness requirements in a system</w:t>
      </w:r>
      <w:r w:rsidR="00FE51D6">
        <w:rPr>
          <w:bCs/>
        </w:rPr>
        <w:t xml:space="preserve">. </w:t>
      </w:r>
      <w:r w:rsidRPr="00144718">
        <w:rPr>
          <w:bCs/>
        </w:rPr>
        <w:t xml:space="preserve">Table </w:t>
      </w:r>
      <w:r>
        <w:rPr>
          <w:bCs/>
        </w:rPr>
        <w:t>5</w:t>
      </w:r>
      <w:r w:rsidRPr="00144718">
        <w:rPr>
          <w:bCs/>
        </w:rPr>
        <w:t xml:space="preserve">-1 is taken from EN378-2:2008 and the equivalent ISO 5149 based on IEC 60721-2-1. </w:t>
      </w:r>
    </w:p>
    <w:p w:rsidR="00B13B39" w:rsidRDefault="00B13B39" w:rsidP="00B13B39">
      <w:pPr>
        <w:rPr>
          <w:bCs/>
        </w:rPr>
      </w:pPr>
    </w:p>
    <w:p w:rsidR="00B13B39" w:rsidRDefault="00B13B39" w:rsidP="00B13B39">
      <w:pPr>
        <w:rPr>
          <w:b/>
          <w:i/>
          <w:iCs/>
        </w:rPr>
      </w:pPr>
      <w:r>
        <w:rPr>
          <w:b/>
          <w:i/>
          <w:iCs/>
        </w:rPr>
        <w:t>T</w:t>
      </w:r>
      <w:r w:rsidRPr="001B6011">
        <w:rPr>
          <w:b/>
          <w:i/>
          <w:iCs/>
        </w:rPr>
        <w:t xml:space="preserve">able </w:t>
      </w:r>
      <w:r>
        <w:rPr>
          <w:b/>
          <w:i/>
          <w:iCs/>
        </w:rPr>
        <w:t>5-</w:t>
      </w:r>
      <w:r w:rsidRPr="001B6011">
        <w:rPr>
          <w:b/>
          <w:i/>
          <w:iCs/>
        </w:rPr>
        <w:t>1</w:t>
      </w:r>
      <w:r>
        <w:rPr>
          <w:b/>
          <w:i/>
          <w:iCs/>
        </w:rPr>
        <w:t>:</w:t>
      </w:r>
      <w:r w:rsidRPr="001B6011">
        <w:rPr>
          <w:b/>
          <w:i/>
          <w:iCs/>
        </w:rPr>
        <w:t xml:space="preserve"> Specified Design Temperatures</w:t>
      </w:r>
    </w:p>
    <w:p w:rsidR="00B13B39" w:rsidRPr="001B6011" w:rsidRDefault="00B13B39" w:rsidP="00B13B39">
      <w:pPr>
        <w:rPr>
          <w:b/>
          <w:i/>
          <w:iC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918"/>
        <w:gridCol w:w="932"/>
        <w:gridCol w:w="918"/>
        <w:gridCol w:w="1011"/>
      </w:tblGrid>
      <w:tr w:rsidR="00B13B39" w:rsidRPr="006A5F67" w:rsidTr="003A3F19">
        <w:tc>
          <w:tcPr>
            <w:tcW w:w="4834" w:type="dxa"/>
            <w:shd w:val="clear" w:color="auto" w:fill="auto"/>
          </w:tcPr>
          <w:p w:rsidR="00B13B39" w:rsidRPr="006A5F67" w:rsidRDefault="00B13B39" w:rsidP="003A3F19">
            <w:pPr>
              <w:rPr>
                <w:b/>
              </w:rPr>
            </w:pPr>
            <w:r w:rsidRPr="006A5F67">
              <w:rPr>
                <w:b/>
              </w:rPr>
              <w:t>Ambient Conditions</w:t>
            </w:r>
          </w:p>
        </w:tc>
        <w:tc>
          <w:tcPr>
            <w:tcW w:w="918" w:type="dxa"/>
            <w:shd w:val="clear" w:color="auto" w:fill="auto"/>
          </w:tcPr>
          <w:p w:rsidR="00B13B39" w:rsidRPr="006A5F67" w:rsidRDefault="00B13B39" w:rsidP="000409F4">
            <w:pPr>
              <w:jc w:val="center"/>
              <w:rPr>
                <w:b/>
              </w:rPr>
            </w:pPr>
            <w:r w:rsidRPr="006A5F67">
              <w:rPr>
                <w:b/>
              </w:rPr>
              <w:t>&lt; 32°C</w:t>
            </w:r>
          </w:p>
        </w:tc>
        <w:tc>
          <w:tcPr>
            <w:tcW w:w="932" w:type="dxa"/>
            <w:shd w:val="clear" w:color="auto" w:fill="auto"/>
          </w:tcPr>
          <w:p w:rsidR="00B13B39" w:rsidRPr="006A5F67" w:rsidRDefault="00B13B39" w:rsidP="000409F4">
            <w:pPr>
              <w:jc w:val="center"/>
              <w:rPr>
                <w:b/>
              </w:rPr>
            </w:pPr>
            <w:r w:rsidRPr="006A5F67">
              <w:rPr>
                <w:b/>
              </w:rPr>
              <w:t>&lt;</w:t>
            </w:r>
            <w:r w:rsidR="000409F4">
              <w:rPr>
                <w:b/>
              </w:rPr>
              <w:t xml:space="preserve"> </w:t>
            </w:r>
            <w:r w:rsidRPr="006A5F67">
              <w:rPr>
                <w:b/>
              </w:rPr>
              <w:t>38°C</w:t>
            </w:r>
          </w:p>
        </w:tc>
        <w:tc>
          <w:tcPr>
            <w:tcW w:w="918" w:type="dxa"/>
            <w:shd w:val="clear" w:color="auto" w:fill="auto"/>
          </w:tcPr>
          <w:p w:rsidR="00B13B39" w:rsidRPr="006A5F67" w:rsidRDefault="00B13B39" w:rsidP="000409F4">
            <w:pPr>
              <w:jc w:val="center"/>
              <w:rPr>
                <w:b/>
              </w:rPr>
            </w:pPr>
            <w:r w:rsidRPr="006A5F67">
              <w:rPr>
                <w:b/>
              </w:rPr>
              <w:t>&lt; 43°C</w:t>
            </w:r>
          </w:p>
        </w:tc>
        <w:tc>
          <w:tcPr>
            <w:tcW w:w="1011" w:type="dxa"/>
            <w:shd w:val="clear" w:color="auto" w:fill="auto"/>
          </w:tcPr>
          <w:p w:rsidR="00B13B39" w:rsidRPr="006A5F67" w:rsidRDefault="00B13B39" w:rsidP="000409F4">
            <w:pPr>
              <w:jc w:val="center"/>
              <w:rPr>
                <w:b/>
              </w:rPr>
            </w:pPr>
            <w:r w:rsidRPr="006A5F67">
              <w:rPr>
                <w:b/>
              </w:rPr>
              <w:t>&lt; 55°C</w:t>
            </w:r>
          </w:p>
        </w:tc>
      </w:tr>
      <w:tr w:rsidR="00B13B39" w:rsidRPr="006A5F67" w:rsidTr="003A3F19">
        <w:tc>
          <w:tcPr>
            <w:tcW w:w="4834" w:type="dxa"/>
            <w:shd w:val="clear" w:color="auto" w:fill="auto"/>
          </w:tcPr>
          <w:p w:rsidR="00B13B39" w:rsidRPr="006A5F67" w:rsidRDefault="00B13B39" w:rsidP="003A3F19">
            <w:pPr>
              <w:rPr>
                <w:bCs/>
              </w:rPr>
            </w:pPr>
            <w:r w:rsidRPr="006A5F67">
              <w:rPr>
                <w:bCs/>
              </w:rPr>
              <w:t>High pressure side with air cooled condenser</w:t>
            </w:r>
          </w:p>
        </w:tc>
        <w:tc>
          <w:tcPr>
            <w:tcW w:w="918" w:type="dxa"/>
            <w:shd w:val="clear" w:color="auto" w:fill="auto"/>
          </w:tcPr>
          <w:p w:rsidR="00B13B39" w:rsidRPr="006A5F67" w:rsidRDefault="00B13B39" w:rsidP="000409F4">
            <w:pPr>
              <w:jc w:val="center"/>
              <w:rPr>
                <w:bCs/>
              </w:rPr>
            </w:pPr>
            <w:r w:rsidRPr="006A5F67">
              <w:rPr>
                <w:bCs/>
              </w:rPr>
              <w:t>55°C</w:t>
            </w:r>
          </w:p>
        </w:tc>
        <w:tc>
          <w:tcPr>
            <w:tcW w:w="932" w:type="dxa"/>
            <w:shd w:val="clear" w:color="auto" w:fill="auto"/>
          </w:tcPr>
          <w:p w:rsidR="00B13B39" w:rsidRPr="006A5F67" w:rsidRDefault="00B13B39" w:rsidP="000409F4">
            <w:pPr>
              <w:jc w:val="center"/>
              <w:rPr>
                <w:bCs/>
              </w:rPr>
            </w:pPr>
            <w:r w:rsidRPr="006A5F67">
              <w:rPr>
                <w:bCs/>
              </w:rPr>
              <w:t>59°C</w:t>
            </w:r>
          </w:p>
        </w:tc>
        <w:tc>
          <w:tcPr>
            <w:tcW w:w="918" w:type="dxa"/>
            <w:shd w:val="clear" w:color="auto" w:fill="auto"/>
          </w:tcPr>
          <w:p w:rsidR="00B13B39" w:rsidRPr="006A5F67" w:rsidRDefault="00B13B39" w:rsidP="000409F4">
            <w:pPr>
              <w:jc w:val="center"/>
              <w:rPr>
                <w:bCs/>
              </w:rPr>
            </w:pPr>
            <w:r w:rsidRPr="006A5F67">
              <w:rPr>
                <w:bCs/>
              </w:rPr>
              <w:t>63°C</w:t>
            </w:r>
          </w:p>
        </w:tc>
        <w:tc>
          <w:tcPr>
            <w:tcW w:w="1011" w:type="dxa"/>
            <w:shd w:val="clear" w:color="auto" w:fill="auto"/>
          </w:tcPr>
          <w:p w:rsidR="00B13B39" w:rsidRPr="006A5F67" w:rsidRDefault="00B13B39" w:rsidP="000409F4">
            <w:pPr>
              <w:jc w:val="center"/>
              <w:rPr>
                <w:bCs/>
              </w:rPr>
            </w:pPr>
            <w:r w:rsidRPr="006A5F67">
              <w:rPr>
                <w:bCs/>
              </w:rPr>
              <w:t>67°C</w:t>
            </w:r>
          </w:p>
        </w:tc>
      </w:tr>
      <w:tr w:rsidR="00B13B39" w:rsidRPr="006A5F67" w:rsidTr="003A3F19">
        <w:tc>
          <w:tcPr>
            <w:tcW w:w="4834" w:type="dxa"/>
            <w:shd w:val="clear" w:color="auto" w:fill="auto"/>
          </w:tcPr>
          <w:p w:rsidR="00B13B39" w:rsidRPr="006A5F67" w:rsidRDefault="00B13B39" w:rsidP="003A3F19">
            <w:pPr>
              <w:rPr>
                <w:bCs/>
              </w:rPr>
            </w:pPr>
            <w:r w:rsidRPr="006A5F67">
              <w:rPr>
                <w:bCs/>
              </w:rPr>
              <w:t>Low pressure side with heat exchanger exposed to ambient temperature</w:t>
            </w:r>
          </w:p>
        </w:tc>
        <w:tc>
          <w:tcPr>
            <w:tcW w:w="918" w:type="dxa"/>
            <w:shd w:val="clear" w:color="auto" w:fill="auto"/>
          </w:tcPr>
          <w:p w:rsidR="00B13B39" w:rsidRPr="006A5F67" w:rsidRDefault="00B13B39" w:rsidP="000409F4">
            <w:pPr>
              <w:jc w:val="center"/>
              <w:rPr>
                <w:bCs/>
              </w:rPr>
            </w:pPr>
            <w:r w:rsidRPr="006A5F67">
              <w:rPr>
                <w:bCs/>
              </w:rPr>
              <w:t>32°C</w:t>
            </w:r>
          </w:p>
        </w:tc>
        <w:tc>
          <w:tcPr>
            <w:tcW w:w="932" w:type="dxa"/>
            <w:shd w:val="clear" w:color="auto" w:fill="auto"/>
          </w:tcPr>
          <w:p w:rsidR="00B13B39" w:rsidRPr="006A5F67" w:rsidRDefault="00B13B39" w:rsidP="000409F4">
            <w:pPr>
              <w:jc w:val="center"/>
              <w:rPr>
                <w:bCs/>
              </w:rPr>
            </w:pPr>
            <w:r w:rsidRPr="006A5F67">
              <w:rPr>
                <w:bCs/>
              </w:rPr>
              <w:t>38°C</w:t>
            </w:r>
          </w:p>
        </w:tc>
        <w:tc>
          <w:tcPr>
            <w:tcW w:w="918" w:type="dxa"/>
            <w:shd w:val="clear" w:color="auto" w:fill="auto"/>
          </w:tcPr>
          <w:p w:rsidR="00B13B39" w:rsidRPr="006A5F67" w:rsidRDefault="00B13B39" w:rsidP="000409F4">
            <w:pPr>
              <w:jc w:val="center"/>
              <w:rPr>
                <w:bCs/>
              </w:rPr>
            </w:pPr>
            <w:r w:rsidRPr="006A5F67">
              <w:rPr>
                <w:bCs/>
              </w:rPr>
              <w:t>43°C</w:t>
            </w:r>
          </w:p>
        </w:tc>
        <w:tc>
          <w:tcPr>
            <w:tcW w:w="1011" w:type="dxa"/>
            <w:shd w:val="clear" w:color="auto" w:fill="auto"/>
          </w:tcPr>
          <w:p w:rsidR="00B13B39" w:rsidRPr="006A5F67" w:rsidRDefault="00B13B39" w:rsidP="000409F4">
            <w:pPr>
              <w:jc w:val="center"/>
              <w:rPr>
                <w:bCs/>
              </w:rPr>
            </w:pPr>
            <w:r w:rsidRPr="006A5F67">
              <w:rPr>
                <w:bCs/>
              </w:rPr>
              <w:t>55°C</w:t>
            </w:r>
          </w:p>
        </w:tc>
      </w:tr>
    </w:tbl>
    <w:p w:rsidR="00B13B39" w:rsidRDefault="00B13B39" w:rsidP="00B13B39">
      <w:pPr>
        <w:rPr>
          <w:bCs/>
        </w:rPr>
      </w:pPr>
    </w:p>
    <w:p w:rsidR="00B13B39" w:rsidRDefault="00B13B39" w:rsidP="00B13B39">
      <w:r w:rsidRPr="00144718">
        <w:t xml:space="preserve">While normally systems are designed for 35°C (T1 in ISO 5151:2010) with appropriate performance (cf. for example, under standards requirements) up to 43°C in some </w:t>
      </w:r>
      <w:r w:rsidR="008B08AE">
        <w:t>Parties</w:t>
      </w:r>
      <w:r w:rsidRPr="00144718">
        <w:t>, the high ambient temperature condition requires a design at 46°C (T3 in ISO 5151:2010) with appropriate operation up to 52°C. </w:t>
      </w:r>
    </w:p>
    <w:p w:rsidR="00B13B39" w:rsidRDefault="00B13B39" w:rsidP="00B13B39"/>
    <w:p w:rsidR="00B13B39" w:rsidRPr="00144718" w:rsidRDefault="00B13B39" w:rsidP="00B13B39">
      <w:r w:rsidRPr="00DF1497">
        <w:t>High humidity is an important issue even with lower than 35°C temperature</w:t>
      </w:r>
      <w:r w:rsidR="000409F4">
        <w:t xml:space="preserve"> conditions for certain </w:t>
      </w:r>
      <w:r w:rsidR="008B08AE" w:rsidRPr="00DF1497">
        <w:t xml:space="preserve">Parties. </w:t>
      </w:r>
      <w:r w:rsidRPr="004E0F08">
        <w:t xml:space="preserve">This is because </w:t>
      </w:r>
      <w:r w:rsidR="008B08AE" w:rsidRPr="004E0F08">
        <w:t xml:space="preserve">Parties that </w:t>
      </w:r>
      <w:r w:rsidRPr="004E0F08">
        <w:t>have high humidity</w:t>
      </w:r>
      <w:r w:rsidR="000409F4">
        <w:t>,</w:t>
      </w:r>
      <w:r w:rsidRPr="004E0F08">
        <w:t xml:space="preserve"> need high cooling load and thus bigger A/C units when considering the fresh air loads requirement during the selection of the air conditioning units</w:t>
      </w:r>
      <w:r w:rsidR="000409F4">
        <w:t xml:space="preserve">, </w:t>
      </w:r>
      <w:r w:rsidRPr="004E0F08">
        <w:t xml:space="preserve">especially with humidity </w:t>
      </w:r>
      <w:r w:rsidR="000409F4">
        <w:t xml:space="preserve">levels </w:t>
      </w:r>
      <w:r w:rsidRPr="004E0F08">
        <w:t>above 60%.</w:t>
      </w:r>
    </w:p>
    <w:p w:rsidR="00B13B39" w:rsidRDefault="00B13B39" w:rsidP="00B13B39"/>
    <w:p w:rsidR="00B13B39" w:rsidRDefault="00B13B39" w:rsidP="00B13B39">
      <w:pPr>
        <w:spacing w:after="220"/>
      </w:pPr>
      <w:r>
        <w:t>Earlier Task Force reports ((</w:t>
      </w:r>
      <w:r w:rsidRPr="00C72D32">
        <w:t xml:space="preserve">UNEP, 2015) </w:t>
      </w:r>
      <w:r>
        <w:t xml:space="preserve">and the March version of the XXVII/4 TF report) already presented </w:t>
      </w:r>
      <w:r w:rsidRPr="00C72D32">
        <w:t xml:space="preserve">methods to </w:t>
      </w:r>
      <w:r>
        <w:t>assess temperature</w:t>
      </w:r>
      <w:r w:rsidRPr="00C72D32">
        <w:t xml:space="preserve"> conditions using </w:t>
      </w:r>
      <w:r>
        <w:t xml:space="preserve">incidence of number of hours, </w:t>
      </w:r>
      <w:r w:rsidRPr="00C72D32">
        <w:t xml:space="preserve">weather profiles, cooling degree days, </w:t>
      </w:r>
      <w:r>
        <w:t xml:space="preserve">or </w:t>
      </w:r>
      <w:r w:rsidRPr="00C72D32">
        <w:t>bin weather data</w:t>
      </w:r>
      <w:r w:rsidR="00FE51D6">
        <w:t xml:space="preserve">. </w:t>
      </w:r>
      <w:r>
        <w:t>These methods can again be summarized as follows.</w:t>
      </w:r>
    </w:p>
    <w:p w:rsidR="00B13B39" w:rsidRDefault="00B13B39" w:rsidP="00B13B39">
      <w:pPr>
        <w:spacing w:after="120"/>
        <w:contextualSpacing/>
        <w:rPr>
          <w:rFonts w:eastAsia="Calibri"/>
          <w:lang w:val="en-US"/>
        </w:rPr>
      </w:pPr>
      <w:r w:rsidRPr="009F3827">
        <w:rPr>
          <w:rFonts w:eastAsia="Calibri"/>
          <w:lang w:val="en-US"/>
        </w:rPr>
        <w:t>“</w:t>
      </w:r>
      <w:r w:rsidRPr="009F3827">
        <w:rPr>
          <w:rFonts w:eastAsia="Calibri"/>
          <w:b/>
          <w:bCs/>
          <w:lang w:val="en-US"/>
        </w:rPr>
        <w:t>Incidence of Ambient Temperatures</w:t>
      </w:r>
      <w:r w:rsidRPr="009F3827">
        <w:rPr>
          <w:rFonts w:eastAsia="Calibri"/>
          <w:lang w:val="en-US"/>
        </w:rPr>
        <w:t>” is a design method that is based on 0.4%, 1%, 2% and 5% of the time per year --for the last 10 years-- (corresponding</w:t>
      </w:r>
      <w:r w:rsidR="009C2ACF">
        <w:rPr>
          <w:rFonts w:eastAsia="Calibri"/>
          <w:lang w:val="en-US"/>
        </w:rPr>
        <w:t xml:space="preserve"> </w:t>
      </w:r>
      <w:r w:rsidRPr="009F3827">
        <w:rPr>
          <w:rFonts w:eastAsia="Calibri"/>
          <w:lang w:val="en-US"/>
        </w:rPr>
        <w:t>to 35, 88, 175 and 438 hours per year) that the temperature exceeds 35, 40 or 45</w:t>
      </w:r>
      <w:r w:rsidRPr="009F3827">
        <w:rPr>
          <w:rFonts w:ascii="Cambria Math" w:eastAsia="Calibri" w:hAnsi="Cambria Math" w:cs="Cambria Math"/>
          <w:lang w:val="en-US"/>
        </w:rPr>
        <w:t>⁰</w:t>
      </w:r>
      <w:r w:rsidRPr="009F3827">
        <w:rPr>
          <w:rFonts w:eastAsia="Calibri"/>
          <w:lang w:val="en-US"/>
        </w:rPr>
        <w:t xml:space="preserve">C. It is currently the most used method for determining design conditions for air conditioning and refrigeration, where design tables exist for most cities around the world. Most experts and consultants use this method </w:t>
      </w:r>
      <w:r w:rsidRPr="009F3827">
        <w:rPr>
          <w:rFonts w:eastAsia="Calibri"/>
          <w:lang w:val="en-US"/>
        </w:rPr>
        <w:lastRenderedPageBreak/>
        <w:t>when they have to make estimates for the cooling capacity of A/C and R equipment. A few use the 0.4 % number, others use 1% or 2 %, but the 5% number (438 hours a year above 35</w:t>
      </w:r>
      <w:r w:rsidRPr="009F3827">
        <w:rPr>
          <w:rFonts w:ascii="Cambria Math" w:eastAsia="Calibri" w:hAnsi="Cambria Math" w:cs="Cambria Math"/>
          <w:lang w:val="en-US"/>
        </w:rPr>
        <w:t>⁰</w:t>
      </w:r>
      <w:r w:rsidRPr="009F3827">
        <w:rPr>
          <w:rFonts w:eastAsia="Calibri"/>
          <w:lang w:val="en-US"/>
        </w:rPr>
        <w:t xml:space="preserve">C) is </w:t>
      </w:r>
      <w:r w:rsidR="00CF596A">
        <w:rPr>
          <w:rFonts w:eastAsia="Calibri"/>
          <w:lang w:val="en-US"/>
        </w:rPr>
        <w:t xml:space="preserve">the </w:t>
      </w:r>
      <w:r w:rsidRPr="009F3827">
        <w:rPr>
          <w:rFonts w:eastAsia="Calibri"/>
          <w:lang w:val="en-US"/>
        </w:rPr>
        <w:t xml:space="preserve">most </w:t>
      </w:r>
      <w:r w:rsidR="00CF596A">
        <w:rPr>
          <w:rFonts w:eastAsia="Calibri"/>
          <w:lang w:val="en-US"/>
        </w:rPr>
        <w:t xml:space="preserve">often </w:t>
      </w:r>
      <w:r w:rsidRPr="009F3827">
        <w:rPr>
          <w:rFonts w:eastAsia="Calibri"/>
          <w:lang w:val="en-US"/>
        </w:rPr>
        <w:t>used.</w:t>
      </w:r>
    </w:p>
    <w:p w:rsidR="00B13B39" w:rsidRPr="005A2A5E" w:rsidRDefault="00B13B39" w:rsidP="00B13B39">
      <w:pPr>
        <w:spacing w:after="160"/>
        <w:contextualSpacing/>
        <w:rPr>
          <w:rFonts w:eastAsia="Calibri"/>
          <w:sz w:val="16"/>
          <w:szCs w:val="16"/>
          <w:lang w:val="en-US"/>
        </w:rPr>
      </w:pPr>
    </w:p>
    <w:p w:rsidR="00B13B39" w:rsidRPr="005A2A5E" w:rsidRDefault="00B13B39" w:rsidP="00B13B39">
      <w:pPr>
        <w:contextualSpacing/>
        <w:rPr>
          <w:rFonts w:eastAsia="Calibri"/>
          <w:lang w:val="en-US"/>
        </w:rPr>
      </w:pPr>
      <w:r w:rsidRPr="005A2A5E">
        <w:rPr>
          <w:rFonts w:eastAsia="Calibri"/>
          <w:lang w:val="en-US"/>
        </w:rPr>
        <w:t>The “</w:t>
      </w:r>
      <w:r w:rsidRPr="005A2A5E">
        <w:rPr>
          <w:rFonts w:eastAsia="Calibri"/>
          <w:b/>
          <w:bCs/>
          <w:lang w:val="en-US"/>
        </w:rPr>
        <w:t>Climate Zones</w:t>
      </w:r>
      <w:r w:rsidRPr="005A2A5E">
        <w:rPr>
          <w:rFonts w:eastAsia="Calibri"/>
          <w:lang w:val="en-US"/>
        </w:rPr>
        <w:t xml:space="preserve">” method, </w:t>
      </w:r>
      <w:r w:rsidR="00CF596A">
        <w:rPr>
          <w:rFonts w:eastAsia="Calibri"/>
          <w:lang w:val="en-US"/>
        </w:rPr>
        <w:t xml:space="preserve">is </w:t>
      </w:r>
      <w:r w:rsidRPr="005A2A5E">
        <w:rPr>
          <w:rFonts w:eastAsia="Calibri"/>
          <w:lang w:val="en-US"/>
        </w:rPr>
        <w:t xml:space="preserve">where a map of the world in the ASHRAE Standard 169-2013 defines the various climate zones. Zones defined vary from zone A0 (extremely hot humid) down to climate zone 2B (hot dry). The definition of a climate zone is based on the criteria of Cooling Degree Days </w:t>
      </w:r>
      <w:r w:rsidR="00CF596A">
        <w:rPr>
          <w:rFonts w:eastAsia="Calibri"/>
          <w:lang w:val="en-US"/>
        </w:rPr>
        <w:t>(</w:t>
      </w:r>
      <w:r w:rsidRPr="005A2A5E">
        <w:rPr>
          <w:rFonts w:eastAsia="Calibri"/>
          <w:lang w:val="en-US"/>
        </w:rPr>
        <w:t>CDD</w:t>
      </w:r>
      <w:r w:rsidR="00CF596A">
        <w:rPr>
          <w:rFonts w:eastAsia="Calibri"/>
          <w:lang w:val="en-US"/>
        </w:rPr>
        <w:t>)</w:t>
      </w:r>
      <w:r w:rsidRPr="005A2A5E">
        <w:rPr>
          <w:rFonts w:eastAsia="Calibri"/>
          <w:lang w:val="en-US"/>
        </w:rPr>
        <w:t xml:space="preserve">. This indicator uses daily temperature data from weather stations </w:t>
      </w:r>
      <w:r w:rsidRPr="005A2A5E">
        <w:rPr>
          <w:rFonts w:eastAsia="Calibri"/>
          <w:bCs/>
          <w:lang w:val="en-US"/>
        </w:rPr>
        <w:t xml:space="preserve">over a period of 15 to 30 years to give a typical average year. The most recent data is Typical Meteorological Year (TMY) defined as TMY 3 for the period 1991-2010, </w:t>
      </w:r>
      <w:r w:rsidRPr="005A2A5E">
        <w:rPr>
          <w:rFonts w:eastAsia="Calibri"/>
          <w:lang w:val="en-US"/>
        </w:rPr>
        <w:t>and compares the daily average outdoor temperature with a defined baseline temperature for indoor comfort, in this case 18.3°C (65 F). For example, if the average temperature on a particular day is 26°C (78 F), then that day counts as 13 cooling degree days, as a building’s interior would need to be cooled by 7.2°C (13 F) to reach 18.3°C (65 F).</w:t>
      </w:r>
    </w:p>
    <w:p w:rsidR="00B13B39" w:rsidRPr="005A2A5E" w:rsidRDefault="00B13B39" w:rsidP="00B13B39">
      <w:pPr>
        <w:contextualSpacing/>
        <w:rPr>
          <w:rFonts w:eastAsia="Calibri"/>
          <w:sz w:val="16"/>
          <w:szCs w:val="16"/>
        </w:rPr>
      </w:pPr>
    </w:p>
    <w:p w:rsidR="00B13B39" w:rsidRPr="005A2A5E" w:rsidRDefault="00B13B39" w:rsidP="00B13B39">
      <w:pPr>
        <w:contextualSpacing/>
        <w:rPr>
          <w:rFonts w:eastAsia="Calibri"/>
        </w:rPr>
      </w:pPr>
      <w:r w:rsidRPr="005A2A5E">
        <w:rPr>
          <w:rFonts w:eastAsia="Calibri"/>
          <w:lang w:val="en-US"/>
        </w:rPr>
        <w:t xml:space="preserve">This method takes in consideration the wet bulb temperature (humidity) in each country; </w:t>
      </w:r>
    </w:p>
    <w:p w:rsidR="009540ED" w:rsidRDefault="00B13B39" w:rsidP="00B13B39">
      <w:pPr>
        <w:contextualSpacing/>
        <w:rPr>
          <w:rFonts w:eastAsia="Calibri"/>
          <w:lang w:val="en-US"/>
        </w:rPr>
      </w:pPr>
      <w:r w:rsidRPr="00E923C4">
        <w:rPr>
          <w:rFonts w:eastAsia="Calibri"/>
          <w:lang w:val="en-US"/>
        </w:rPr>
        <w:t>It has an added advantage in that it differentiates between the Dry and Humid conditions in countries</w:t>
      </w:r>
      <w:r>
        <w:rPr>
          <w:rFonts w:eastAsia="Calibri"/>
          <w:lang w:val="en-US"/>
        </w:rPr>
        <w:t xml:space="preserve">. </w:t>
      </w:r>
    </w:p>
    <w:p w:rsidR="009540ED" w:rsidRPr="009F3827" w:rsidRDefault="009540ED" w:rsidP="00B13B39">
      <w:pPr>
        <w:contextualSpacing/>
        <w:rPr>
          <w:rFonts w:eastAsia="Calibri"/>
          <w:sz w:val="16"/>
          <w:szCs w:val="16"/>
          <w:lang w:val="en-US"/>
        </w:rPr>
      </w:pPr>
    </w:p>
    <w:p w:rsidR="00B13B39" w:rsidRPr="009F3827" w:rsidRDefault="00B13B39" w:rsidP="00B13B39">
      <w:pPr>
        <w:contextualSpacing/>
        <w:rPr>
          <w:rFonts w:eastAsia="Calibri"/>
        </w:rPr>
      </w:pPr>
      <w:r w:rsidRPr="009F3827">
        <w:rPr>
          <w:rFonts w:eastAsia="Calibri"/>
          <w:bCs/>
          <w:lang w:val="en-US"/>
        </w:rPr>
        <w:t xml:space="preserve">The </w:t>
      </w:r>
      <w:r w:rsidRPr="009F3827">
        <w:rPr>
          <w:rFonts w:eastAsia="Calibri"/>
          <w:b/>
          <w:bCs/>
          <w:lang w:val="en-US"/>
        </w:rPr>
        <w:t>“Bin Weather”</w:t>
      </w:r>
      <w:r w:rsidRPr="009F3827">
        <w:rPr>
          <w:rFonts w:eastAsia="Calibri"/>
          <w:lang w:val="en-US"/>
        </w:rPr>
        <w:t xml:space="preserve"> Method is based on the system operating pressure. </w:t>
      </w:r>
      <w:r w:rsidRPr="009F3827">
        <w:rPr>
          <w:rFonts w:eastAsia="Calibri"/>
        </w:rPr>
        <w:t xml:space="preserve">EN378-2:2008 (European Standards) and ISO 5149 </w:t>
      </w:r>
      <w:r>
        <w:rPr>
          <w:rFonts w:eastAsia="Calibri"/>
        </w:rPr>
        <w:t>(</w:t>
      </w:r>
      <w:r w:rsidRPr="009F3827">
        <w:rPr>
          <w:rFonts w:eastAsia="Calibri"/>
        </w:rPr>
        <w:t>based on IEC 60721-2</w:t>
      </w:r>
      <w:r>
        <w:rPr>
          <w:rFonts w:eastAsia="Calibri"/>
        </w:rPr>
        <w:t xml:space="preserve">) </w:t>
      </w:r>
      <w:r w:rsidRPr="009F3827">
        <w:rPr>
          <w:rFonts w:eastAsia="Calibri"/>
        </w:rPr>
        <w:t>prescribe pressures corresponding to certain design temperatures for the safe operation of a system</w:t>
      </w:r>
      <w:r>
        <w:rPr>
          <w:rFonts w:eastAsia="Calibri"/>
        </w:rPr>
        <w:t xml:space="preserve">. </w:t>
      </w:r>
      <w:r w:rsidRPr="009F3827">
        <w:rPr>
          <w:rFonts w:eastAsia="Calibri"/>
        </w:rPr>
        <w:t>This information is required by design engineers to specify material and pipe wall thickness requirements in a system</w:t>
      </w:r>
      <w:r>
        <w:rPr>
          <w:rFonts w:eastAsia="Calibri"/>
        </w:rPr>
        <w:t xml:space="preserve">. </w:t>
      </w:r>
      <w:r w:rsidRPr="009F3827">
        <w:rPr>
          <w:rFonts w:eastAsia="Calibri"/>
        </w:rPr>
        <w:t>EN</w:t>
      </w:r>
      <w:r>
        <w:rPr>
          <w:rFonts w:eastAsia="Calibri"/>
        </w:rPr>
        <w:t>378</w:t>
      </w:r>
      <w:r w:rsidRPr="009F3827">
        <w:rPr>
          <w:rFonts w:eastAsia="Calibri"/>
        </w:rPr>
        <w:t xml:space="preserve"> specifies design conditions at 32, 38, 43, and 55°C but does not specify what is </w:t>
      </w:r>
      <w:r>
        <w:rPr>
          <w:rFonts w:eastAsia="Calibri"/>
        </w:rPr>
        <w:t xml:space="preserve">a </w:t>
      </w:r>
      <w:r w:rsidRPr="009F3827">
        <w:rPr>
          <w:rFonts w:eastAsia="Calibri"/>
        </w:rPr>
        <w:t>high ambient</w:t>
      </w:r>
      <w:r w:rsidR="00CF596A">
        <w:rPr>
          <w:rFonts w:eastAsia="Calibri"/>
        </w:rPr>
        <w:t xml:space="preserve"> temperature</w:t>
      </w:r>
      <w:r>
        <w:rPr>
          <w:rFonts w:eastAsia="Calibri"/>
        </w:rPr>
        <w:t xml:space="preserve">. </w:t>
      </w:r>
      <w:r w:rsidRPr="009F3827">
        <w:rPr>
          <w:rFonts w:eastAsia="Calibri"/>
        </w:rPr>
        <w:t>This method is a bit complicated and needs specifying a lot of factors (pressure, density…etc.) which necessitate</w:t>
      </w:r>
      <w:r>
        <w:rPr>
          <w:rFonts w:eastAsia="Calibri"/>
        </w:rPr>
        <w:t>s</w:t>
      </w:r>
      <w:r w:rsidRPr="009F3827">
        <w:rPr>
          <w:rFonts w:eastAsia="Calibri"/>
        </w:rPr>
        <w:t xml:space="preserve"> a lot of data analysis to derive the required final data</w:t>
      </w:r>
      <w:r>
        <w:rPr>
          <w:rFonts w:eastAsia="Calibri"/>
        </w:rPr>
        <w:t xml:space="preserve">. </w:t>
      </w:r>
      <w:r w:rsidRPr="009F3827">
        <w:rPr>
          <w:rFonts w:eastAsia="Calibri"/>
        </w:rPr>
        <w:t>It is based on the system pressure values, which can be calculated from the actual design temperature.</w:t>
      </w:r>
    </w:p>
    <w:p w:rsidR="00B13B39" w:rsidRPr="009F3827" w:rsidRDefault="00B13B39" w:rsidP="00B13B39">
      <w:pPr>
        <w:contextualSpacing/>
      </w:pPr>
    </w:p>
    <w:p w:rsidR="00B13B39" w:rsidRDefault="00B13B39" w:rsidP="00B13B39">
      <w:bookmarkStart w:id="91" w:name="_Toc430640558"/>
      <w:r w:rsidRPr="009F3827">
        <w:t xml:space="preserve">Using data from </w:t>
      </w:r>
      <w:r>
        <w:t xml:space="preserve">a data base giving </w:t>
      </w:r>
      <w:r w:rsidRPr="009F3827">
        <w:t xml:space="preserve">temperature measurements in </w:t>
      </w:r>
      <w:r>
        <w:t xml:space="preserve">many </w:t>
      </w:r>
      <w:r w:rsidR="008B08AE">
        <w:t xml:space="preserve">Parties </w:t>
      </w:r>
      <w:r w:rsidRPr="009F3827">
        <w:t xml:space="preserve">in the world, some Parties </w:t>
      </w:r>
      <w:r>
        <w:t xml:space="preserve">have </w:t>
      </w:r>
      <w:r w:rsidRPr="009F3827">
        <w:t>develop</w:t>
      </w:r>
      <w:r>
        <w:t>ed</w:t>
      </w:r>
      <w:r w:rsidRPr="009F3827">
        <w:t xml:space="preserve"> </w:t>
      </w:r>
      <w:r>
        <w:t xml:space="preserve">a </w:t>
      </w:r>
      <w:r w:rsidRPr="009F3827">
        <w:t xml:space="preserve">method for </w:t>
      </w:r>
      <w:r>
        <w:t xml:space="preserve">selecting </w:t>
      </w:r>
      <w:r w:rsidR="008B08AE">
        <w:t xml:space="preserve">Parties </w:t>
      </w:r>
      <w:r w:rsidRPr="009F3827">
        <w:t xml:space="preserve">with </w:t>
      </w:r>
      <w:r>
        <w:t xml:space="preserve">a </w:t>
      </w:r>
      <w:r w:rsidRPr="009F3827">
        <w:t xml:space="preserve">high ambient temperature according to their average </w:t>
      </w:r>
      <w:r>
        <w:t xml:space="preserve">peak </w:t>
      </w:r>
      <w:r w:rsidRPr="009F3827">
        <w:t xml:space="preserve">ambient temperature </w:t>
      </w:r>
      <w:r>
        <w:t>per month during a</w:t>
      </w:r>
      <w:r w:rsidRPr="009F3827">
        <w:t xml:space="preserve"> year</w:t>
      </w:r>
      <w:r w:rsidRPr="009F3827">
        <w:rPr>
          <w:rStyle w:val="FootnoteReference"/>
        </w:rPr>
        <w:footnoteReference w:id="3"/>
      </w:r>
      <w:r>
        <w:t>.</w:t>
      </w:r>
      <w:r w:rsidR="003C3383">
        <w:t xml:space="preserve"> Information on this approach for defining HAT </w:t>
      </w:r>
      <w:r w:rsidR="008B08AE">
        <w:t>Parties</w:t>
      </w:r>
      <w:r w:rsidR="003C3383">
        <w:t xml:space="preserve"> was shared with the Task Force, but as this approach was still under discussion by Parties at OEWG-37, the Task Force only notes this information </w:t>
      </w:r>
      <w:r w:rsidR="00CF596A">
        <w:t xml:space="preserve">is available </w:t>
      </w:r>
      <w:r w:rsidR="003C3383">
        <w:t>without any further review or evaluation.</w:t>
      </w:r>
    </w:p>
    <w:p w:rsidR="00B13B39" w:rsidRPr="009F3827" w:rsidRDefault="00B13B39" w:rsidP="00B13B39"/>
    <w:p w:rsidR="00B13B39" w:rsidRDefault="00B13B39" w:rsidP="00723652">
      <w:pPr>
        <w:pStyle w:val="Heading2"/>
        <w:tabs>
          <w:tab w:val="clear" w:pos="578"/>
        </w:tabs>
      </w:pPr>
      <w:bookmarkStart w:id="92" w:name="_Toc452653383"/>
      <w:bookmarkEnd w:id="91"/>
      <w:r>
        <w:t>5.2</w:t>
      </w:r>
      <w:r>
        <w:tab/>
      </w:r>
      <w:r>
        <w:tab/>
        <w:t>Results from research projects</w:t>
      </w:r>
      <w:bookmarkEnd w:id="92"/>
    </w:p>
    <w:p w:rsidR="00B13B39" w:rsidRDefault="00B13B39" w:rsidP="00DF1E74">
      <w:pPr>
        <w:spacing w:after="120"/>
      </w:pPr>
      <w:r w:rsidRPr="00042647">
        <w:t xml:space="preserve">Most of the research and development has traditionally been made at the “standard ambient” of 35°C dry bulb temperature; even lower temperatures are used for some tests (e.g., under </w:t>
      </w:r>
      <w:r w:rsidR="008B08AE" w:rsidRPr="00AD0419">
        <w:t xml:space="preserve">Air-Conditioning, Heating, and Refrigeration Institute </w:t>
      </w:r>
      <w:r w:rsidR="008B08AE">
        <w:t>(</w:t>
      </w:r>
      <w:r w:rsidR="008B08AE" w:rsidRPr="00042647">
        <w:t>AHRI</w:t>
      </w:r>
      <w:r w:rsidR="008B08AE">
        <w:t>)</w:t>
      </w:r>
      <w:r w:rsidR="008B08AE" w:rsidRPr="00042647">
        <w:t xml:space="preserve"> </w:t>
      </w:r>
      <w:r w:rsidRPr="00042647">
        <w:t xml:space="preserve">Standard 210/240). The performance of units at different ambient temperatures would then be simulated or extrapolated. </w:t>
      </w:r>
      <w:r w:rsidRPr="0007160F">
        <w:t xml:space="preserve">The status of the </w:t>
      </w:r>
      <w:r>
        <w:t xml:space="preserve">three research projects testing refrigerant alternatives </w:t>
      </w:r>
      <w:r w:rsidRPr="0007160F">
        <w:t xml:space="preserve">used in specific equipment operating under high ambient temperature conditions </w:t>
      </w:r>
      <w:r>
        <w:t xml:space="preserve">were all made public </w:t>
      </w:r>
      <w:r>
        <w:lastRenderedPageBreak/>
        <w:t>during the period late 2015/early 2016 giving detailed technical results.</w:t>
      </w:r>
      <w:r w:rsidR="00FE51D6">
        <w:t xml:space="preserve"> T</w:t>
      </w:r>
      <w:r>
        <w:t>he three projects are:</w:t>
      </w:r>
    </w:p>
    <w:p w:rsidR="00B13B39" w:rsidRPr="003F7AD9" w:rsidRDefault="00B13B39" w:rsidP="00BF3E15">
      <w:pPr>
        <w:numPr>
          <w:ilvl w:val="0"/>
          <w:numId w:val="39"/>
        </w:numPr>
        <w:spacing w:after="120"/>
        <w:ind w:left="714" w:hanging="357"/>
      </w:pPr>
      <w:r w:rsidRPr="003F7AD9">
        <w:t>“Promoting low GWP Refrigerants for Air-Conditioning Sectors in High-Ambient Temperature Countries” (PRAHA) and “Egyptian Project for Refrigerant Alternatives” (EGYPRA);</w:t>
      </w:r>
    </w:p>
    <w:p w:rsidR="00B13B39" w:rsidRPr="003F7AD9" w:rsidRDefault="00B13B39" w:rsidP="00BF3E15">
      <w:pPr>
        <w:numPr>
          <w:ilvl w:val="0"/>
          <w:numId w:val="39"/>
        </w:numPr>
        <w:spacing w:after="120"/>
        <w:ind w:left="714" w:hanging="357"/>
      </w:pPr>
      <w:r w:rsidRPr="003F7AD9">
        <w:t>the Oak Ridge National Laboratory (ORNL) “High-Ambient-Temperature Evaluation Program for Low-Global Warming Potential (Low-GWP) Refrigerants”, Phase I (and ongoing Phase II); and</w:t>
      </w:r>
    </w:p>
    <w:p w:rsidR="00B13B39" w:rsidRDefault="00B13B39" w:rsidP="00BF3E15">
      <w:pPr>
        <w:numPr>
          <w:ilvl w:val="0"/>
          <w:numId w:val="39"/>
        </w:numPr>
        <w:spacing w:after="240"/>
        <w:ind w:left="714" w:hanging="357"/>
      </w:pPr>
      <w:r>
        <w:t>T</w:t>
      </w:r>
      <w:r w:rsidRPr="003F7AD9">
        <w:t>he AHRI Low GWP Alternative Refrigerants Evaluation Program (AREP) Phase I (and ongoing Phase II).</w:t>
      </w:r>
    </w:p>
    <w:p w:rsidR="00B13B39" w:rsidRPr="00C372ED" w:rsidRDefault="00B13B39" w:rsidP="00BF3E15">
      <w:pPr>
        <w:pStyle w:val="Heading3"/>
      </w:pPr>
      <w:bookmarkStart w:id="93" w:name="_Toc452653384"/>
      <w:r w:rsidRPr="00C372ED">
        <w:t>5.2.1</w:t>
      </w:r>
      <w:r w:rsidRPr="00C372ED">
        <w:tab/>
        <w:t xml:space="preserve">PRAHA </w:t>
      </w:r>
      <w:r>
        <w:t>p</w:t>
      </w:r>
      <w:r w:rsidRPr="00C372ED">
        <w:t>roject</w:t>
      </w:r>
      <w:bookmarkEnd w:id="93"/>
    </w:p>
    <w:p w:rsidR="00B13B39" w:rsidRDefault="00B13B39" w:rsidP="00BF3E15">
      <w:r w:rsidRPr="003F7AD9">
        <w:rPr>
          <w:sz w:val="24"/>
        </w:rPr>
        <w:t>“</w:t>
      </w:r>
      <w:r w:rsidRPr="003F7AD9">
        <w:t>Promoting low GWP Refrigerants for Air-Conditioning Sectors in High-Ambient Temperature Countries” (PRAHA)</w:t>
      </w:r>
      <w:r w:rsidR="00FE51D6">
        <w:t xml:space="preserve">. </w:t>
      </w:r>
      <w:r w:rsidRPr="003F7AD9">
        <w:t>PRAHA, which was launched by UNEP/UNIDO is 2013 and completed in 2015, involved custom made prototypes built by manufacturers based in the Gulf Coordination Council countries and tested at an independent lab</w:t>
      </w:r>
      <w:r w:rsidR="00FE51D6">
        <w:t xml:space="preserve">. </w:t>
      </w:r>
      <w:r w:rsidRPr="003F7AD9">
        <w:t>The project is implemented at the regional level in consultation with National Ozone Units of Bahrain, Iraq, Kuwait, Qatar, Oman, Saudi Arabia, and the UAE to ensure incorporating the project outputs within the HCFC Phase-out Management Plans (HPMPs) particularly for the preparation of post 2015 policies and action-plans. The project tested 14 prototypes using 5 refrigerants and 9 base units running with HCFC-22 or R-410A.</w:t>
      </w:r>
    </w:p>
    <w:p w:rsidR="00B13B39" w:rsidRPr="003F7AD9" w:rsidRDefault="00B13B39" w:rsidP="00BF3E15"/>
    <w:p w:rsidR="00B13B39" w:rsidRPr="003F7AD9" w:rsidRDefault="00B13B39" w:rsidP="00BF3E15">
      <w:r w:rsidRPr="003F7AD9">
        <w:t xml:space="preserve">Building up on PRAHA and the linkage to country phase-out plans, Egypt adopted a similar initiative as part of the HPMP to test refrigerant alternatives for air-conditioning units built in Egypt. The initiative EGYPRA tests more blends in different applications. The initiative was launched back in June 2014 and is expected to have the results by the end of 2016. </w:t>
      </w:r>
    </w:p>
    <w:p w:rsidR="00B13B39" w:rsidRDefault="00B13B39" w:rsidP="00B13B39">
      <w:r w:rsidRPr="003F7AD9">
        <w:t xml:space="preserve">Both projects built custom made units and testing was done at independent labs at 35, 46, and 50°C ambient temperatures for PRAHA and an additional 27°C for EGYPRA, with an “endurance” test at 55°C ambient to ensure continuous operation for two hours when units are run at that temperature. The proposed refrigerants are shown in table </w:t>
      </w:r>
      <w:r>
        <w:t>5</w:t>
      </w:r>
      <w:r w:rsidRPr="003F7AD9">
        <w:t>-</w:t>
      </w:r>
      <w:r>
        <w:t>2</w:t>
      </w:r>
      <w:r w:rsidRPr="003F7AD9">
        <w:t xml:space="preserve"> below:</w:t>
      </w:r>
    </w:p>
    <w:p w:rsidR="00B13B39" w:rsidRPr="003F7AD9" w:rsidRDefault="00B13B39" w:rsidP="00B13B39"/>
    <w:p w:rsidR="00B13B39" w:rsidRDefault="00B13B39" w:rsidP="00B13B39">
      <w:pPr>
        <w:rPr>
          <w:b/>
          <w:bCs/>
          <w:i/>
          <w:iCs/>
        </w:rPr>
      </w:pPr>
      <w:r w:rsidRPr="003F7AD9">
        <w:rPr>
          <w:b/>
          <w:bCs/>
          <w:i/>
          <w:iCs/>
        </w:rPr>
        <w:t xml:space="preserve">Table </w:t>
      </w:r>
      <w:r>
        <w:rPr>
          <w:b/>
          <w:bCs/>
          <w:i/>
          <w:iCs/>
        </w:rPr>
        <w:t>5</w:t>
      </w:r>
      <w:r w:rsidRPr="003F7AD9">
        <w:rPr>
          <w:b/>
          <w:bCs/>
          <w:i/>
          <w:iCs/>
        </w:rPr>
        <w:t>-</w:t>
      </w:r>
      <w:r>
        <w:rPr>
          <w:b/>
          <w:bCs/>
          <w:i/>
          <w:iCs/>
        </w:rPr>
        <w:t>2</w:t>
      </w:r>
      <w:r w:rsidRPr="003F7AD9">
        <w:rPr>
          <w:b/>
          <w:bCs/>
          <w:i/>
          <w:iCs/>
        </w:rPr>
        <w:t>: Alternative refrigerants used in PRAHA and EGYPRA projects</w:t>
      </w:r>
    </w:p>
    <w:p w:rsidR="00B13B39" w:rsidRPr="003F7AD9" w:rsidRDefault="00B13B39" w:rsidP="00B13B39">
      <w:pPr>
        <w:rPr>
          <w:b/>
          <w:bCs/>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B13B39" w:rsidRPr="00E923C4" w:rsidTr="003A3F19">
        <w:tc>
          <w:tcPr>
            <w:tcW w:w="3118" w:type="dxa"/>
            <w:tcBorders>
              <w:top w:val="single" w:sz="4" w:space="0" w:color="auto"/>
              <w:left w:val="single" w:sz="4" w:space="0" w:color="auto"/>
              <w:bottom w:val="single" w:sz="4" w:space="0" w:color="auto"/>
              <w:right w:val="single" w:sz="4" w:space="0" w:color="auto"/>
            </w:tcBorders>
            <w:shd w:val="clear" w:color="auto" w:fill="E7E6E6"/>
            <w:hideMark/>
          </w:tcPr>
          <w:p w:rsidR="00B13B39" w:rsidRDefault="00B13B39" w:rsidP="003A3F19">
            <w:pPr>
              <w:rPr>
                <w:rFonts w:eastAsia="Calibri"/>
                <w:b/>
                <w:bCs/>
              </w:rPr>
            </w:pPr>
            <w:r w:rsidRPr="00E923C4">
              <w:rPr>
                <w:rFonts w:eastAsia="Calibri"/>
                <w:b/>
                <w:bCs/>
              </w:rPr>
              <w:t>Comparable to HCFC-22</w:t>
            </w:r>
          </w:p>
          <w:p w:rsidR="00B13B39" w:rsidRPr="00E923C4" w:rsidRDefault="00B13B39" w:rsidP="003A3F19">
            <w:pPr>
              <w:rPr>
                <w:rFonts w:eastAsia="Calibri"/>
                <w:b/>
                <w:bCs/>
              </w:rPr>
            </w:pPr>
          </w:p>
        </w:tc>
        <w:tc>
          <w:tcPr>
            <w:tcW w:w="3119" w:type="dxa"/>
            <w:tcBorders>
              <w:top w:val="single" w:sz="4" w:space="0" w:color="auto"/>
              <w:left w:val="single" w:sz="4" w:space="0" w:color="auto"/>
              <w:bottom w:val="single" w:sz="4" w:space="0" w:color="auto"/>
              <w:right w:val="single" w:sz="4" w:space="0" w:color="auto"/>
            </w:tcBorders>
            <w:shd w:val="clear" w:color="auto" w:fill="E7E6E6"/>
            <w:hideMark/>
          </w:tcPr>
          <w:p w:rsidR="00B13B39" w:rsidRDefault="00B13B39" w:rsidP="003A3F19">
            <w:pPr>
              <w:rPr>
                <w:rFonts w:eastAsia="Calibri"/>
                <w:b/>
                <w:bCs/>
              </w:rPr>
            </w:pPr>
            <w:r w:rsidRPr="00E923C4">
              <w:rPr>
                <w:rFonts w:eastAsia="Calibri"/>
                <w:b/>
                <w:bCs/>
              </w:rPr>
              <w:t>Comparable to R-410A</w:t>
            </w:r>
          </w:p>
          <w:p w:rsidR="00B13B39" w:rsidRPr="00E923C4" w:rsidRDefault="00B13B39" w:rsidP="003A3F19">
            <w:pPr>
              <w:rPr>
                <w:rFonts w:eastAsia="Calibri"/>
                <w:b/>
                <w:bCs/>
              </w:rPr>
            </w:pPr>
          </w:p>
        </w:tc>
      </w:tr>
      <w:tr w:rsidR="00B13B39" w:rsidRPr="00E923C4" w:rsidTr="003A3F19">
        <w:tc>
          <w:tcPr>
            <w:tcW w:w="3118"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R-290</w:t>
            </w:r>
          </w:p>
        </w:tc>
        <w:tc>
          <w:tcPr>
            <w:tcW w:w="3119"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HFC-32</w:t>
            </w:r>
          </w:p>
        </w:tc>
      </w:tr>
      <w:tr w:rsidR="00B13B39" w:rsidRPr="00E923C4" w:rsidTr="003A3F19">
        <w:tc>
          <w:tcPr>
            <w:tcW w:w="3118"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R-444B (L-20)</w:t>
            </w:r>
          </w:p>
        </w:tc>
        <w:tc>
          <w:tcPr>
            <w:tcW w:w="3119"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R-447A (L-41-1)</w:t>
            </w:r>
          </w:p>
        </w:tc>
      </w:tr>
      <w:tr w:rsidR="00B13B39" w:rsidRPr="00E923C4" w:rsidTr="003A3F19">
        <w:tc>
          <w:tcPr>
            <w:tcW w:w="3118"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DR-3</w:t>
            </w:r>
          </w:p>
        </w:tc>
        <w:tc>
          <w:tcPr>
            <w:tcW w:w="3119"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R-454B (DR-5A)</w:t>
            </w:r>
          </w:p>
        </w:tc>
      </w:tr>
      <w:tr w:rsidR="00B13B39" w:rsidRPr="00E923C4" w:rsidTr="003A3F19">
        <w:tc>
          <w:tcPr>
            <w:tcW w:w="3118"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R-457A (ARM-20a)</w:t>
            </w:r>
          </w:p>
        </w:tc>
        <w:tc>
          <w:tcPr>
            <w:tcW w:w="3119" w:type="dxa"/>
            <w:tcBorders>
              <w:top w:val="single" w:sz="4" w:space="0" w:color="auto"/>
              <w:left w:val="single" w:sz="4" w:space="0" w:color="auto"/>
              <w:bottom w:val="single" w:sz="4" w:space="0" w:color="auto"/>
              <w:right w:val="single" w:sz="4" w:space="0" w:color="auto"/>
            </w:tcBorders>
            <w:hideMark/>
          </w:tcPr>
          <w:p w:rsidR="00B13B39" w:rsidRPr="00E923C4" w:rsidRDefault="00B13B39" w:rsidP="003A3F19">
            <w:pPr>
              <w:rPr>
                <w:rFonts w:eastAsia="Calibri"/>
              </w:rPr>
            </w:pPr>
            <w:r w:rsidRPr="00E923C4">
              <w:rPr>
                <w:rFonts w:eastAsia="Calibri"/>
              </w:rPr>
              <w:t>ARM-71a</w:t>
            </w:r>
          </w:p>
        </w:tc>
      </w:tr>
    </w:tbl>
    <w:p w:rsidR="00B13B39" w:rsidRPr="003F7AD9" w:rsidRDefault="00B13B39" w:rsidP="00B13B39"/>
    <w:p w:rsidR="00B13B39" w:rsidRDefault="00B13B39" w:rsidP="00B13B39">
      <w:r w:rsidRPr="003F7AD9">
        <w:t xml:space="preserve">Table </w:t>
      </w:r>
      <w:r>
        <w:t>5</w:t>
      </w:r>
      <w:r w:rsidRPr="003F7AD9">
        <w:t>-</w:t>
      </w:r>
      <w:r>
        <w:t>3</w:t>
      </w:r>
      <w:r w:rsidRPr="003F7AD9">
        <w:t xml:space="preserve"> shows the </w:t>
      </w:r>
      <w:r>
        <w:t>result from the testing of the prototypes and their comparison to their respective base units</w:t>
      </w:r>
      <w:r w:rsidR="00FE51D6">
        <w:t xml:space="preserve">. </w:t>
      </w:r>
      <w:r>
        <w:t xml:space="preserve">The table shows the type of equipment tested, the laboratory at which it was tested, the baseline refrigerant against which the porotype is compared, and the constraints and the modifications that were included with the prototype. The table then compares each type of alternative refrigerant to the base unit for COP (efficiency) and capacity at 35°C and a higher ambient temperature which in this case is 50°C. </w:t>
      </w:r>
    </w:p>
    <w:p w:rsidR="00B13B39" w:rsidRDefault="00B13B39" w:rsidP="00B13B39">
      <w:pPr>
        <w:jc w:val="both"/>
      </w:pPr>
    </w:p>
    <w:p w:rsidR="00D17DB8" w:rsidRDefault="00D17DB8" w:rsidP="00B13B39">
      <w:pPr>
        <w:rPr>
          <w:b/>
          <w:bCs/>
          <w:i/>
          <w:iCs/>
        </w:rPr>
      </w:pPr>
    </w:p>
    <w:p w:rsidR="00D17DB8" w:rsidRDefault="00D17DB8" w:rsidP="00B13B39">
      <w:pPr>
        <w:rPr>
          <w:b/>
          <w:bCs/>
          <w:i/>
          <w:iCs/>
        </w:rPr>
      </w:pPr>
    </w:p>
    <w:p w:rsidR="00B13B39" w:rsidRDefault="00B13B39" w:rsidP="00894C72">
      <w:pPr>
        <w:keepNext/>
        <w:keepLines/>
        <w:rPr>
          <w:b/>
          <w:bCs/>
          <w:i/>
          <w:iCs/>
        </w:rPr>
      </w:pPr>
      <w:r w:rsidRPr="00974F71">
        <w:rPr>
          <w:b/>
          <w:bCs/>
          <w:i/>
          <w:iCs/>
        </w:rPr>
        <w:lastRenderedPageBreak/>
        <w:t xml:space="preserve">Table </w:t>
      </w:r>
      <w:r>
        <w:rPr>
          <w:b/>
          <w:bCs/>
          <w:i/>
          <w:iCs/>
        </w:rPr>
        <w:t>5</w:t>
      </w:r>
      <w:r w:rsidRPr="00974F71">
        <w:rPr>
          <w:b/>
          <w:bCs/>
          <w:i/>
          <w:iCs/>
        </w:rPr>
        <w:t>-</w:t>
      </w:r>
      <w:r>
        <w:rPr>
          <w:b/>
          <w:bCs/>
          <w:i/>
          <w:iCs/>
        </w:rPr>
        <w:t>3</w:t>
      </w:r>
      <w:r w:rsidRPr="00974F71">
        <w:rPr>
          <w:b/>
          <w:bCs/>
          <w:i/>
          <w:iCs/>
        </w:rPr>
        <w:t xml:space="preserve"> PRAHA </w:t>
      </w:r>
      <w:r>
        <w:rPr>
          <w:b/>
          <w:bCs/>
          <w:i/>
          <w:iCs/>
        </w:rPr>
        <w:t>r</w:t>
      </w:r>
      <w:r w:rsidRPr="00974F71">
        <w:rPr>
          <w:b/>
          <w:bCs/>
          <w:i/>
          <w:iCs/>
        </w:rPr>
        <w:t xml:space="preserve">esults for </w:t>
      </w:r>
      <w:r>
        <w:rPr>
          <w:b/>
          <w:bCs/>
          <w:i/>
          <w:iCs/>
        </w:rPr>
        <w:t xml:space="preserve">cooling </w:t>
      </w:r>
      <w:r w:rsidRPr="00974F71">
        <w:rPr>
          <w:b/>
          <w:bCs/>
          <w:i/>
          <w:iCs/>
        </w:rPr>
        <w:t xml:space="preserve">capacity and </w:t>
      </w:r>
      <w:r>
        <w:rPr>
          <w:b/>
          <w:bCs/>
          <w:i/>
          <w:iCs/>
        </w:rPr>
        <w:t>e</w:t>
      </w:r>
      <w:r w:rsidRPr="00974F71">
        <w:rPr>
          <w:b/>
          <w:bCs/>
          <w:i/>
          <w:iCs/>
        </w:rPr>
        <w:t>fficiency</w:t>
      </w:r>
      <w:r>
        <w:rPr>
          <w:b/>
          <w:bCs/>
          <w:i/>
          <w:iCs/>
        </w:rPr>
        <w:t xml:space="preserve"> as percentage compared to  the baseline units</w:t>
      </w:r>
    </w:p>
    <w:p w:rsidR="00B13B39" w:rsidRPr="00974F71" w:rsidRDefault="00B13B39" w:rsidP="00894C72">
      <w:pPr>
        <w:keepNext/>
        <w:keepLines/>
        <w:rPr>
          <w:b/>
          <w:bCs/>
          <w:i/>
          <w:iCs/>
        </w:rPr>
      </w:pPr>
    </w:p>
    <w:tbl>
      <w:tblPr>
        <w:tblW w:w="9982" w:type="dxa"/>
        <w:tblInd w:w="-635" w:type="dxa"/>
        <w:tblLayout w:type="fixed"/>
        <w:tblLook w:val="04A0" w:firstRow="1" w:lastRow="0" w:firstColumn="1" w:lastColumn="0" w:noHBand="0" w:noVBand="1"/>
      </w:tblPr>
      <w:tblGrid>
        <w:gridCol w:w="1064"/>
        <w:gridCol w:w="813"/>
        <w:gridCol w:w="1418"/>
        <w:gridCol w:w="1984"/>
        <w:gridCol w:w="993"/>
        <w:gridCol w:w="850"/>
        <w:gridCol w:w="992"/>
        <w:gridCol w:w="851"/>
        <w:gridCol w:w="435"/>
        <w:gridCol w:w="582"/>
      </w:tblGrid>
      <w:tr w:rsidR="00B13B39" w:rsidRPr="00254F62" w:rsidTr="00DF1E74">
        <w:trPr>
          <w:trHeight w:val="996"/>
        </w:trPr>
        <w:tc>
          <w:tcPr>
            <w:tcW w:w="1064"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Equipment type</w:t>
            </w:r>
          </w:p>
        </w:tc>
        <w:tc>
          <w:tcPr>
            <w:tcW w:w="813"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Lab utilized</w:t>
            </w:r>
          </w:p>
        </w:tc>
        <w:tc>
          <w:tcPr>
            <w:tcW w:w="1418" w:type="dxa"/>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b/>
                <w:bCs/>
                <w:sz w:val="18"/>
                <w:szCs w:val="18"/>
              </w:rPr>
            </w:pPr>
            <w:r w:rsidRPr="00C372ED">
              <w:rPr>
                <w:rFonts w:eastAsia="Times New Roman"/>
                <w:b/>
                <w:bCs/>
                <w:sz w:val="18"/>
                <w:szCs w:val="18"/>
              </w:rPr>
              <w:t xml:space="preserve">Baseline refrigerant </w:t>
            </w:r>
          </w:p>
        </w:tc>
        <w:tc>
          <w:tcPr>
            <w:tcW w:w="1984"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Prototype Criterion</w:t>
            </w:r>
          </w:p>
        </w:tc>
        <w:tc>
          <w:tcPr>
            <w:tcW w:w="993" w:type="dxa"/>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DF1E74">
            <w:pPr>
              <w:rPr>
                <w:rFonts w:eastAsia="Times New Roman"/>
                <w:b/>
                <w:bCs/>
                <w:sz w:val="18"/>
                <w:szCs w:val="18"/>
              </w:rPr>
            </w:pPr>
            <w:r w:rsidRPr="00C372ED">
              <w:rPr>
                <w:rFonts w:eastAsia="Times New Roman"/>
                <w:b/>
                <w:bCs/>
                <w:sz w:val="18"/>
                <w:szCs w:val="18"/>
              </w:rPr>
              <w:t>Refrig</w:t>
            </w:r>
            <w:r w:rsidR="001E4C2D">
              <w:rPr>
                <w:rFonts w:eastAsia="Times New Roman"/>
                <w:b/>
                <w:bCs/>
                <w:sz w:val="18"/>
                <w:szCs w:val="18"/>
              </w:rPr>
              <w:t>er-ant t</w:t>
            </w:r>
            <w:r w:rsidRPr="00C372ED">
              <w:rPr>
                <w:rFonts w:eastAsia="Times New Roman"/>
                <w:b/>
                <w:bCs/>
                <w:sz w:val="18"/>
                <w:szCs w:val="18"/>
              </w:rPr>
              <w:t>ested</w:t>
            </w:r>
          </w:p>
        </w:tc>
        <w:tc>
          <w:tcPr>
            <w:tcW w:w="850" w:type="dxa"/>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9277E5">
            <w:pPr>
              <w:rPr>
                <w:rFonts w:eastAsia="Times New Roman"/>
                <w:b/>
                <w:bCs/>
                <w:sz w:val="18"/>
                <w:szCs w:val="18"/>
              </w:rPr>
            </w:pPr>
            <w:r w:rsidRPr="00C372ED">
              <w:rPr>
                <w:rFonts w:eastAsia="Times New Roman"/>
                <w:b/>
                <w:bCs/>
                <w:sz w:val="18"/>
                <w:szCs w:val="18"/>
              </w:rPr>
              <w:t>COP</w:t>
            </w:r>
            <w:r w:rsidRPr="00C372ED">
              <w:rPr>
                <w:rFonts w:eastAsia="Times New Roman"/>
                <w:b/>
                <w:bCs/>
                <w:sz w:val="18"/>
                <w:szCs w:val="18"/>
              </w:rPr>
              <w:br/>
              <w:t xml:space="preserve">% </w:t>
            </w:r>
            <w:r>
              <w:rPr>
                <w:rFonts w:eastAsia="Times New Roman"/>
                <w:b/>
                <w:bCs/>
                <w:sz w:val="18"/>
                <w:szCs w:val="18"/>
              </w:rPr>
              <w:t>comp to</w:t>
            </w:r>
            <w:r w:rsidRPr="00C372ED">
              <w:rPr>
                <w:rFonts w:eastAsia="Times New Roman"/>
                <w:b/>
                <w:bCs/>
                <w:sz w:val="18"/>
                <w:szCs w:val="18"/>
              </w:rPr>
              <w:t xml:space="preserve"> baseline  @ 35</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9277E5">
            <w:pPr>
              <w:rPr>
                <w:rFonts w:eastAsia="Times New Roman"/>
                <w:b/>
                <w:bCs/>
                <w:sz w:val="18"/>
                <w:szCs w:val="18"/>
              </w:rPr>
            </w:pPr>
            <w:r w:rsidRPr="00C372ED">
              <w:rPr>
                <w:rFonts w:eastAsia="Times New Roman"/>
                <w:b/>
                <w:bCs/>
                <w:sz w:val="18"/>
                <w:szCs w:val="18"/>
              </w:rPr>
              <w:t xml:space="preserve">Capacity </w:t>
            </w:r>
            <w:r w:rsidRPr="00C372ED">
              <w:rPr>
                <w:rFonts w:eastAsia="Times New Roman"/>
                <w:b/>
                <w:bCs/>
                <w:sz w:val="18"/>
                <w:szCs w:val="18"/>
              </w:rPr>
              <w:br/>
              <w:t xml:space="preserve">% </w:t>
            </w:r>
            <w:r>
              <w:rPr>
                <w:rFonts w:eastAsia="Times New Roman"/>
                <w:b/>
                <w:bCs/>
                <w:sz w:val="18"/>
                <w:szCs w:val="18"/>
              </w:rPr>
              <w:t xml:space="preserve">comp to </w:t>
            </w:r>
            <w:r w:rsidRPr="00C372ED">
              <w:rPr>
                <w:rFonts w:eastAsia="Times New Roman"/>
                <w:b/>
                <w:bCs/>
                <w:sz w:val="18"/>
                <w:szCs w:val="18"/>
              </w:rPr>
              <w:t>baseline  @ 35</w:t>
            </w:r>
            <w:r w:rsidR="009277E5" w:rsidRPr="00B44C73">
              <w:rPr>
                <w:rFonts w:eastAsia="Times New Roman"/>
                <w:b/>
                <w:sz w:val="18"/>
                <w:szCs w:val="18"/>
              </w:rPr>
              <w:t>°C</w:t>
            </w:r>
          </w:p>
        </w:tc>
        <w:tc>
          <w:tcPr>
            <w:tcW w:w="851" w:type="dxa"/>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9277E5">
            <w:pPr>
              <w:rPr>
                <w:rFonts w:eastAsia="Times New Roman"/>
                <w:b/>
                <w:bCs/>
                <w:sz w:val="18"/>
                <w:szCs w:val="18"/>
              </w:rPr>
            </w:pPr>
            <w:r w:rsidRPr="00C372ED">
              <w:rPr>
                <w:rFonts w:eastAsia="Times New Roman"/>
                <w:b/>
                <w:bCs/>
                <w:sz w:val="18"/>
                <w:szCs w:val="18"/>
              </w:rPr>
              <w:t>COP</w:t>
            </w:r>
            <w:r w:rsidRPr="00C372ED">
              <w:rPr>
                <w:rFonts w:eastAsia="Times New Roman"/>
                <w:b/>
                <w:bCs/>
                <w:sz w:val="18"/>
                <w:szCs w:val="18"/>
              </w:rPr>
              <w:br/>
              <w:t xml:space="preserve"> % </w:t>
            </w:r>
            <w:r>
              <w:rPr>
                <w:rFonts w:eastAsia="Times New Roman"/>
                <w:b/>
                <w:bCs/>
                <w:sz w:val="18"/>
                <w:szCs w:val="18"/>
              </w:rPr>
              <w:t xml:space="preserve">comp to </w:t>
            </w:r>
            <w:r w:rsidRPr="00C372ED">
              <w:rPr>
                <w:rFonts w:eastAsia="Times New Roman"/>
                <w:b/>
                <w:bCs/>
                <w:sz w:val="18"/>
                <w:szCs w:val="18"/>
              </w:rPr>
              <w:t>baseline  @ 50</w:t>
            </w:r>
            <w:r w:rsidR="009277E5" w:rsidRPr="00B44C73">
              <w:rPr>
                <w:rFonts w:eastAsia="Times New Roman"/>
                <w:b/>
                <w:sz w:val="18"/>
                <w:szCs w:val="18"/>
              </w:rPr>
              <w:t>°C</w:t>
            </w:r>
          </w:p>
        </w:tc>
        <w:tc>
          <w:tcPr>
            <w:tcW w:w="1017" w:type="dxa"/>
            <w:gridSpan w:val="2"/>
            <w:tcBorders>
              <w:top w:val="single" w:sz="4" w:space="0" w:color="auto"/>
              <w:left w:val="nil"/>
              <w:bottom w:val="single" w:sz="4" w:space="0" w:color="auto"/>
              <w:right w:val="single" w:sz="4" w:space="0" w:color="auto"/>
            </w:tcBorders>
            <w:shd w:val="clear" w:color="auto" w:fill="FFF2CC"/>
            <w:vAlign w:val="bottom"/>
            <w:hideMark/>
          </w:tcPr>
          <w:p w:rsidR="00B13B39" w:rsidRPr="00C372ED" w:rsidRDefault="00B13B39" w:rsidP="009277E5">
            <w:pPr>
              <w:rPr>
                <w:rFonts w:eastAsia="Times New Roman"/>
                <w:b/>
                <w:bCs/>
                <w:sz w:val="18"/>
                <w:szCs w:val="18"/>
              </w:rPr>
            </w:pPr>
            <w:r w:rsidRPr="00C372ED">
              <w:rPr>
                <w:rFonts w:eastAsia="Times New Roman"/>
                <w:b/>
                <w:bCs/>
                <w:sz w:val="18"/>
                <w:szCs w:val="18"/>
              </w:rPr>
              <w:t>Capacity</w:t>
            </w:r>
            <w:r w:rsidRPr="00C372ED">
              <w:rPr>
                <w:rFonts w:eastAsia="Times New Roman"/>
                <w:b/>
                <w:bCs/>
                <w:sz w:val="18"/>
                <w:szCs w:val="18"/>
              </w:rPr>
              <w:br/>
              <w:t>%</w:t>
            </w:r>
            <w:r>
              <w:rPr>
                <w:rFonts w:eastAsia="Times New Roman"/>
                <w:b/>
                <w:bCs/>
                <w:sz w:val="18"/>
                <w:szCs w:val="18"/>
              </w:rPr>
              <w:t xml:space="preserve"> comp to</w:t>
            </w:r>
            <w:r w:rsidRPr="00C372ED">
              <w:rPr>
                <w:rFonts w:eastAsia="Times New Roman"/>
                <w:b/>
                <w:bCs/>
                <w:sz w:val="18"/>
                <w:szCs w:val="18"/>
              </w:rPr>
              <w:t xml:space="preserve"> baseline @ 50</w:t>
            </w:r>
            <w:r w:rsidR="009277E5" w:rsidRPr="00B44C73">
              <w:rPr>
                <w:rFonts w:eastAsia="Times New Roman"/>
                <w:b/>
                <w:sz w:val="18"/>
                <w:szCs w:val="18"/>
              </w:rPr>
              <w:t>°C</w:t>
            </w:r>
          </w:p>
        </w:tc>
      </w:tr>
      <w:tr w:rsidR="00B13B39" w:rsidRPr="00254F62" w:rsidTr="00DF1E74">
        <w:trPr>
          <w:trHeight w:val="639"/>
        </w:trPr>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Default="00B13B39" w:rsidP="003A3F19">
            <w:pPr>
              <w:jc w:val="center"/>
              <w:rPr>
                <w:rFonts w:eastAsia="Times New Roman"/>
                <w:sz w:val="18"/>
                <w:szCs w:val="18"/>
              </w:rPr>
            </w:pPr>
            <w:r w:rsidRPr="00C372ED">
              <w:rPr>
                <w:rFonts w:eastAsia="Times New Roman"/>
                <w:sz w:val="18"/>
                <w:szCs w:val="18"/>
              </w:rPr>
              <w:t>18,000 B</w:t>
            </w:r>
            <w:r>
              <w:rPr>
                <w:rFonts w:eastAsia="Times New Roman"/>
                <w:sz w:val="18"/>
                <w:szCs w:val="18"/>
              </w:rPr>
              <w:t>t</w:t>
            </w:r>
            <w:r w:rsidRPr="00C372ED">
              <w:rPr>
                <w:rFonts w:eastAsia="Times New Roman"/>
                <w:sz w:val="18"/>
                <w:szCs w:val="18"/>
              </w:rPr>
              <w:t>u/hr. Window</w:t>
            </w:r>
          </w:p>
          <w:p w:rsidR="00B13B39" w:rsidRPr="00C372ED" w:rsidRDefault="00B13B39" w:rsidP="003A3F19">
            <w:pPr>
              <w:jc w:val="center"/>
              <w:rPr>
                <w:rFonts w:eastAsia="Times New Roman"/>
                <w:sz w:val="18"/>
                <w:szCs w:val="18"/>
              </w:rPr>
            </w:pPr>
            <w:r>
              <w:rPr>
                <w:rFonts w:eastAsia="Times New Roman"/>
                <w:sz w:val="18"/>
                <w:szCs w:val="18"/>
              </w:rPr>
              <w:t>Unit</w:t>
            </w:r>
          </w:p>
        </w:tc>
        <w:tc>
          <w:tcPr>
            <w:tcW w:w="813"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3.14 at 35</w:t>
            </w:r>
            <w:r w:rsidR="009277E5" w:rsidRPr="009277E5">
              <w:rPr>
                <w:rFonts w:eastAsia="Times New Roman"/>
                <w:sz w:val="18"/>
                <w:szCs w:val="18"/>
              </w:rPr>
              <w:t xml:space="preserve">°C </w:t>
            </w:r>
            <w:r w:rsidRPr="009277E5">
              <w:rPr>
                <w:rFonts w:eastAsia="Times New Roman"/>
                <w:sz w:val="18"/>
                <w:szCs w:val="18"/>
              </w:rPr>
              <w:t>and 2.26 at 50</w:t>
            </w:r>
            <w:r w:rsidR="009277E5" w:rsidRPr="009277E5">
              <w:rPr>
                <w:rFonts w:eastAsia="Times New Roman"/>
                <w:sz w:val="18"/>
                <w:szCs w:val="18"/>
              </w:rPr>
              <w:t>°C</w:t>
            </w:r>
            <w:r w:rsidRPr="009277E5">
              <w:rPr>
                <w:rFonts w:eastAsia="Times New Roman"/>
                <w:sz w:val="18"/>
                <w:szCs w:val="18"/>
              </w:rPr>
              <w:t xml:space="preserve"> for OEM A</w:t>
            </w:r>
            <w:r w:rsidRPr="009277E5">
              <w:rPr>
                <w:rFonts w:eastAsia="Times New Roman"/>
                <w:sz w:val="18"/>
                <w:szCs w:val="18"/>
              </w:rPr>
              <w:br/>
              <w:t>COP = 2.76 at 35</w:t>
            </w:r>
            <w:r w:rsidR="009277E5" w:rsidRPr="009277E5">
              <w:rPr>
                <w:rFonts w:eastAsia="Times New Roman"/>
                <w:sz w:val="18"/>
                <w:szCs w:val="18"/>
              </w:rPr>
              <w:t xml:space="preserve">°C </w:t>
            </w:r>
            <w:r w:rsidRPr="009277E5">
              <w:rPr>
                <w:rFonts w:eastAsia="Times New Roman"/>
                <w:sz w:val="18"/>
                <w:szCs w:val="18"/>
              </w:rPr>
              <w:t>and 2.02 at 50</w:t>
            </w:r>
            <w:r w:rsidR="009277E5" w:rsidRPr="009277E5">
              <w:rPr>
                <w:rFonts w:eastAsia="Times New Roman"/>
                <w:sz w:val="18"/>
                <w:szCs w:val="18"/>
              </w:rPr>
              <w:t xml:space="preserve">°C </w:t>
            </w:r>
            <w:r w:rsidRPr="009277E5">
              <w:rPr>
                <w:rFonts w:eastAsia="Times New Roman"/>
                <w:sz w:val="18"/>
                <w:szCs w:val="18"/>
              </w:rPr>
              <w:t>for OEM B</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L-20 (OEM A)</w:t>
            </w:r>
          </w:p>
        </w:tc>
        <w:tc>
          <w:tcPr>
            <w:tcW w:w="850"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851"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-10%</w:t>
            </w:r>
          </w:p>
        </w:tc>
        <w:tc>
          <w:tcPr>
            <w:tcW w:w="101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r>
      <w:tr w:rsidR="00B13B39" w:rsidRPr="00254F62" w:rsidTr="00DF1E74">
        <w:trPr>
          <w:trHeight w:val="624"/>
        </w:trPr>
        <w:tc>
          <w:tcPr>
            <w:tcW w:w="1064"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rPr>
                <w:rFonts w:eastAsia="Times New Roman"/>
                <w:sz w:val="18"/>
                <w:szCs w:val="18"/>
              </w:rPr>
            </w:pPr>
            <w:r w:rsidRPr="00C372ED">
              <w:rPr>
                <w:rFonts w:eastAsia="Times New Roman"/>
                <w:sz w:val="18"/>
                <w:szCs w:val="18"/>
              </w:rPr>
              <w:t>L-20 (OEM B)</w:t>
            </w:r>
          </w:p>
        </w:tc>
        <w:tc>
          <w:tcPr>
            <w:tcW w:w="850"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92"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851"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1017" w:type="dxa"/>
            <w:gridSpan w:val="2"/>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-10%</w:t>
            </w:r>
          </w:p>
        </w:tc>
      </w:tr>
      <w:tr w:rsidR="00B13B39" w:rsidRPr="00254F62" w:rsidTr="00DF1E74">
        <w:trPr>
          <w:trHeight w:val="564"/>
        </w:trPr>
        <w:tc>
          <w:tcPr>
            <w:tcW w:w="1064"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DR-3 (OEM A)</w:t>
            </w:r>
          </w:p>
        </w:tc>
        <w:tc>
          <w:tcPr>
            <w:tcW w:w="850"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851"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254F62" w:rsidTr="00DF1E74">
        <w:trPr>
          <w:trHeight w:val="168"/>
        </w:trPr>
        <w:tc>
          <w:tcPr>
            <w:tcW w:w="1064" w:type="dxa"/>
            <w:tcBorders>
              <w:top w:val="nil"/>
              <w:left w:val="single" w:sz="4" w:space="0" w:color="auto"/>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tcBorders>
              <w:top w:val="nil"/>
              <w:left w:val="nil"/>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418" w:type="dxa"/>
            <w:tcBorders>
              <w:top w:val="nil"/>
              <w:left w:val="nil"/>
              <w:bottom w:val="nil"/>
              <w:right w:val="single" w:sz="4" w:space="0" w:color="auto"/>
            </w:tcBorders>
            <w:shd w:val="clear" w:color="auto" w:fill="FFF2CC"/>
            <w:vAlign w:val="center"/>
            <w:hideMark/>
          </w:tcPr>
          <w:p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984" w:type="dxa"/>
            <w:tcBorders>
              <w:top w:val="nil"/>
              <w:left w:val="nil"/>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DF1E74">
        <w:trPr>
          <w:trHeight w:val="624"/>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Default="00B13B39" w:rsidP="003A3F19">
            <w:pPr>
              <w:jc w:val="center"/>
              <w:rPr>
                <w:rFonts w:eastAsia="Times New Roman"/>
                <w:sz w:val="18"/>
                <w:szCs w:val="18"/>
              </w:rPr>
            </w:pPr>
            <w:r w:rsidRPr="00C372ED">
              <w:rPr>
                <w:rFonts w:eastAsia="Times New Roman"/>
                <w:sz w:val="18"/>
                <w:szCs w:val="18"/>
              </w:rPr>
              <w:t>20,000 Btu/hr. split system</w:t>
            </w:r>
          </w:p>
          <w:p w:rsidR="00B13B39" w:rsidRPr="00C372ED" w:rsidRDefault="00B13B39" w:rsidP="003A3F19">
            <w:pPr>
              <w:jc w:val="center"/>
              <w:rPr>
                <w:rFonts w:eastAsia="Times New Roman"/>
                <w:sz w:val="18"/>
                <w:szCs w:val="18"/>
              </w:rPr>
            </w:pP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2.75 at 35</w:t>
            </w:r>
            <w:r w:rsidR="009277E5" w:rsidRPr="009277E5">
              <w:rPr>
                <w:rFonts w:eastAsia="Times New Roman"/>
                <w:sz w:val="18"/>
                <w:szCs w:val="18"/>
              </w:rPr>
              <w:t>°C a</w:t>
            </w:r>
            <w:r w:rsidRPr="009277E5">
              <w:rPr>
                <w:rFonts w:eastAsia="Times New Roman"/>
                <w:sz w:val="18"/>
                <w:szCs w:val="18"/>
              </w:rPr>
              <w:t>nd 1.94 at 50</w:t>
            </w:r>
            <w:r w:rsidR="009277E5" w:rsidRPr="009277E5">
              <w:rPr>
                <w:rFonts w:eastAsia="Times New Roman"/>
                <w:sz w:val="18"/>
                <w:szCs w:val="18"/>
              </w:rPr>
              <w:t xml:space="preserve">°C </w:t>
            </w:r>
            <w:r w:rsidRPr="009277E5">
              <w:rPr>
                <w:rFonts w:eastAsia="Times New Roman"/>
                <w:sz w:val="18"/>
                <w:szCs w:val="18"/>
              </w:rPr>
              <w:t>for OEM C</w:t>
            </w:r>
            <w:r w:rsidRPr="009277E5">
              <w:rPr>
                <w:rFonts w:eastAsia="Times New Roman"/>
                <w:sz w:val="18"/>
                <w:szCs w:val="18"/>
              </w:rPr>
              <w:br/>
              <w:t>COP = 2.52 at 35</w:t>
            </w:r>
            <w:r w:rsidR="009277E5" w:rsidRPr="009277E5">
              <w:rPr>
                <w:rFonts w:eastAsia="Times New Roman"/>
                <w:sz w:val="18"/>
                <w:szCs w:val="18"/>
              </w:rPr>
              <w:t xml:space="preserve">°C </w:t>
            </w:r>
            <w:r w:rsidRPr="009277E5">
              <w:rPr>
                <w:rFonts w:eastAsia="Times New Roman"/>
                <w:sz w:val="18"/>
                <w:szCs w:val="18"/>
              </w:rPr>
              <w:t>for OEM D</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HC-290 (OEM C)</w:t>
            </w:r>
          </w:p>
        </w:tc>
        <w:tc>
          <w:tcPr>
            <w:tcW w:w="850"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851"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rsidTr="00DF1E74">
        <w:trPr>
          <w:trHeight w:val="648"/>
        </w:trPr>
        <w:tc>
          <w:tcPr>
            <w:tcW w:w="1064"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rPr>
                <w:rFonts w:eastAsia="Times New Roman"/>
                <w:sz w:val="18"/>
                <w:szCs w:val="18"/>
              </w:rPr>
            </w:pPr>
            <w:r w:rsidRPr="00C372ED">
              <w:rPr>
                <w:rFonts w:eastAsia="Times New Roman"/>
                <w:sz w:val="18"/>
                <w:szCs w:val="18"/>
              </w:rPr>
              <w:t>L-20 (OEM D)</w:t>
            </w:r>
          </w:p>
        </w:tc>
        <w:tc>
          <w:tcPr>
            <w:tcW w:w="850"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-19%</w:t>
            </w:r>
          </w:p>
        </w:tc>
        <w:tc>
          <w:tcPr>
            <w:tcW w:w="992"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851"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-76%</w:t>
            </w:r>
          </w:p>
        </w:tc>
        <w:tc>
          <w:tcPr>
            <w:tcW w:w="1017" w:type="dxa"/>
            <w:gridSpan w:val="2"/>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-78%</w:t>
            </w:r>
          </w:p>
        </w:tc>
      </w:tr>
      <w:tr w:rsidR="00B13B39" w:rsidRPr="00254F62" w:rsidTr="00DF1E74">
        <w:trPr>
          <w:trHeight w:val="588"/>
        </w:trPr>
        <w:tc>
          <w:tcPr>
            <w:tcW w:w="106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rPr>
                <w:rFonts w:eastAsia="Times New Roman"/>
                <w:sz w:val="18"/>
                <w:szCs w:val="18"/>
              </w:rPr>
            </w:pPr>
            <w:r w:rsidRPr="00C372ED">
              <w:rPr>
                <w:rFonts w:eastAsia="Times New Roman"/>
                <w:sz w:val="18"/>
                <w:szCs w:val="18"/>
              </w:rPr>
              <w:t>DR-3 (OEM D)</w:t>
            </w:r>
          </w:p>
        </w:tc>
        <w:tc>
          <w:tcPr>
            <w:tcW w:w="850"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-27%</w:t>
            </w:r>
          </w:p>
        </w:tc>
        <w:tc>
          <w:tcPr>
            <w:tcW w:w="992"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-33%</w:t>
            </w:r>
          </w:p>
        </w:tc>
        <w:tc>
          <w:tcPr>
            <w:tcW w:w="851"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-28%</w:t>
            </w:r>
          </w:p>
        </w:tc>
        <w:tc>
          <w:tcPr>
            <w:tcW w:w="1017" w:type="dxa"/>
            <w:gridSpan w:val="2"/>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-31%</w:t>
            </w:r>
          </w:p>
        </w:tc>
      </w:tr>
      <w:tr w:rsidR="00B13B39" w:rsidRPr="00254F62" w:rsidTr="00DF1E74">
        <w:trPr>
          <w:trHeight w:val="192"/>
        </w:trPr>
        <w:tc>
          <w:tcPr>
            <w:tcW w:w="1064" w:type="dxa"/>
            <w:tcBorders>
              <w:top w:val="single" w:sz="4" w:space="0" w:color="auto"/>
              <w:left w:val="single" w:sz="4" w:space="0" w:color="auto"/>
              <w:bottom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center"/>
            <w:hideMark/>
          </w:tcPr>
          <w:p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DF1E74">
        <w:trPr>
          <w:trHeight w:val="648"/>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24,000 Btu/hr. split system</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3.52 at 35</w:t>
            </w:r>
            <w:r w:rsidR="009277E5" w:rsidRPr="009277E5">
              <w:rPr>
                <w:rFonts w:eastAsia="Times New Roman"/>
                <w:sz w:val="18"/>
                <w:szCs w:val="18"/>
              </w:rPr>
              <w:t>°C a</w:t>
            </w:r>
            <w:r w:rsidRPr="009277E5">
              <w:rPr>
                <w:rFonts w:eastAsia="Times New Roman"/>
                <w:sz w:val="18"/>
                <w:szCs w:val="18"/>
              </w:rPr>
              <w:t>nd 2.30 at 50</w:t>
            </w:r>
            <w:r w:rsidR="009277E5" w:rsidRPr="009277E5">
              <w:rPr>
                <w:rFonts w:eastAsia="Times New Roman"/>
                <w:sz w:val="18"/>
                <w:szCs w:val="18"/>
              </w:rPr>
              <w:t xml:space="preserve">°C </w:t>
            </w:r>
            <w:r w:rsidRPr="009277E5">
              <w:rPr>
                <w:rFonts w:eastAsia="Times New Roman"/>
                <w:sz w:val="18"/>
                <w:szCs w:val="18"/>
              </w:rPr>
              <w:t>for OEM E</w:t>
            </w:r>
            <w:r w:rsidRPr="009277E5">
              <w:rPr>
                <w:rFonts w:eastAsia="Times New Roman"/>
                <w:sz w:val="18"/>
                <w:szCs w:val="18"/>
              </w:rPr>
              <w:br/>
              <w:t>COP = 3.08 at 35</w:t>
            </w:r>
            <w:r w:rsidR="009277E5" w:rsidRPr="009277E5">
              <w:rPr>
                <w:rFonts w:eastAsia="Times New Roman"/>
                <w:sz w:val="18"/>
                <w:szCs w:val="18"/>
              </w:rPr>
              <w:t xml:space="preserve">°C </w:t>
            </w:r>
            <w:r w:rsidRPr="009277E5">
              <w:rPr>
                <w:rFonts w:eastAsia="Times New Roman"/>
                <w:sz w:val="18"/>
                <w:szCs w:val="18"/>
              </w:rPr>
              <w:t>and 2.02 at 50</w:t>
            </w:r>
            <w:r w:rsidR="009277E5" w:rsidRPr="009277E5">
              <w:rPr>
                <w:rFonts w:eastAsia="Times New Roman"/>
                <w:sz w:val="18"/>
                <w:szCs w:val="18"/>
              </w:rPr>
              <w:t xml:space="preserve">°C </w:t>
            </w:r>
            <w:r w:rsidRPr="009277E5">
              <w:rPr>
                <w:rFonts w:eastAsia="Times New Roman"/>
                <w:sz w:val="18"/>
                <w:szCs w:val="18"/>
              </w:rPr>
              <w:t>for OEM F</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HFC-32 (OEM 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15%</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16%</w:t>
            </w:r>
          </w:p>
        </w:tc>
      </w:tr>
      <w:tr w:rsidR="00B13B39" w:rsidRPr="00254F62" w:rsidTr="00DF1E74">
        <w:trPr>
          <w:trHeight w:val="639"/>
        </w:trPr>
        <w:tc>
          <w:tcPr>
            <w:tcW w:w="1064"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rPr>
                <w:rFonts w:eastAsia="Times New Roman"/>
                <w:sz w:val="18"/>
                <w:szCs w:val="18"/>
              </w:rPr>
            </w:pPr>
            <w:r w:rsidRPr="00C372ED">
              <w:rPr>
                <w:rFonts w:eastAsia="Times New Roman"/>
                <w:sz w:val="18"/>
                <w:szCs w:val="18"/>
              </w:rPr>
              <w:t>HFC-32 (OEM F)</w:t>
            </w:r>
          </w:p>
        </w:tc>
        <w:tc>
          <w:tcPr>
            <w:tcW w:w="850"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92"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851"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-22%</w:t>
            </w:r>
          </w:p>
        </w:tc>
        <w:tc>
          <w:tcPr>
            <w:tcW w:w="1017" w:type="dxa"/>
            <w:gridSpan w:val="2"/>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254F62" w:rsidTr="00DF1E74">
        <w:trPr>
          <w:trHeight w:val="540"/>
        </w:trPr>
        <w:tc>
          <w:tcPr>
            <w:tcW w:w="1064" w:type="dxa"/>
            <w:vMerge/>
            <w:tcBorders>
              <w:top w:val="nil"/>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L-41 (OEM E)</w:t>
            </w:r>
          </w:p>
        </w:tc>
        <w:tc>
          <w:tcPr>
            <w:tcW w:w="850"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20%</w:t>
            </w:r>
          </w:p>
        </w:tc>
        <w:tc>
          <w:tcPr>
            <w:tcW w:w="851"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101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22%</w:t>
            </w:r>
          </w:p>
        </w:tc>
      </w:tr>
      <w:tr w:rsidR="00B13B39" w:rsidRPr="00254F62" w:rsidTr="00DF1E74">
        <w:trPr>
          <w:trHeight w:val="180"/>
        </w:trPr>
        <w:tc>
          <w:tcPr>
            <w:tcW w:w="1064" w:type="dxa"/>
            <w:tcBorders>
              <w:top w:val="single" w:sz="4" w:space="0" w:color="auto"/>
              <w:left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DF1E74">
        <w:trPr>
          <w:trHeight w:val="888"/>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36,000 Btu/hr. Ducted Split</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2.83 at 35</w:t>
            </w:r>
            <w:r w:rsidR="009277E5" w:rsidRPr="009277E5">
              <w:rPr>
                <w:rFonts w:eastAsia="Times New Roman"/>
                <w:sz w:val="18"/>
                <w:szCs w:val="18"/>
              </w:rPr>
              <w:t>°C</w:t>
            </w:r>
            <w:r w:rsidRPr="009277E5">
              <w:rPr>
                <w:rFonts w:eastAsia="Times New Roman"/>
                <w:sz w:val="18"/>
                <w:szCs w:val="18"/>
              </w:rPr>
              <w:t xml:space="preserve"> and 1.91 at 50</w:t>
            </w:r>
            <w:r w:rsidR="009277E5" w:rsidRPr="009277E5">
              <w:rPr>
                <w:rFonts w:eastAsia="Times New Roman"/>
                <w:sz w:val="18"/>
                <w:szCs w:val="18"/>
              </w:rPr>
              <w:t xml:space="preserve">°C </w:t>
            </w:r>
            <w:r w:rsidRPr="009277E5">
              <w:rPr>
                <w:rFonts w:eastAsia="Times New Roman"/>
                <w:sz w:val="18"/>
                <w:szCs w:val="18"/>
              </w:rPr>
              <w:t>for OEM G</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L-20 (OEM G)</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1017" w:type="dxa"/>
            <w:gridSpan w:val="2"/>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rsidTr="00DF1E74">
        <w:trPr>
          <w:trHeight w:val="819"/>
        </w:trPr>
        <w:tc>
          <w:tcPr>
            <w:tcW w:w="1064" w:type="dxa"/>
            <w:vMerge/>
            <w:tcBorders>
              <w:top w:val="nil"/>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nil"/>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B13B39" w:rsidRPr="009277E5" w:rsidRDefault="00B13B39" w:rsidP="003A3F19">
            <w:pPr>
              <w:rPr>
                <w:rFonts w:eastAsia="Times New Roman"/>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rPr>
                <w:rFonts w:eastAsia="Times New Roman"/>
                <w:sz w:val="18"/>
                <w:szCs w:val="18"/>
              </w:rPr>
            </w:pPr>
            <w:r w:rsidRPr="00C372ED">
              <w:rPr>
                <w:rFonts w:eastAsia="Times New Roman"/>
                <w:sz w:val="18"/>
                <w:szCs w:val="18"/>
              </w:rPr>
              <w:t>DR-3 (OEM G)</w:t>
            </w:r>
          </w:p>
        </w:tc>
        <w:tc>
          <w:tcPr>
            <w:tcW w:w="850"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-18%</w:t>
            </w:r>
          </w:p>
        </w:tc>
        <w:tc>
          <w:tcPr>
            <w:tcW w:w="992"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-25%</w:t>
            </w:r>
          </w:p>
        </w:tc>
        <w:tc>
          <w:tcPr>
            <w:tcW w:w="851" w:type="dxa"/>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-13%</w:t>
            </w:r>
          </w:p>
        </w:tc>
        <w:tc>
          <w:tcPr>
            <w:tcW w:w="1017" w:type="dxa"/>
            <w:gridSpan w:val="2"/>
            <w:tcBorders>
              <w:top w:val="nil"/>
              <w:left w:val="nil"/>
              <w:bottom w:val="single" w:sz="4" w:space="0" w:color="auto"/>
              <w:right w:val="single" w:sz="4" w:space="0" w:color="auto"/>
            </w:tcBorders>
            <w:shd w:val="clear" w:color="auto" w:fill="F2F2F2"/>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-21%</w:t>
            </w:r>
          </w:p>
        </w:tc>
      </w:tr>
      <w:tr w:rsidR="00B13B39" w:rsidRPr="00254F62" w:rsidTr="00DF1E74">
        <w:trPr>
          <w:trHeight w:val="180"/>
        </w:trPr>
        <w:tc>
          <w:tcPr>
            <w:tcW w:w="1064" w:type="dxa"/>
            <w:tcBorders>
              <w:top w:val="single" w:sz="4" w:space="0" w:color="auto"/>
              <w:left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single" w:sz="4" w:space="0" w:color="auto"/>
              <w:bottom w:val="single" w:sz="4" w:space="0" w:color="auto"/>
            </w:tcBorders>
            <w:shd w:val="clear" w:color="auto" w:fill="FFF2CC"/>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3" w:type="dxa"/>
            <w:tcBorders>
              <w:top w:val="single" w:sz="4" w:space="0" w:color="auto"/>
              <w:bottom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single" w:sz="4" w:space="0" w:color="auto"/>
              <w:bottom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single" w:sz="4" w:space="0" w:color="auto"/>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DF1E74">
        <w:trPr>
          <w:trHeight w:val="1619"/>
        </w:trPr>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36,000 Btu/hr. Ducted Split</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 - USA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2.79 at 35</w:t>
            </w:r>
            <w:r w:rsidR="009277E5" w:rsidRPr="009277E5">
              <w:rPr>
                <w:rFonts w:eastAsia="Times New Roman"/>
                <w:sz w:val="18"/>
                <w:szCs w:val="18"/>
              </w:rPr>
              <w:t xml:space="preserve">°C </w:t>
            </w:r>
            <w:r w:rsidRPr="009277E5">
              <w:rPr>
                <w:rFonts w:eastAsia="Times New Roman"/>
                <w:sz w:val="18"/>
                <w:szCs w:val="18"/>
              </w:rPr>
              <w:t>and 1.84 at 50</w:t>
            </w:r>
            <w:r w:rsidR="009277E5" w:rsidRPr="009277E5">
              <w:rPr>
                <w:rFonts w:eastAsia="Times New Roman"/>
                <w:sz w:val="18"/>
                <w:szCs w:val="18"/>
              </w:rPr>
              <w:t>°C f</w:t>
            </w:r>
            <w:r w:rsidRPr="009277E5">
              <w:rPr>
                <w:rFonts w:eastAsia="Times New Roman"/>
                <w:sz w:val="18"/>
                <w:szCs w:val="18"/>
              </w:rPr>
              <w:t>or OEM G</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F2F2F2"/>
            <w:vAlign w:val="center"/>
            <w:hideMark/>
          </w:tcPr>
          <w:p w:rsidR="00B13B39" w:rsidRPr="00C372ED" w:rsidRDefault="00B13B39" w:rsidP="003A3F19">
            <w:pPr>
              <w:rPr>
                <w:rFonts w:eastAsia="Times New Roman"/>
                <w:sz w:val="18"/>
                <w:szCs w:val="18"/>
              </w:rPr>
            </w:pPr>
            <w:r w:rsidRPr="00C372ED">
              <w:rPr>
                <w:rFonts w:eastAsia="Times New Roman"/>
                <w:sz w:val="18"/>
                <w:szCs w:val="18"/>
              </w:rPr>
              <w:t>HFC-32 (OEM G)</w:t>
            </w:r>
          </w:p>
        </w:tc>
        <w:tc>
          <w:tcPr>
            <w:tcW w:w="850" w:type="dxa"/>
            <w:tcBorders>
              <w:top w:val="single" w:sz="4" w:space="0" w:color="auto"/>
              <w:left w:val="nil"/>
              <w:bottom w:val="single" w:sz="4" w:space="0" w:color="auto"/>
              <w:right w:val="single" w:sz="4" w:space="0" w:color="auto"/>
            </w:tcBorders>
            <w:shd w:val="clear" w:color="auto" w:fill="F2F2F2"/>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851" w:type="dxa"/>
            <w:tcBorders>
              <w:top w:val="single" w:sz="4" w:space="0" w:color="auto"/>
              <w:left w:val="nil"/>
              <w:bottom w:val="single" w:sz="4" w:space="0" w:color="auto"/>
              <w:right w:val="single" w:sz="4" w:space="0" w:color="auto"/>
            </w:tcBorders>
            <w:shd w:val="clear" w:color="auto" w:fill="F2F2F2"/>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1017" w:type="dxa"/>
            <w:gridSpan w:val="2"/>
            <w:tcBorders>
              <w:top w:val="single" w:sz="4" w:space="0" w:color="auto"/>
              <w:left w:val="nil"/>
              <w:bottom w:val="single" w:sz="4" w:space="0" w:color="auto"/>
              <w:right w:val="single" w:sz="4" w:space="0" w:color="auto"/>
            </w:tcBorders>
            <w:shd w:val="clear" w:color="auto" w:fill="F2F2F2"/>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-18%</w:t>
            </w:r>
          </w:p>
        </w:tc>
      </w:tr>
      <w:tr w:rsidR="00B13B39" w:rsidRPr="00254F62" w:rsidTr="00DF1E74">
        <w:trPr>
          <w:trHeight w:val="219"/>
        </w:trPr>
        <w:tc>
          <w:tcPr>
            <w:tcW w:w="1064" w:type="dxa"/>
            <w:tcBorders>
              <w:top w:val="single" w:sz="4" w:space="0" w:color="auto"/>
              <w:left w:val="single" w:sz="4" w:space="0" w:color="auto"/>
              <w:bottom w:val="single" w:sz="4" w:space="0" w:color="auto"/>
              <w:right w:val="nil"/>
            </w:tcBorders>
            <w:shd w:val="clear" w:color="auto" w:fill="FFF2CC"/>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13" w:type="dxa"/>
            <w:tcBorders>
              <w:top w:val="nil"/>
              <w:left w:val="nil"/>
              <w:bottom w:val="nil"/>
              <w:right w:val="nil"/>
            </w:tcBorders>
            <w:shd w:val="clear" w:color="auto" w:fill="FFF2CC"/>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1418" w:type="dxa"/>
            <w:tcBorders>
              <w:top w:val="nil"/>
              <w:left w:val="nil"/>
              <w:bottom w:val="nil"/>
              <w:right w:val="nil"/>
            </w:tcBorders>
            <w:shd w:val="clear" w:color="auto" w:fill="FFF2CC"/>
            <w:noWrap/>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984" w:type="dxa"/>
            <w:tcBorders>
              <w:top w:val="nil"/>
              <w:left w:val="nil"/>
              <w:bottom w:val="nil"/>
              <w:right w:val="nil"/>
            </w:tcBorders>
            <w:shd w:val="clear" w:color="auto" w:fill="FFF2CC"/>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993" w:type="dxa"/>
            <w:tcBorders>
              <w:top w:val="nil"/>
              <w:left w:val="nil"/>
              <w:bottom w:val="nil"/>
              <w:right w:val="nil"/>
            </w:tcBorders>
            <w:shd w:val="clear" w:color="auto" w:fill="FFF2CC"/>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850" w:type="dxa"/>
            <w:tcBorders>
              <w:top w:val="nil"/>
              <w:left w:val="nil"/>
              <w:bottom w:val="nil"/>
              <w:right w:val="nil"/>
            </w:tcBorders>
            <w:shd w:val="clear" w:color="auto" w:fill="FFF2CC"/>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nil"/>
              <w:right w:val="nil"/>
            </w:tcBorders>
            <w:shd w:val="clear" w:color="auto" w:fill="FFF2CC"/>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51" w:type="dxa"/>
            <w:tcBorders>
              <w:top w:val="nil"/>
              <w:left w:val="nil"/>
              <w:bottom w:val="nil"/>
              <w:right w:val="nil"/>
            </w:tcBorders>
            <w:shd w:val="clear" w:color="auto" w:fill="FFF2CC"/>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017" w:type="dxa"/>
            <w:gridSpan w:val="2"/>
            <w:tcBorders>
              <w:top w:val="nil"/>
              <w:left w:val="nil"/>
              <w:bottom w:val="nil"/>
              <w:right w:val="nil"/>
            </w:tcBorders>
            <w:shd w:val="clear" w:color="auto" w:fill="FFF2CC"/>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DF1E74">
        <w:trPr>
          <w:trHeight w:val="744"/>
        </w:trPr>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Default="00B13B39" w:rsidP="003A3F19">
            <w:pPr>
              <w:jc w:val="center"/>
              <w:rPr>
                <w:rFonts w:eastAsia="Times New Roman"/>
                <w:sz w:val="18"/>
                <w:szCs w:val="18"/>
              </w:rPr>
            </w:pPr>
            <w:r w:rsidRPr="00C372ED">
              <w:rPr>
                <w:rFonts w:eastAsia="Times New Roman"/>
                <w:sz w:val="18"/>
                <w:szCs w:val="18"/>
              </w:rPr>
              <w:t>90,000 Btu/hr. Rooftop</w:t>
            </w:r>
          </w:p>
          <w:p w:rsidR="00B13B39" w:rsidRPr="00C372ED" w:rsidRDefault="00B13B39" w:rsidP="003A3F19">
            <w:pPr>
              <w:jc w:val="center"/>
              <w:rPr>
                <w:rFonts w:eastAsia="Times New Roman"/>
                <w:sz w:val="18"/>
                <w:szCs w:val="18"/>
              </w:rPr>
            </w:pPr>
            <w:r>
              <w:rPr>
                <w:rFonts w:eastAsia="Times New Roman"/>
                <w:sz w:val="18"/>
                <w:szCs w:val="18"/>
              </w:rPr>
              <w:t>by Intertek</w:t>
            </w:r>
          </w:p>
        </w:tc>
        <w:tc>
          <w:tcPr>
            <w:tcW w:w="8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Intertek-USA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HCFC-22</w:t>
            </w:r>
            <w:r w:rsidRPr="009277E5">
              <w:rPr>
                <w:rFonts w:eastAsia="Times New Roman"/>
                <w:sz w:val="18"/>
                <w:szCs w:val="18"/>
              </w:rPr>
              <w:br/>
              <w:t>COP = 2.95 at 35</w:t>
            </w:r>
            <w:r w:rsidR="009277E5" w:rsidRPr="009277E5">
              <w:rPr>
                <w:rFonts w:eastAsia="Times New Roman"/>
                <w:sz w:val="18"/>
                <w:szCs w:val="18"/>
              </w:rPr>
              <w:t>°C</w:t>
            </w:r>
            <w:r w:rsidRPr="009277E5">
              <w:rPr>
                <w:rFonts w:eastAsia="Times New Roman"/>
                <w:sz w:val="18"/>
                <w:szCs w:val="18"/>
              </w:rPr>
              <w:t xml:space="preserve"> and 2.07 at 50</w:t>
            </w:r>
            <w:r w:rsidR="009277E5" w:rsidRPr="009277E5">
              <w:rPr>
                <w:rFonts w:eastAsia="Times New Roman"/>
                <w:sz w:val="18"/>
                <w:szCs w:val="18"/>
              </w:rPr>
              <w:t>°C</w:t>
            </w:r>
            <w:r w:rsidRPr="009277E5">
              <w:rPr>
                <w:rFonts w:eastAsia="Times New Roman"/>
                <w:sz w:val="18"/>
                <w:szCs w:val="18"/>
              </w:rPr>
              <w:t xml:space="preserve"> for OEM H</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Custom built prototypes to fit in the same box dimension as the base unit</w:t>
            </w:r>
            <w:r w:rsidR="00FE51D6">
              <w:rPr>
                <w:rFonts w:eastAsia="Times New Roman"/>
                <w:sz w:val="18"/>
                <w:szCs w:val="18"/>
              </w:rPr>
              <w:t xml:space="preserve">. </w:t>
            </w:r>
            <w:r w:rsidRPr="00C372ED">
              <w:rPr>
                <w:rFonts w:eastAsia="Times New Roman"/>
                <w:sz w:val="18"/>
                <w:szCs w:val="18"/>
              </w:rPr>
              <w:t>Expansion device and charge amount designed to meet a minimum specified EER</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L-20 (OEM H)</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10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r>
      <w:tr w:rsidR="00B13B39" w:rsidRPr="00254F62" w:rsidTr="00DF1E74">
        <w:trPr>
          <w:trHeight w:val="768"/>
        </w:trPr>
        <w:tc>
          <w:tcPr>
            <w:tcW w:w="1064"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813"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B13B39" w:rsidRPr="00C372ED" w:rsidRDefault="00B13B39" w:rsidP="003A3F19">
            <w:pPr>
              <w:rPr>
                <w:rFonts w:eastAsia="Times New Roman"/>
                <w:sz w:val="18"/>
                <w:szCs w:val="18"/>
              </w:rPr>
            </w:pPr>
          </w:p>
        </w:tc>
        <w:tc>
          <w:tcPr>
            <w:tcW w:w="993"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DR-3 (OEM H)</w:t>
            </w:r>
          </w:p>
        </w:tc>
        <w:tc>
          <w:tcPr>
            <w:tcW w:w="850"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851"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-6%</w:t>
            </w:r>
          </w:p>
        </w:tc>
        <w:tc>
          <w:tcPr>
            <w:tcW w:w="101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9F3827"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rsidR="00B13B39" w:rsidRPr="009F3827" w:rsidRDefault="00B13B39" w:rsidP="003A3F19">
            <w:pPr>
              <w:rPr>
                <w:rFonts w:eastAsia="Times New Roman"/>
                <w:color w:val="auto"/>
                <w:sz w:val="24"/>
              </w:rPr>
            </w:pP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3A3F19">
            <w:pPr>
              <w:rPr>
                <w:rFonts w:eastAsia="Times New Roman"/>
                <w:iCs/>
                <w:color w:val="auto"/>
                <w:sz w:val="24"/>
              </w:rPr>
            </w:pPr>
            <w:r w:rsidRPr="00BF3E15">
              <w:rPr>
                <w:rFonts w:eastAsia="Times New Roman"/>
                <w:iCs/>
                <w:color w:val="auto"/>
              </w:rPr>
              <w:t xml:space="preserve">Notes on </w:t>
            </w:r>
            <w:r w:rsidR="00162299">
              <w:rPr>
                <w:rFonts w:eastAsia="Times New Roman"/>
                <w:iCs/>
                <w:color w:val="auto"/>
              </w:rPr>
              <w:t xml:space="preserve">the </w:t>
            </w:r>
            <w:r w:rsidRPr="00BF3E15">
              <w:rPr>
                <w:rFonts w:eastAsia="Times New Roman"/>
                <w:iCs/>
                <w:color w:val="auto"/>
              </w:rPr>
              <w:t>terms in the table:</w:t>
            </w:r>
          </w:p>
        </w:tc>
      </w:tr>
      <w:tr w:rsidR="00B13B39" w:rsidRPr="00C372ED"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lastRenderedPageBreak/>
              <w:t>1</w:t>
            </w: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DF1E74">
            <w:pPr>
              <w:rPr>
                <w:rFonts w:eastAsia="Times New Roman"/>
                <w:i/>
                <w:iCs/>
                <w:color w:val="auto"/>
                <w:sz w:val="18"/>
                <w:szCs w:val="18"/>
              </w:rPr>
            </w:pPr>
            <w:r w:rsidRPr="00BF3E15">
              <w:rPr>
                <w:rFonts w:eastAsia="Times New Roman"/>
                <w:i/>
                <w:iCs/>
                <w:color w:val="auto"/>
                <w:sz w:val="18"/>
                <w:szCs w:val="18"/>
              </w:rPr>
              <w:t>Efficiency</w:t>
            </w:r>
            <w:r w:rsidR="007A3DD2">
              <w:rPr>
                <w:rFonts w:eastAsia="Times New Roman"/>
                <w:i/>
                <w:iCs/>
                <w:color w:val="auto"/>
                <w:sz w:val="18"/>
                <w:szCs w:val="18"/>
              </w:rPr>
              <w:t xml:space="preserve"> (</w:t>
            </w:r>
            <w:r w:rsidRPr="00BF3E15">
              <w:rPr>
                <w:rFonts w:eastAsia="Times New Roman"/>
                <w:i/>
                <w:iCs/>
                <w:color w:val="auto"/>
                <w:sz w:val="18"/>
                <w:szCs w:val="18"/>
              </w:rPr>
              <w:t>COP</w:t>
            </w:r>
            <w:r w:rsidR="007A3DD2">
              <w:rPr>
                <w:rFonts w:eastAsia="Times New Roman"/>
                <w:i/>
                <w:iCs/>
                <w:color w:val="auto"/>
                <w:sz w:val="18"/>
                <w:szCs w:val="18"/>
              </w:rPr>
              <w:t>)</w:t>
            </w:r>
            <w:r w:rsidRPr="00BF3E15">
              <w:rPr>
                <w:rFonts w:eastAsia="Times New Roman"/>
                <w:i/>
                <w:iCs/>
                <w:color w:val="auto"/>
                <w:sz w:val="18"/>
                <w:szCs w:val="18"/>
              </w:rPr>
              <w:t xml:space="preserve"> is measured in Watts of cooling per Watt of input;</w:t>
            </w:r>
          </w:p>
        </w:tc>
      </w:tr>
      <w:tr w:rsidR="00B13B39" w:rsidRPr="00C372ED" w:rsidTr="003A3F19">
        <w:trPr>
          <w:gridAfter w:val="1"/>
          <w:wAfter w:w="471" w:type="dxa"/>
          <w:trHeight w:val="312"/>
        </w:trPr>
        <w:tc>
          <w:tcPr>
            <w:tcW w:w="360" w:type="dxa"/>
            <w:tcBorders>
              <w:top w:val="nil"/>
              <w:left w:val="nil"/>
              <w:bottom w:val="nil"/>
              <w:right w:val="nil"/>
            </w:tcBorders>
            <w:shd w:val="clear" w:color="auto" w:fill="auto"/>
            <w:noWrap/>
            <w:vAlign w:val="bottom"/>
            <w:hideMark/>
          </w:tcPr>
          <w:p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2</w:t>
            </w: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9277E5">
            <w:pPr>
              <w:rPr>
                <w:rFonts w:eastAsia="Times New Roman"/>
                <w:i/>
                <w:iCs/>
                <w:color w:val="auto"/>
                <w:sz w:val="18"/>
                <w:szCs w:val="18"/>
              </w:rPr>
            </w:pPr>
            <w:r w:rsidRPr="00BF3E15">
              <w:rPr>
                <w:rFonts w:eastAsia="Times New Roman"/>
                <w:i/>
                <w:iCs/>
                <w:color w:val="auto"/>
                <w:sz w:val="18"/>
                <w:szCs w:val="18"/>
              </w:rPr>
              <w:t>PRAHA did measurements at 35, 46 and 50°C ambient temperatures;</w:t>
            </w:r>
          </w:p>
        </w:tc>
      </w:tr>
      <w:tr w:rsidR="00B13B39" w:rsidRPr="00C372ED" w:rsidTr="003A3F19">
        <w:trPr>
          <w:gridAfter w:val="1"/>
          <w:wAfter w:w="471" w:type="dxa"/>
          <w:trHeight w:val="312"/>
        </w:trPr>
        <w:tc>
          <w:tcPr>
            <w:tcW w:w="360" w:type="dxa"/>
            <w:tcBorders>
              <w:top w:val="nil"/>
              <w:left w:val="nil"/>
              <w:bottom w:val="nil"/>
              <w:right w:val="nil"/>
            </w:tcBorders>
            <w:shd w:val="clear" w:color="auto" w:fill="auto"/>
            <w:noWrap/>
            <w:hideMark/>
          </w:tcPr>
          <w:p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3</w:t>
            </w: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3A3F19">
            <w:pPr>
              <w:rPr>
                <w:rFonts w:eastAsia="Times New Roman"/>
                <w:i/>
                <w:iCs/>
                <w:color w:val="auto"/>
                <w:sz w:val="18"/>
                <w:szCs w:val="18"/>
              </w:rPr>
            </w:pPr>
            <w:r w:rsidRPr="00BF3E15">
              <w:rPr>
                <w:rFonts w:eastAsia="Times New Roman"/>
                <w:i/>
                <w:iCs/>
                <w:color w:val="auto"/>
                <w:sz w:val="18"/>
                <w:szCs w:val="18"/>
              </w:rPr>
              <w:t>For a full description of refrigerant alternatives and their GWP values, please refer to the relevant chapter on refrigerants in this report;</w:t>
            </w:r>
          </w:p>
        </w:tc>
      </w:tr>
      <w:tr w:rsidR="00B13B39" w:rsidRPr="00C372ED" w:rsidTr="003A3F19">
        <w:trPr>
          <w:gridAfter w:val="1"/>
          <w:wAfter w:w="471" w:type="dxa"/>
          <w:trHeight w:val="312"/>
        </w:trPr>
        <w:tc>
          <w:tcPr>
            <w:tcW w:w="360" w:type="dxa"/>
            <w:tcBorders>
              <w:top w:val="nil"/>
              <w:left w:val="nil"/>
              <w:bottom w:val="nil"/>
              <w:right w:val="nil"/>
            </w:tcBorders>
            <w:shd w:val="clear" w:color="auto" w:fill="auto"/>
            <w:noWrap/>
            <w:hideMark/>
          </w:tcPr>
          <w:p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4</w:t>
            </w: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4D30FC">
            <w:pPr>
              <w:rPr>
                <w:rFonts w:eastAsia="Times New Roman"/>
                <w:i/>
                <w:iCs/>
                <w:color w:val="auto"/>
                <w:sz w:val="18"/>
                <w:szCs w:val="18"/>
              </w:rPr>
            </w:pPr>
            <w:r w:rsidRPr="00BF3E15">
              <w:rPr>
                <w:rFonts w:eastAsia="Times New Roman"/>
                <w:i/>
                <w:iCs/>
                <w:color w:val="auto"/>
                <w:sz w:val="18"/>
                <w:szCs w:val="18"/>
              </w:rPr>
              <w:t>Test conditions are as follows: For 35°C ambient, indoor 26.67°C and 50% relative humidity (AHRI –A</w:t>
            </w:r>
            <w:r w:rsidR="00FE51D6">
              <w:rPr>
                <w:rFonts w:eastAsia="Times New Roman"/>
                <w:i/>
                <w:iCs/>
                <w:color w:val="auto"/>
                <w:sz w:val="18"/>
                <w:szCs w:val="18"/>
              </w:rPr>
              <w:t xml:space="preserve">. </w:t>
            </w:r>
            <w:r w:rsidRPr="00BF3E15">
              <w:rPr>
                <w:rFonts w:eastAsia="Times New Roman"/>
                <w:i/>
                <w:iCs/>
                <w:color w:val="auto"/>
                <w:sz w:val="18"/>
                <w:szCs w:val="18"/>
              </w:rPr>
              <w:t>For 50°C ambient, indoor 29°C and 50% relative humidity</w:t>
            </w:r>
          </w:p>
        </w:tc>
      </w:tr>
      <w:tr w:rsidR="00B13B39" w:rsidRPr="00C372ED" w:rsidTr="003A3F19">
        <w:trPr>
          <w:gridAfter w:val="1"/>
          <w:wAfter w:w="471" w:type="dxa"/>
          <w:trHeight w:val="312"/>
        </w:trPr>
        <w:tc>
          <w:tcPr>
            <w:tcW w:w="360" w:type="dxa"/>
            <w:tcBorders>
              <w:top w:val="nil"/>
              <w:left w:val="nil"/>
              <w:bottom w:val="nil"/>
              <w:right w:val="nil"/>
            </w:tcBorders>
            <w:shd w:val="clear" w:color="auto" w:fill="auto"/>
            <w:noWrap/>
            <w:hideMark/>
          </w:tcPr>
          <w:p w:rsidR="00B13B39" w:rsidRPr="00C372ED" w:rsidRDefault="00B13B39" w:rsidP="003A3F19">
            <w:pPr>
              <w:jc w:val="center"/>
              <w:rPr>
                <w:rFonts w:eastAsia="Times New Roman"/>
                <w:i/>
                <w:iCs/>
                <w:color w:val="auto"/>
                <w:sz w:val="20"/>
                <w:szCs w:val="20"/>
              </w:rPr>
            </w:pPr>
            <w:r w:rsidRPr="00C372ED">
              <w:rPr>
                <w:rFonts w:eastAsia="Times New Roman"/>
                <w:i/>
                <w:iCs/>
                <w:color w:val="auto"/>
                <w:sz w:val="20"/>
                <w:szCs w:val="20"/>
              </w:rPr>
              <w:t>5</w:t>
            </w:r>
          </w:p>
        </w:tc>
        <w:tc>
          <w:tcPr>
            <w:tcW w:w="8336" w:type="dxa"/>
            <w:gridSpan w:val="8"/>
            <w:tcBorders>
              <w:top w:val="nil"/>
              <w:left w:val="nil"/>
              <w:bottom w:val="nil"/>
              <w:right w:val="nil"/>
            </w:tcBorders>
            <w:shd w:val="clear" w:color="auto" w:fill="auto"/>
            <w:noWrap/>
            <w:vAlign w:val="bottom"/>
            <w:hideMark/>
          </w:tcPr>
          <w:p w:rsidR="00B13B39" w:rsidRPr="00BF3E15" w:rsidRDefault="00B13B39" w:rsidP="003A3F19">
            <w:pPr>
              <w:rPr>
                <w:rFonts w:eastAsia="Times New Roman"/>
                <w:i/>
                <w:iCs/>
                <w:color w:val="auto"/>
                <w:sz w:val="18"/>
                <w:szCs w:val="18"/>
              </w:rPr>
            </w:pPr>
            <w:r w:rsidRPr="00BF3E15">
              <w:rPr>
                <w:rFonts w:eastAsia="Times New Roman"/>
                <w:i/>
                <w:iCs/>
                <w:color w:val="auto"/>
                <w:sz w:val="18"/>
                <w:szCs w:val="18"/>
              </w:rPr>
              <w:t>Cells shaded grey show results that are not consistent with other results for the same refrigerant and could be the results of optimization or design issues.</w:t>
            </w:r>
          </w:p>
        </w:tc>
      </w:tr>
    </w:tbl>
    <w:p w:rsidR="00B13B39" w:rsidRPr="00DF1E74" w:rsidRDefault="00B13B39" w:rsidP="00B13B39">
      <w:pPr>
        <w:jc w:val="both"/>
        <w:rPr>
          <w:sz w:val="18"/>
          <w:szCs w:val="18"/>
        </w:rPr>
      </w:pPr>
    </w:p>
    <w:p w:rsidR="00B13B39" w:rsidRPr="00974F71" w:rsidRDefault="00B13B39" w:rsidP="00B13B39">
      <w:r w:rsidRPr="00974F71">
        <w:t>The outcome</w:t>
      </w:r>
      <w:r>
        <w:t>s</w:t>
      </w:r>
      <w:r w:rsidRPr="00974F71">
        <w:t xml:space="preserve"> of the PRAHA project, other than the testing results, are:</w:t>
      </w:r>
    </w:p>
    <w:p w:rsidR="00B13B39" w:rsidRPr="00974F71" w:rsidRDefault="00B13B39" w:rsidP="00B13B39">
      <w:pPr>
        <w:numPr>
          <w:ilvl w:val="0"/>
          <w:numId w:val="38"/>
        </w:numPr>
        <w:spacing w:after="60"/>
        <w:ind w:left="714" w:hanging="357"/>
      </w:pPr>
      <w:r w:rsidRPr="00974F71">
        <w:t xml:space="preserve">There is a need to do risk assessment studies at HAT conditions in </w:t>
      </w:r>
      <w:r w:rsidR="009277E5">
        <w:t xml:space="preserve">Parties </w:t>
      </w:r>
      <w:r w:rsidRPr="00974F71">
        <w:t xml:space="preserve">that experience HAT conditions;  </w:t>
      </w:r>
    </w:p>
    <w:p w:rsidR="00B13B39" w:rsidRPr="00974F71" w:rsidRDefault="00B13B39" w:rsidP="00B13B39">
      <w:pPr>
        <w:numPr>
          <w:ilvl w:val="0"/>
          <w:numId w:val="38"/>
        </w:numPr>
        <w:spacing w:after="60"/>
        <w:ind w:left="714" w:hanging="357"/>
      </w:pPr>
      <w:r w:rsidRPr="00974F71">
        <w:t>There is a need for a full product re-design taking into consideration the technical issues of heat exchanger optimisation, expansion device selection, charge optimisation, excessive pressure, temperature glide, flammability, oil, and energy efficiency issues;</w:t>
      </w:r>
    </w:p>
    <w:p w:rsidR="00B13B39" w:rsidRPr="00974F71" w:rsidRDefault="00B13B39" w:rsidP="00B13B39">
      <w:pPr>
        <w:numPr>
          <w:ilvl w:val="0"/>
          <w:numId w:val="38"/>
        </w:numPr>
        <w:spacing w:after="60"/>
        <w:ind w:left="714" w:hanging="357"/>
      </w:pPr>
      <w:r w:rsidRPr="00974F71">
        <w:t xml:space="preserve">The economic impact is still to be considered when the availability and cost of components have been determined by market factors. Todays’ price on the market of components is not representative for the cost in the longer term, so alternative methods have to be used to analyse future cost; </w:t>
      </w:r>
    </w:p>
    <w:p w:rsidR="00B13B39" w:rsidRPr="00974F71" w:rsidRDefault="00B13B39" w:rsidP="00B13B39">
      <w:pPr>
        <w:numPr>
          <w:ilvl w:val="0"/>
          <w:numId w:val="38"/>
        </w:numPr>
        <w:spacing w:after="160" w:line="259" w:lineRule="auto"/>
      </w:pPr>
      <w:r w:rsidRPr="00974F71">
        <w:t xml:space="preserve">There is need for field testing of the units once a design and alternative refrigerants have been selected by the concerned </w:t>
      </w:r>
      <w:r w:rsidR="009277E5">
        <w:t>original equipment manufacturers (</w:t>
      </w:r>
      <w:r w:rsidRPr="00974F71">
        <w:t>OEMs</w:t>
      </w:r>
      <w:r w:rsidR="009277E5">
        <w:t>)</w:t>
      </w:r>
      <w:r>
        <w:t>.</w:t>
      </w:r>
    </w:p>
    <w:p w:rsidR="00B13B39" w:rsidRDefault="00B13B39" w:rsidP="00B13B39">
      <w:r>
        <w:t>For EGYPRA, all prototypes are ready and have been tested at the respective manufacturers</w:t>
      </w:r>
      <w:r w:rsidR="00FE51D6">
        <w:t xml:space="preserve">. </w:t>
      </w:r>
      <w:r>
        <w:t>The process of testing the prototypes and base units at the independent lab will start soon and results are expected at the end of the year.</w:t>
      </w:r>
    </w:p>
    <w:p w:rsidR="00B13B39" w:rsidRPr="00DF1E74" w:rsidRDefault="00B13B39" w:rsidP="00B13B39">
      <w:pPr>
        <w:rPr>
          <w:sz w:val="18"/>
          <w:szCs w:val="18"/>
        </w:rPr>
      </w:pPr>
    </w:p>
    <w:p w:rsidR="00B13B39" w:rsidRDefault="00B13B39" w:rsidP="00B13B39">
      <w:r w:rsidRPr="00974F71">
        <w:t>The work by PRAHA and EGYPRA will facilitate the technology transfer and the exchange of experience with low-GWP alternatives for air-conditioning applications operating in high-ambient temperature</w:t>
      </w:r>
      <w:r w:rsidR="009277E5">
        <w:t xml:space="preserve"> Parties</w:t>
      </w:r>
      <w:r w:rsidRPr="00974F71">
        <w:t>. The other indirect objective is to encourage the development of local/regional codes and standards that ease the introduction of alternatives needing special safety or handling considerations, and to ensure that national and regional energy efficiency programs are linked to the adoption of low-GWP long term alternatives (PRAHA, 2013).</w:t>
      </w:r>
    </w:p>
    <w:p w:rsidR="00B13B39" w:rsidRPr="00DF1E74" w:rsidRDefault="00B13B39" w:rsidP="00B13B39">
      <w:pPr>
        <w:rPr>
          <w:sz w:val="16"/>
          <w:szCs w:val="16"/>
        </w:rPr>
      </w:pPr>
    </w:p>
    <w:p w:rsidR="00B13B39" w:rsidRDefault="00B13B39" w:rsidP="00B13B39">
      <w:pPr>
        <w:pStyle w:val="Heading3"/>
      </w:pPr>
      <w:bookmarkStart w:id="94" w:name="_Toc452653385"/>
      <w:r>
        <w:t>5.2.2</w:t>
      </w:r>
      <w:r>
        <w:tab/>
        <w:t>ORNL Project</w:t>
      </w:r>
      <w:bookmarkEnd w:id="94"/>
    </w:p>
    <w:p w:rsidR="00B13B39" w:rsidRPr="003D489F" w:rsidRDefault="00B13B39" w:rsidP="00DF1E74">
      <w:pPr>
        <w:numPr>
          <w:ilvl w:val="0"/>
          <w:numId w:val="46"/>
        </w:numPr>
        <w:spacing w:after="160" w:line="259" w:lineRule="auto"/>
        <w:contextualSpacing/>
        <w:rPr>
          <w:b/>
          <w:bCs/>
          <w:vanish/>
          <w:sz w:val="28"/>
          <w:szCs w:val="28"/>
        </w:rPr>
      </w:pPr>
    </w:p>
    <w:p w:rsidR="00B13B39" w:rsidRDefault="00B13B39" w:rsidP="00B13B39">
      <w:pPr>
        <w:ind w:right="90"/>
      </w:pPr>
      <w:r w:rsidRPr="00E821A4">
        <w:t>“High-Ambient-Temperature Evaluation Program for Low-Global Warming Potential (Low-GWP) Refrigerants” by the Oak Ridge National Laboratory (ORNL). ORNL conducted tests using two “soft-optimized” ductless mini-split air conditioners having a cooling capacity of 5.25 kWh (1.5 TR)</w:t>
      </w:r>
      <w:r w:rsidR="00FE51D6">
        <w:t xml:space="preserve">. </w:t>
      </w:r>
      <w:r w:rsidRPr="00E821A4">
        <w:t xml:space="preserve">One unit which was designed to operate with HCFC-22 refrigerant was used for alternative refrigerants that are equivalent in characteristics to HCFC-22, while the other which was designed to use R-410A refrigerant tested the R-410A alternatives. </w:t>
      </w:r>
      <w:r w:rsidR="00CF596A">
        <w:t>Eighty-four</w:t>
      </w:r>
      <w:r w:rsidRPr="00E821A4">
        <w:t xml:space="preserve"> tests were conducted in total for a total of 10 alternative refrigerants at ambient temperatures varying from 27 to 55°C.</w:t>
      </w:r>
      <w:r>
        <w:t xml:space="preserve"> </w:t>
      </w:r>
    </w:p>
    <w:p w:rsidR="00B13B39" w:rsidRPr="00C372ED" w:rsidRDefault="00B13B39" w:rsidP="00B13B39">
      <w:pPr>
        <w:ind w:right="90"/>
        <w:jc w:val="both"/>
        <w:rPr>
          <w:b/>
          <w:bCs/>
          <w:i/>
          <w:iCs/>
          <w:sz w:val="12"/>
          <w:szCs w:val="12"/>
        </w:rPr>
      </w:pPr>
    </w:p>
    <w:p w:rsidR="00B13B39" w:rsidRDefault="00B13B39" w:rsidP="006718A1">
      <w:pPr>
        <w:keepNext/>
        <w:keepLines/>
        <w:ind w:right="86"/>
        <w:jc w:val="both"/>
        <w:rPr>
          <w:b/>
          <w:bCs/>
          <w:i/>
          <w:iCs/>
        </w:rPr>
      </w:pPr>
      <w:r>
        <w:rPr>
          <w:b/>
          <w:bCs/>
          <w:i/>
          <w:iCs/>
        </w:rPr>
        <w:t>Table 5-4</w:t>
      </w:r>
      <w:r w:rsidRPr="004C0DAB">
        <w:rPr>
          <w:b/>
          <w:bCs/>
          <w:i/>
          <w:iCs/>
        </w:rPr>
        <w:t>: Alternative refrigerants used in ORNL Project</w:t>
      </w:r>
    </w:p>
    <w:p w:rsidR="00B13B39" w:rsidRPr="004C0DAB" w:rsidRDefault="00B13B39" w:rsidP="006718A1">
      <w:pPr>
        <w:keepNext/>
        <w:keepLines/>
        <w:ind w:right="86"/>
        <w:jc w:val="both"/>
        <w:rPr>
          <w:b/>
          <w:bCs/>
          <w:i/>
          <w:i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0"/>
      </w:tblGrid>
      <w:tr w:rsidR="00B13B39" w:rsidRPr="00254F62" w:rsidTr="003A3F19">
        <w:tc>
          <w:tcPr>
            <w:tcW w:w="3260" w:type="dxa"/>
            <w:tcBorders>
              <w:top w:val="single" w:sz="4" w:space="0" w:color="auto"/>
              <w:left w:val="single" w:sz="4" w:space="0" w:color="auto"/>
              <w:bottom w:val="single" w:sz="4" w:space="0" w:color="auto"/>
              <w:right w:val="single" w:sz="4" w:space="0" w:color="auto"/>
            </w:tcBorders>
            <w:shd w:val="clear" w:color="auto" w:fill="E7E6E6"/>
            <w:hideMark/>
          </w:tcPr>
          <w:p w:rsidR="00B13B39" w:rsidRPr="00C372ED" w:rsidRDefault="00B13B39" w:rsidP="006718A1">
            <w:pPr>
              <w:keepNext/>
              <w:keepLines/>
              <w:ind w:right="86"/>
              <w:jc w:val="both"/>
              <w:rPr>
                <w:rFonts w:eastAsia="Calibri"/>
                <w:b/>
                <w:bCs/>
              </w:rPr>
            </w:pPr>
            <w:r w:rsidRPr="00C372ED">
              <w:rPr>
                <w:rFonts w:eastAsia="Calibri"/>
                <w:b/>
                <w:bCs/>
              </w:rPr>
              <w:t>Comparable to HCFC-22</w:t>
            </w:r>
            <w:r>
              <w:rPr>
                <w:rFonts w:eastAsia="Calibri"/>
                <w:b/>
                <w:bC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7E6E6"/>
            <w:hideMark/>
          </w:tcPr>
          <w:p w:rsidR="00B13B39" w:rsidRPr="00C372ED" w:rsidRDefault="00B13B39" w:rsidP="006718A1">
            <w:pPr>
              <w:keepNext/>
              <w:keepLines/>
              <w:ind w:right="86"/>
              <w:jc w:val="both"/>
              <w:rPr>
                <w:rFonts w:eastAsia="Calibri"/>
                <w:b/>
                <w:bCs/>
              </w:rPr>
            </w:pPr>
            <w:r w:rsidRPr="00C372ED">
              <w:rPr>
                <w:rFonts w:eastAsia="Calibri"/>
                <w:b/>
                <w:bCs/>
              </w:rPr>
              <w:t>Comparable to R-410A</w:t>
            </w:r>
          </w:p>
        </w:tc>
      </w:tr>
      <w:tr w:rsidR="00B13B39" w:rsidRPr="00254F62" w:rsidTr="003A3F19">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N-20b</w:t>
            </w:r>
          </w:p>
        </w:tc>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HFC-32</w:t>
            </w:r>
          </w:p>
        </w:tc>
      </w:tr>
      <w:tr w:rsidR="00B13B39" w:rsidRPr="00254F62" w:rsidTr="003A3F19">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DR-3</w:t>
            </w:r>
          </w:p>
        </w:tc>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R-447A (L-41-1)</w:t>
            </w:r>
          </w:p>
        </w:tc>
      </w:tr>
      <w:tr w:rsidR="00B13B39" w:rsidRPr="00254F62" w:rsidTr="003A3F19">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ARM-20b</w:t>
            </w:r>
          </w:p>
        </w:tc>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DR-55</w:t>
            </w:r>
          </w:p>
        </w:tc>
      </w:tr>
      <w:tr w:rsidR="00B13B39" w:rsidRPr="00254F62" w:rsidTr="003A3F19">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R-444B (L-20a)</w:t>
            </w:r>
          </w:p>
        </w:tc>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6718A1">
            <w:pPr>
              <w:keepNext/>
              <w:keepLines/>
              <w:ind w:right="86"/>
              <w:jc w:val="both"/>
              <w:rPr>
                <w:rFonts w:eastAsia="Calibri"/>
              </w:rPr>
            </w:pPr>
            <w:r w:rsidRPr="00C372ED">
              <w:rPr>
                <w:rFonts w:eastAsia="Calibri"/>
              </w:rPr>
              <w:t>ARM-71a</w:t>
            </w:r>
          </w:p>
        </w:tc>
      </w:tr>
      <w:tr w:rsidR="00B13B39" w:rsidRPr="00254F62" w:rsidTr="003A3F19">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3A3F19">
            <w:pPr>
              <w:ind w:right="90"/>
              <w:jc w:val="both"/>
              <w:rPr>
                <w:rFonts w:eastAsia="Calibri"/>
              </w:rPr>
            </w:pPr>
            <w:r w:rsidRPr="00C372ED">
              <w:rPr>
                <w:rFonts w:eastAsia="Calibri"/>
              </w:rPr>
              <w:t>R-290</w:t>
            </w:r>
          </w:p>
        </w:tc>
        <w:tc>
          <w:tcPr>
            <w:tcW w:w="3260" w:type="dxa"/>
            <w:tcBorders>
              <w:top w:val="single" w:sz="4" w:space="0" w:color="auto"/>
              <w:left w:val="single" w:sz="4" w:space="0" w:color="auto"/>
              <w:bottom w:val="single" w:sz="4" w:space="0" w:color="auto"/>
              <w:right w:val="single" w:sz="4" w:space="0" w:color="auto"/>
            </w:tcBorders>
            <w:hideMark/>
          </w:tcPr>
          <w:p w:rsidR="00B13B39" w:rsidRPr="00C372ED" w:rsidRDefault="00B13B39" w:rsidP="003A3F19">
            <w:pPr>
              <w:ind w:right="90"/>
              <w:jc w:val="both"/>
              <w:rPr>
                <w:rFonts w:eastAsia="Calibri"/>
              </w:rPr>
            </w:pPr>
            <w:r w:rsidRPr="00C372ED">
              <w:rPr>
                <w:rFonts w:eastAsia="Calibri"/>
              </w:rPr>
              <w:t>HPR-2A</w:t>
            </w:r>
          </w:p>
        </w:tc>
      </w:tr>
    </w:tbl>
    <w:p w:rsidR="00B13B39" w:rsidRPr="004C0DAB" w:rsidRDefault="00B13B39" w:rsidP="00B13B39">
      <w:pPr>
        <w:ind w:right="90"/>
        <w:jc w:val="both"/>
        <w:rPr>
          <w:b/>
          <w:bCs/>
        </w:rPr>
      </w:pPr>
    </w:p>
    <w:p w:rsidR="00B13B39" w:rsidRDefault="00B13B39" w:rsidP="00B13B39">
      <w:pPr>
        <w:ind w:right="90"/>
      </w:pPr>
      <w:r>
        <w:lastRenderedPageBreak/>
        <w:t>Table 5-5 shows the results for the ORNL project taken from the various reports available online. ORNL tested two base units and then changed the refrigerant as well as certain components and settings to test the alternative refrigerants.</w:t>
      </w:r>
    </w:p>
    <w:p w:rsidR="00B13B39" w:rsidRDefault="00B13B39" w:rsidP="00B13B39">
      <w:pPr>
        <w:ind w:right="90"/>
      </w:pPr>
    </w:p>
    <w:p w:rsidR="00B13B39" w:rsidRDefault="00B13B39" w:rsidP="00B13B39">
      <w:pPr>
        <w:ind w:right="90"/>
        <w:jc w:val="both"/>
        <w:rPr>
          <w:b/>
          <w:bCs/>
          <w:i/>
          <w:iCs/>
        </w:rPr>
      </w:pPr>
      <w:r>
        <w:rPr>
          <w:b/>
          <w:bCs/>
          <w:i/>
          <w:iCs/>
        </w:rPr>
        <w:t>Table 5-5 ORNL r</w:t>
      </w:r>
      <w:r w:rsidRPr="00974F71">
        <w:rPr>
          <w:b/>
          <w:bCs/>
          <w:i/>
          <w:iCs/>
        </w:rPr>
        <w:t xml:space="preserve">esults for capacity and </w:t>
      </w:r>
      <w:r>
        <w:rPr>
          <w:b/>
          <w:bCs/>
          <w:i/>
          <w:iCs/>
        </w:rPr>
        <w:t>e</w:t>
      </w:r>
      <w:r w:rsidRPr="00974F71">
        <w:rPr>
          <w:b/>
          <w:bCs/>
          <w:i/>
          <w:iCs/>
        </w:rPr>
        <w:t>fficiency</w:t>
      </w:r>
      <w:r>
        <w:rPr>
          <w:b/>
          <w:bCs/>
          <w:i/>
          <w:iCs/>
        </w:rPr>
        <w:t xml:space="preserve"> as percentage compared to the baseline units</w:t>
      </w:r>
    </w:p>
    <w:p w:rsidR="00B13B39" w:rsidRDefault="00B13B39" w:rsidP="00B13B39">
      <w:pPr>
        <w:ind w:right="90"/>
        <w:jc w:val="both"/>
        <w:rPr>
          <w:b/>
          <w:bCs/>
          <w:i/>
          <w:iCs/>
        </w:rPr>
      </w:pPr>
    </w:p>
    <w:tbl>
      <w:tblPr>
        <w:tblW w:w="9815" w:type="dxa"/>
        <w:tblInd w:w="-635" w:type="dxa"/>
        <w:tblLayout w:type="fixed"/>
        <w:tblLook w:val="04A0" w:firstRow="1" w:lastRow="0" w:firstColumn="1" w:lastColumn="0" w:noHBand="0" w:noVBand="1"/>
      </w:tblPr>
      <w:tblGrid>
        <w:gridCol w:w="635"/>
        <w:gridCol w:w="360"/>
        <w:gridCol w:w="69"/>
        <w:gridCol w:w="595"/>
        <w:gridCol w:w="218"/>
        <w:gridCol w:w="1134"/>
        <w:gridCol w:w="1985"/>
        <w:gridCol w:w="992"/>
        <w:gridCol w:w="956"/>
        <w:gridCol w:w="957"/>
        <w:gridCol w:w="957"/>
        <w:gridCol w:w="592"/>
        <w:gridCol w:w="365"/>
      </w:tblGrid>
      <w:tr w:rsidR="00B13B39" w:rsidRPr="00254F62" w:rsidTr="003A3F19">
        <w:trPr>
          <w:trHeight w:val="948"/>
        </w:trPr>
        <w:tc>
          <w:tcPr>
            <w:tcW w:w="1064"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Equipment Type</w:t>
            </w:r>
          </w:p>
        </w:tc>
        <w:tc>
          <w:tcPr>
            <w:tcW w:w="813" w:type="dxa"/>
            <w:gridSpan w:val="2"/>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ind w:left="-62" w:right="-92"/>
              <w:jc w:val="both"/>
              <w:rPr>
                <w:rFonts w:eastAsia="Times New Roman"/>
                <w:b/>
                <w:bCs/>
                <w:sz w:val="18"/>
                <w:szCs w:val="18"/>
              </w:rPr>
            </w:pPr>
            <w:r w:rsidRPr="00C372ED">
              <w:rPr>
                <w:rFonts w:eastAsia="Times New Roman"/>
                <w:b/>
                <w:bCs/>
                <w:sz w:val="18"/>
                <w:szCs w:val="18"/>
              </w:rPr>
              <w:t>Lab utilized</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 xml:space="preserve">Baseline Refrigerant </w:t>
            </w:r>
          </w:p>
        </w:tc>
        <w:tc>
          <w:tcPr>
            <w:tcW w:w="1985"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Pr>
                <w:rFonts w:eastAsia="Times New Roman"/>
                <w:b/>
                <w:bCs/>
                <w:sz w:val="18"/>
                <w:szCs w:val="18"/>
              </w:rPr>
              <w:t>Equipment</w:t>
            </w:r>
            <w:r w:rsidRPr="00C372ED">
              <w:rPr>
                <w:rFonts w:eastAsia="Times New Roman"/>
                <w:b/>
                <w:bCs/>
                <w:sz w:val="18"/>
                <w:szCs w:val="18"/>
              </w:rPr>
              <w:t xml:space="preserve"> Criterion</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372ED" w:rsidRDefault="00B13B39" w:rsidP="003A3F19">
            <w:pPr>
              <w:rPr>
                <w:rFonts w:eastAsia="Times New Roman"/>
                <w:b/>
                <w:bCs/>
                <w:sz w:val="18"/>
                <w:szCs w:val="18"/>
              </w:rPr>
            </w:pPr>
            <w:r w:rsidRPr="00C372ED">
              <w:rPr>
                <w:rFonts w:eastAsia="Times New Roman"/>
                <w:b/>
                <w:bCs/>
                <w:sz w:val="18"/>
                <w:szCs w:val="18"/>
              </w:rPr>
              <w:t>Refriger</w:t>
            </w:r>
            <w:r>
              <w:rPr>
                <w:rFonts w:eastAsia="Times New Roman"/>
                <w:b/>
                <w:bCs/>
                <w:sz w:val="18"/>
                <w:szCs w:val="18"/>
              </w:rPr>
              <w:t>.</w:t>
            </w:r>
            <w:r w:rsidRPr="00C372ED">
              <w:rPr>
                <w:rFonts w:eastAsia="Times New Roman"/>
                <w:b/>
                <w:bCs/>
                <w:sz w:val="18"/>
                <w:szCs w:val="18"/>
              </w:rPr>
              <w:t xml:space="preserve"> Tested</w:t>
            </w:r>
          </w:p>
        </w:tc>
        <w:tc>
          <w:tcPr>
            <w:tcW w:w="956" w:type="dxa"/>
            <w:tcBorders>
              <w:top w:val="single" w:sz="4" w:space="0" w:color="auto"/>
              <w:left w:val="nil"/>
              <w:bottom w:val="single" w:sz="4" w:space="0" w:color="auto"/>
              <w:right w:val="single" w:sz="4" w:space="0" w:color="auto"/>
            </w:tcBorders>
            <w:shd w:val="clear" w:color="auto" w:fill="FFF2CC"/>
            <w:vAlign w:val="bottom"/>
            <w:hideMark/>
          </w:tcPr>
          <w:p w:rsidR="00B13B39" w:rsidRPr="00B44C73" w:rsidRDefault="00B13B39" w:rsidP="00B44C73">
            <w:pPr>
              <w:rPr>
                <w:rFonts w:eastAsia="Times New Roman"/>
                <w:b/>
                <w:bCs/>
                <w:sz w:val="18"/>
                <w:szCs w:val="18"/>
              </w:rPr>
            </w:pPr>
            <w:r w:rsidRPr="00B44C73">
              <w:rPr>
                <w:rFonts w:eastAsia="Times New Roman"/>
                <w:b/>
                <w:bCs/>
                <w:sz w:val="18"/>
                <w:szCs w:val="18"/>
              </w:rPr>
              <w:t xml:space="preserve"> COP</w:t>
            </w:r>
            <w:r w:rsidRPr="00B44C73">
              <w:rPr>
                <w:rFonts w:eastAsia="Times New Roman"/>
                <w:b/>
                <w:bCs/>
                <w:sz w:val="18"/>
                <w:szCs w:val="18"/>
              </w:rPr>
              <w:br/>
              <w:t>% comp to baseline @ 35</w:t>
            </w:r>
            <w:r w:rsidR="00B44C73" w:rsidRPr="00B44C73">
              <w:rPr>
                <w:rFonts w:eastAsia="Times New Roman"/>
                <w:b/>
                <w:sz w:val="18"/>
                <w:szCs w:val="18"/>
              </w:rPr>
              <w:t>°C</w:t>
            </w:r>
          </w:p>
        </w:tc>
        <w:tc>
          <w:tcPr>
            <w:tcW w:w="957" w:type="dxa"/>
            <w:tcBorders>
              <w:top w:val="single" w:sz="4" w:space="0" w:color="auto"/>
              <w:left w:val="nil"/>
              <w:bottom w:val="single" w:sz="4" w:space="0" w:color="auto"/>
              <w:right w:val="single" w:sz="4" w:space="0" w:color="auto"/>
            </w:tcBorders>
            <w:shd w:val="clear" w:color="auto" w:fill="FFF2CC"/>
            <w:vAlign w:val="bottom"/>
            <w:hideMark/>
          </w:tcPr>
          <w:p w:rsidR="00B13B39" w:rsidRPr="00B44C73" w:rsidRDefault="00B13B39" w:rsidP="00B44C73">
            <w:pPr>
              <w:rPr>
                <w:rFonts w:eastAsia="Times New Roman"/>
                <w:b/>
                <w:bCs/>
                <w:sz w:val="18"/>
                <w:szCs w:val="18"/>
              </w:rPr>
            </w:pPr>
            <w:r w:rsidRPr="00B44C73">
              <w:rPr>
                <w:rFonts w:eastAsia="Times New Roman"/>
                <w:b/>
                <w:bCs/>
                <w:sz w:val="18"/>
                <w:szCs w:val="18"/>
              </w:rPr>
              <w:t>Capacity</w:t>
            </w:r>
            <w:r w:rsidRPr="00B44C73">
              <w:rPr>
                <w:rFonts w:eastAsia="Times New Roman"/>
                <w:b/>
                <w:bCs/>
                <w:sz w:val="18"/>
                <w:szCs w:val="18"/>
              </w:rPr>
              <w:br/>
              <w:t>% comp to baseline @ 35</w:t>
            </w:r>
            <w:r w:rsidR="00B44C73" w:rsidRPr="00B44C73">
              <w:rPr>
                <w:rFonts w:eastAsia="Times New Roman"/>
                <w:b/>
                <w:sz w:val="18"/>
                <w:szCs w:val="18"/>
              </w:rPr>
              <w:t>°C</w:t>
            </w:r>
          </w:p>
        </w:tc>
        <w:tc>
          <w:tcPr>
            <w:tcW w:w="957" w:type="dxa"/>
            <w:tcBorders>
              <w:top w:val="single" w:sz="4" w:space="0" w:color="auto"/>
              <w:left w:val="nil"/>
              <w:bottom w:val="single" w:sz="4" w:space="0" w:color="auto"/>
              <w:right w:val="single" w:sz="4" w:space="0" w:color="auto"/>
            </w:tcBorders>
            <w:shd w:val="clear" w:color="auto" w:fill="FFF2CC"/>
            <w:vAlign w:val="bottom"/>
            <w:hideMark/>
          </w:tcPr>
          <w:p w:rsidR="00B13B39" w:rsidRPr="00B44C73" w:rsidRDefault="00B13B39" w:rsidP="00B44C73">
            <w:pPr>
              <w:jc w:val="center"/>
              <w:rPr>
                <w:rFonts w:eastAsia="Times New Roman"/>
                <w:b/>
                <w:bCs/>
                <w:sz w:val="18"/>
                <w:szCs w:val="18"/>
              </w:rPr>
            </w:pPr>
            <w:r w:rsidRPr="00B44C73">
              <w:rPr>
                <w:rFonts w:eastAsia="Times New Roman"/>
                <w:b/>
                <w:bCs/>
                <w:sz w:val="18"/>
                <w:szCs w:val="18"/>
              </w:rPr>
              <w:t>COP</w:t>
            </w:r>
            <w:r w:rsidRPr="00B44C73">
              <w:rPr>
                <w:rFonts w:eastAsia="Times New Roman"/>
                <w:b/>
                <w:bCs/>
                <w:sz w:val="18"/>
                <w:szCs w:val="18"/>
              </w:rPr>
              <w:br/>
              <w:t>% comp to baseline @ 5</w:t>
            </w:r>
            <w:r w:rsidR="00B44C73" w:rsidRPr="00B44C73">
              <w:rPr>
                <w:rFonts w:eastAsia="Times New Roman"/>
                <w:b/>
                <w:bCs/>
                <w:sz w:val="18"/>
                <w:szCs w:val="18"/>
              </w:rPr>
              <w:t>2</w:t>
            </w:r>
            <w:r w:rsidR="00B44C73" w:rsidRPr="00B44C73">
              <w:rPr>
                <w:rFonts w:eastAsia="Times New Roman"/>
                <w:b/>
                <w:sz w:val="18"/>
                <w:szCs w:val="18"/>
              </w:rPr>
              <w:t>°C</w:t>
            </w:r>
            <w:r w:rsidRPr="00B44C73">
              <w:rPr>
                <w:rFonts w:eastAsia="Times New Roman"/>
                <w:b/>
                <w:bCs/>
                <w:sz w:val="18"/>
                <w:szCs w:val="18"/>
              </w:rPr>
              <w:t xml:space="preserve"> </w:t>
            </w:r>
          </w:p>
        </w:tc>
        <w:tc>
          <w:tcPr>
            <w:tcW w:w="957" w:type="dxa"/>
            <w:gridSpan w:val="2"/>
            <w:tcBorders>
              <w:top w:val="single" w:sz="4" w:space="0" w:color="auto"/>
              <w:left w:val="nil"/>
              <w:bottom w:val="single" w:sz="4" w:space="0" w:color="auto"/>
              <w:right w:val="single" w:sz="4" w:space="0" w:color="auto"/>
            </w:tcBorders>
            <w:shd w:val="clear" w:color="auto" w:fill="FFF2CC"/>
            <w:vAlign w:val="bottom"/>
            <w:hideMark/>
          </w:tcPr>
          <w:p w:rsidR="00B13B39" w:rsidRPr="00B44C73" w:rsidRDefault="00B13B39" w:rsidP="00B44C73">
            <w:pPr>
              <w:rPr>
                <w:rFonts w:eastAsia="Times New Roman"/>
                <w:b/>
                <w:bCs/>
                <w:sz w:val="18"/>
                <w:szCs w:val="18"/>
              </w:rPr>
            </w:pPr>
            <w:r w:rsidRPr="00B44C73">
              <w:rPr>
                <w:rFonts w:eastAsia="Times New Roman"/>
                <w:b/>
                <w:bCs/>
                <w:sz w:val="18"/>
                <w:szCs w:val="18"/>
              </w:rPr>
              <w:t>Capacity</w:t>
            </w:r>
            <w:r w:rsidRPr="00B44C73">
              <w:rPr>
                <w:rFonts w:eastAsia="Times New Roman"/>
                <w:b/>
                <w:bCs/>
                <w:sz w:val="18"/>
                <w:szCs w:val="18"/>
              </w:rPr>
              <w:br/>
              <w:t>% comp to baseline @ 5</w:t>
            </w:r>
            <w:r w:rsidR="00B44C73" w:rsidRPr="00B44C73">
              <w:rPr>
                <w:rFonts w:eastAsia="Times New Roman"/>
                <w:b/>
                <w:bCs/>
                <w:sz w:val="18"/>
                <w:szCs w:val="18"/>
              </w:rPr>
              <w:t>2</w:t>
            </w:r>
            <w:r w:rsidR="00B44C73" w:rsidRPr="00B44C73">
              <w:rPr>
                <w:rFonts w:eastAsia="Times New Roman"/>
                <w:b/>
                <w:sz w:val="18"/>
                <w:szCs w:val="18"/>
              </w:rPr>
              <w:t>°C</w:t>
            </w:r>
          </w:p>
        </w:tc>
      </w:tr>
      <w:tr w:rsidR="00B13B39" w:rsidRPr="00254F62" w:rsidTr="003A3F19">
        <w:trPr>
          <w:trHeight w:val="312"/>
        </w:trPr>
        <w:tc>
          <w:tcPr>
            <w:tcW w:w="10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Default="00B13B39" w:rsidP="003A3F19">
            <w:pPr>
              <w:jc w:val="center"/>
              <w:rPr>
                <w:rFonts w:eastAsia="Times New Roman"/>
                <w:sz w:val="18"/>
                <w:szCs w:val="18"/>
              </w:rPr>
            </w:pPr>
            <w:r>
              <w:rPr>
                <w:rFonts w:eastAsia="Times New Roman"/>
                <w:sz w:val="18"/>
                <w:szCs w:val="18"/>
              </w:rPr>
              <w:t>18,000</w:t>
            </w:r>
            <w:r w:rsidRPr="00C372ED">
              <w:rPr>
                <w:rFonts w:eastAsia="Times New Roman"/>
                <w:sz w:val="18"/>
                <w:szCs w:val="18"/>
              </w:rPr>
              <w:t xml:space="preserve"> B</w:t>
            </w:r>
            <w:r>
              <w:rPr>
                <w:rFonts w:eastAsia="Times New Roman"/>
                <w:sz w:val="18"/>
                <w:szCs w:val="18"/>
              </w:rPr>
              <w:t>t</w:t>
            </w:r>
            <w:r w:rsidRPr="00C372ED">
              <w:rPr>
                <w:rFonts w:eastAsia="Times New Roman"/>
                <w:sz w:val="18"/>
                <w:szCs w:val="18"/>
              </w:rPr>
              <w:t>u/hr. Split unit</w:t>
            </w:r>
          </w:p>
          <w:p w:rsidR="00B13B39" w:rsidRPr="00C372ED" w:rsidRDefault="00BF3E15" w:rsidP="00BF3E15">
            <w:pPr>
              <w:jc w:val="center"/>
              <w:rPr>
                <w:rFonts w:eastAsia="Times New Roman"/>
                <w:sz w:val="18"/>
                <w:szCs w:val="18"/>
              </w:rPr>
            </w:pPr>
            <w:r>
              <w:rPr>
                <w:rFonts w:eastAsia="Times New Roman"/>
                <w:sz w:val="18"/>
                <w:szCs w:val="18"/>
              </w:rPr>
              <w:t>(</w:t>
            </w:r>
            <w:r w:rsidR="00B13B39">
              <w:rPr>
                <w:rFonts w:eastAsia="Times New Roman"/>
                <w:sz w:val="18"/>
                <w:szCs w:val="18"/>
              </w:rPr>
              <w:t>Carrier</w:t>
            </w:r>
            <w:r>
              <w:rPr>
                <w:rFonts w:eastAsia="Times New Roman"/>
                <w:sz w:val="18"/>
                <w:szCs w:val="18"/>
              </w:rPr>
              <w:t>)</w:t>
            </w:r>
          </w:p>
        </w:tc>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ORNL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44C73" w:rsidP="003A3F19">
            <w:pPr>
              <w:jc w:val="center"/>
              <w:rPr>
                <w:rFonts w:eastAsia="Times New Roman"/>
                <w:sz w:val="18"/>
                <w:szCs w:val="18"/>
              </w:rPr>
            </w:pPr>
            <w:r w:rsidRPr="00C372ED">
              <w:rPr>
                <w:rFonts w:eastAsia="Times New Roman"/>
                <w:sz w:val="18"/>
                <w:szCs w:val="18"/>
              </w:rPr>
              <w:t>HCFC-22</w:t>
            </w:r>
            <w:r w:rsidRPr="00C372ED">
              <w:rPr>
                <w:rFonts w:eastAsia="Times New Roman"/>
                <w:sz w:val="18"/>
                <w:szCs w:val="18"/>
              </w:rPr>
              <w:br/>
              <w:t>COP = 3.07 at 35</w:t>
            </w:r>
            <w:r>
              <w:rPr>
                <w:rFonts w:eastAsia="Times New Roman"/>
                <w:sz w:val="18"/>
                <w:szCs w:val="18"/>
              </w:rPr>
              <w:t>°</w:t>
            </w:r>
            <w:r w:rsidRPr="00C372ED">
              <w:rPr>
                <w:rFonts w:eastAsia="Times New Roman"/>
                <w:sz w:val="18"/>
                <w:szCs w:val="18"/>
              </w:rPr>
              <w:t>C and 1.98 at 52</w:t>
            </w:r>
            <w:r>
              <w:rPr>
                <w:rFonts w:eastAsia="Times New Roman"/>
                <w:sz w:val="18"/>
                <w:szCs w:val="18"/>
              </w:rPr>
              <w:t>°</w:t>
            </w:r>
            <w:r w:rsidRPr="00C372ED">
              <w:rPr>
                <w:rFonts w:eastAsia="Times New Roman"/>
                <w:sz w:val="18"/>
                <w:szCs w:val="18"/>
              </w:rPr>
              <w:t>C</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Same machine to test all refrigerants</w:t>
            </w:r>
            <w:r w:rsidR="00FE51D6">
              <w:rPr>
                <w:rFonts w:eastAsia="Times New Roman"/>
                <w:sz w:val="18"/>
                <w:szCs w:val="18"/>
              </w:rPr>
              <w:t xml:space="preserve">. </w:t>
            </w:r>
            <w:r w:rsidRPr="00C372ED">
              <w:rPr>
                <w:rFonts w:eastAsia="Times New Roman"/>
                <w:sz w:val="18"/>
                <w:szCs w:val="18"/>
              </w:rPr>
              <w:t>Criteria: matching superheat and sub cooling to base unit</w:t>
            </w:r>
            <w:r w:rsidR="00FE51D6">
              <w:rPr>
                <w:rFonts w:eastAsia="Times New Roman"/>
                <w:sz w:val="18"/>
                <w:szCs w:val="18"/>
              </w:rPr>
              <w:t xml:space="preserve">. </w:t>
            </w:r>
            <w:r w:rsidRPr="00C372ED">
              <w:rPr>
                <w:rFonts w:eastAsia="Times New Roman"/>
                <w:sz w:val="18"/>
                <w:szCs w:val="18"/>
              </w:rPr>
              <w:t>Changing expansion devise. Charge level optimized at 35C</w:t>
            </w: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N-20B</w:t>
            </w:r>
          </w:p>
        </w:tc>
        <w:tc>
          <w:tcPr>
            <w:tcW w:w="956"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-13%</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-14%</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-15%</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DR-3</w:t>
            </w:r>
          </w:p>
        </w:tc>
        <w:tc>
          <w:tcPr>
            <w:tcW w:w="956"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-16%</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B44C73">
            <w:pPr>
              <w:jc w:val="center"/>
              <w:rPr>
                <w:rFonts w:eastAsia="Times New Roman"/>
                <w:sz w:val="18"/>
                <w:szCs w:val="18"/>
              </w:rPr>
            </w:pPr>
            <w:r w:rsidRPr="00C372ED">
              <w:rPr>
                <w:rFonts w:eastAsia="Times New Roman"/>
                <w:sz w:val="18"/>
                <w:szCs w:val="18"/>
              </w:rPr>
              <w:t>-1</w:t>
            </w:r>
            <w:r w:rsidR="00B44C73">
              <w:rPr>
                <w:rFonts w:eastAsia="Times New Roman"/>
                <w:sz w:val="18"/>
                <w:szCs w:val="18"/>
              </w:rPr>
              <w:t>4</w:t>
            </w:r>
            <w:r w:rsidRPr="00C372ED">
              <w:rPr>
                <w:rFonts w:eastAsia="Times New Roman"/>
                <w:sz w:val="18"/>
                <w:szCs w:val="18"/>
              </w:rPr>
              <w:t>%</w:t>
            </w:r>
          </w:p>
        </w:tc>
        <w:tc>
          <w:tcPr>
            <w:tcW w:w="95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-12%</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ARM-20B</w:t>
            </w:r>
          </w:p>
        </w:tc>
        <w:tc>
          <w:tcPr>
            <w:tcW w:w="956"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-12%</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R-444B    (L-20A)</w:t>
            </w:r>
          </w:p>
        </w:tc>
        <w:tc>
          <w:tcPr>
            <w:tcW w:w="956"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-11%</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rPr>
                <w:rFonts w:eastAsia="Times New Roman"/>
                <w:sz w:val="18"/>
                <w:szCs w:val="18"/>
              </w:rPr>
            </w:pPr>
            <w:r w:rsidRPr="00C372ED">
              <w:rPr>
                <w:rFonts w:eastAsia="Times New Roman"/>
                <w:sz w:val="18"/>
                <w:szCs w:val="18"/>
              </w:rPr>
              <w:t>HC-290</w:t>
            </w:r>
          </w:p>
        </w:tc>
        <w:tc>
          <w:tcPr>
            <w:tcW w:w="956"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957" w:type="dxa"/>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7%</w:t>
            </w:r>
          </w:p>
        </w:tc>
        <w:tc>
          <w:tcPr>
            <w:tcW w:w="957" w:type="dxa"/>
            <w:gridSpan w:val="2"/>
            <w:tcBorders>
              <w:top w:val="nil"/>
              <w:left w:val="nil"/>
              <w:bottom w:val="single" w:sz="4" w:space="0" w:color="auto"/>
              <w:right w:val="single" w:sz="4" w:space="0" w:color="auto"/>
            </w:tcBorders>
            <w:shd w:val="clear" w:color="auto" w:fill="auto"/>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rsidTr="003A3F19">
        <w:trPr>
          <w:trHeight w:val="168"/>
        </w:trPr>
        <w:tc>
          <w:tcPr>
            <w:tcW w:w="1064" w:type="dxa"/>
            <w:gridSpan w:val="3"/>
            <w:tcBorders>
              <w:top w:val="single" w:sz="4" w:space="0" w:color="auto"/>
              <w:left w:val="single" w:sz="4" w:space="0" w:color="auto"/>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813" w:type="dxa"/>
            <w:gridSpan w:val="2"/>
            <w:tcBorders>
              <w:top w:val="single" w:sz="4" w:space="0" w:color="auto"/>
              <w:left w:val="nil"/>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134" w:type="dxa"/>
            <w:tcBorders>
              <w:top w:val="single" w:sz="4" w:space="0" w:color="auto"/>
              <w:left w:val="nil"/>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1985" w:type="dxa"/>
            <w:tcBorders>
              <w:top w:val="single" w:sz="4" w:space="0" w:color="auto"/>
              <w:left w:val="nil"/>
              <w:bottom w:val="nil"/>
              <w:right w:val="single" w:sz="4" w:space="0" w:color="auto"/>
            </w:tcBorders>
            <w:shd w:val="clear" w:color="auto" w:fill="FFF2CC"/>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92"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rPr>
                <w:rFonts w:eastAsia="Times New Roman"/>
                <w:sz w:val="18"/>
                <w:szCs w:val="18"/>
              </w:rPr>
            </w:pPr>
            <w:r w:rsidRPr="00C372ED">
              <w:rPr>
                <w:rFonts w:eastAsia="Times New Roman"/>
                <w:sz w:val="18"/>
                <w:szCs w:val="18"/>
              </w:rPr>
              <w:t> </w:t>
            </w:r>
          </w:p>
        </w:tc>
        <w:tc>
          <w:tcPr>
            <w:tcW w:w="956"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c>
          <w:tcPr>
            <w:tcW w:w="957" w:type="dxa"/>
            <w:gridSpan w:val="2"/>
            <w:tcBorders>
              <w:top w:val="nil"/>
              <w:left w:val="nil"/>
              <w:bottom w:val="single" w:sz="4" w:space="0" w:color="auto"/>
              <w:right w:val="single" w:sz="4" w:space="0" w:color="auto"/>
            </w:tcBorders>
            <w:shd w:val="clear" w:color="auto" w:fill="FFF2CC"/>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 </w:t>
            </w:r>
          </w:p>
        </w:tc>
      </w:tr>
      <w:tr w:rsidR="00B13B39" w:rsidRPr="00254F62" w:rsidTr="003A3F19">
        <w:trPr>
          <w:trHeight w:val="312"/>
        </w:trPr>
        <w:tc>
          <w:tcPr>
            <w:tcW w:w="10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Default="00B13B39" w:rsidP="003A3F19">
            <w:pPr>
              <w:jc w:val="center"/>
              <w:rPr>
                <w:rFonts w:eastAsia="Times New Roman"/>
                <w:sz w:val="18"/>
                <w:szCs w:val="18"/>
              </w:rPr>
            </w:pPr>
            <w:r>
              <w:rPr>
                <w:rFonts w:eastAsia="Times New Roman"/>
                <w:sz w:val="18"/>
                <w:szCs w:val="18"/>
              </w:rPr>
              <w:t>18</w:t>
            </w:r>
            <w:r w:rsidRPr="00C372ED">
              <w:rPr>
                <w:rFonts w:eastAsia="Times New Roman"/>
                <w:sz w:val="18"/>
                <w:szCs w:val="18"/>
              </w:rPr>
              <w:t>,000 Btu/hr. split unit</w:t>
            </w:r>
          </w:p>
          <w:p w:rsidR="00B13B39" w:rsidRPr="00C372ED" w:rsidRDefault="00BF3E15" w:rsidP="00BF3E15">
            <w:pPr>
              <w:jc w:val="center"/>
              <w:rPr>
                <w:rFonts w:eastAsia="Times New Roman"/>
                <w:sz w:val="18"/>
                <w:szCs w:val="18"/>
              </w:rPr>
            </w:pPr>
            <w:r>
              <w:rPr>
                <w:rFonts w:eastAsia="Times New Roman"/>
                <w:sz w:val="18"/>
                <w:szCs w:val="18"/>
              </w:rPr>
              <w:t>(</w:t>
            </w:r>
            <w:r w:rsidR="00B13B39">
              <w:rPr>
                <w:rFonts w:eastAsia="Times New Roman"/>
                <w:sz w:val="18"/>
                <w:szCs w:val="18"/>
              </w:rPr>
              <w:t>Carrier</w:t>
            </w:r>
            <w:r>
              <w:rPr>
                <w:rFonts w:eastAsia="Times New Roman"/>
                <w:sz w:val="18"/>
                <w:szCs w:val="18"/>
              </w:rPr>
              <w:t>)</w:t>
            </w:r>
          </w:p>
        </w:tc>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13B39" w:rsidP="003A3F19">
            <w:pPr>
              <w:jc w:val="center"/>
              <w:rPr>
                <w:rFonts w:eastAsia="Times New Roman"/>
                <w:sz w:val="18"/>
                <w:szCs w:val="18"/>
              </w:rPr>
            </w:pPr>
            <w:r w:rsidRPr="00C372ED">
              <w:rPr>
                <w:rFonts w:eastAsia="Times New Roman"/>
                <w:sz w:val="18"/>
                <w:szCs w:val="18"/>
              </w:rPr>
              <w:t>ORNL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C73" w:rsidRDefault="00B44C73" w:rsidP="00B44C73">
            <w:pPr>
              <w:jc w:val="center"/>
              <w:rPr>
                <w:rFonts w:eastAsia="Times New Roman"/>
                <w:sz w:val="18"/>
                <w:szCs w:val="18"/>
              </w:rPr>
            </w:pPr>
            <w:r w:rsidRPr="00C372ED">
              <w:rPr>
                <w:rFonts w:eastAsia="Times New Roman"/>
                <w:sz w:val="18"/>
                <w:szCs w:val="18"/>
              </w:rPr>
              <w:t>R-410A</w:t>
            </w:r>
            <w:r w:rsidRPr="00C372ED">
              <w:rPr>
                <w:rFonts w:eastAsia="Times New Roman"/>
                <w:sz w:val="18"/>
                <w:szCs w:val="18"/>
              </w:rPr>
              <w:br/>
              <w:t xml:space="preserve">COP = 3.4 at </w:t>
            </w:r>
            <w:r>
              <w:rPr>
                <w:rFonts w:eastAsia="Times New Roman"/>
                <w:sz w:val="18"/>
                <w:szCs w:val="18"/>
              </w:rPr>
              <w:t>3</w:t>
            </w:r>
            <w:r w:rsidRPr="00C372ED">
              <w:rPr>
                <w:rFonts w:eastAsia="Times New Roman"/>
                <w:sz w:val="18"/>
                <w:szCs w:val="18"/>
              </w:rPr>
              <w:t>5</w:t>
            </w:r>
            <w:r>
              <w:rPr>
                <w:rFonts w:eastAsia="Times New Roman"/>
                <w:sz w:val="18"/>
                <w:szCs w:val="18"/>
              </w:rPr>
              <w:t>°</w:t>
            </w:r>
            <w:r w:rsidRPr="00C372ED">
              <w:rPr>
                <w:rFonts w:eastAsia="Times New Roman"/>
                <w:sz w:val="18"/>
                <w:szCs w:val="18"/>
              </w:rPr>
              <w:t>C and 2.07 at 52</w:t>
            </w:r>
            <w:r>
              <w:rPr>
                <w:rFonts w:eastAsia="Times New Roman"/>
                <w:sz w:val="18"/>
                <w:szCs w:val="18"/>
              </w:rPr>
              <w:t>°</w:t>
            </w:r>
            <w:r w:rsidRPr="00C372ED">
              <w:rPr>
                <w:rFonts w:eastAsia="Times New Roman"/>
                <w:sz w:val="18"/>
                <w:szCs w:val="18"/>
              </w:rPr>
              <w:t>C</w:t>
            </w:r>
          </w:p>
          <w:p w:rsidR="00B13B39" w:rsidRDefault="00B13B39" w:rsidP="003A3F19">
            <w:pPr>
              <w:jc w:val="center"/>
              <w:rPr>
                <w:rFonts w:eastAsia="Times New Roman"/>
                <w:sz w:val="18"/>
                <w:szCs w:val="18"/>
              </w:rPr>
            </w:pPr>
          </w:p>
          <w:p w:rsidR="00B13B39" w:rsidRPr="00C372ED" w:rsidRDefault="00B13B39" w:rsidP="003A3F19">
            <w:pPr>
              <w:jc w:val="center"/>
              <w:rPr>
                <w:rFonts w:eastAsia="Times New Roman"/>
                <w:sz w:val="18"/>
                <w:szCs w:val="18"/>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372ED" w:rsidRDefault="00B13B39" w:rsidP="003A3F19">
            <w:pPr>
              <w:rPr>
                <w:rFonts w:eastAsia="Times New Roman"/>
                <w:sz w:val="18"/>
                <w:szCs w:val="18"/>
              </w:rPr>
            </w:pPr>
            <w:r w:rsidRPr="00C372ED">
              <w:rPr>
                <w:rFonts w:eastAsia="Times New Roman"/>
                <w:sz w:val="18"/>
                <w:szCs w:val="18"/>
              </w:rPr>
              <w:t>Same machine to test all refrigerants</w:t>
            </w:r>
            <w:r w:rsidR="00FE51D6">
              <w:rPr>
                <w:rFonts w:eastAsia="Times New Roman"/>
                <w:sz w:val="18"/>
                <w:szCs w:val="18"/>
              </w:rPr>
              <w:t xml:space="preserve">. </w:t>
            </w:r>
            <w:r w:rsidRPr="00C372ED">
              <w:rPr>
                <w:rFonts w:eastAsia="Times New Roman"/>
                <w:sz w:val="18"/>
                <w:szCs w:val="18"/>
              </w:rPr>
              <w:t>Criteria: matching superheat and sub cooling to base unit. Changing expansion devise. Charge level optimized at 35C</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HFC-32</w:t>
            </w:r>
          </w:p>
        </w:tc>
        <w:tc>
          <w:tcPr>
            <w:tcW w:w="956"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11%</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DR-55</w:t>
            </w:r>
          </w:p>
        </w:tc>
        <w:tc>
          <w:tcPr>
            <w:tcW w:w="956"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0%</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R-447A    (L-41)</w:t>
            </w:r>
          </w:p>
        </w:tc>
        <w:tc>
          <w:tcPr>
            <w:tcW w:w="956"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-14%</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3%</w:t>
            </w:r>
          </w:p>
        </w:tc>
        <w:tc>
          <w:tcPr>
            <w:tcW w:w="95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-6%</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ARM-71a</w:t>
            </w:r>
          </w:p>
        </w:tc>
        <w:tc>
          <w:tcPr>
            <w:tcW w:w="956"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-8%</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5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-4%</w:t>
            </w:r>
          </w:p>
        </w:tc>
      </w:tr>
      <w:tr w:rsidR="00B13B39" w:rsidRPr="00254F62" w:rsidTr="003A3F19">
        <w:trPr>
          <w:trHeight w:val="312"/>
        </w:trPr>
        <w:tc>
          <w:tcPr>
            <w:tcW w:w="1064" w:type="dxa"/>
            <w:gridSpan w:val="3"/>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813" w:type="dxa"/>
            <w:gridSpan w:val="2"/>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13B39" w:rsidRPr="00C372ED" w:rsidRDefault="00B13B39" w:rsidP="003A3F19">
            <w:pPr>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rPr>
                <w:rFonts w:eastAsia="Times New Roman"/>
                <w:sz w:val="18"/>
                <w:szCs w:val="18"/>
              </w:rPr>
            </w:pPr>
            <w:r w:rsidRPr="00C372ED">
              <w:rPr>
                <w:rFonts w:eastAsia="Times New Roman"/>
                <w:sz w:val="18"/>
                <w:szCs w:val="18"/>
              </w:rPr>
              <w:t>HPR-2A</w:t>
            </w:r>
          </w:p>
        </w:tc>
        <w:tc>
          <w:tcPr>
            <w:tcW w:w="956"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-2%</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-9%</w:t>
            </w:r>
          </w:p>
        </w:tc>
        <w:tc>
          <w:tcPr>
            <w:tcW w:w="957" w:type="dxa"/>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5%</w:t>
            </w:r>
          </w:p>
        </w:tc>
        <w:tc>
          <w:tcPr>
            <w:tcW w:w="957" w:type="dxa"/>
            <w:gridSpan w:val="2"/>
            <w:tcBorders>
              <w:top w:val="nil"/>
              <w:left w:val="nil"/>
              <w:bottom w:val="single" w:sz="4" w:space="0" w:color="auto"/>
              <w:right w:val="single" w:sz="4" w:space="0" w:color="auto"/>
            </w:tcBorders>
            <w:shd w:val="clear" w:color="auto" w:fill="auto"/>
            <w:noWrap/>
            <w:vAlign w:val="bottom"/>
            <w:hideMark/>
          </w:tcPr>
          <w:p w:rsidR="00B13B39" w:rsidRPr="00C372ED" w:rsidRDefault="00B13B39" w:rsidP="003A3F19">
            <w:pPr>
              <w:jc w:val="center"/>
              <w:rPr>
                <w:rFonts w:eastAsia="Times New Roman"/>
                <w:sz w:val="18"/>
                <w:szCs w:val="18"/>
              </w:rPr>
            </w:pPr>
            <w:r w:rsidRPr="00C372ED">
              <w:rPr>
                <w:rFonts w:eastAsia="Times New Roman"/>
                <w:sz w:val="18"/>
                <w:szCs w:val="18"/>
              </w:rPr>
              <w:t>-1%</w:t>
            </w:r>
          </w:p>
        </w:tc>
      </w:tr>
      <w:tr w:rsidR="00B13B39" w:rsidRPr="00C372ED" w:rsidTr="003A3F19">
        <w:trPr>
          <w:gridBefore w:val="1"/>
          <w:wBefore w:w="635" w:type="dxa"/>
          <w:trHeight w:val="312"/>
        </w:trPr>
        <w:tc>
          <w:tcPr>
            <w:tcW w:w="1024" w:type="dxa"/>
            <w:gridSpan w:val="3"/>
            <w:tcBorders>
              <w:top w:val="nil"/>
              <w:left w:val="nil"/>
              <w:bottom w:val="nil"/>
              <w:right w:val="nil"/>
            </w:tcBorders>
            <w:shd w:val="clear" w:color="auto" w:fill="auto"/>
            <w:noWrap/>
            <w:vAlign w:val="bottom"/>
            <w:hideMark/>
          </w:tcPr>
          <w:p w:rsidR="00B13B39" w:rsidRPr="00C372ED" w:rsidRDefault="00B13B39" w:rsidP="003A3F19">
            <w:pPr>
              <w:rPr>
                <w:rFonts w:eastAsia="Times New Roman"/>
                <w:i/>
                <w:iCs/>
                <w:color w:val="auto"/>
                <w:sz w:val="24"/>
              </w:rPr>
            </w:pPr>
          </w:p>
        </w:tc>
        <w:tc>
          <w:tcPr>
            <w:tcW w:w="8156" w:type="dxa"/>
            <w:gridSpan w:val="9"/>
            <w:tcBorders>
              <w:top w:val="nil"/>
              <w:left w:val="nil"/>
              <w:bottom w:val="nil"/>
              <w:right w:val="nil"/>
            </w:tcBorders>
            <w:shd w:val="clear" w:color="auto" w:fill="auto"/>
            <w:noWrap/>
            <w:vAlign w:val="bottom"/>
            <w:hideMark/>
          </w:tcPr>
          <w:p w:rsidR="00B13B39" w:rsidRPr="00DF1E74" w:rsidRDefault="00B13B39" w:rsidP="00DF1E74">
            <w:pPr>
              <w:rPr>
                <w:rFonts w:eastAsia="Times New Roman"/>
                <w:iCs/>
                <w:color w:val="auto"/>
                <w:sz w:val="24"/>
              </w:rPr>
            </w:pPr>
            <w:r w:rsidRPr="00DF1E74">
              <w:rPr>
                <w:rFonts w:eastAsia="Times New Roman"/>
                <w:iCs/>
                <w:color w:val="auto"/>
              </w:rPr>
              <w:t xml:space="preserve">Notes </w:t>
            </w:r>
            <w:r w:rsidR="00162299">
              <w:rPr>
                <w:rFonts w:eastAsia="Times New Roman"/>
                <w:iCs/>
                <w:color w:val="auto"/>
              </w:rPr>
              <w:t xml:space="preserve">on the </w:t>
            </w:r>
            <w:r w:rsidRPr="00DF1E74">
              <w:rPr>
                <w:rFonts w:eastAsia="Times New Roman"/>
                <w:iCs/>
                <w:color w:val="auto"/>
              </w:rPr>
              <w:t>terms in the table</w:t>
            </w:r>
          </w:p>
        </w:tc>
      </w:tr>
      <w:tr w:rsidR="00B13B39" w:rsidRPr="007E2A54"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vAlign w:val="bottom"/>
            <w:hideMark/>
          </w:tcPr>
          <w:p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1</w:t>
            </w:r>
          </w:p>
        </w:tc>
        <w:tc>
          <w:tcPr>
            <w:tcW w:w="8455" w:type="dxa"/>
            <w:gridSpan w:val="10"/>
            <w:tcBorders>
              <w:top w:val="nil"/>
              <w:left w:val="nil"/>
              <w:bottom w:val="nil"/>
              <w:right w:val="nil"/>
            </w:tcBorders>
            <w:shd w:val="clear" w:color="auto" w:fill="auto"/>
            <w:noWrap/>
            <w:vAlign w:val="bottom"/>
            <w:hideMark/>
          </w:tcPr>
          <w:p w:rsidR="00B13B39" w:rsidRPr="00DF1E74" w:rsidRDefault="00B13B39" w:rsidP="00DF1E74">
            <w:pPr>
              <w:rPr>
                <w:i/>
                <w:sz w:val="18"/>
                <w:szCs w:val="18"/>
              </w:rPr>
            </w:pPr>
            <w:r w:rsidRPr="00DF1E74">
              <w:rPr>
                <w:i/>
                <w:sz w:val="18"/>
                <w:szCs w:val="18"/>
              </w:rPr>
              <w:t xml:space="preserve">Efficiency </w:t>
            </w:r>
            <w:r w:rsidR="007A3DD2">
              <w:rPr>
                <w:i/>
                <w:sz w:val="18"/>
                <w:szCs w:val="18"/>
              </w:rPr>
              <w:t xml:space="preserve">(COP) </w:t>
            </w:r>
            <w:r w:rsidRPr="00DF1E74">
              <w:rPr>
                <w:i/>
                <w:sz w:val="18"/>
                <w:szCs w:val="18"/>
              </w:rPr>
              <w:t>is measured in Watts of cooling per Watt of input;</w:t>
            </w:r>
          </w:p>
        </w:tc>
      </w:tr>
      <w:tr w:rsidR="00B13B39" w:rsidRPr="007E2A54"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vAlign w:val="bottom"/>
            <w:hideMark/>
          </w:tcPr>
          <w:p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2</w:t>
            </w:r>
          </w:p>
        </w:tc>
        <w:tc>
          <w:tcPr>
            <w:tcW w:w="8455" w:type="dxa"/>
            <w:gridSpan w:val="10"/>
            <w:tcBorders>
              <w:top w:val="nil"/>
              <w:left w:val="nil"/>
              <w:bottom w:val="nil"/>
              <w:right w:val="nil"/>
            </w:tcBorders>
            <w:shd w:val="clear" w:color="auto" w:fill="auto"/>
            <w:noWrap/>
            <w:vAlign w:val="bottom"/>
            <w:hideMark/>
          </w:tcPr>
          <w:p w:rsidR="00B13B39" w:rsidRPr="00DF1E74" w:rsidRDefault="00B13B39" w:rsidP="004D30FC">
            <w:pPr>
              <w:rPr>
                <w:i/>
                <w:sz w:val="18"/>
                <w:szCs w:val="18"/>
              </w:rPr>
            </w:pPr>
            <w:r w:rsidRPr="00DF1E74">
              <w:rPr>
                <w:i/>
                <w:sz w:val="18"/>
                <w:szCs w:val="18"/>
              </w:rPr>
              <w:t>ORNL did measurements at 27.8, 35, 52 and 55°C ambient temperatures;</w:t>
            </w:r>
          </w:p>
        </w:tc>
      </w:tr>
      <w:tr w:rsidR="00B13B39" w:rsidRPr="007E2A54"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hideMark/>
          </w:tcPr>
          <w:p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3</w:t>
            </w:r>
          </w:p>
        </w:tc>
        <w:tc>
          <w:tcPr>
            <w:tcW w:w="8455" w:type="dxa"/>
            <w:gridSpan w:val="10"/>
            <w:tcBorders>
              <w:top w:val="nil"/>
              <w:left w:val="nil"/>
              <w:bottom w:val="nil"/>
              <w:right w:val="nil"/>
            </w:tcBorders>
            <w:shd w:val="clear" w:color="auto" w:fill="auto"/>
            <w:noWrap/>
            <w:vAlign w:val="bottom"/>
            <w:hideMark/>
          </w:tcPr>
          <w:p w:rsidR="00B13B39" w:rsidRPr="00DF1E74" w:rsidRDefault="00B13B39" w:rsidP="003A3F19">
            <w:pPr>
              <w:spacing w:line="220" w:lineRule="exact"/>
              <w:jc w:val="both"/>
              <w:rPr>
                <w:rFonts w:eastAsia="Times New Roman"/>
                <w:i/>
                <w:iCs/>
                <w:color w:val="auto"/>
                <w:sz w:val="18"/>
                <w:szCs w:val="18"/>
              </w:rPr>
            </w:pPr>
            <w:r w:rsidRPr="00DF1E74">
              <w:rPr>
                <w:rFonts w:eastAsia="Times New Roman"/>
                <w:i/>
                <w:iCs/>
                <w:color w:val="auto"/>
                <w:sz w:val="18"/>
                <w:szCs w:val="18"/>
              </w:rPr>
              <w:t>For a full description of refrigerant alternatives and their GWP values, please refer to the relevant chapter on refrigerants in this report;</w:t>
            </w:r>
          </w:p>
        </w:tc>
      </w:tr>
      <w:tr w:rsidR="00B13B39" w:rsidRPr="007E2A54" w:rsidTr="003A3F19">
        <w:trPr>
          <w:gridBefore w:val="1"/>
          <w:gridAfter w:val="1"/>
          <w:wBefore w:w="635" w:type="dxa"/>
          <w:wAfter w:w="365" w:type="dxa"/>
          <w:trHeight w:val="312"/>
        </w:trPr>
        <w:tc>
          <w:tcPr>
            <w:tcW w:w="360" w:type="dxa"/>
            <w:tcBorders>
              <w:top w:val="nil"/>
              <w:left w:val="nil"/>
              <w:bottom w:val="nil"/>
              <w:right w:val="nil"/>
            </w:tcBorders>
            <w:shd w:val="clear" w:color="auto" w:fill="auto"/>
            <w:noWrap/>
            <w:hideMark/>
          </w:tcPr>
          <w:p w:rsidR="00B13B39" w:rsidRPr="007E2A54" w:rsidRDefault="00B13B39" w:rsidP="003A3F19">
            <w:pPr>
              <w:spacing w:line="220" w:lineRule="exact"/>
              <w:jc w:val="center"/>
              <w:rPr>
                <w:rFonts w:eastAsia="Times New Roman"/>
                <w:i/>
                <w:iCs/>
                <w:color w:val="auto"/>
                <w:sz w:val="18"/>
                <w:szCs w:val="18"/>
              </w:rPr>
            </w:pPr>
            <w:r w:rsidRPr="007E2A54">
              <w:rPr>
                <w:rFonts w:eastAsia="Times New Roman"/>
                <w:i/>
                <w:iCs/>
                <w:color w:val="auto"/>
                <w:sz w:val="18"/>
                <w:szCs w:val="18"/>
              </w:rPr>
              <w:t>4</w:t>
            </w:r>
          </w:p>
        </w:tc>
        <w:tc>
          <w:tcPr>
            <w:tcW w:w="8455" w:type="dxa"/>
            <w:gridSpan w:val="10"/>
            <w:tcBorders>
              <w:top w:val="nil"/>
              <w:left w:val="nil"/>
              <w:bottom w:val="nil"/>
              <w:right w:val="nil"/>
            </w:tcBorders>
            <w:shd w:val="clear" w:color="auto" w:fill="auto"/>
            <w:noWrap/>
            <w:vAlign w:val="bottom"/>
            <w:hideMark/>
          </w:tcPr>
          <w:p w:rsidR="00B13B39" w:rsidRPr="007E2A54" w:rsidRDefault="00B44C73" w:rsidP="004D30FC">
            <w:pPr>
              <w:spacing w:line="220" w:lineRule="exact"/>
              <w:rPr>
                <w:rFonts w:eastAsia="Times New Roman"/>
                <w:i/>
                <w:iCs/>
                <w:color w:val="auto"/>
                <w:sz w:val="18"/>
                <w:szCs w:val="18"/>
              </w:rPr>
            </w:pPr>
            <w:r w:rsidRPr="007E2A54">
              <w:rPr>
                <w:rFonts w:eastAsia="Times New Roman"/>
                <w:i/>
                <w:iCs/>
                <w:color w:val="auto"/>
                <w:sz w:val="18"/>
                <w:szCs w:val="18"/>
              </w:rPr>
              <w:t>Test conditions are as follows: For 35°C ambient, indoor 26.7/19.4°C (AHRI-A)</w:t>
            </w:r>
            <w:r>
              <w:rPr>
                <w:rFonts w:eastAsia="Times New Roman"/>
                <w:i/>
                <w:iCs/>
                <w:color w:val="auto"/>
                <w:sz w:val="18"/>
                <w:szCs w:val="18"/>
              </w:rPr>
              <w:t>.</w:t>
            </w:r>
            <w:r w:rsidRPr="007E2A54">
              <w:rPr>
                <w:rFonts w:eastAsia="Times New Roman"/>
                <w:i/>
                <w:iCs/>
                <w:color w:val="auto"/>
                <w:sz w:val="18"/>
                <w:szCs w:val="18"/>
              </w:rPr>
              <w:t xml:space="preserve"> For 5</w:t>
            </w:r>
            <w:r>
              <w:rPr>
                <w:rFonts w:eastAsia="Times New Roman"/>
                <w:i/>
                <w:iCs/>
                <w:color w:val="auto"/>
                <w:sz w:val="18"/>
                <w:szCs w:val="18"/>
              </w:rPr>
              <w:t>2</w:t>
            </w:r>
            <w:r w:rsidRPr="007E2A54">
              <w:rPr>
                <w:rFonts w:eastAsia="Times New Roman"/>
                <w:i/>
                <w:iCs/>
                <w:color w:val="auto"/>
                <w:sz w:val="18"/>
                <w:szCs w:val="18"/>
              </w:rPr>
              <w:t>°C ambient, indoor = 29/1</w:t>
            </w:r>
            <w:r>
              <w:rPr>
                <w:rFonts w:eastAsia="Times New Roman"/>
                <w:i/>
                <w:iCs/>
                <w:color w:val="auto"/>
                <w:sz w:val="18"/>
                <w:szCs w:val="18"/>
              </w:rPr>
              <w:t>9</w:t>
            </w:r>
            <w:r w:rsidRPr="007E2A54">
              <w:rPr>
                <w:rFonts w:eastAsia="Times New Roman"/>
                <w:i/>
                <w:iCs/>
                <w:color w:val="auto"/>
                <w:sz w:val="18"/>
                <w:szCs w:val="18"/>
              </w:rPr>
              <w:t>°C.</w:t>
            </w:r>
          </w:p>
        </w:tc>
      </w:tr>
    </w:tbl>
    <w:p w:rsidR="00B13B39" w:rsidRDefault="00B13B39" w:rsidP="00B13B39">
      <w:pPr>
        <w:ind w:left="-720" w:right="-720"/>
      </w:pPr>
    </w:p>
    <w:p w:rsidR="00B13B39" w:rsidRDefault="00B13B39" w:rsidP="00B13B39">
      <w:r w:rsidRPr="005C5E45">
        <w:t>The ORNL/TM-1015/536 report has the following conclusion appearing as part of its Executive Summary (reproduced here without changes):</w:t>
      </w:r>
    </w:p>
    <w:p w:rsidR="00B13B39" w:rsidRPr="005C5E45" w:rsidRDefault="00B13B39" w:rsidP="00B13B39"/>
    <w:p w:rsidR="00B13B39" w:rsidRDefault="00B13B39" w:rsidP="00B13B39">
      <w:pPr>
        <w:rPr>
          <w:i/>
        </w:rPr>
      </w:pPr>
      <w:r>
        <w:rPr>
          <w:i/>
        </w:rPr>
        <w:t>“</w:t>
      </w:r>
      <w:r w:rsidRPr="005C5E45">
        <w:rPr>
          <w:i/>
        </w:rPr>
        <w:t>The test results from this evaluation program demonstrate that there are several viable alternatives to both R-22 and R-410A at high ambient temperatures. In some cases, there was a significant improvement in the performance of the alternatives over that of the baseline, in terms of both COP and cooling capacity. In other cases, the performance of the alternatives fell within 10% of the baseline, which suggests that parity with baseline performance would likely be possible through additional engineering design.</w:t>
      </w:r>
    </w:p>
    <w:p w:rsidR="00B13B39" w:rsidRPr="005C5E45" w:rsidRDefault="00B13B39" w:rsidP="00B13B39">
      <w:pPr>
        <w:rPr>
          <w:i/>
        </w:rPr>
      </w:pPr>
    </w:p>
    <w:p w:rsidR="00B13B39" w:rsidRDefault="00B13B39" w:rsidP="00B13B39">
      <w:pPr>
        <w:rPr>
          <w:i/>
        </w:rPr>
      </w:pPr>
      <w:r w:rsidRPr="005C5E45">
        <w:rPr>
          <w:i/>
        </w:rPr>
        <w:t>The R-22 alternative refrigerants showed promising results at high ambient temperatures: although both of the A1 alternative refrigerants lagged in performance, some of the A2L refrigerants showed capacity within 5% and efficiency within approximately 10% of the baseline system. The A3 refrigerant (R-290) exhibited higher efficiency consistently; however, it did not match the cooling capacity of the baseline system. The most promising A2L refrigerants exhibited slightly higher compressor discharge temperatures, while the A3 refrigerant exhibited lower compressor discharge temperatures.</w:t>
      </w:r>
    </w:p>
    <w:p w:rsidR="00B13B39" w:rsidRPr="005C5E45" w:rsidRDefault="00B13B39" w:rsidP="00B13B39">
      <w:pPr>
        <w:rPr>
          <w:i/>
        </w:rPr>
      </w:pPr>
    </w:p>
    <w:p w:rsidR="00B13B39" w:rsidRDefault="00B13B39" w:rsidP="00B13B39">
      <w:pPr>
        <w:rPr>
          <w:i/>
        </w:rPr>
      </w:pPr>
      <w:r w:rsidRPr="005C5E45">
        <w:rPr>
          <w:i/>
        </w:rPr>
        <w:t xml:space="preserve">The R-410A alternative refrigerants are all in the A2L safety category. Most of them showed significant potential as replacements. R-32 was the only refrigerant that showed consistently better capacity and efficiency; however, it resulted in compressor discharge temperatures </w:t>
      </w:r>
      <w:r w:rsidRPr="005C5E45">
        <w:rPr>
          <w:i/>
        </w:rPr>
        <w:lastRenderedPageBreak/>
        <w:t>that were 12–21°C higher than those observed for the baseline refrigerant. These higher temperatures may negatively impact compressor reliability. DR-55 and HPR-2A had higher COPs than the baseline and matched the capacity of the baseline at both the hot and extreme test conditions. R-447A and ARM-71a had lower cooling capacity than the baseline at all ambient conditions. The system efficiency of R-447A showed improvement over the baseline at high ambient temperatures; for ARM-71a, the efficiency was similar to the baseline at all test conditions.</w:t>
      </w:r>
    </w:p>
    <w:p w:rsidR="00B13B39" w:rsidRPr="005C5E45" w:rsidRDefault="00B13B39" w:rsidP="00B13B39">
      <w:pPr>
        <w:rPr>
          <w:i/>
        </w:rPr>
      </w:pPr>
    </w:p>
    <w:p w:rsidR="00B13B39" w:rsidRPr="005C5E45" w:rsidRDefault="00B13B39" w:rsidP="00B13B39">
      <w:pPr>
        <w:rPr>
          <w:i/>
        </w:rPr>
      </w:pPr>
      <w:r w:rsidRPr="005C5E45">
        <w:rPr>
          <w:i/>
        </w:rPr>
        <w:t>The efficiency and capacity of the alternative refrigerants could be expected to improve through design modifications that manufacturers would conduct before introducing a new product to market. However, given that the scope of this study covered only soft-optimized testing, no detailed assessment can be made of the extent of potential improvements through design changes. Within the bounds of what is possible in optimizing the units for soft-optimized tests, the ORNL test plan included only minor optimizations, including refrigerant charge, capillary tube length, and lubricant change. Therefore, these are conservative results that probably could be improved through further optimization. Additional optimization, including heat transfer circuiting and proper compressor sizing and selection, would likely yield better performance results for all of the alternative refrigerants.</w:t>
      </w:r>
    </w:p>
    <w:p w:rsidR="00B13B39" w:rsidRDefault="00B13B39" w:rsidP="00B13B39">
      <w:pPr>
        <w:rPr>
          <w:i/>
        </w:rPr>
      </w:pPr>
      <w:r w:rsidRPr="005C5E45">
        <w:rPr>
          <w:i/>
        </w:rPr>
        <w:t>Losses in cooling capacity are typically easier to recover through engineering optimization than are losses in COP. The primary practical limit to improvements in capacity is the physical size of the unit; but that is not expected to be a significant concern in this case, based on the magnitude of the capacity losses exhibited in this evaluation program. Thus, the COP losses and the increases in compressor discharge temperature are particularly important results of this testing program, in that these variables will be the primary focus of future optimization efforts.</w:t>
      </w:r>
    </w:p>
    <w:p w:rsidR="00B13B39" w:rsidRPr="005C5E45" w:rsidRDefault="00B13B39" w:rsidP="00B13B39">
      <w:pPr>
        <w:rPr>
          <w:i/>
        </w:rPr>
      </w:pPr>
    </w:p>
    <w:p w:rsidR="00B13B39" w:rsidRDefault="00B13B39" w:rsidP="00B13B39">
      <w:pPr>
        <w:rPr>
          <w:i/>
        </w:rPr>
      </w:pPr>
      <w:r w:rsidRPr="005C5E45">
        <w:rPr>
          <w:i/>
        </w:rPr>
        <w:t>This performance evaluation shows that viable replacements exist for both R-22 and R-410A at high ambient temperatures. Multiple alternatives for R-22 performed well. Many R-410A alternatives matched or exceeded the performance of R-410A. These low-GWP alternative refrigerants may be considered as prime candidate refrigerants for high ambient temperature applications. Before commercialization, engineering optimization carried out by manufacturers can address performance loss, the increase in compressor discharge temperature that many alternatives exhibited (particularly the R-410A alternatives), and any safety concerns associated with flammable alternatives.</w:t>
      </w:r>
      <w:r>
        <w:rPr>
          <w:i/>
        </w:rPr>
        <w:t>”</w:t>
      </w:r>
      <w:r w:rsidRPr="005C5E45">
        <w:rPr>
          <w:i/>
        </w:rPr>
        <w:t xml:space="preserve"> (Abdelaziz, 2015)</w:t>
      </w:r>
    </w:p>
    <w:p w:rsidR="00B13B39" w:rsidRPr="005C5E45" w:rsidRDefault="00B13B39" w:rsidP="00B13B39">
      <w:pPr>
        <w:rPr>
          <w:i/>
        </w:rPr>
      </w:pPr>
    </w:p>
    <w:p w:rsidR="00B13B39" w:rsidRDefault="00B13B39" w:rsidP="00B13B39">
      <w:r w:rsidRPr="005C5E45">
        <w:rPr>
          <w:b/>
          <w:i/>
        </w:rPr>
        <w:t>Phase II:</w:t>
      </w:r>
      <w:r w:rsidRPr="005C5E45">
        <w:t xml:space="preserve"> ORNL started the second phase of the program testing “Low GWP Refrigerants in High Ambient Temperature Countries” in February 2016, covering roof-top air conditioners in this phase. Results will be published in the second half of 2016.</w:t>
      </w:r>
    </w:p>
    <w:p w:rsidR="00B13B39" w:rsidRPr="005C5E45" w:rsidRDefault="00B13B39" w:rsidP="00B13B39"/>
    <w:p w:rsidR="00B13B39" w:rsidRDefault="00B13B39" w:rsidP="00B13B39">
      <w:pPr>
        <w:pStyle w:val="Heading3"/>
      </w:pPr>
      <w:bookmarkStart w:id="95" w:name="_Toc452653386"/>
      <w:r>
        <w:t>5.2.3</w:t>
      </w:r>
      <w:r>
        <w:tab/>
        <w:t>AREP Project</w:t>
      </w:r>
      <w:bookmarkEnd w:id="95"/>
    </w:p>
    <w:p w:rsidR="00B13B39" w:rsidRDefault="00B13B39" w:rsidP="00B13B39">
      <w:r w:rsidRPr="003F7AD9">
        <w:t xml:space="preserve"> “Low GWP Alternative Refrigerants Evaluation Program” (AREP) Phase-II. The project was launched by the Air-Conditioning, Heating, and Refrigeration Institute (AHRI) is a cooperative research program to identify suitable alternatives to high GWP refrigerants without prioritizing them. In the first phase of the project, 21 international companies evaluated 38 refrigerant candidates for replacing HCFC-22 and three HFCs, R-410A, HFC-134a, and R-404A (Amrane, 2013), in applications varying from air conditioners and heat pumps (both package, split and variable refrigerant flow), chillers (screw and centrifugal), refrigeration (commercial and ice machines), refrigerated transport, and bus air-conditioning. Phase II tested 17 refrigerants plus doing more tests at high ambient temperature conditions.</w:t>
      </w:r>
    </w:p>
    <w:p w:rsidR="00B13B39" w:rsidRDefault="00B13B39" w:rsidP="00B13B39"/>
    <w:p w:rsidR="00B13B39" w:rsidRPr="00951391" w:rsidRDefault="00B13B39" w:rsidP="00894C72">
      <w:pPr>
        <w:keepNext/>
        <w:keepLines/>
        <w:rPr>
          <w:b/>
          <w:bCs/>
          <w:i/>
          <w:iCs/>
          <w:spacing w:val="-2"/>
        </w:rPr>
      </w:pPr>
      <w:r w:rsidRPr="00951391">
        <w:rPr>
          <w:b/>
          <w:bCs/>
          <w:i/>
          <w:iCs/>
        </w:rPr>
        <w:lastRenderedPageBreak/>
        <w:t>Table</w:t>
      </w:r>
      <w:r>
        <w:rPr>
          <w:b/>
          <w:bCs/>
          <w:i/>
          <w:iCs/>
          <w:spacing w:val="1"/>
        </w:rPr>
        <w:t xml:space="preserve"> 5-6</w:t>
      </w:r>
      <w:r w:rsidRPr="00951391">
        <w:rPr>
          <w:b/>
          <w:bCs/>
          <w:i/>
          <w:iCs/>
          <w:spacing w:val="-2"/>
        </w:rPr>
        <w:t xml:space="preserve">: AREP Phase II low-GWP High Ambient </w:t>
      </w:r>
      <w:r>
        <w:rPr>
          <w:b/>
          <w:bCs/>
          <w:i/>
          <w:iCs/>
          <w:spacing w:val="-2"/>
        </w:rPr>
        <w:t>t</w:t>
      </w:r>
      <w:r w:rsidRPr="00951391">
        <w:rPr>
          <w:b/>
          <w:bCs/>
          <w:i/>
          <w:iCs/>
          <w:spacing w:val="-2"/>
        </w:rPr>
        <w:t xml:space="preserve">esting </w:t>
      </w:r>
    </w:p>
    <w:tbl>
      <w:tblPr>
        <w:tblW w:w="8784" w:type="dxa"/>
        <w:tblInd w:w="113" w:type="dxa"/>
        <w:tblLayout w:type="fixed"/>
        <w:tblLook w:val="04A0" w:firstRow="1" w:lastRow="0" w:firstColumn="1" w:lastColumn="0" w:noHBand="0" w:noVBand="1"/>
      </w:tblPr>
      <w:tblGrid>
        <w:gridCol w:w="960"/>
        <w:gridCol w:w="960"/>
        <w:gridCol w:w="1052"/>
        <w:gridCol w:w="992"/>
        <w:gridCol w:w="688"/>
        <w:gridCol w:w="689"/>
        <w:gridCol w:w="688"/>
        <w:gridCol w:w="689"/>
        <w:gridCol w:w="688"/>
        <w:gridCol w:w="689"/>
        <w:gridCol w:w="689"/>
      </w:tblGrid>
      <w:tr w:rsidR="00B13B39" w:rsidRPr="00CA2D72" w:rsidTr="003A3F19">
        <w:trPr>
          <w:trHeight w:val="300"/>
        </w:trPr>
        <w:tc>
          <w:tcPr>
            <w:tcW w:w="8784"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B13B39" w:rsidRPr="00CA2D72" w:rsidRDefault="00B13B39" w:rsidP="00894C72">
            <w:pPr>
              <w:keepNext/>
              <w:keepLines/>
              <w:rPr>
                <w:rFonts w:eastAsia="Times New Roman"/>
                <w:b/>
                <w:bCs/>
                <w:sz w:val="20"/>
                <w:szCs w:val="20"/>
              </w:rPr>
            </w:pPr>
            <w:r w:rsidRPr="00CA2D72">
              <w:rPr>
                <w:rFonts w:eastAsia="Times New Roman"/>
                <w:b/>
                <w:bCs/>
                <w:sz w:val="20"/>
                <w:szCs w:val="20"/>
              </w:rPr>
              <w:t>AREP Phase II Low-GWP High Ambient Test Matrix</w:t>
            </w:r>
          </w:p>
        </w:tc>
      </w:tr>
      <w:tr w:rsidR="00B13B39" w:rsidRPr="00CA2D72" w:rsidTr="003A3F19">
        <w:trPr>
          <w:trHeight w:val="612"/>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Product</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Test companies</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High Ambient Conditions</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Baseline Refrigerant</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ARM-71a</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DR-5A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DR-55</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HPR2A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L-41-1</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L-41-2</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b/>
                <w:bCs/>
                <w:sz w:val="16"/>
                <w:szCs w:val="16"/>
              </w:rPr>
            </w:pPr>
            <w:r w:rsidRPr="00CA2D72">
              <w:rPr>
                <w:rFonts w:eastAsia="Times New Roman"/>
                <w:b/>
                <w:bCs/>
                <w:sz w:val="16"/>
                <w:szCs w:val="16"/>
              </w:rPr>
              <w:t>HFC-32</w:t>
            </w:r>
          </w:p>
        </w:tc>
      </w:tr>
      <w:tr w:rsidR="00B13B39" w:rsidRPr="00CA2D72" w:rsidTr="003A3F19">
        <w:trPr>
          <w:trHeight w:val="408"/>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34 MBH  chiller</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Armines</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115F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w:t>
            </w:r>
            <w:r w:rsidRPr="00CA2D72">
              <w:rPr>
                <w:rFonts w:eastAsia="Times New Roman"/>
                <w:sz w:val="18"/>
                <w:szCs w:val="18"/>
              </w:rPr>
              <w:t>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xml:space="preserve">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rsidTr="003A3F19">
        <w:trPr>
          <w:trHeight w:val="408"/>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14 SEER 3-ton HP</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Carrier</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r>
      <w:tr w:rsidR="00B13B39" w:rsidRPr="00CA2D72" w:rsidTr="003A3F19">
        <w:trPr>
          <w:trHeight w:val="480"/>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13 SEER 3-ton HP</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Danfoss</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115F and 125F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rsidTr="003A3F19">
        <w:trPr>
          <w:trHeight w:val="480"/>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14 SEER 3-ton split HP</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Goodman</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115F and 125F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rsidTr="003A3F19">
        <w:trPr>
          <w:trHeight w:val="408"/>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5-ton packaged</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Lennox</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115F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rsidTr="003A3F19">
        <w:trPr>
          <w:trHeight w:val="408"/>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 xml:space="preserve">4-ton packaged </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Trane</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r w:rsidR="00B13B39" w:rsidRPr="00CA2D72" w:rsidTr="003A3F19">
        <w:trPr>
          <w:trHeight w:val="408"/>
        </w:trPr>
        <w:tc>
          <w:tcPr>
            <w:tcW w:w="960" w:type="dxa"/>
            <w:tcBorders>
              <w:top w:val="nil"/>
              <w:left w:val="single" w:sz="4" w:space="0" w:color="auto"/>
              <w:bottom w:val="single" w:sz="4" w:space="0" w:color="auto"/>
              <w:right w:val="single" w:sz="4" w:space="0" w:color="auto"/>
            </w:tcBorders>
            <w:vAlign w:val="center"/>
            <w:hideMark/>
          </w:tcPr>
          <w:p w:rsidR="00B13B39" w:rsidRPr="00CA2D72" w:rsidRDefault="00B13B39" w:rsidP="003A3F19">
            <w:pPr>
              <w:rPr>
                <w:rFonts w:eastAsia="Times New Roman"/>
                <w:b/>
                <w:bCs/>
                <w:sz w:val="16"/>
                <w:szCs w:val="16"/>
              </w:rPr>
            </w:pPr>
            <w:r w:rsidRPr="00CA2D72">
              <w:rPr>
                <w:rFonts w:eastAsia="Times New Roman"/>
                <w:b/>
                <w:bCs/>
                <w:sz w:val="16"/>
                <w:szCs w:val="16"/>
              </w:rPr>
              <w:t xml:space="preserve">6-ton packaged </w:t>
            </w:r>
          </w:p>
        </w:tc>
        <w:tc>
          <w:tcPr>
            <w:tcW w:w="960"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Zamilac</w:t>
            </w:r>
          </w:p>
        </w:tc>
        <w:tc>
          <w:tcPr>
            <w:tcW w:w="105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sidRPr="00CA2D72">
              <w:rPr>
                <w:rFonts w:eastAsia="Times New Roman"/>
                <w:sz w:val="18"/>
                <w:szCs w:val="18"/>
              </w:rPr>
              <w:t>125F</w:t>
            </w:r>
          </w:p>
        </w:tc>
        <w:tc>
          <w:tcPr>
            <w:tcW w:w="992" w:type="dxa"/>
            <w:tcBorders>
              <w:top w:val="nil"/>
              <w:left w:val="nil"/>
              <w:bottom w:val="single" w:sz="4" w:space="0" w:color="auto"/>
              <w:right w:val="single" w:sz="4" w:space="0" w:color="auto"/>
            </w:tcBorders>
            <w:vAlign w:val="center"/>
            <w:hideMark/>
          </w:tcPr>
          <w:p w:rsidR="00B13B39" w:rsidRPr="00CA2D72" w:rsidRDefault="00B13B39" w:rsidP="003A3F19">
            <w:pPr>
              <w:rPr>
                <w:rFonts w:eastAsia="Times New Roman"/>
                <w:sz w:val="18"/>
                <w:szCs w:val="18"/>
              </w:rPr>
            </w:pPr>
            <w:r>
              <w:rPr>
                <w:rFonts w:eastAsia="Times New Roman"/>
                <w:sz w:val="18"/>
                <w:szCs w:val="18"/>
              </w:rPr>
              <w:t>R-410A</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8"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 </w:t>
            </w:r>
          </w:p>
        </w:tc>
        <w:tc>
          <w:tcPr>
            <w:tcW w:w="689" w:type="dxa"/>
            <w:tcBorders>
              <w:top w:val="nil"/>
              <w:left w:val="nil"/>
              <w:bottom w:val="single" w:sz="4" w:space="0" w:color="auto"/>
              <w:right w:val="single" w:sz="4" w:space="0" w:color="auto"/>
            </w:tcBorders>
            <w:vAlign w:val="center"/>
            <w:hideMark/>
          </w:tcPr>
          <w:p w:rsidR="00B13B39" w:rsidRPr="00CA2D72" w:rsidRDefault="00B13B39" w:rsidP="003A3F19">
            <w:pPr>
              <w:jc w:val="center"/>
              <w:rPr>
                <w:rFonts w:eastAsia="Times New Roman"/>
                <w:sz w:val="18"/>
                <w:szCs w:val="18"/>
              </w:rPr>
            </w:pPr>
            <w:r w:rsidRPr="00CA2D72">
              <w:rPr>
                <w:rFonts w:eastAsia="Times New Roman"/>
                <w:sz w:val="18"/>
                <w:szCs w:val="18"/>
              </w:rPr>
              <w:t>X</w:t>
            </w:r>
          </w:p>
        </w:tc>
      </w:tr>
    </w:tbl>
    <w:p w:rsidR="00B13B39" w:rsidRPr="00CA2D72" w:rsidRDefault="00B13B39" w:rsidP="00B13B39">
      <w:pPr>
        <w:rPr>
          <w:i/>
          <w:iCs/>
          <w:sz w:val="18"/>
          <w:szCs w:val="20"/>
        </w:rPr>
      </w:pPr>
      <w:r w:rsidRPr="00CA2D72">
        <w:rPr>
          <w:i/>
          <w:iCs/>
          <w:sz w:val="18"/>
          <w:szCs w:val="20"/>
        </w:rPr>
        <w:t xml:space="preserve">* L-41-2 at wet suction, no HAT </w:t>
      </w:r>
    </w:p>
    <w:p w:rsidR="00B13B39" w:rsidRPr="00CA2D72" w:rsidRDefault="00B13B39" w:rsidP="00B13B39">
      <w:pPr>
        <w:rPr>
          <w:i/>
          <w:iCs/>
          <w:sz w:val="18"/>
          <w:szCs w:val="20"/>
        </w:rPr>
      </w:pPr>
      <w:r w:rsidRPr="00CA2D72">
        <w:rPr>
          <w:i/>
          <w:iCs/>
          <w:sz w:val="18"/>
          <w:szCs w:val="20"/>
        </w:rPr>
        <w:t>**HFC-32 with same charge and with optimized charge</w:t>
      </w:r>
    </w:p>
    <w:p w:rsidR="00B13B39" w:rsidRPr="00CA2D72" w:rsidRDefault="00B13B39" w:rsidP="00B13B39">
      <w:pPr>
        <w:rPr>
          <w:i/>
          <w:iCs/>
          <w:sz w:val="18"/>
          <w:szCs w:val="20"/>
        </w:rPr>
      </w:pPr>
      <w:r w:rsidRPr="00CA2D72">
        <w:rPr>
          <w:i/>
          <w:iCs/>
          <w:sz w:val="18"/>
          <w:szCs w:val="20"/>
        </w:rPr>
        <w:t>*** HFC-32 with standard POE oil and with prototype POE oil</w:t>
      </w:r>
    </w:p>
    <w:p w:rsidR="00B13B39" w:rsidRPr="00951391" w:rsidRDefault="00B13B39" w:rsidP="00B13B39"/>
    <w:p w:rsidR="00B13B39" w:rsidRDefault="00B13B39" w:rsidP="00B13B39">
      <w:r w:rsidRPr="00951391">
        <w:t xml:space="preserve">For high ambient testing, seven entities tested three residential split units, four rooftops, one chiller, and several compressors. The results were compared to baseline of R-410A units. Refrigerant candidates are shown in table </w:t>
      </w:r>
      <w:r>
        <w:t>5-8</w:t>
      </w:r>
      <w:r w:rsidRPr="00951391">
        <w:t xml:space="preserve"> below (Schultz, 2016a). Refrigerants were tested at 115</w:t>
      </w:r>
      <w:r w:rsidR="000409F4">
        <w:t xml:space="preserve"> </w:t>
      </w:r>
      <w:r w:rsidRPr="00951391">
        <w:t>F (46.1°C) and 125</w:t>
      </w:r>
      <w:r w:rsidR="000409F4">
        <w:t xml:space="preserve"> </w:t>
      </w:r>
      <w:r w:rsidRPr="00951391">
        <w:t>F (52.6°C). The tests were either a drop-in or a soft optimization with a change in refrigerant charge and/or expansion device</w:t>
      </w:r>
      <w:r w:rsidR="00FE51D6">
        <w:t xml:space="preserve">. </w:t>
      </w:r>
    </w:p>
    <w:p w:rsidR="00B13B39" w:rsidRPr="00951391" w:rsidRDefault="00B13B39" w:rsidP="00B13B39"/>
    <w:p w:rsidR="00B13B39" w:rsidRDefault="00B13B39" w:rsidP="00B13B39">
      <w:r w:rsidRPr="00951391">
        <w:t>AREP-II was conducted by several entities with different test protocols which contributed to differences in results. The different tests varied from drop-in to soft-optimized tests adjusting the expansion device for similar superheat, or adjusting the charge for a similar sub-cooling. The results shown below are extracted from the test reports of AREP-II that a</w:t>
      </w:r>
      <w:r>
        <w:t>re available publically on-line.</w:t>
      </w:r>
    </w:p>
    <w:p w:rsidR="00B13B39" w:rsidRDefault="00B13B39" w:rsidP="00B13B39">
      <w:pPr>
        <w:jc w:val="both"/>
        <w:rPr>
          <w:b/>
          <w:bCs/>
          <w:i/>
          <w:iCs/>
        </w:rPr>
      </w:pPr>
    </w:p>
    <w:p w:rsidR="00B13B39" w:rsidRDefault="006718A1" w:rsidP="00B13B39">
      <w:pPr>
        <w:jc w:val="both"/>
        <w:rPr>
          <w:b/>
          <w:bCs/>
          <w:i/>
          <w:iCs/>
        </w:rPr>
      </w:pPr>
      <w:r>
        <w:rPr>
          <w:b/>
          <w:bCs/>
          <w:i/>
          <w:iCs/>
        </w:rPr>
        <w:br w:type="page"/>
      </w:r>
      <w:r w:rsidR="00B13B39" w:rsidRPr="008864FB">
        <w:rPr>
          <w:b/>
          <w:bCs/>
          <w:i/>
          <w:iCs/>
        </w:rPr>
        <w:lastRenderedPageBreak/>
        <w:t xml:space="preserve">Table </w:t>
      </w:r>
      <w:r w:rsidR="00B13B39">
        <w:rPr>
          <w:b/>
          <w:bCs/>
          <w:i/>
          <w:iCs/>
        </w:rPr>
        <w:t>5</w:t>
      </w:r>
      <w:r w:rsidR="00B13B39" w:rsidRPr="008864FB">
        <w:rPr>
          <w:b/>
          <w:bCs/>
          <w:i/>
          <w:iCs/>
        </w:rPr>
        <w:t>-</w:t>
      </w:r>
      <w:r w:rsidR="00B13B39">
        <w:rPr>
          <w:b/>
          <w:bCs/>
          <w:i/>
          <w:iCs/>
        </w:rPr>
        <w:t>7</w:t>
      </w:r>
      <w:r w:rsidR="00B13B39" w:rsidRPr="008864FB">
        <w:rPr>
          <w:b/>
          <w:bCs/>
          <w:i/>
          <w:iCs/>
        </w:rPr>
        <w:t xml:space="preserve"> AREP-II</w:t>
      </w:r>
      <w:r w:rsidR="00B13B39">
        <w:t xml:space="preserve"> </w:t>
      </w:r>
      <w:r w:rsidR="00B13B39">
        <w:rPr>
          <w:b/>
          <w:bCs/>
          <w:i/>
          <w:iCs/>
        </w:rPr>
        <w:t>re</w:t>
      </w:r>
      <w:r w:rsidR="00B13B39" w:rsidRPr="008864FB">
        <w:rPr>
          <w:b/>
          <w:bCs/>
          <w:i/>
          <w:iCs/>
        </w:rPr>
        <w:t xml:space="preserve">sults for capacity and </w:t>
      </w:r>
      <w:r w:rsidR="00B13B39">
        <w:rPr>
          <w:b/>
          <w:bCs/>
          <w:i/>
          <w:iCs/>
        </w:rPr>
        <w:t>e</w:t>
      </w:r>
      <w:r w:rsidR="00B13B39" w:rsidRPr="008864FB">
        <w:rPr>
          <w:b/>
          <w:bCs/>
          <w:i/>
          <w:iCs/>
        </w:rPr>
        <w:t xml:space="preserve">fficiency as percentage </w:t>
      </w:r>
      <w:r w:rsidR="00B13B39">
        <w:rPr>
          <w:b/>
          <w:bCs/>
          <w:i/>
          <w:iCs/>
        </w:rPr>
        <w:t xml:space="preserve">compared to the </w:t>
      </w:r>
      <w:r w:rsidR="00B13B39" w:rsidRPr="008864FB">
        <w:rPr>
          <w:b/>
          <w:bCs/>
          <w:i/>
          <w:iCs/>
        </w:rPr>
        <w:t>baseline units</w:t>
      </w:r>
    </w:p>
    <w:p w:rsidR="00B13B39" w:rsidRPr="00951391" w:rsidRDefault="00B13B39" w:rsidP="00B13B39">
      <w:pPr>
        <w:jc w:val="both"/>
      </w:pPr>
    </w:p>
    <w:tbl>
      <w:tblPr>
        <w:tblW w:w="9815" w:type="dxa"/>
        <w:tblInd w:w="-635" w:type="dxa"/>
        <w:tblLayout w:type="fixed"/>
        <w:tblLook w:val="04A0" w:firstRow="1" w:lastRow="0" w:firstColumn="1" w:lastColumn="0" w:noHBand="0" w:noVBand="1"/>
      </w:tblPr>
      <w:tblGrid>
        <w:gridCol w:w="1034"/>
        <w:gridCol w:w="985"/>
        <w:gridCol w:w="1134"/>
        <w:gridCol w:w="1701"/>
        <w:gridCol w:w="1134"/>
        <w:gridCol w:w="921"/>
        <w:gridCol w:w="922"/>
        <w:gridCol w:w="992"/>
        <w:gridCol w:w="992"/>
      </w:tblGrid>
      <w:tr w:rsidR="00B13B39" w:rsidRPr="00254F62" w:rsidTr="009277E5">
        <w:trPr>
          <w:trHeight w:val="804"/>
        </w:trPr>
        <w:tc>
          <w:tcPr>
            <w:tcW w:w="1034"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rsidR="00EA1A02" w:rsidRDefault="00B13B39" w:rsidP="003A3F19">
            <w:pPr>
              <w:rPr>
                <w:rFonts w:eastAsia="Times New Roman"/>
                <w:b/>
                <w:bCs/>
                <w:sz w:val="18"/>
                <w:szCs w:val="18"/>
              </w:rPr>
            </w:pPr>
            <w:r w:rsidRPr="00C55277">
              <w:rPr>
                <w:rFonts w:eastAsia="Times New Roman"/>
                <w:b/>
                <w:bCs/>
                <w:sz w:val="18"/>
                <w:szCs w:val="18"/>
              </w:rPr>
              <w:t>Equip</w:t>
            </w:r>
            <w:r w:rsidR="00EA1A02">
              <w:rPr>
                <w:rFonts w:eastAsia="Times New Roman"/>
                <w:b/>
                <w:bCs/>
                <w:sz w:val="18"/>
                <w:szCs w:val="18"/>
              </w:rPr>
              <w:t>-</w:t>
            </w:r>
          </w:p>
          <w:p w:rsidR="00B13B39" w:rsidRDefault="00B13B39" w:rsidP="003A3F19">
            <w:pPr>
              <w:rPr>
                <w:rFonts w:eastAsia="Times New Roman"/>
                <w:b/>
                <w:bCs/>
                <w:sz w:val="18"/>
                <w:szCs w:val="18"/>
              </w:rPr>
            </w:pPr>
            <w:r w:rsidRPr="00C55277">
              <w:rPr>
                <w:rFonts w:eastAsia="Times New Roman"/>
                <w:b/>
                <w:bCs/>
                <w:sz w:val="18"/>
                <w:szCs w:val="18"/>
              </w:rPr>
              <w:t>m</w:t>
            </w:r>
            <w:r w:rsidR="00EA1A02">
              <w:rPr>
                <w:rFonts w:eastAsia="Times New Roman"/>
                <w:b/>
                <w:bCs/>
                <w:sz w:val="18"/>
                <w:szCs w:val="18"/>
              </w:rPr>
              <w:t>ent</w:t>
            </w:r>
          </w:p>
          <w:p w:rsidR="00B13B39" w:rsidRPr="00C55277" w:rsidRDefault="00B13B39" w:rsidP="003A3F19">
            <w:pPr>
              <w:rPr>
                <w:rFonts w:eastAsia="Times New Roman"/>
                <w:b/>
                <w:bCs/>
                <w:sz w:val="18"/>
                <w:szCs w:val="18"/>
              </w:rPr>
            </w:pPr>
            <w:r w:rsidRPr="00C55277">
              <w:rPr>
                <w:rFonts w:eastAsia="Times New Roman"/>
                <w:b/>
                <w:bCs/>
                <w:sz w:val="18"/>
                <w:szCs w:val="18"/>
              </w:rPr>
              <w:t>Type</w:t>
            </w:r>
          </w:p>
        </w:tc>
        <w:tc>
          <w:tcPr>
            <w:tcW w:w="985"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rPr>
                <w:rFonts w:eastAsia="Times New Roman"/>
                <w:b/>
                <w:bCs/>
                <w:sz w:val="18"/>
                <w:szCs w:val="18"/>
              </w:rPr>
            </w:pPr>
            <w:r>
              <w:rPr>
                <w:rFonts w:eastAsia="Times New Roman"/>
                <w:b/>
                <w:bCs/>
                <w:sz w:val="18"/>
                <w:szCs w:val="18"/>
              </w:rPr>
              <w:t>Company</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 xml:space="preserve">Baseline Refrigerant </w:t>
            </w:r>
          </w:p>
        </w:tc>
        <w:tc>
          <w:tcPr>
            <w:tcW w:w="1701"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Prototype Criterion</w:t>
            </w:r>
          </w:p>
        </w:tc>
        <w:tc>
          <w:tcPr>
            <w:tcW w:w="1134"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Refrigerant Tested</w:t>
            </w:r>
          </w:p>
        </w:tc>
        <w:tc>
          <w:tcPr>
            <w:tcW w:w="921" w:type="dxa"/>
            <w:tcBorders>
              <w:top w:val="single" w:sz="4" w:space="0" w:color="auto"/>
              <w:left w:val="nil"/>
              <w:bottom w:val="single" w:sz="4" w:space="0" w:color="auto"/>
              <w:right w:val="single" w:sz="4" w:space="0" w:color="auto"/>
            </w:tcBorders>
            <w:shd w:val="clear" w:color="auto" w:fill="FFF2CC"/>
            <w:vAlign w:val="bottom"/>
            <w:hideMark/>
          </w:tcPr>
          <w:p w:rsidR="00B13B39" w:rsidRPr="00C55277" w:rsidRDefault="00B13B39" w:rsidP="009277E5">
            <w:pPr>
              <w:rPr>
                <w:rFonts w:eastAsia="Times New Roman"/>
                <w:b/>
                <w:bCs/>
                <w:sz w:val="18"/>
                <w:szCs w:val="18"/>
              </w:rPr>
            </w:pPr>
            <w:r w:rsidRPr="00C55277">
              <w:rPr>
                <w:rFonts w:eastAsia="Times New Roman"/>
                <w:b/>
                <w:bCs/>
                <w:sz w:val="18"/>
                <w:szCs w:val="18"/>
              </w:rPr>
              <w:t>COP</w:t>
            </w:r>
            <w:r w:rsidRPr="00C55277">
              <w:rPr>
                <w:rFonts w:eastAsia="Times New Roman"/>
                <w:b/>
                <w:bCs/>
                <w:sz w:val="18"/>
                <w:szCs w:val="18"/>
              </w:rPr>
              <w:br/>
              <w:t>% comp to baseline @ 35</w:t>
            </w:r>
            <w:r w:rsidR="009277E5" w:rsidRPr="00B44C73">
              <w:rPr>
                <w:rFonts w:eastAsia="Times New Roman"/>
                <w:b/>
                <w:sz w:val="18"/>
                <w:szCs w:val="18"/>
              </w:rPr>
              <w:t>°C</w:t>
            </w:r>
          </w:p>
        </w:tc>
        <w:tc>
          <w:tcPr>
            <w:tcW w:w="922" w:type="dxa"/>
            <w:tcBorders>
              <w:top w:val="single" w:sz="4" w:space="0" w:color="auto"/>
              <w:left w:val="nil"/>
              <w:bottom w:val="single" w:sz="4" w:space="0" w:color="auto"/>
              <w:right w:val="single" w:sz="4" w:space="0" w:color="auto"/>
            </w:tcBorders>
            <w:shd w:val="clear" w:color="auto" w:fill="FFF2CC"/>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Capacity</w:t>
            </w:r>
            <w:r w:rsidRPr="00C55277">
              <w:rPr>
                <w:rFonts w:eastAsia="Times New Roman"/>
                <w:b/>
                <w:bCs/>
                <w:sz w:val="18"/>
                <w:szCs w:val="18"/>
              </w:rPr>
              <w:br/>
              <w:t>% comp</w:t>
            </w:r>
          </w:p>
          <w:p w:rsidR="00B13B39" w:rsidRPr="00C55277" w:rsidRDefault="00B13B39" w:rsidP="009277E5">
            <w:pPr>
              <w:rPr>
                <w:rFonts w:eastAsia="Times New Roman"/>
                <w:b/>
                <w:bCs/>
                <w:sz w:val="18"/>
                <w:szCs w:val="18"/>
              </w:rPr>
            </w:pPr>
            <w:r w:rsidRPr="00C55277">
              <w:rPr>
                <w:rFonts w:eastAsia="Times New Roman"/>
                <w:b/>
                <w:bCs/>
                <w:sz w:val="18"/>
                <w:szCs w:val="18"/>
              </w:rPr>
              <w:t>to baseline @ 35</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 xml:space="preserve">COP </w:t>
            </w:r>
          </w:p>
          <w:p w:rsidR="00B13B39" w:rsidRPr="00C55277" w:rsidRDefault="00B13B39" w:rsidP="009277E5">
            <w:pPr>
              <w:rPr>
                <w:rFonts w:eastAsia="Times New Roman"/>
                <w:b/>
                <w:bCs/>
                <w:sz w:val="18"/>
                <w:szCs w:val="18"/>
              </w:rPr>
            </w:pPr>
            <w:r w:rsidRPr="00C55277">
              <w:rPr>
                <w:rFonts w:eastAsia="Times New Roman"/>
                <w:b/>
                <w:bCs/>
                <w:sz w:val="18"/>
                <w:szCs w:val="18"/>
              </w:rPr>
              <w:t>% comp</w:t>
            </w:r>
            <w:r w:rsidRPr="00C55277">
              <w:rPr>
                <w:rFonts w:eastAsia="Times New Roman"/>
                <w:b/>
                <w:bCs/>
                <w:sz w:val="18"/>
                <w:szCs w:val="18"/>
              </w:rPr>
              <w:br/>
              <w:t xml:space="preserve"> to baseline@ 51.6</w:t>
            </w:r>
            <w:r w:rsidR="009277E5" w:rsidRPr="00B44C73">
              <w:rPr>
                <w:rFonts w:eastAsia="Times New Roman"/>
                <w:b/>
                <w:sz w:val="18"/>
                <w:szCs w:val="18"/>
              </w:rPr>
              <w:t>°C</w:t>
            </w:r>
          </w:p>
        </w:tc>
        <w:tc>
          <w:tcPr>
            <w:tcW w:w="992" w:type="dxa"/>
            <w:tcBorders>
              <w:top w:val="single" w:sz="4" w:space="0" w:color="auto"/>
              <w:left w:val="nil"/>
              <w:bottom w:val="single" w:sz="4" w:space="0" w:color="auto"/>
              <w:right w:val="single" w:sz="4" w:space="0" w:color="auto"/>
            </w:tcBorders>
            <w:shd w:val="clear" w:color="auto" w:fill="FFF2CC"/>
            <w:vAlign w:val="bottom"/>
            <w:hideMark/>
          </w:tcPr>
          <w:p w:rsidR="00B13B39" w:rsidRPr="00C55277" w:rsidRDefault="00B13B39" w:rsidP="003A3F19">
            <w:pPr>
              <w:rPr>
                <w:rFonts w:eastAsia="Times New Roman"/>
                <w:b/>
                <w:bCs/>
                <w:sz w:val="18"/>
                <w:szCs w:val="18"/>
              </w:rPr>
            </w:pPr>
            <w:r w:rsidRPr="00C55277">
              <w:rPr>
                <w:rFonts w:eastAsia="Times New Roman"/>
                <w:b/>
                <w:bCs/>
                <w:sz w:val="18"/>
                <w:szCs w:val="18"/>
              </w:rPr>
              <w:t>Capacity</w:t>
            </w:r>
            <w:r w:rsidRPr="00C55277">
              <w:rPr>
                <w:rFonts w:eastAsia="Times New Roman"/>
                <w:b/>
                <w:bCs/>
                <w:sz w:val="18"/>
                <w:szCs w:val="18"/>
              </w:rPr>
              <w:br/>
              <w:t>% comp</w:t>
            </w:r>
          </w:p>
          <w:p w:rsidR="00B13B39" w:rsidRPr="00C55277" w:rsidRDefault="00B13B39" w:rsidP="009277E5">
            <w:pPr>
              <w:rPr>
                <w:rFonts w:eastAsia="Times New Roman"/>
                <w:b/>
                <w:bCs/>
                <w:sz w:val="18"/>
                <w:szCs w:val="18"/>
              </w:rPr>
            </w:pPr>
            <w:r w:rsidRPr="00C55277">
              <w:rPr>
                <w:rFonts w:eastAsia="Times New Roman"/>
                <w:b/>
                <w:bCs/>
                <w:sz w:val="18"/>
                <w:szCs w:val="18"/>
              </w:rPr>
              <w:t>to baseline @ 51.6</w:t>
            </w:r>
            <w:r w:rsidR="009277E5" w:rsidRPr="00B44C73">
              <w:rPr>
                <w:rFonts w:eastAsia="Times New Roman"/>
                <w:b/>
                <w:sz w:val="18"/>
                <w:szCs w:val="18"/>
              </w:rPr>
              <w:t>°C</w:t>
            </w:r>
          </w:p>
        </w:tc>
      </w:tr>
      <w:tr w:rsidR="00B13B39" w:rsidRPr="00254F62" w:rsidTr="009277E5">
        <w:trPr>
          <w:trHeight w:val="312"/>
        </w:trPr>
        <w:tc>
          <w:tcPr>
            <w:tcW w:w="1034"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36,000 Btu/hr. Split heat pump</w:t>
            </w:r>
          </w:p>
        </w:tc>
        <w:tc>
          <w:tcPr>
            <w:tcW w:w="985"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Default="00B13B39" w:rsidP="003A3F19">
            <w:pPr>
              <w:jc w:val="center"/>
              <w:rPr>
                <w:rFonts w:eastAsia="Times New Roman"/>
                <w:sz w:val="18"/>
                <w:szCs w:val="18"/>
              </w:rPr>
            </w:pPr>
            <w:r w:rsidRPr="00C55277">
              <w:rPr>
                <w:rFonts w:eastAsia="Times New Roman"/>
                <w:sz w:val="18"/>
                <w:szCs w:val="18"/>
              </w:rPr>
              <w:t>Carrier  Indiana</w:t>
            </w:r>
            <w:r>
              <w:rPr>
                <w:rFonts w:eastAsia="Times New Roman"/>
                <w:sz w:val="18"/>
                <w:szCs w:val="18"/>
              </w:rPr>
              <w:t>-</w:t>
            </w:r>
          </w:p>
          <w:p w:rsidR="00B13B39" w:rsidRPr="00C55277" w:rsidRDefault="00EA1A02" w:rsidP="003A3F19">
            <w:pPr>
              <w:jc w:val="center"/>
              <w:rPr>
                <w:rFonts w:eastAsia="Times New Roman"/>
                <w:sz w:val="18"/>
                <w:szCs w:val="18"/>
              </w:rPr>
            </w:pPr>
            <w:r>
              <w:rPr>
                <w:rFonts w:eastAsia="Times New Roman"/>
                <w:sz w:val="18"/>
                <w:szCs w:val="18"/>
              </w:rPr>
              <w:t>p</w:t>
            </w:r>
            <w:r w:rsidR="00B13B39" w:rsidRPr="00C55277">
              <w:rPr>
                <w:rFonts w:eastAsia="Times New Roman"/>
                <w:sz w:val="18"/>
                <w:szCs w:val="18"/>
              </w:rPr>
              <w:t>olis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 xml:space="preserve">R-410A </w:t>
            </w:r>
            <w:r w:rsidRPr="009277E5">
              <w:rPr>
                <w:rFonts w:eastAsia="Times New Roman"/>
                <w:sz w:val="18"/>
                <w:szCs w:val="18"/>
              </w:rPr>
              <w:br/>
              <w:t>COP = 3.55 at 35</w:t>
            </w:r>
            <w:r w:rsidR="009277E5" w:rsidRPr="009277E5">
              <w:rPr>
                <w:rFonts w:eastAsia="Times New Roman"/>
                <w:sz w:val="18"/>
                <w:szCs w:val="18"/>
              </w:rPr>
              <w:t xml:space="preserve">°C </w:t>
            </w:r>
            <w:r w:rsidRPr="009277E5">
              <w:rPr>
                <w:rFonts w:eastAsia="Times New Roman"/>
                <w:sz w:val="18"/>
                <w:szCs w:val="18"/>
              </w:rPr>
              <w:t>and 1.87 at 51.6</w:t>
            </w:r>
            <w:r w:rsidR="009277E5" w:rsidRPr="009277E5">
              <w:rPr>
                <w:rFonts w:eastAsia="Times New Roman"/>
                <w:sz w:val="18"/>
                <w:szCs w:val="18"/>
              </w:rPr>
              <w:t xml:space="preserve">°C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B13B39" w:rsidRPr="00C55277" w:rsidRDefault="00B13B39" w:rsidP="003A3F19">
            <w:pPr>
              <w:rPr>
                <w:rFonts w:eastAsia="Times New Roman"/>
                <w:sz w:val="18"/>
                <w:szCs w:val="18"/>
              </w:rPr>
            </w:pPr>
            <w:r w:rsidRPr="00C55277">
              <w:rPr>
                <w:rFonts w:eastAsia="Times New Roman"/>
                <w:sz w:val="18"/>
                <w:szCs w:val="18"/>
              </w:rPr>
              <w:t>Criteria: Matching superheat and sub cooling to base unit. Charge level determined by criteria and held constant for all temperatures tested</w:t>
            </w:r>
          </w:p>
        </w:tc>
        <w:tc>
          <w:tcPr>
            <w:tcW w:w="1134"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rPr>
                <w:rFonts w:eastAsia="Times New Roman"/>
                <w:sz w:val="18"/>
                <w:szCs w:val="18"/>
              </w:rPr>
            </w:pPr>
            <w:r w:rsidRPr="00C55277">
              <w:rPr>
                <w:rFonts w:eastAsia="Times New Roman"/>
                <w:sz w:val="18"/>
                <w:szCs w:val="18"/>
              </w:rPr>
              <w:t>ARM-71A</w:t>
            </w:r>
          </w:p>
        </w:tc>
        <w:tc>
          <w:tcPr>
            <w:tcW w:w="921"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-8%</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rPr>
                <w:rFonts w:eastAsia="Times New Roman"/>
                <w:sz w:val="18"/>
                <w:szCs w:val="18"/>
              </w:rPr>
            </w:pPr>
            <w:r w:rsidRPr="00C55277">
              <w:rPr>
                <w:rFonts w:eastAsia="Times New Roman"/>
                <w:sz w:val="18"/>
                <w:szCs w:val="18"/>
              </w:rPr>
              <w:t>R-454A (DR-5A)</w:t>
            </w:r>
          </w:p>
        </w:tc>
        <w:tc>
          <w:tcPr>
            <w:tcW w:w="921"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rPr>
                <w:rFonts w:eastAsia="Times New Roman"/>
                <w:sz w:val="18"/>
                <w:szCs w:val="18"/>
              </w:rPr>
            </w:pPr>
            <w:r w:rsidRPr="00C55277">
              <w:rPr>
                <w:rFonts w:eastAsia="Times New Roman"/>
                <w:sz w:val="18"/>
                <w:szCs w:val="18"/>
              </w:rPr>
              <w:t>HPR2A</w:t>
            </w:r>
          </w:p>
        </w:tc>
        <w:tc>
          <w:tcPr>
            <w:tcW w:w="921"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2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-11%</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r>
      <w:tr w:rsidR="00B13B39" w:rsidRPr="00254F62" w:rsidTr="009277E5">
        <w:trPr>
          <w:trHeight w:val="312"/>
        </w:trPr>
        <w:tc>
          <w:tcPr>
            <w:tcW w:w="1034"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rPr>
                <w:rFonts w:eastAsia="Times New Roman"/>
                <w:sz w:val="18"/>
                <w:szCs w:val="18"/>
              </w:rPr>
            </w:pPr>
            <w:r w:rsidRPr="00C55277">
              <w:rPr>
                <w:rFonts w:eastAsia="Times New Roman"/>
                <w:sz w:val="18"/>
                <w:szCs w:val="18"/>
              </w:rPr>
              <w:t>R-446A    (L-41-1)</w:t>
            </w:r>
          </w:p>
        </w:tc>
        <w:tc>
          <w:tcPr>
            <w:tcW w:w="921"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2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rsidTr="009277E5">
        <w:trPr>
          <w:trHeight w:val="312"/>
        </w:trPr>
        <w:tc>
          <w:tcPr>
            <w:tcW w:w="1034" w:type="dxa"/>
            <w:vMerge/>
            <w:tcBorders>
              <w:top w:val="nil"/>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nil"/>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vAlign w:val="bottom"/>
            <w:hideMark/>
          </w:tcPr>
          <w:p w:rsidR="00B13B39" w:rsidRPr="00C55277" w:rsidRDefault="00E63AFD" w:rsidP="003A3F19">
            <w:pPr>
              <w:rPr>
                <w:rFonts w:eastAsia="Times New Roman"/>
                <w:sz w:val="18"/>
                <w:szCs w:val="18"/>
              </w:rPr>
            </w:pPr>
            <w:r>
              <w:rPr>
                <w:rFonts w:eastAsia="Times New Roman"/>
                <w:sz w:val="18"/>
                <w:szCs w:val="18"/>
              </w:rPr>
              <w:t>R-4</w:t>
            </w:r>
            <w:r w:rsidR="00B13B39" w:rsidRPr="00C55277">
              <w:rPr>
                <w:rFonts w:eastAsia="Times New Roman"/>
                <w:sz w:val="18"/>
                <w:szCs w:val="18"/>
              </w:rPr>
              <w:t>47A     (L-41-2)</w:t>
            </w:r>
          </w:p>
        </w:tc>
        <w:tc>
          <w:tcPr>
            <w:tcW w:w="921"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nil"/>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r>
      <w:tr w:rsidR="00B13B39" w:rsidRPr="00254F62" w:rsidTr="009277E5">
        <w:trPr>
          <w:trHeight w:val="168"/>
        </w:trPr>
        <w:tc>
          <w:tcPr>
            <w:tcW w:w="1034" w:type="dxa"/>
            <w:tcBorders>
              <w:top w:val="single" w:sz="4" w:space="0" w:color="auto"/>
              <w:left w:val="single" w:sz="4" w:space="0" w:color="auto"/>
              <w:bottom w:val="single" w:sz="4" w:space="0" w:color="auto"/>
            </w:tcBorders>
            <w:shd w:val="clear" w:color="auto" w:fill="FFF2CC"/>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85" w:type="dxa"/>
            <w:tcBorders>
              <w:top w:val="single" w:sz="4" w:space="0" w:color="auto"/>
              <w:bottom w:val="single" w:sz="4" w:space="0" w:color="auto"/>
            </w:tcBorders>
            <w:shd w:val="clear" w:color="auto" w:fill="FFF2CC"/>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center"/>
            <w:hideMark/>
          </w:tcPr>
          <w:p w:rsidR="00B13B39" w:rsidRPr="009277E5" w:rsidRDefault="00B13B39" w:rsidP="003A3F19">
            <w:pPr>
              <w:jc w:val="center"/>
              <w:rPr>
                <w:rFonts w:eastAsia="Times New Roman"/>
                <w:sz w:val="18"/>
                <w:szCs w:val="18"/>
              </w:rPr>
            </w:pPr>
            <w:r w:rsidRPr="009277E5">
              <w:rPr>
                <w:rFonts w:eastAsia="Times New Roman"/>
                <w:sz w:val="18"/>
                <w:szCs w:val="18"/>
              </w:rPr>
              <w:t> </w:t>
            </w:r>
          </w:p>
        </w:tc>
        <w:tc>
          <w:tcPr>
            <w:tcW w:w="1701" w:type="dxa"/>
            <w:tcBorders>
              <w:top w:val="single" w:sz="4" w:space="0" w:color="auto"/>
              <w:bottom w:val="single" w:sz="4" w:space="0" w:color="auto"/>
            </w:tcBorders>
            <w:shd w:val="clear" w:color="auto" w:fill="FFF2CC"/>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right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rsidTr="009277E5">
        <w:trPr>
          <w:trHeight w:val="480"/>
        </w:trPr>
        <w:tc>
          <w:tcPr>
            <w:tcW w:w="10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48,500 Btu/hr. Rooftop</w:t>
            </w:r>
          </w:p>
        </w:tc>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Ingersoll Rand Clarks</w:t>
            </w:r>
            <w:r>
              <w:rPr>
                <w:rFonts w:eastAsia="Times New Roman"/>
                <w:sz w:val="18"/>
                <w:szCs w:val="18"/>
              </w:rPr>
              <w:t>-</w:t>
            </w:r>
            <w:r w:rsidRPr="00C55277">
              <w:rPr>
                <w:rFonts w:eastAsia="Times New Roman"/>
                <w:sz w:val="18"/>
                <w:szCs w:val="18"/>
              </w:rPr>
              <w:t>ville</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3.31 at 35</w:t>
            </w:r>
            <w:r w:rsidR="009277E5" w:rsidRPr="009277E5">
              <w:rPr>
                <w:rFonts w:eastAsia="Times New Roman"/>
                <w:sz w:val="18"/>
                <w:szCs w:val="18"/>
              </w:rPr>
              <w:t>°C</w:t>
            </w:r>
            <w:r w:rsidRPr="009277E5">
              <w:rPr>
                <w:rFonts w:eastAsia="Times New Roman"/>
                <w:sz w:val="18"/>
                <w:szCs w:val="18"/>
              </w:rPr>
              <w:t>, 2.00 at 48.9</w:t>
            </w:r>
            <w:r w:rsidR="009277E5" w:rsidRPr="009277E5">
              <w:rPr>
                <w:rFonts w:eastAsia="Times New Roman"/>
                <w:sz w:val="18"/>
                <w:szCs w:val="18"/>
              </w:rPr>
              <w:t xml:space="preserve">°C </w:t>
            </w:r>
            <w:r w:rsidRPr="009277E5">
              <w:rPr>
                <w:rFonts w:eastAsia="Times New Roman"/>
                <w:sz w:val="18"/>
                <w:szCs w:val="18"/>
              </w:rPr>
              <w:t>and 1.80 at 51.6</w:t>
            </w:r>
            <w:r w:rsidR="009277E5" w:rsidRPr="009277E5">
              <w:rPr>
                <w:rFonts w:eastAsia="Times New Roman"/>
                <w:sz w:val="18"/>
                <w:szCs w:val="18"/>
              </w:rPr>
              <w:t>°C</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3B39" w:rsidRPr="00C55277" w:rsidRDefault="00B13B39" w:rsidP="009277E5">
            <w:pPr>
              <w:rPr>
                <w:rFonts w:eastAsia="Times New Roman"/>
                <w:sz w:val="18"/>
                <w:szCs w:val="18"/>
              </w:rPr>
            </w:pPr>
            <w:r w:rsidRPr="00C55277">
              <w:rPr>
                <w:rFonts w:eastAsia="Times New Roman"/>
                <w:sz w:val="18"/>
                <w:szCs w:val="18"/>
              </w:rPr>
              <w:t>Adjustable expansion device, Variable Frequency drive matching the capacity with base unit. Varying indoor conditions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rPr>
                <w:rFonts w:eastAsia="Times New Roman"/>
                <w:sz w:val="18"/>
                <w:szCs w:val="18"/>
              </w:rPr>
            </w:pPr>
            <w:r w:rsidRPr="00C55277">
              <w:rPr>
                <w:rFonts w:eastAsia="Times New Roman"/>
                <w:sz w:val="18"/>
                <w:szCs w:val="18"/>
              </w:rPr>
              <w:t>DR-55</w:t>
            </w:r>
          </w:p>
        </w:tc>
        <w:tc>
          <w:tcPr>
            <w:tcW w:w="921"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22"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0%</w:t>
            </w:r>
          </w:p>
        </w:tc>
      </w:tr>
      <w:tr w:rsidR="00B13B39" w:rsidRPr="00254F62" w:rsidTr="009277E5">
        <w:trPr>
          <w:trHeight w:val="528"/>
        </w:trPr>
        <w:tc>
          <w:tcPr>
            <w:tcW w:w="1034" w:type="dxa"/>
            <w:vMerge/>
            <w:tcBorders>
              <w:top w:val="single" w:sz="4" w:space="0" w:color="auto"/>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F2F2F2"/>
            <w:vAlign w:val="bottom"/>
            <w:hideMark/>
          </w:tcPr>
          <w:p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single" w:sz="4" w:space="0" w:color="auto"/>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6%</w:t>
            </w:r>
          </w:p>
        </w:tc>
        <w:tc>
          <w:tcPr>
            <w:tcW w:w="922" w:type="dxa"/>
            <w:tcBorders>
              <w:top w:val="single" w:sz="4" w:space="0" w:color="auto"/>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single" w:sz="4" w:space="0" w:color="auto"/>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NA</w:t>
            </w:r>
          </w:p>
        </w:tc>
        <w:tc>
          <w:tcPr>
            <w:tcW w:w="992" w:type="dxa"/>
            <w:tcBorders>
              <w:top w:val="single" w:sz="4" w:space="0" w:color="auto"/>
              <w:left w:val="nil"/>
              <w:bottom w:val="single" w:sz="4" w:space="0" w:color="auto"/>
              <w:right w:val="single" w:sz="4" w:space="0" w:color="auto"/>
            </w:tcBorders>
            <w:shd w:val="clear" w:color="auto" w:fill="F2F2F2"/>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NA</w:t>
            </w:r>
          </w:p>
        </w:tc>
      </w:tr>
      <w:tr w:rsidR="00B13B39" w:rsidRPr="00254F62" w:rsidTr="009277E5">
        <w:trPr>
          <w:trHeight w:val="648"/>
        </w:trPr>
        <w:tc>
          <w:tcPr>
            <w:tcW w:w="10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9277E5"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3B39" w:rsidRPr="00C55277" w:rsidRDefault="00B13B39" w:rsidP="003A3F19">
            <w:pPr>
              <w:rPr>
                <w:rFonts w:eastAsia="Times New Roman"/>
                <w:sz w:val="18"/>
                <w:szCs w:val="18"/>
              </w:rPr>
            </w:pPr>
            <w:r w:rsidRPr="00C55277">
              <w:rPr>
                <w:rFonts w:eastAsia="Times New Roman"/>
                <w:sz w:val="18"/>
                <w:szCs w:val="18"/>
              </w:rPr>
              <w:t>DR-5A</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rsidTr="009277E5">
        <w:trPr>
          <w:trHeight w:val="180"/>
        </w:trPr>
        <w:tc>
          <w:tcPr>
            <w:tcW w:w="1034" w:type="dxa"/>
            <w:tcBorders>
              <w:top w:val="single" w:sz="4" w:space="0" w:color="auto"/>
              <w:left w:val="single" w:sz="4" w:space="0" w:color="auto"/>
              <w:bottom w:val="single" w:sz="4" w:space="0" w:color="auto"/>
            </w:tcBorders>
            <w:shd w:val="clear" w:color="auto" w:fill="FFF2CC"/>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single" w:sz="4" w:space="0" w:color="auto"/>
              <w:bottom w:val="single" w:sz="4" w:space="0" w:color="auto"/>
            </w:tcBorders>
            <w:shd w:val="clear" w:color="auto" w:fill="FFF2CC"/>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single" w:sz="4" w:space="0" w:color="auto"/>
              <w:bottom w:val="single" w:sz="4" w:space="0" w:color="auto"/>
            </w:tcBorders>
            <w:shd w:val="clear" w:color="auto" w:fill="FFF2CC"/>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single" w:sz="4" w:space="0" w:color="auto"/>
              <w:bottom w:val="single" w:sz="4" w:space="0" w:color="auto"/>
            </w:tcBorders>
            <w:shd w:val="clear" w:color="auto" w:fill="FFF2CC"/>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bottom w:val="single" w:sz="4" w:space="0" w:color="auto"/>
              <w:right w:val="single" w:sz="4" w:space="0" w:color="auto"/>
            </w:tcBorders>
            <w:shd w:val="clear" w:color="auto" w:fill="FFF2CC"/>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rsidTr="009277E5">
        <w:trPr>
          <w:trHeight w:val="972"/>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72,000 Btu/hr. Rooftop</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B13B39" w:rsidRDefault="00B13B39" w:rsidP="003A3F19">
            <w:pPr>
              <w:jc w:val="center"/>
              <w:rPr>
                <w:rFonts w:eastAsia="Times New Roman"/>
                <w:sz w:val="18"/>
                <w:szCs w:val="18"/>
              </w:rPr>
            </w:pPr>
            <w:r w:rsidRPr="00C55277">
              <w:rPr>
                <w:rFonts w:eastAsia="Times New Roman"/>
                <w:sz w:val="18"/>
                <w:szCs w:val="18"/>
              </w:rPr>
              <w:t>Zamil</w:t>
            </w:r>
          </w:p>
          <w:p w:rsidR="00B13B39" w:rsidRPr="00C55277" w:rsidRDefault="00B13B39" w:rsidP="003A3F19">
            <w:pPr>
              <w:jc w:val="center"/>
              <w:rPr>
                <w:rFonts w:eastAsia="Times New Roman"/>
                <w:sz w:val="18"/>
                <w:szCs w:val="18"/>
              </w:rPr>
            </w:pPr>
            <w:r w:rsidRPr="00C55277">
              <w:rPr>
                <w:rFonts w:eastAsia="Times New Roman"/>
                <w:sz w:val="18"/>
                <w:szCs w:val="18"/>
              </w:rPr>
              <w:t>KSA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3.57 at 35</w:t>
            </w:r>
            <w:r w:rsidR="009277E5" w:rsidRPr="009277E5">
              <w:rPr>
                <w:rFonts w:eastAsia="Times New Roman"/>
                <w:sz w:val="18"/>
                <w:szCs w:val="18"/>
              </w:rPr>
              <w:t>°C</w:t>
            </w:r>
            <w:r w:rsidRPr="009277E5">
              <w:rPr>
                <w:rFonts w:eastAsia="Times New Roman"/>
                <w:sz w:val="18"/>
                <w:szCs w:val="18"/>
              </w:rPr>
              <w:t xml:space="preserve"> and 2.06 at 51.6</w:t>
            </w:r>
            <w:r w:rsidR="009277E5" w:rsidRPr="009277E5">
              <w:rPr>
                <w:rFonts w:eastAsia="Times New Roman"/>
                <w:sz w:val="18"/>
                <w:szCs w:val="18"/>
              </w:rPr>
              <w:t>°C</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rPr>
                <w:rFonts w:eastAsia="Times New Roman"/>
                <w:sz w:val="18"/>
                <w:szCs w:val="18"/>
              </w:rPr>
            </w:pPr>
            <w:r w:rsidRPr="00C55277">
              <w:rPr>
                <w:rFonts w:eastAsia="Times New Roman"/>
                <w:sz w:val="18"/>
                <w:szCs w:val="18"/>
              </w:rPr>
              <w:t>Criteria maintained same superheat and sub cooling as base unit by changing expansion devise and adjusting charge</w:t>
            </w:r>
            <w:r w:rsidR="00FE51D6">
              <w:rPr>
                <w:rFonts w:eastAsia="Times New Roman"/>
                <w:sz w:val="18"/>
                <w:szCs w:val="18"/>
              </w:rPr>
              <w:t xml:space="preserve">. </w:t>
            </w:r>
            <w:r w:rsidRPr="00C55277">
              <w:rPr>
                <w:rFonts w:eastAsia="Times New Roman"/>
                <w:sz w:val="18"/>
                <w:szCs w:val="18"/>
              </w:rPr>
              <w:t>Oil is also different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16%</w:t>
            </w:r>
          </w:p>
        </w:tc>
      </w:tr>
      <w:tr w:rsidR="00B13B39" w:rsidRPr="00254F62" w:rsidTr="009277E5">
        <w:trPr>
          <w:trHeight w:val="219"/>
        </w:trPr>
        <w:tc>
          <w:tcPr>
            <w:tcW w:w="1034" w:type="dxa"/>
            <w:tcBorders>
              <w:top w:val="single" w:sz="4" w:space="0" w:color="auto"/>
              <w:left w:val="single" w:sz="4" w:space="0" w:color="auto"/>
              <w:bottom w:val="single" w:sz="4" w:space="0" w:color="auto"/>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p>
        </w:tc>
        <w:tc>
          <w:tcPr>
            <w:tcW w:w="1134" w:type="dxa"/>
            <w:tcBorders>
              <w:top w:val="nil"/>
              <w:left w:val="nil"/>
              <w:bottom w:val="nil"/>
              <w:right w:val="nil"/>
            </w:tcBorders>
            <w:shd w:val="clear" w:color="auto" w:fill="FFF2CC"/>
            <w:noWrap/>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nil"/>
              <w:left w:val="nil"/>
              <w:bottom w:val="nil"/>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nil"/>
              <w:left w:val="nil"/>
              <w:bottom w:val="nil"/>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rsidTr="009277E5">
        <w:trPr>
          <w:trHeight w:val="732"/>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34,000 Btu/hr. split</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Goodman USA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3.53 at 35</w:t>
            </w:r>
            <w:r w:rsidR="009277E5" w:rsidRPr="009277E5">
              <w:rPr>
                <w:rFonts w:eastAsia="Times New Roman"/>
                <w:sz w:val="18"/>
                <w:szCs w:val="18"/>
              </w:rPr>
              <w:t xml:space="preserve">°C </w:t>
            </w:r>
            <w:r w:rsidRPr="009277E5">
              <w:rPr>
                <w:rFonts w:eastAsia="Times New Roman"/>
                <w:sz w:val="18"/>
                <w:szCs w:val="18"/>
              </w:rPr>
              <w:t>and 1.82 at 51.6</w:t>
            </w:r>
            <w:r w:rsidR="009277E5" w:rsidRPr="009277E5">
              <w:rPr>
                <w:rFonts w:eastAsia="Times New Roman"/>
                <w:sz w:val="18"/>
                <w:szCs w:val="18"/>
              </w:rPr>
              <w:t xml:space="preserve">°C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B13B39" w:rsidRPr="00C55277" w:rsidRDefault="00B13B39" w:rsidP="003A3F19">
            <w:pPr>
              <w:rPr>
                <w:rFonts w:eastAsia="Times New Roman"/>
                <w:sz w:val="18"/>
                <w:szCs w:val="18"/>
              </w:rPr>
            </w:pPr>
            <w:r w:rsidRPr="00C55277">
              <w:rPr>
                <w:rFonts w:eastAsia="Times New Roman"/>
                <w:sz w:val="18"/>
                <w:szCs w:val="18"/>
              </w:rPr>
              <w:t>Tested HFC-32 unit with POE oil and withy prototype oil for the same expansion devise and charge determined by superheat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13B39" w:rsidRPr="00C55277" w:rsidRDefault="00B13B39" w:rsidP="003A3F19">
            <w:pPr>
              <w:rPr>
                <w:rFonts w:eastAsia="Times New Roman"/>
                <w:sz w:val="18"/>
                <w:szCs w:val="18"/>
              </w:rPr>
            </w:pPr>
            <w:r w:rsidRPr="00C55277">
              <w:rPr>
                <w:rFonts w:eastAsia="Times New Roman"/>
                <w:sz w:val="18"/>
                <w:szCs w:val="18"/>
              </w:rPr>
              <w:t>HFC-32 with prototype oil</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14%</w:t>
            </w:r>
          </w:p>
        </w:tc>
      </w:tr>
      <w:tr w:rsidR="00B13B39" w:rsidRPr="00254F62" w:rsidTr="009277E5">
        <w:trPr>
          <w:trHeight w:val="219"/>
        </w:trPr>
        <w:tc>
          <w:tcPr>
            <w:tcW w:w="1034" w:type="dxa"/>
            <w:tcBorders>
              <w:top w:val="single" w:sz="4" w:space="0" w:color="auto"/>
              <w:left w:val="single" w:sz="4" w:space="0" w:color="auto"/>
              <w:bottom w:val="single" w:sz="4" w:space="0" w:color="auto"/>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85"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p>
        </w:tc>
        <w:tc>
          <w:tcPr>
            <w:tcW w:w="1134" w:type="dxa"/>
            <w:tcBorders>
              <w:top w:val="nil"/>
              <w:left w:val="nil"/>
              <w:bottom w:val="nil"/>
              <w:right w:val="nil"/>
            </w:tcBorders>
            <w:shd w:val="clear" w:color="auto" w:fill="FFF2CC"/>
            <w:noWrap/>
            <w:vAlign w:val="bottom"/>
            <w:hideMark/>
          </w:tcPr>
          <w:p w:rsidR="00B13B39" w:rsidRPr="009277E5" w:rsidRDefault="00B13B39" w:rsidP="003A3F19">
            <w:pPr>
              <w:rPr>
                <w:rFonts w:eastAsia="Times New Roman"/>
                <w:sz w:val="18"/>
                <w:szCs w:val="18"/>
              </w:rPr>
            </w:pPr>
            <w:r w:rsidRPr="009277E5">
              <w:rPr>
                <w:rFonts w:eastAsia="Times New Roman"/>
                <w:sz w:val="18"/>
                <w:szCs w:val="18"/>
              </w:rPr>
              <w:t> </w:t>
            </w:r>
          </w:p>
        </w:tc>
        <w:tc>
          <w:tcPr>
            <w:tcW w:w="1701" w:type="dxa"/>
            <w:tcBorders>
              <w:top w:val="nil"/>
              <w:left w:val="nil"/>
              <w:bottom w:val="nil"/>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1134" w:type="dxa"/>
            <w:tcBorders>
              <w:top w:val="nil"/>
              <w:left w:val="nil"/>
              <w:bottom w:val="nil"/>
              <w:right w:val="nil"/>
            </w:tcBorders>
            <w:shd w:val="clear" w:color="auto" w:fill="FFF2CC"/>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 </w:t>
            </w:r>
          </w:p>
        </w:tc>
        <w:tc>
          <w:tcPr>
            <w:tcW w:w="921"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22"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nil"/>
              <w:left w:val="nil"/>
              <w:bottom w:val="nil"/>
              <w:right w:val="nil"/>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c>
          <w:tcPr>
            <w:tcW w:w="992" w:type="dxa"/>
            <w:tcBorders>
              <w:top w:val="single" w:sz="4" w:space="0" w:color="auto"/>
              <w:left w:val="nil"/>
              <w:bottom w:val="single" w:sz="4" w:space="0" w:color="auto"/>
              <w:right w:val="single" w:sz="4" w:space="0" w:color="auto"/>
            </w:tcBorders>
            <w:shd w:val="clear" w:color="auto" w:fill="FFF2CC"/>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 </w:t>
            </w:r>
          </w:p>
        </w:tc>
      </w:tr>
      <w:tr w:rsidR="00B13B39" w:rsidRPr="00254F62" w:rsidTr="009277E5">
        <w:trPr>
          <w:trHeight w:val="312"/>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60,000 Btu/hr. Rooftop</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Lennox USA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9277E5" w:rsidRDefault="00B13B39" w:rsidP="009277E5">
            <w:pPr>
              <w:jc w:val="center"/>
              <w:rPr>
                <w:rFonts w:eastAsia="Times New Roman"/>
                <w:sz w:val="18"/>
                <w:szCs w:val="18"/>
              </w:rPr>
            </w:pPr>
            <w:r w:rsidRPr="009277E5">
              <w:rPr>
                <w:rFonts w:eastAsia="Times New Roman"/>
                <w:sz w:val="18"/>
                <w:szCs w:val="18"/>
              </w:rPr>
              <w:t>R-410A</w:t>
            </w:r>
            <w:r w:rsidRPr="009277E5">
              <w:rPr>
                <w:rFonts w:eastAsia="Times New Roman"/>
                <w:sz w:val="18"/>
                <w:szCs w:val="18"/>
              </w:rPr>
              <w:br/>
              <w:t>COP = 3.87 at 35</w:t>
            </w:r>
            <w:r w:rsidR="009277E5" w:rsidRPr="009277E5">
              <w:rPr>
                <w:rFonts w:eastAsia="Times New Roman"/>
                <w:sz w:val="18"/>
                <w:szCs w:val="18"/>
              </w:rPr>
              <w:t xml:space="preserve">°C </w:t>
            </w:r>
            <w:r w:rsidRPr="009277E5">
              <w:rPr>
                <w:rFonts w:eastAsia="Times New Roman"/>
                <w:sz w:val="18"/>
                <w:szCs w:val="18"/>
              </w:rPr>
              <w:t>and 2.07 at 51.6</w:t>
            </w:r>
            <w:r w:rsidR="009277E5" w:rsidRPr="009277E5">
              <w:rPr>
                <w:rFonts w:eastAsia="Times New Roman"/>
                <w:sz w:val="18"/>
                <w:szCs w:val="18"/>
              </w:rPr>
              <w:t xml:space="preserve">°C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3B39" w:rsidRPr="00C55277" w:rsidRDefault="00B13B39" w:rsidP="003A3F19">
            <w:pPr>
              <w:jc w:val="center"/>
              <w:rPr>
                <w:rFonts w:eastAsia="Times New Roman"/>
                <w:sz w:val="18"/>
                <w:szCs w:val="18"/>
              </w:rPr>
            </w:pPr>
            <w:r w:rsidRPr="00C55277">
              <w:rPr>
                <w:rFonts w:eastAsia="Times New Roman"/>
                <w:sz w:val="18"/>
                <w:szCs w:val="18"/>
              </w:rPr>
              <w:t>Matching superheat and sub cooling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L-41-2</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ARM-71A</w:t>
            </w:r>
          </w:p>
        </w:tc>
        <w:tc>
          <w:tcPr>
            <w:tcW w:w="921"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c>
          <w:tcPr>
            <w:tcW w:w="92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2%</w:t>
            </w:r>
          </w:p>
        </w:tc>
      </w:tr>
      <w:tr w:rsidR="00B13B39" w:rsidRPr="00254F62"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HPR2A</w:t>
            </w:r>
          </w:p>
        </w:tc>
        <w:tc>
          <w:tcPr>
            <w:tcW w:w="921"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-5%</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8%</w:t>
            </w:r>
          </w:p>
        </w:tc>
        <w:tc>
          <w:tcPr>
            <w:tcW w:w="992" w:type="dxa"/>
            <w:tcBorders>
              <w:top w:val="nil"/>
              <w:left w:val="nil"/>
              <w:bottom w:val="single" w:sz="4" w:space="0" w:color="auto"/>
              <w:right w:val="single" w:sz="4" w:space="0" w:color="auto"/>
            </w:tcBorders>
            <w:shd w:val="clear" w:color="auto" w:fill="auto"/>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r>
      <w:tr w:rsidR="00B13B39" w:rsidRPr="00254F62"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DR-5A</w:t>
            </w:r>
          </w:p>
        </w:tc>
        <w:tc>
          <w:tcPr>
            <w:tcW w:w="921"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c>
          <w:tcPr>
            <w:tcW w:w="92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2%</w:t>
            </w:r>
          </w:p>
        </w:tc>
        <w:tc>
          <w:tcPr>
            <w:tcW w:w="99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-3%</w:t>
            </w:r>
          </w:p>
        </w:tc>
      </w:tr>
      <w:tr w:rsidR="00B13B39" w:rsidRPr="00254F62" w:rsidTr="009277E5">
        <w:trPr>
          <w:trHeight w:val="312"/>
        </w:trPr>
        <w:tc>
          <w:tcPr>
            <w:tcW w:w="10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13B39" w:rsidRPr="00C55277" w:rsidRDefault="00B13B39" w:rsidP="003A3F19">
            <w:pPr>
              <w:rPr>
                <w:rFonts w:eastAsia="Times New Roman"/>
                <w:sz w:val="18"/>
                <w:szCs w:val="18"/>
              </w:rPr>
            </w:pPr>
          </w:p>
        </w:tc>
        <w:tc>
          <w:tcPr>
            <w:tcW w:w="1134"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rPr>
                <w:rFonts w:eastAsia="Times New Roman"/>
                <w:sz w:val="18"/>
                <w:szCs w:val="18"/>
              </w:rPr>
            </w:pPr>
            <w:r w:rsidRPr="00C55277">
              <w:rPr>
                <w:rFonts w:eastAsia="Times New Roman"/>
                <w:sz w:val="18"/>
                <w:szCs w:val="18"/>
              </w:rPr>
              <w:t>HFC-32</w:t>
            </w:r>
          </w:p>
        </w:tc>
        <w:tc>
          <w:tcPr>
            <w:tcW w:w="921"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-10%</w:t>
            </w:r>
          </w:p>
        </w:tc>
        <w:tc>
          <w:tcPr>
            <w:tcW w:w="92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-4%</w:t>
            </w:r>
          </w:p>
        </w:tc>
        <w:tc>
          <w:tcPr>
            <w:tcW w:w="99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-9%</w:t>
            </w:r>
          </w:p>
        </w:tc>
        <w:tc>
          <w:tcPr>
            <w:tcW w:w="992" w:type="dxa"/>
            <w:tcBorders>
              <w:top w:val="nil"/>
              <w:left w:val="nil"/>
              <w:bottom w:val="single" w:sz="4" w:space="0" w:color="auto"/>
              <w:right w:val="single" w:sz="4" w:space="0" w:color="auto"/>
            </w:tcBorders>
            <w:shd w:val="clear" w:color="auto" w:fill="F2F2F2"/>
            <w:noWrap/>
            <w:vAlign w:val="bottom"/>
            <w:hideMark/>
          </w:tcPr>
          <w:p w:rsidR="00B13B39" w:rsidRPr="00C55277" w:rsidRDefault="00B13B39" w:rsidP="003A3F19">
            <w:pPr>
              <w:jc w:val="center"/>
              <w:rPr>
                <w:rFonts w:eastAsia="Times New Roman"/>
                <w:sz w:val="18"/>
                <w:szCs w:val="18"/>
              </w:rPr>
            </w:pPr>
            <w:r w:rsidRPr="00C55277">
              <w:rPr>
                <w:rFonts w:eastAsia="Times New Roman"/>
                <w:sz w:val="18"/>
                <w:szCs w:val="18"/>
              </w:rPr>
              <w:t>-1%</w:t>
            </w:r>
          </w:p>
        </w:tc>
      </w:tr>
    </w:tbl>
    <w:p w:rsidR="00B13B39" w:rsidRDefault="00B13B39" w:rsidP="00B13B39">
      <w:pPr>
        <w:jc w:val="both"/>
      </w:pPr>
    </w:p>
    <w:tbl>
      <w:tblPr>
        <w:tblW w:w="9360" w:type="dxa"/>
        <w:tblLook w:val="04A0" w:firstRow="1" w:lastRow="0" w:firstColumn="1" w:lastColumn="0" w:noHBand="0" w:noVBand="1"/>
      </w:tblPr>
      <w:tblGrid>
        <w:gridCol w:w="316"/>
        <w:gridCol w:w="754"/>
        <w:gridCol w:w="7582"/>
        <w:gridCol w:w="754"/>
      </w:tblGrid>
      <w:tr w:rsidR="00B13B39" w:rsidRPr="00254F62" w:rsidTr="003A3F19">
        <w:trPr>
          <w:trHeight w:val="312"/>
        </w:trPr>
        <w:tc>
          <w:tcPr>
            <w:tcW w:w="1024" w:type="dxa"/>
            <w:gridSpan w:val="2"/>
            <w:tcBorders>
              <w:top w:val="nil"/>
              <w:left w:val="nil"/>
              <w:bottom w:val="nil"/>
              <w:right w:val="nil"/>
            </w:tcBorders>
            <w:shd w:val="clear" w:color="auto" w:fill="auto"/>
            <w:noWrap/>
            <w:vAlign w:val="bottom"/>
            <w:hideMark/>
          </w:tcPr>
          <w:p w:rsidR="00B13B39" w:rsidRPr="007E2A54" w:rsidRDefault="00B13B39" w:rsidP="003A3F19">
            <w:pPr>
              <w:rPr>
                <w:rFonts w:eastAsia="Times New Roman"/>
                <w:iCs/>
                <w:color w:val="auto"/>
                <w:sz w:val="24"/>
              </w:rPr>
            </w:pP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3A3F19">
            <w:pPr>
              <w:rPr>
                <w:rFonts w:eastAsia="Times New Roman"/>
                <w:iCs/>
                <w:color w:val="auto"/>
                <w:sz w:val="24"/>
              </w:rPr>
            </w:pPr>
            <w:r w:rsidRPr="007E2A54">
              <w:rPr>
                <w:rFonts w:eastAsia="Times New Roman"/>
                <w:iCs/>
                <w:color w:val="auto"/>
              </w:rPr>
              <w:t>Notes on terms in the table:</w:t>
            </w:r>
          </w:p>
        </w:tc>
      </w:tr>
      <w:tr w:rsidR="00B13B39" w:rsidRPr="00254F62" w:rsidTr="003A3F19">
        <w:trPr>
          <w:gridAfter w:val="1"/>
          <w:wAfter w:w="754" w:type="dxa"/>
          <w:trHeight w:val="312"/>
        </w:trPr>
        <w:tc>
          <w:tcPr>
            <w:tcW w:w="270" w:type="dxa"/>
            <w:tcBorders>
              <w:top w:val="nil"/>
              <w:left w:val="nil"/>
              <w:bottom w:val="nil"/>
              <w:right w:val="nil"/>
            </w:tcBorders>
            <w:shd w:val="clear" w:color="auto" w:fill="auto"/>
            <w:noWrap/>
            <w:vAlign w:val="bottom"/>
            <w:hideMark/>
          </w:tcPr>
          <w:p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1</w:t>
            </w: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 xml:space="preserve">Efficiency </w:t>
            </w:r>
            <w:r w:rsidR="007A3DD2">
              <w:rPr>
                <w:rFonts w:eastAsia="Times New Roman"/>
                <w:i/>
                <w:iCs/>
                <w:color w:val="auto"/>
                <w:sz w:val="18"/>
                <w:szCs w:val="18"/>
              </w:rPr>
              <w:t xml:space="preserve">(COP) </w:t>
            </w:r>
            <w:r w:rsidRPr="007E2A54">
              <w:rPr>
                <w:rFonts w:eastAsia="Times New Roman"/>
                <w:i/>
                <w:iCs/>
                <w:color w:val="auto"/>
                <w:sz w:val="18"/>
                <w:szCs w:val="18"/>
              </w:rPr>
              <w:t>is measured in Watts of cooling per Watt of input</w:t>
            </w:r>
          </w:p>
        </w:tc>
      </w:tr>
      <w:tr w:rsidR="00B13B39" w:rsidRPr="00254F62" w:rsidTr="003A3F19">
        <w:trPr>
          <w:gridAfter w:val="1"/>
          <w:wAfter w:w="754" w:type="dxa"/>
          <w:trHeight w:val="312"/>
        </w:trPr>
        <w:tc>
          <w:tcPr>
            <w:tcW w:w="270" w:type="dxa"/>
            <w:tcBorders>
              <w:top w:val="nil"/>
              <w:left w:val="nil"/>
              <w:bottom w:val="nil"/>
              <w:right w:val="nil"/>
            </w:tcBorders>
            <w:shd w:val="clear" w:color="auto" w:fill="auto"/>
            <w:noWrap/>
            <w:vAlign w:val="bottom"/>
            <w:hideMark/>
          </w:tcPr>
          <w:p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2</w:t>
            </w: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4D30FC">
            <w:pPr>
              <w:spacing w:line="220" w:lineRule="exact"/>
              <w:rPr>
                <w:rFonts w:eastAsia="Times New Roman"/>
                <w:i/>
                <w:iCs/>
                <w:color w:val="auto"/>
                <w:sz w:val="18"/>
                <w:szCs w:val="18"/>
              </w:rPr>
            </w:pPr>
            <w:r w:rsidRPr="007E2A54">
              <w:rPr>
                <w:rFonts w:eastAsia="Times New Roman"/>
                <w:i/>
                <w:iCs/>
                <w:color w:val="auto"/>
                <w:sz w:val="18"/>
                <w:szCs w:val="18"/>
              </w:rPr>
              <w:t>PRAHA did measurements at 35, 46 and 50°C ambient temperatures</w:t>
            </w:r>
          </w:p>
        </w:tc>
      </w:tr>
      <w:tr w:rsidR="00B13B39" w:rsidRPr="00254F62" w:rsidTr="003A3F19">
        <w:trPr>
          <w:gridAfter w:val="1"/>
          <w:wAfter w:w="754" w:type="dxa"/>
          <w:trHeight w:val="312"/>
        </w:trPr>
        <w:tc>
          <w:tcPr>
            <w:tcW w:w="270" w:type="dxa"/>
            <w:tcBorders>
              <w:top w:val="nil"/>
              <w:left w:val="nil"/>
              <w:bottom w:val="nil"/>
              <w:right w:val="nil"/>
            </w:tcBorders>
            <w:shd w:val="clear" w:color="auto" w:fill="auto"/>
            <w:noWrap/>
            <w:hideMark/>
          </w:tcPr>
          <w:p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3</w:t>
            </w: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For a full description of refrigerant alternatives and their GWP values, please refer to the relevant chapter on refrigerants in this report</w:t>
            </w:r>
          </w:p>
        </w:tc>
      </w:tr>
      <w:tr w:rsidR="00B13B39" w:rsidRPr="00254F62" w:rsidTr="003A3F19">
        <w:trPr>
          <w:gridAfter w:val="1"/>
          <w:wAfter w:w="754" w:type="dxa"/>
          <w:trHeight w:val="312"/>
        </w:trPr>
        <w:tc>
          <w:tcPr>
            <w:tcW w:w="270" w:type="dxa"/>
            <w:tcBorders>
              <w:top w:val="nil"/>
              <w:left w:val="nil"/>
              <w:bottom w:val="nil"/>
              <w:right w:val="nil"/>
            </w:tcBorders>
            <w:shd w:val="clear" w:color="auto" w:fill="auto"/>
            <w:noWrap/>
            <w:hideMark/>
          </w:tcPr>
          <w:p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4</w:t>
            </w: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4D30FC">
            <w:pPr>
              <w:spacing w:line="220" w:lineRule="exact"/>
              <w:rPr>
                <w:rFonts w:eastAsia="Times New Roman"/>
                <w:i/>
                <w:iCs/>
                <w:color w:val="auto"/>
                <w:sz w:val="18"/>
                <w:szCs w:val="18"/>
              </w:rPr>
            </w:pPr>
            <w:r w:rsidRPr="007E2A54">
              <w:rPr>
                <w:rFonts w:eastAsia="Times New Roman"/>
                <w:i/>
                <w:iCs/>
                <w:color w:val="auto"/>
                <w:sz w:val="18"/>
                <w:szCs w:val="18"/>
              </w:rPr>
              <w:t>Test conditions are as follows: For 35°C ambient, indoor 26.67°C and 50% relative humidity (AHRI -A). For 50°C ambient, indoor 29°C and 50% relative humidity</w:t>
            </w:r>
          </w:p>
        </w:tc>
      </w:tr>
      <w:tr w:rsidR="00B13B39" w:rsidRPr="00254F62" w:rsidTr="003A3F19">
        <w:trPr>
          <w:gridAfter w:val="1"/>
          <w:wAfter w:w="754" w:type="dxa"/>
          <w:trHeight w:val="312"/>
        </w:trPr>
        <w:tc>
          <w:tcPr>
            <w:tcW w:w="270" w:type="dxa"/>
            <w:tcBorders>
              <w:top w:val="nil"/>
              <w:left w:val="nil"/>
              <w:bottom w:val="nil"/>
              <w:right w:val="nil"/>
            </w:tcBorders>
            <w:shd w:val="clear" w:color="auto" w:fill="auto"/>
            <w:noWrap/>
            <w:hideMark/>
          </w:tcPr>
          <w:p w:rsidR="00B13B39" w:rsidRPr="00CA2D72" w:rsidRDefault="00B13B39" w:rsidP="003A3F19">
            <w:pPr>
              <w:jc w:val="center"/>
              <w:rPr>
                <w:rFonts w:eastAsia="Times New Roman"/>
                <w:i/>
                <w:iCs/>
                <w:color w:val="auto"/>
                <w:sz w:val="20"/>
                <w:szCs w:val="20"/>
              </w:rPr>
            </w:pPr>
            <w:r w:rsidRPr="00CA2D72">
              <w:rPr>
                <w:rFonts w:eastAsia="Times New Roman"/>
                <w:i/>
                <w:iCs/>
                <w:color w:val="auto"/>
                <w:sz w:val="20"/>
                <w:szCs w:val="20"/>
              </w:rPr>
              <w:t>5</w:t>
            </w:r>
          </w:p>
        </w:tc>
        <w:tc>
          <w:tcPr>
            <w:tcW w:w="8336" w:type="dxa"/>
            <w:gridSpan w:val="2"/>
            <w:tcBorders>
              <w:top w:val="nil"/>
              <w:left w:val="nil"/>
              <w:bottom w:val="nil"/>
              <w:right w:val="nil"/>
            </w:tcBorders>
            <w:shd w:val="clear" w:color="auto" w:fill="auto"/>
            <w:noWrap/>
            <w:vAlign w:val="bottom"/>
            <w:hideMark/>
          </w:tcPr>
          <w:p w:rsidR="00B13B39" w:rsidRPr="007E2A54" w:rsidRDefault="00B13B39" w:rsidP="003A3F19">
            <w:pPr>
              <w:spacing w:line="220" w:lineRule="exact"/>
              <w:rPr>
                <w:rFonts w:eastAsia="Times New Roman"/>
                <w:i/>
                <w:iCs/>
                <w:color w:val="auto"/>
                <w:sz w:val="18"/>
                <w:szCs w:val="18"/>
              </w:rPr>
            </w:pPr>
            <w:r w:rsidRPr="007E2A54">
              <w:rPr>
                <w:rFonts w:eastAsia="Times New Roman"/>
                <w:i/>
                <w:iCs/>
                <w:color w:val="auto"/>
                <w:sz w:val="18"/>
                <w:szCs w:val="18"/>
              </w:rPr>
              <w:t>Cells shaded grey show results that are not consistent with other results for the same refrigerant and could be the results of optimization or design issues</w:t>
            </w:r>
          </w:p>
        </w:tc>
      </w:tr>
    </w:tbl>
    <w:p w:rsidR="00B13B39" w:rsidRDefault="00B13B39" w:rsidP="00B13B39">
      <w:r>
        <w:lastRenderedPageBreak/>
        <w:t>The conclusion from AREP-II (Schultz, 2016a) is that general trends in HAT performance are similar for all alternative refrigerants. Systems with alternatives generally provided similar to higher capacities than R-410A systems at HAT conditions, i.e., showing a smaller decrease in capacity as ambient temperatures increase</w:t>
      </w:r>
    </w:p>
    <w:p w:rsidR="00B13B39" w:rsidRDefault="00B13B39" w:rsidP="00B13B39"/>
    <w:p w:rsidR="00B13B39" w:rsidRDefault="00B13B39" w:rsidP="00B13B39">
      <w:pPr>
        <w:pStyle w:val="Heading3"/>
      </w:pPr>
      <w:bookmarkStart w:id="96" w:name="_Toc452653387"/>
      <w:r>
        <w:t>5.2.4</w:t>
      </w:r>
      <w:r>
        <w:tab/>
        <w:t xml:space="preserve">General </w:t>
      </w:r>
      <w:r w:rsidR="00CF596A">
        <w:t>r</w:t>
      </w:r>
      <w:r>
        <w:t>emarks on the three research projects</w:t>
      </w:r>
      <w:bookmarkEnd w:id="96"/>
    </w:p>
    <w:p w:rsidR="00B13B39" w:rsidRPr="00222782" w:rsidRDefault="00B13B39" w:rsidP="00B13B39">
      <w:r>
        <w:t>The March TF</w:t>
      </w:r>
      <w:r w:rsidR="00DF1497">
        <w:t xml:space="preserve"> XXVII/4 </w:t>
      </w:r>
      <w:r>
        <w:t xml:space="preserve">report noted that </w:t>
      </w:r>
      <w:r w:rsidRPr="00222782">
        <w:t xml:space="preserve">tests under </w:t>
      </w:r>
      <w:r w:rsidR="00C1432E">
        <w:t>HAT</w:t>
      </w:r>
      <w:r w:rsidRPr="00222782">
        <w:t xml:space="preserve"> conditions described above illustrate the difficulties of assessing the energy efficiency associated with a refrigerant, considering:</w:t>
      </w:r>
    </w:p>
    <w:p w:rsidR="00B13B39" w:rsidRPr="00222782" w:rsidRDefault="00B13B39" w:rsidP="00B13B39">
      <w:pPr>
        <w:ind w:left="720" w:hanging="360"/>
      </w:pPr>
      <w:r w:rsidRPr="00222782">
        <w:t>•</w:t>
      </w:r>
      <w:r w:rsidRPr="00222782">
        <w:tab/>
        <w:t>Testing temperatures differs fr</w:t>
      </w:r>
      <w:r>
        <w:t>om test program to test program;</w:t>
      </w:r>
    </w:p>
    <w:p w:rsidR="00B13B39" w:rsidRPr="00222782" w:rsidRDefault="00B13B39" w:rsidP="00B13B39">
      <w:pPr>
        <w:ind w:left="720" w:hanging="360"/>
      </w:pPr>
      <w:r w:rsidRPr="00222782">
        <w:t>•</w:t>
      </w:r>
      <w:r w:rsidRPr="00222782">
        <w:tab/>
        <w:t xml:space="preserve">Obviously no single temperature can accurately match a real geographical location, so the results do not relate directly to the actual energy </w:t>
      </w:r>
      <w:r>
        <w:t>consumption in a real situation;</w:t>
      </w:r>
    </w:p>
    <w:p w:rsidR="00B13B39" w:rsidRPr="00222782" w:rsidRDefault="00B13B39" w:rsidP="00B13B39">
      <w:pPr>
        <w:ind w:left="720" w:hanging="360"/>
      </w:pPr>
      <w:r w:rsidRPr="00222782">
        <w:t>•</w:t>
      </w:r>
      <w:r w:rsidRPr="00222782">
        <w:tab/>
      </w:r>
      <w:r w:rsidRPr="00866E53">
        <w:t>The units used for testing vary within the same test programs</w:t>
      </w:r>
      <w:r>
        <w:t>;</w:t>
      </w:r>
    </w:p>
    <w:p w:rsidR="00B13B39" w:rsidRPr="00222782" w:rsidRDefault="00B13B39" w:rsidP="00B13B39">
      <w:pPr>
        <w:ind w:left="720" w:hanging="360"/>
      </w:pPr>
      <w:r w:rsidRPr="00222782">
        <w:t>•</w:t>
      </w:r>
      <w:r w:rsidRPr="00222782">
        <w:tab/>
        <w:t>In some tests only the refrigerant is changed, in others the oil is</w:t>
      </w:r>
      <w:r>
        <w:t xml:space="preserve"> changed or even the compressor;</w:t>
      </w:r>
      <w:r w:rsidRPr="00222782">
        <w:t xml:space="preserve"> </w:t>
      </w:r>
    </w:p>
    <w:p w:rsidR="00B13B39" w:rsidRPr="000409F4" w:rsidRDefault="00B13B39" w:rsidP="00B13B39">
      <w:pPr>
        <w:ind w:left="720" w:hanging="360"/>
      </w:pPr>
      <w:r w:rsidRPr="00222782">
        <w:t>•</w:t>
      </w:r>
      <w:r w:rsidRPr="00222782">
        <w:tab/>
        <w:t xml:space="preserve">Differences in test protocols further contributed to differences in results, for example: adjusting the expansion device for similar evaporator superheat, adjusting the </w:t>
      </w:r>
      <w:r w:rsidRPr="000409F4">
        <w:t>charge for a similar sub-cooling, or adjusting compressor displacement to match compressor capacity to heat exchanger capacity.</w:t>
      </w:r>
    </w:p>
    <w:p w:rsidR="009540ED" w:rsidRPr="000409F4" w:rsidRDefault="009540ED" w:rsidP="00B13B39">
      <w:pPr>
        <w:ind w:left="720" w:hanging="360"/>
      </w:pPr>
    </w:p>
    <w:p w:rsidR="00B13B39" w:rsidRPr="000409F4" w:rsidRDefault="00CF596A" w:rsidP="00C1432E">
      <w:pPr>
        <w:rPr>
          <w:rFonts w:eastAsia="Times New Roman"/>
          <w:b/>
          <w:bCs/>
          <w:i/>
          <w:iCs/>
        </w:rPr>
      </w:pPr>
      <w:r w:rsidRPr="000409F4">
        <w:t>In e</w:t>
      </w:r>
      <w:r w:rsidR="00B13B39" w:rsidRPr="000409F4">
        <w:t>valuating the three projects, the following conclusions and comments can be drawn from the technical data presented in the capacity and efficiency tables</w:t>
      </w:r>
      <w:r w:rsidR="00C1432E" w:rsidRPr="000409F4">
        <w:t>:</w:t>
      </w:r>
    </w:p>
    <w:p w:rsidR="00B13B39" w:rsidRPr="000409F4" w:rsidRDefault="00B13B39" w:rsidP="00B13B39"/>
    <w:p w:rsidR="004E0F08" w:rsidRPr="00CA2D72" w:rsidRDefault="004E0F08" w:rsidP="004E0F08">
      <w:pPr>
        <w:numPr>
          <w:ilvl w:val="0"/>
          <w:numId w:val="47"/>
        </w:numPr>
        <w:spacing w:after="160"/>
        <w:contextualSpacing/>
      </w:pPr>
      <w:r w:rsidRPr="00CA2D72">
        <w:t>The measured efficiency of the alternative refrigerants is in the vicinity of plus or minus 15% of the base units to which they were compared;</w:t>
      </w:r>
    </w:p>
    <w:p w:rsidR="000409F4" w:rsidRDefault="000409F4" w:rsidP="000409F4">
      <w:pPr>
        <w:numPr>
          <w:ilvl w:val="0"/>
          <w:numId w:val="47"/>
        </w:numPr>
        <w:spacing w:after="160"/>
        <w:contextualSpacing/>
      </w:pPr>
      <w:r w:rsidRPr="00CA2D72">
        <w:t>The R-410A alternatives give results that are close to the performance of R-410A at HAT</w:t>
      </w:r>
      <w:r>
        <w:t xml:space="preserve">. </w:t>
      </w:r>
      <w:r w:rsidRPr="00CA2D72">
        <w:t>However, the performance of R-410A at HAT is lower than HCFC-22 due to the characteristic of the refrigerant;</w:t>
      </w:r>
    </w:p>
    <w:p w:rsidR="00DF1497" w:rsidRPr="00CA2D72" w:rsidRDefault="00DF1497" w:rsidP="00DF1497">
      <w:pPr>
        <w:numPr>
          <w:ilvl w:val="0"/>
          <w:numId w:val="47"/>
        </w:numPr>
        <w:spacing w:after="160"/>
        <w:contextualSpacing/>
      </w:pPr>
      <w:r w:rsidRPr="00CA2D72">
        <w:t>The performance of the prototypes can be further improved through optimization of components and design parameters;</w:t>
      </w:r>
    </w:p>
    <w:p w:rsidR="004E0F08" w:rsidRPr="00CA2D72" w:rsidRDefault="004E0F08" w:rsidP="004E0F08">
      <w:pPr>
        <w:numPr>
          <w:ilvl w:val="0"/>
          <w:numId w:val="47"/>
        </w:numPr>
        <w:spacing w:after="160"/>
        <w:contextualSpacing/>
      </w:pPr>
      <w:r w:rsidRPr="00CA2D72">
        <w:t xml:space="preserve">The safety aspect is important for the high ambient temperature </w:t>
      </w:r>
      <w:r>
        <w:t xml:space="preserve">countries </w:t>
      </w:r>
      <w:r w:rsidRPr="00CA2D72">
        <w:t>as the refrigerant charge is higher than for units operating in lower ambient temperatures.</w:t>
      </w:r>
    </w:p>
    <w:p w:rsidR="00B13B39" w:rsidRPr="00CA2D72" w:rsidRDefault="00B13B39" w:rsidP="008A52E4">
      <w:pPr>
        <w:numPr>
          <w:ilvl w:val="0"/>
          <w:numId w:val="47"/>
        </w:numPr>
        <w:spacing w:after="160"/>
        <w:contextualSpacing/>
      </w:pPr>
      <w:r w:rsidRPr="00CA2D72">
        <w:t>The efficiency and capacity of the alternative prototypes are two aspect</w:t>
      </w:r>
      <w:r w:rsidR="00CF596A">
        <w:t>s</w:t>
      </w:r>
      <w:r w:rsidRPr="00CA2D72">
        <w:t xml:space="preserve"> of </w:t>
      </w:r>
      <w:r w:rsidR="00CF596A">
        <w:t xml:space="preserve">the </w:t>
      </w:r>
      <w:r w:rsidRPr="00CA2D72">
        <w:t>comparison</w:t>
      </w:r>
      <w:r w:rsidR="00FE51D6">
        <w:t xml:space="preserve">. </w:t>
      </w:r>
      <w:r w:rsidRPr="00CA2D72">
        <w:t xml:space="preserve">A more complete comparison would also include a cost comparison; however, there is not enough data on cost, neither </w:t>
      </w:r>
      <w:r w:rsidR="00CF596A">
        <w:t xml:space="preserve">for </w:t>
      </w:r>
      <w:r w:rsidRPr="00CA2D72">
        <w:t>some of the alternative refrigerants nor of the components to have a measurable comparison;</w:t>
      </w:r>
    </w:p>
    <w:p w:rsidR="00B13B39" w:rsidRPr="00CA2D72" w:rsidRDefault="00B13B39" w:rsidP="00DF1E74">
      <w:pPr>
        <w:numPr>
          <w:ilvl w:val="0"/>
          <w:numId w:val="47"/>
        </w:numPr>
        <w:spacing w:after="160"/>
        <w:ind w:left="714" w:hanging="357"/>
        <w:contextualSpacing/>
      </w:pPr>
      <w:r w:rsidRPr="00CA2D72">
        <w:t>While efficiency is important to meet the regulatory minimum energy performance standards (MEPS), the capacity of air conditioners at HAT conditions is of utmost importance in order to provide the required indoor comfort when these conditions happen.</w:t>
      </w:r>
    </w:p>
    <w:p w:rsidR="00B13B39" w:rsidRPr="00866E53" w:rsidRDefault="00B13B39" w:rsidP="00DF1E74">
      <w:pPr>
        <w:numPr>
          <w:ilvl w:val="0"/>
          <w:numId w:val="47"/>
        </w:numPr>
        <w:spacing w:after="160"/>
        <w:ind w:left="714" w:hanging="357"/>
        <w:contextualSpacing/>
      </w:pPr>
      <w:r w:rsidRPr="00CA2D72">
        <w:t xml:space="preserve">As a general rule, the cost of the equipment depends on the characteristics of the refrigerant and the performance of the equipment at high ambient temperatures. For example, if the capacity of the equipment at HAT is 10% lower for the required efficiency, then a larger machine is needed to meet the required load making the </w:t>
      </w:r>
      <w:r w:rsidRPr="00866E53">
        <w:t>equipment more expensive;</w:t>
      </w:r>
    </w:p>
    <w:p w:rsidR="00B13B39" w:rsidRPr="00FD7880" w:rsidRDefault="00B13B39" w:rsidP="00DF1E74">
      <w:pPr>
        <w:numPr>
          <w:ilvl w:val="0"/>
          <w:numId w:val="48"/>
        </w:numPr>
        <w:spacing w:after="160"/>
        <w:contextualSpacing/>
      </w:pPr>
      <w:r w:rsidRPr="00CA2D72">
        <w:t>ORNL and PRAHA came to slightly different conclusion about the performance of alternative refrigerants vs. HCFC</w:t>
      </w:r>
      <w:r w:rsidR="004E0F08">
        <w:t>-</w:t>
      </w:r>
      <w:r w:rsidRPr="00CA2D72">
        <w:t xml:space="preserve">22 with PRAHA generally showing better results. This </w:t>
      </w:r>
      <w:r>
        <w:t>is</w:t>
      </w:r>
      <w:r w:rsidRPr="00CA2D72">
        <w:t xml:space="preserve"> due to the fact that the PRAHA prototypes were custom built</w:t>
      </w:r>
      <w:r w:rsidR="000409F4">
        <w:t>,</w:t>
      </w:r>
      <w:r w:rsidRPr="00CA2D72">
        <w:t xml:space="preserve"> while ORNL uses the base unit with some optimi</w:t>
      </w:r>
      <w:r w:rsidR="000409F4">
        <w:t>s</w:t>
      </w:r>
      <w:r w:rsidRPr="00CA2D72">
        <w:t xml:space="preserve">ation. From this it can be concluded that </w:t>
      </w:r>
      <w:r>
        <w:t>results can be improved with customi</w:t>
      </w:r>
      <w:r w:rsidR="000409F4">
        <w:t>s</w:t>
      </w:r>
      <w:r>
        <w:t>ation</w:t>
      </w:r>
      <w:r w:rsidR="000409F4">
        <w:t>.</w:t>
      </w:r>
      <w:r>
        <w:t xml:space="preserve"> The</w:t>
      </w:r>
      <w:r w:rsidRPr="00FD7880">
        <w:t xml:space="preserve"> engineering level of the unit is more important than the refrigerant characteristic</w:t>
      </w:r>
      <w:r w:rsidR="004E0F08">
        <w:t>.</w:t>
      </w:r>
    </w:p>
    <w:p w:rsidR="00B13B39" w:rsidRDefault="00B13B39" w:rsidP="00B13B39"/>
    <w:p w:rsidR="00B13B39" w:rsidRPr="00A06A50" w:rsidRDefault="00B13B39" w:rsidP="00723652">
      <w:pPr>
        <w:pStyle w:val="Heading2"/>
        <w:tabs>
          <w:tab w:val="clear" w:pos="578"/>
        </w:tabs>
        <w:ind w:left="1080" w:hanging="1080"/>
      </w:pPr>
      <w:bookmarkStart w:id="97" w:name="_Toc452653388"/>
      <w:r>
        <w:lastRenderedPageBreak/>
        <w:t>5</w:t>
      </w:r>
      <w:r w:rsidRPr="00A06A50">
        <w:t xml:space="preserve">.3 </w:t>
      </w:r>
      <w:r>
        <w:tab/>
      </w:r>
      <w:r w:rsidRPr="00A06A50">
        <w:t xml:space="preserve">Further </w:t>
      </w:r>
      <w:r>
        <w:t>considerations</w:t>
      </w:r>
      <w:bookmarkEnd w:id="97"/>
    </w:p>
    <w:p w:rsidR="00B13B39" w:rsidRDefault="00B13B39" w:rsidP="00B13B39">
      <w:pPr>
        <w:rPr>
          <w:bCs/>
        </w:rPr>
      </w:pPr>
      <w:r w:rsidRPr="00CC56B9">
        <w:rPr>
          <w:bCs/>
        </w:rPr>
        <w:t xml:space="preserve">Chapter 7 of the </w:t>
      </w:r>
      <w:r>
        <w:rPr>
          <w:bCs/>
        </w:rPr>
        <w:t xml:space="preserve">September 2015 </w:t>
      </w:r>
      <w:r w:rsidRPr="00CC56B9">
        <w:rPr>
          <w:bCs/>
        </w:rPr>
        <w:t xml:space="preserve">XXVI/9 Task Force </w:t>
      </w:r>
      <w:r>
        <w:rPr>
          <w:bCs/>
        </w:rPr>
        <w:t>R</w:t>
      </w:r>
      <w:r w:rsidRPr="00CC56B9">
        <w:rPr>
          <w:bCs/>
        </w:rPr>
        <w:t xml:space="preserve">eport (UNEP, 2015) </w:t>
      </w:r>
      <w:r>
        <w:rPr>
          <w:bCs/>
        </w:rPr>
        <w:t xml:space="preserve">discussed additional topics </w:t>
      </w:r>
      <w:r w:rsidRPr="00CC56B9">
        <w:rPr>
          <w:bCs/>
        </w:rPr>
        <w:t xml:space="preserve">related to HAT conditions: </w:t>
      </w:r>
      <w:r>
        <w:rPr>
          <w:bCs/>
        </w:rPr>
        <w:t xml:space="preserve">a </w:t>
      </w:r>
      <w:r w:rsidRPr="00CC56B9">
        <w:rPr>
          <w:bCs/>
        </w:rPr>
        <w:t xml:space="preserve">definition </w:t>
      </w:r>
      <w:r>
        <w:rPr>
          <w:bCs/>
        </w:rPr>
        <w:t xml:space="preserve">of </w:t>
      </w:r>
      <w:r w:rsidRPr="00CC56B9">
        <w:rPr>
          <w:bCs/>
        </w:rPr>
        <w:t>options for HAT conditions, design considerations, research projects, energy efficiency</w:t>
      </w:r>
      <w:r>
        <w:rPr>
          <w:bCs/>
        </w:rPr>
        <w:t xml:space="preserve"> and regulations related to energy efficiency</w:t>
      </w:r>
      <w:r w:rsidRPr="00CC56B9">
        <w:rPr>
          <w:bCs/>
        </w:rPr>
        <w:t>, current/future alternative chemicals and technologies for air conditioning under HAT conditions, and considerations for refrigeration systems under HAT conditions including not-in-kind technologies (UNEP, 2015).</w:t>
      </w:r>
      <w:r>
        <w:rPr>
          <w:bCs/>
        </w:rPr>
        <w:t xml:space="preserve"> That information is not repeated here, but in view of the initial results of the testing under HAT conditions discussed above, some of those considerations are further highlighted below.</w:t>
      </w:r>
    </w:p>
    <w:p w:rsidR="00B13B39" w:rsidRPr="00CC56B9" w:rsidRDefault="00B13B39" w:rsidP="00B13B39">
      <w:pPr>
        <w:rPr>
          <w:bCs/>
        </w:rPr>
      </w:pPr>
    </w:p>
    <w:p w:rsidR="00B13B39" w:rsidRPr="00C61B4A" w:rsidRDefault="00B13B39" w:rsidP="00B13B39">
      <w:r w:rsidRPr="00C61B4A">
        <w:rPr>
          <w:b/>
          <w:bCs/>
        </w:rPr>
        <w:t xml:space="preserve">On </w:t>
      </w:r>
      <w:r>
        <w:rPr>
          <w:b/>
          <w:bCs/>
        </w:rPr>
        <w:t>e</w:t>
      </w:r>
      <w:r w:rsidRPr="00C61B4A">
        <w:rPr>
          <w:b/>
          <w:bCs/>
        </w:rPr>
        <w:t xml:space="preserve">nergy </w:t>
      </w:r>
      <w:r>
        <w:rPr>
          <w:b/>
          <w:bCs/>
        </w:rPr>
        <w:t>e</w:t>
      </w:r>
      <w:r w:rsidRPr="00C61B4A">
        <w:rPr>
          <w:b/>
          <w:bCs/>
        </w:rPr>
        <w:t xml:space="preserve">fficiency: </w:t>
      </w:r>
      <w:r w:rsidRPr="00C61B4A">
        <w:t xml:space="preserve">In regions with HAT conditions, legislations which set minimum energy performance standard (MEPS) values on air conditioners are emerging quickly. Most of the </w:t>
      </w:r>
      <w:r w:rsidR="009277E5">
        <w:t xml:space="preserve">Parties </w:t>
      </w:r>
      <w:r w:rsidRPr="00C61B4A">
        <w:t>require third party verification of declared performance</w:t>
      </w:r>
      <w:r w:rsidR="00FE51D6">
        <w:t xml:space="preserve">. </w:t>
      </w:r>
      <w:r w:rsidRPr="00C61B4A">
        <w:t>Higher minimum energy efficiencies are being announced on a regular bas</w:t>
      </w:r>
      <w:r>
        <w:t>is</w:t>
      </w:r>
      <w:r w:rsidRPr="00C61B4A">
        <w:t xml:space="preserve">, and this tendency may continue. As examples, Bahrain recently announced MEPS values and regulation of labelling air conditioners and Saudi </w:t>
      </w:r>
      <w:r>
        <w:t xml:space="preserve">Arabia </w:t>
      </w:r>
      <w:r w:rsidRPr="00C61B4A">
        <w:t>is moving closer to releasing their regulation for large air conditioners and chillers expected in the second quarter of 2016.</w:t>
      </w:r>
    </w:p>
    <w:p w:rsidR="00B13B39" w:rsidRPr="00C61B4A" w:rsidRDefault="00B13B39" w:rsidP="00B13B39"/>
    <w:p w:rsidR="00B13B39" w:rsidRPr="00C61B4A" w:rsidRDefault="00B13B39" w:rsidP="00B13B39">
      <w:r w:rsidRPr="00C61B4A">
        <w:t>When selecting new refrigerants</w:t>
      </w:r>
      <w:r>
        <w:t>,</w:t>
      </w:r>
      <w:r w:rsidRPr="00C61B4A">
        <w:t xml:space="preserve"> it is important to consider further increases on the current minimum energy efficiency requirements.</w:t>
      </w:r>
      <w:r>
        <w:t xml:space="preserve"> To the extent increases in MEPS are not met by current models, this offers the opportunity for manufacturers to implement new refrigerants while redesigning equipment for those new refrigerants.</w:t>
      </w:r>
    </w:p>
    <w:p w:rsidR="00B13B39" w:rsidRPr="00C61B4A" w:rsidRDefault="00B13B39" w:rsidP="00B13B39">
      <w:pPr>
        <w:rPr>
          <w:b/>
          <w:bCs/>
        </w:rPr>
      </w:pPr>
    </w:p>
    <w:p w:rsidR="00B13B39" w:rsidRPr="00C61B4A" w:rsidRDefault="00B13B39" w:rsidP="00B13B39">
      <w:r w:rsidRPr="00C61B4A">
        <w:rPr>
          <w:b/>
          <w:bCs/>
        </w:rPr>
        <w:t xml:space="preserve">On </w:t>
      </w:r>
      <w:r>
        <w:rPr>
          <w:b/>
          <w:bCs/>
        </w:rPr>
        <w:t>d</w:t>
      </w:r>
      <w:r w:rsidRPr="00C61B4A">
        <w:rPr>
          <w:b/>
          <w:bCs/>
        </w:rPr>
        <w:t>esign and availability</w:t>
      </w:r>
      <w:r w:rsidRPr="00C61B4A">
        <w:t xml:space="preserve">: The design for </w:t>
      </w:r>
      <w:r>
        <w:t>HAT</w:t>
      </w:r>
      <w:r w:rsidRPr="00C61B4A">
        <w:t xml:space="preserve"> conditions needs special care to avoid excessive condensing temperatures and getting close to the critical temperature for each type of refrigerant. Other issues </w:t>
      </w:r>
      <w:r>
        <w:t xml:space="preserve">such as </w:t>
      </w:r>
      <w:r w:rsidRPr="00C61B4A">
        <w:t>safety, refrigerant charge quantity, and improving the energy efficiency for both partial and full load have to be taken into consideration</w:t>
      </w:r>
    </w:p>
    <w:p w:rsidR="00B13B39" w:rsidRPr="00C61B4A" w:rsidRDefault="00B13B39" w:rsidP="00B13B39"/>
    <w:p w:rsidR="00B13B39" w:rsidRPr="00C61B4A" w:rsidRDefault="00B13B39" w:rsidP="00B13B39">
      <w:r w:rsidRPr="00C61B4A">
        <w:t xml:space="preserve">In </w:t>
      </w:r>
      <w:r>
        <w:t>HAT</w:t>
      </w:r>
      <w:r w:rsidRPr="00C61B4A">
        <w:t xml:space="preserve"> conditions, the cooling load of a conditioned space can be up to three times that for moderate climates. Therefore</w:t>
      </w:r>
      <w:r w:rsidR="00CF596A">
        <w:t>,</w:t>
      </w:r>
      <w:r w:rsidRPr="00C61B4A">
        <w:t xml:space="preserve"> larger capacity refrigeration systems may be needed which implies a larger refrigerant charge. Due to the requirements for charge limitation according to certain safety standards, the possible product portfolio suitable for high ambient conditions is more limited than for average climate conditions when using the same safety standards.</w:t>
      </w:r>
    </w:p>
    <w:p w:rsidR="00B13B39" w:rsidRPr="00C61B4A" w:rsidRDefault="00B13B39" w:rsidP="00B13B39"/>
    <w:p w:rsidR="00B13B39" w:rsidRPr="00C61B4A" w:rsidRDefault="00B13B39" w:rsidP="00B13B39">
      <w:r w:rsidRPr="00C61B4A">
        <w:t>As concluded from the testing projects, special design of both components and products is needed for the new alternatives to meet the performance of systems in both capacity as well as efficiency requirements. While the commercialization process of refrigerants can take up to ten years, as seen from chapter 2, the commercialization of products using these alternatives will take further time.</w:t>
      </w:r>
    </w:p>
    <w:p w:rsidR="00B13B39" w:rsidRPr="00C61B4A" w:rsidRDefault="00B13B39" w:rsidP="00B13B39"/>
    <w:p w:rsidR="00B13B39" w:rsidRDefault="00B13B39" w:rsidP="00B13B39">
      <w:pPr>
        <w:rPr>
          <w:iCs/>
          <w:color w:val="auto"/>
          <w:szCs w:val="22"/>
        </w:rPr>
      </w:pPr>
      <w:r w:rsidRPr="0062068F">
        <w:rPr>
          <w:iCs/>
          <w:color w:val="auto"/>
          <w:szCs w:val="22"/>
        </w:rPr>
        <w:t>As HCFC-22 air conditioning products get phased-out for some applications</w:t>
      </w:r>
      <w:r>
        <w:rPr>
          <w:iCs/>
          <w:color w:val="auto"/>
          <w:szCs w:val="22"/>
        </w:rPr>
        <w:t>,</w:t>
      </w:r>
      <w:r w:rsidRPr="0062068F">
        <w:rPr>
          <w:iCs/>
          <w:color w:val="auto"/>
          <w:szCs w:val="22"/>
        </w:rPr>
        <w:t xml:space="preserve"> the industry is turning to available technology </w:t>
      </w:r>
      <w:r>
        <w:rPr>
          <w:iCs/>
          <w:color w:val="auto"/>
          <w:szCs w:val="22"/>
        </w:rPr>
        <w:t>using</w:t>
      </w:r>
      <w:r w:rsidRPr="0062068F">
        <w:rPr>
          <w:iCs/>
          <w:color w:val="auto"/>
          <w:szCs w:val="22"/>
        </w:rPr>
        <w:t xml:space="preserve"> </w:t>
      </w:r>
      <w:r>
        <w:rPr>
          <w:iCs/>
          <w:color w:val="auto"/>
          <w:szCs w:val="22"/>
        </w:rPr>
        <w:t>h</w:t>
      </w:r>
      <w:r w:rsidRPr="0062068F">
        <w:rPr>
          <w:iCs/>
          <w:color w:val="auto"/>
          <w:szCs w:val="22"/>
        </w:rPr>
        <w:t>igh</w:t>
      </w:r>
      <w:r>
        <w:rPr>
          <w:iCs/>
          <w:color w:val="auto"/>
          <w:szCs w:val="22"/>
        </w:rPr>
        <w:t xml:space="preserve">er </w:t>
      </w:r>
      <w:r w:rsidRPr="0062068F">
        <w:rPr>
          <w:iCs/>
          <w:color w:val="auto"/>
          <w:szCs w:val="22"/>
        </w:rPr>
        <w:t xml:space="preserve">GWP </w:t>
      </w:r>
      <w:r>
        <w:rPr>
          <w:iCs/>
          <w:color w:val="auto"/>
          <w:szCs w:val="22"/>
        </w:rPr>
        <w:t xml:space="preserve">refrigerants with </w:t>
      </w:r>
      <w:r w:rsidRPr="0062068F">
        <w:rPr>
          <w:iCs/>
          <w:color w:val="auto"/>
          <w:szCs w:val="22"/>
        </w:rPr>
        <w:t xml:space="preserve">higher discharge pressures </w:t>
      </w:r>
      <w:r w:rsidR="00CF596A">
        <w:rPr>
          <w:iCs/>
          <w:color w:val="auto"/>
          <w:szCs w:val="22"/>
        </w:rPr>
        <w:t xml:space="preserve">such as </w:t>
      </w:r>
      <w:r w:rsidRPr="0062068F">
        <w:rPr>
          <w:iCs/>
          <w:color w:val="auto"/>
          <w:szCs w:val="22"/>
        </w:rPr>
        <w:t xml:space="preserve">R-410A or comparable pressures like R-407C, depending on the application. One exception is HFC-32 which has seen a limited release </w:t>
      </w:r>
      <w:r>
        <w:rPr>
          <w:iCs/>
          <w:color w:val="auto"/>
          <w:szCs w:val="22"/>
        </w:rPr>
        <w:t>for room air conditioners f</w:t>
      </w:r>
      <w:r w:rsidRPr="0062068F">
        <w:rPr>
          <w:iCs/>
          <w:color w:val="auto"/>
          <w:szCs w:val="22"/>
        </w:rPr>
        <w:t xml:space="preserve">ollowing </w:t>
      </w:r>
      <w:r>
        <w:rPr>
          <w:iCs/>
          <w:color w:val="auto"/>
          <w:szCs w:val="22"/>
        </w:rPr>
        <w:t xml:space="preserve">the change-over </w:t>
      </w:r>
      <w:r w:rsidRPr="0062068F">
        <w:rPr>
          <w:iCs/>
          <w:color w:val="auto"/>
          <w:szCs w:val="22"/>
        </w:rPr>
        <w:t xml:space="preserve">in Japan. HC-290 products, which have potential due to the favourable performance of HC-290 compared to HCFC-22 at HAT conditions, are not yet commercially available </w:t>
      </w:r>
      <w:r>
        <w:rPr>
          <w:iCs/>
          <w:color w:val="auto"/>
          <w:szCs w:val="22"/>
        </w:rPr>
        <w:t xml:space="preserve">in many </w:t>
      </w:r>
      <w:r w:rsidR="00DB5375">
        <w:rPr>
          <w:iCs/>
          <w:color w:val="auto"/>
          <w:szCs w:val="22"/>
        </w:rPr>
        <w:t xml:space="preserve">Parties </w:t>
      </w:r>
      <w:r w:rsidRPr="0062068F">
        <w:rPr>
          <w:iCs/>
          <w:color w:val="auto"/>
          <w:szCs w:val="22"/>
        </w:rPr>
        <w:t>although some of the local suppliers are busy researching and designing such products.</w:t>
      </w:r>
    </w:p>
    <w:p w:rsidR="00B13B39" w:rsidRPr="0062068F" w:rsidRDefault="00B13B39" w:rsidP="00B13B39">
      <w:pPr>
        <w:rPr>
          <w:color w:val="auto"/>
        </w:rPr>
      </w:pPr>
    </w:p>
    <w:p w:rsidR="00B13B39" w:rsidRDefault="00B13B39" w:rsidP="00B13B39">
      <w:r w:rsidRPr="00C61B4A">
        <w:rPr>
          <w:b/>
          <w:bCs/>
        </w:rPr>
        <w:t xml:space="preserve">On </w:t>
      </w:r>
      <w:r>
        <w:rPr>
          <w:b/>
          <w:bCs/>
        </w:rPr>
        <w:t>r</w:t>
      </w:r>
      <w:r w:rsidRPr="00C61B4A">
        <w:rPr>
          <w:b/>
          <w:bCs/>
        </w:rPr>
        <w:t>etrofits:</w:t>
      </w:r>
      <w:r w:rsidRPr="00C61B4A">
        <w:rPr>
          <w:color w:val="1F497D"/>
        </w:rPr>
        <w:t xml:space="preserve"> </w:t>
      </w:r>
      <w:r w:rsidRPr="00C61B4A">
        <w:t>It is important to note that any change of refrigerant in an existing design requires careful considerations. Theoretical calculations can give an idea about what is generally to be expected with a change</w:t>
      </w:r>
      <w:r w:rsidRPr="00977814">
        <w:t xml:space="preserve"> in refrigerant, but specific details on the system design</w:t>
      </w:r>
      <w:r>
        <w:t xml:space="preserve"> are needed.</w:t>
      </w:r>
      <w:r w:rsidRPr="00977814">
        <w:t xml:space="preserve"> </w:t>
      </w:r>
      <w:r>
        <w:t>M</w:t>
      </w:r>
      <w:r w:rsidRPr="00C61B4A">
        <w:t xml:space="preserve">odifying the electrical </w:t>
      </w:r>
      <w:r>
        <w:t>connections</w:t>
      </w:r>
      <w:r w:rsidRPr="00C61B4A">
        <w:t xml:space="preserve"> to meet the requirements needed for flammable refrigerants</w:t>
      </w:r>
      <w:r>
        <w:t xml:space="preserve"> is an additional cost that needs to be taken into consideration</w:t>
      </w:r>
      <w:r w:rsidRPr="00C61B4A">
        <w:t xml:space="preserve">. This </w:t>
      </w:r>
      <w:r w:rsidRPr="00C61B4A">
        <w:lastRenderedPageBreak/>
        <w:t xml:space="preserve">cost is the same for </w:t>
      </w:r>
      <w:r w:rsidR="00CF596A">
        <w:t xml:space="preserve">class </w:t>
      </w:r>
      <w:r w:rsidRPr="00C61B4A">
        <w:t xml:space="preserve">A3 or </w:t>
      </w:r>
      <w:r w:rsidR="00CF596A">
        <w:t xml:space="preserve">class </w:t>
      </w:r>
      <w:r w:rsidRPr="00C61B4A">
        <w:t>A2L refrigerants and mostly due to changing the location of the controls in order to reduce the risk of a spark</w:t>
      </w:r>
      <w:r w:rsidR="00FE51D6">
        <w:t xml:space="preserve">. </w:t>
      </w:r>
    </w:p>
    <w:p w:rsidR="00B13B39" w:rsidRPr="00977814" w:rsidRDefault="00B13B39" w:rsidP="00B13B39"/>
    <w:p w:rsidR="00B13B39" w:rsidRDefault="00B13B39" w:rsidP="00B13B39">
      <w:r>
        <w:t>For HAT conditions, the</w:t>
      </w:r>
      <w:r w:rsidRPr="00977814">
        <w:t xml:space="preserve"> design and sizing of </w:t>
      </w:r>
      <w:r w:rsidR="00CF596A">
        <w:t xml:space="preserve">the </w:t>
      </w:r>
      <w:r w:rsidRPr="00977814">
        <w:t xml:space="preserve">heat exchanger will impact how the system capacity and energy efficiency is influenced by a change in refrigerant. For system builders this means that each system design needs to be optimized </w:t>
      </w:r>
      <w:r>
        <w:t>for each type of</w:t>
      </w:r>
      <w:r w:rsidRPr="00977814">
        <w:t xml:space="preserve"> refrigerant. This requires an investment similar to what has been spent on optimizing the system for the current refrigerant, and for highly cost optimized systems this investment might be considerable. </w:t>
      </w:r>
    </w:p>
    <w:p w:rsidR="00B13B39" w:rsidRPr="00977814" w:rsidRDefault="00B13B39" w:rsidP="00B13B39"/>
    <w:p w:rsidR="00B13B39" w:rsidRDefault="00B13B39" w:rsidP="00B13B39">
      <w:r w:rsidRPr="001B6011">
        <w:rPr>
          <w:b/>
          <w:bCs/>
        </w:rPr>
        <w:t xml:space="preserve">On </w:t>
      </w:r>
      <w:r>
        <w:rPr>
          <w:b/>
          <w:bCs/>
        </w:rPr>
        <w:t>s</w:t>
      </w:r>
      <w:r w:rsidRPr="001B6011">
        <w:rPr>
          <w:b/>
          <w:bCs/>
        </w:rPr>
        <w:t>afety:</w:t>
      </w:r>
      <w:r>
        <w:t xml:space="preserve"> </w:t>
      </w:r>
      <w:r w:rsidRPr="00977814">
        <w:t xml:space="preserve">Standards for the new refrigerants (that are mostly flammable), </w:t>
      </w:r>
      <w:r w:rsidR="00CF596A">
        <w:t xml:space="preserve">such as </w:t>
      </w:r>
      <w:r w:rsidRPr="00977814">
        <w:t xml:space="preserve">ISO 5149, EN 378, IEC 60335-2-40 for air conditioners and heat pump systems and IEC 60335-2-89 for </w:t>
      </w:r>
      <w:r>
        <w:t xml:space="preserve">some </w:t>
      </w:r>
      <w:r w:rsidRPr="00977814">
        <w:t>commercial refrigeration appliances, are available, although IEC 60335-2-89 ne</w:t>
      </w:r>
      <w:r w:rsidRPr="0059136A">
        <w:t>eds</w:t>
      </w:r>
      <w:r w:rsidRPr="00977814">
        <w:t xml:space="preserve"> to be adapted to allow larger charges of flammable refrigerants</w:t>
      </w:r>
      <w:r>
        <w:t xml:space="preserve"> that are required for the bigger capacities of air conditioners working at HAT conditions</w:t>
      </w:r>
      <w:r w:rsidRPr="00977814">
        <w:t xml:space="preserve">. IEC standards are a de facto legal requirement in several </w:t>
      </w:r>
      <w:r w:rsidR="00DB5375">
        <w:t xml:space="preserve">Parties </w:t>
      </w:r>
      <w:r w:rsidRPr="00977814">
        <w:t xml:space="preserve">as the Certification Body (CB) scheme is the actual requirement for import and sales of products. In some </w:t>
      </w:r>
      <w:r w:rsidR="00DB5375">
        <w:t>Parties</w:t>
      </w:r>
      <w:r w:rsidRPr="00977814">
        <w:t>, the implementation of old standards in the legislation, for instance building codes or other mandatory safety regulations, blocks the uptake of especially flammable refrigerants.</w:t>
      </w:r>
    </w:p>
    <w:p w:rsidR="00B13B39" w:rsidRDefault="00B13B39" w:rsidP="00B13B39"/>
    <w:p w:rsidR="00B13B39" w:rsidRPr="00C61B4A" w:rsidRDefault="00B13B39" w:rsidP="00B13B39">
      <w:r w:rsidRPr="00977814">
        <w:t>Another important aspect of safety standards is that the</w:t>
      </w:r>
      <w:r>
        <w:t>ir value is tied to the degree of compliance</w:t>
      </w:r>
      <w:r w:rsidRPr="00977814">
        <w:t>, and this makes training of system builders and service technicians an important part of implementing safety standards.</w:t>
      </w:r>
      <w:r>
        <w:t xml:space="preserve"> The cost of the above certification, including the third-party certification cost and including the training cost, should be considered</w:t>
      </w:r>
      <w:r w:rsidRPr="00C61B4A">
        <w:t>.</w:t>
      </w:r>
    </w:p>
    <w:p w:rsidR="00B13B39" w:rsidRPr="00C61B4A" w:rsidRDefault="00B13B39" w:rsidP="00B13B39"/>
    <w:p w:rsidR="00B13B39" w:rsidRDefault="00B13B39" w:rsidP="00B13B39">
      <w:r w:rsidRPr="00C61B4A">
        <w:t xml:space="preserve">Although risk assessment work on flammable refrigerants is an on-going research in some </w:t>
      </w:r>
      <w:r w:rsidR="00DB5375">
        <w:t>Parties</w:t>
      </w:r>
      <w:r w:rsidRPr="00C61B4A">
        <w:t xml:space="preserve">, there is a need for a comprehensive risk assessment for </w:t>
      </w:r>
      <w:r w:rsidR="00CF596A">
        <w:t xml:space="preserve">class A3 and A2L refrigerant </w:t>
      </w:r>
      <w:r w:rsidRPr="00C61B4A">
        <w:t xml:space="preserve">alternatives at installation, servicing and decommissioning practices at </w:t>
      </w:r>
      <w:r>
        <w:t>HAT</w:t>
      </w:r>
      <w:r w:rsidRPr="00C61B4A">
        <w:t xml:space="preserve"> conditions</w:t>
      </w:r>
      <w:r>
        <w:t xml:space="preserve"> and</w:t>
      </w:r>
      <w:r w:rsidRPr="00C61B4A">
        <w:t xml:space="preserve"> </w:t>
      </w:r>
      <w:r w:rsidR="00373AA3">
        <w:t xml:space="preserve">when </w:t>
      </w:r>
      <w:r>
        <w:t>f</w:t>
      </w:r>
      <w:r w:rsidRPr="00C61B4A">
        <w:t xml:space="preserve">ield testing </w:t>
      </w:r>
      <w:r w:rsidR="00373AA3">
        <w:t xml:space="preserve">the </w:t>
      </w:r>
      <w:r w:rsidRPr="00C61B4A">
        <w:t>units.</w:t>
      </w:r>
    </w:p>
    <w:p w:rsidR="00B13B39" w:rsidRPr="00977814" w:rsidRDefault="00B13B39" w:rsidP="00B13B39"/>
    <w:p w:rsidR="00B13B39" w:rsidRPr="00977814" w:rsidRDefault="00B13B39" w:rsidP="00723652">
      <w:pPr>
        <w:pStyle w:val="Heading2"/>
        <w:tabs>
          <w:tab w:val="clear" w:pos="578"/>
        </w:tabs>
        <w:ind w:left="1080" w:hanging="1080"/>
      </w:pPr>
      <w:bookmarkStart w:id="98" w:name="_Toc430640578"/>
      <w:bookmarkStart w:id="99" w:name="_Toc452653389"/>
      <w:r>
        <w:t>5.4</w:t>
      </w:r>
      <w:r w:rsidRPr="00977814">
        <w:tab/>
        <w:t>References</w:t>
      </w:r>
      <w:bookmarkEnd w:id="98"/>
      <w:bookmarkEnd w:id="99"/>
    </w:p>
    <w:p w:rsidR="00B13B39" w:rsidRPr="00040944" w:rsidRDefault="00B13B39" w:rsidP="00B13B39">
      <w:pPr>
        <w:pStyle w:val="StylereferencesTimesNewRoman"/>
        <w:tabs>
          <w:tab w:val="clear" w:pos="1134"/>
          <w:tab w:val="left" w:pos="2127"/>
        </w:tabs>
        <w:spacing w:after="120"/>
        <w:ind w:left="2126" w:hanging="2126"/>
        <w:jc w:val="left"/>
        <w:rPr>
          <w:sz w:val="22"/>
          <w:szCs w:val="22"/>
        </w:rPr>
      </w:pPr>
      <w:r w:rsidRPr="00040944">
        <w:rPr>
          <w:sz w:val="22"/>
          <w:szCs w:val="22"/>
          <w:lang w:val="it-IT"/>
        </w:rPr>
        <w:t>Abdelaziz, 2015</w:t>
      </w:r>
      <w:r w:rsidRPr="00040944">
        <w:rPr>
          <w:sz w:val="22"/>
          <w:szCs w:val="22"/>
          <w:lang w:val="it-IT"/>
        </w:rPr>
        <w:tab/>
        <w:t xml:space="preserve">Abdelaziz, O. et al., 2015. </w:t>
      </w:r>
      <w:r w:rsidRPr="00040944">
        <w:rPr>
          <w:sz w:val="22"/>
          <w:szCs w:val="22"/>
        </w:rPr>
        <w:t>Alternative Refrigerant Evaluation for High-Ambient-Temperature Environments:R-22 and R</w:t>
      </w:r>
      <w:r>
        <w:rPr>
          <w:sz w:val="22"/>
          <w:szCs w:val="22"/>
        </w:rPr>
        <w:t>-</w:t>
      </w:r>
      <w:r w:rsidRPr="00040944">
        <w:rPr>
          <w:sz w:val="22"/>
          <w:szCs w:val="22"/>
        </w:rPr>
        <w:t>410A Alternative for Mini-Split Air Conditioners, ORNL/TM-1015/536</w:t>
      </w:r>
    </w:p>
    <w:p w:rsidR="00B13B39" w:rsidRDefault="00B13B39" w:rsidP="00B13B39">
      <w:pPr>
        <w:spacing w:after="60"/>
        <w:ind w:left="2160" w:hanging="2160"/>
      </w:pPr>
      <w:r w:rsidRPr="008173F8">
        <w:t>Amrane, 2013</w:t>
      </w:r>
      <w:r w:rsidRPr="008173F8">
        <w:tab/>
        <w:t>Amrane, K. Overview of AHRI Research on Low-GWP Refrigerants. Webinar</w:t>
      </w:r>
      <w:r>
        <w:t>,</w:t>
      </w:r>
      <w:r w:rsidRPr="008173F8">
        <w:t xml:space="preserve"> Aug</w:t>
      </w:r>
      <w:r>
        <w:t>ust</w:t>
      </w:r>
      <w:r w:rsidRPr="008173F8">
        <w:t xml:space="preserve"> 2013</w:t>
      </w:r>
    </w:p>
    <w:p w:rsidR="00B13B39" w:rsidRDefault="00B13B39" w:rsidP="00B13B39">
      <w:pPr>
        <w:spacing w:after="60"/>
        <w:ind w:left="2160" w:hanging="2160"/>
      </w:pPr>
      <w:r>
        <w:t>ASHRAE, 2013</w:t>
      </w:r>
      <w:r>
        <w:tab/>
        <w:t>ASHRAE Handbook – Fundamentals. 2013</w:t>
      </w:r>
    </w:p>
    <w:p w:rsidR="00B13B39" w:rsidRDefault="00B13B39" w:rsidP="00B13B39">
      <w:pPr>
        <w:spacing w:after="60"/>
        <w:ind w:left="2160" w:hanging="2160"/>
      </w:pPr>
      <w:r>
        <w:t>Burns, 2016</w:t>
      </w:r>
      <w:r>
        <w:tab/>
        <w:t>Burns, L. System Drop-in Tests of R-410A Alternative Refrigerants ARM-71a, R-454B, HPR2A, R-446A, R-447A in a Heat Pump. AHRI conference, Orlando, January 2016.</w:t>
      </w:r>
    </w:p>
    <w:p w:rsidR="00B13B39" w:rsidRPr="008173F8" w:rsidRDefault="00B13B39" w:rsidP="00B13B39">
      <w:pPr>
        <w:spacing w:after="60"/>
        <w:ind w:left="2160" w:hanging="2160"/>
      </w:pPr>
      <w:r>
        <w:t>Chakroun, 2016</w:t>
      </w:r>
      <w:r>
        <w:tab/>
        <w:t>Chakroun, W. Evaluating Low-GWP Refrigerants for Air-Conditioning Industry in High Ambient Temperature Countries, Methodology and Final Results. ASHRAE Conference, Orlando, January 2016.</w:t>
      </w:r>
    </w:p>
    <w:p w:rsidR="00B13B39" w:rsidRDefault="00B13B39" w:rsidP="00B13B39">
      <w:pPr>
        <w:spacing w:after="60"/>
        <w:ind w:left="2160" w:hanging="2160"/>
        <w:rPr>
          <w:bCs/>
        </w:rPr>
      </w:pPr>
      <w:r>
        <w:rPr>
          <w:bCs/>
        </w:rPr>
        <w:t>EN378-2:2008</w:t>
      </w:r>
      <w:r>
        <w:rPr>
          <w:bCs/>
        </w:rPr>
        <w:tab/>
      </w:r>
      <w:r w:rsidRPr="00A06A50">
        <w:rPr>
          <w:bCs/>
        </w:rPr>
        <w:t>The European Standard for the design and construction of refrigeration systems</w:t>
      </w:r>
      <w:r w:rsidRPr="004A6060">
        <w:rPr>
          <w:bCs/>
        </w:rPr>
        <w:t xml:space="preserve"> “Refrigerating systems and heat pumps — Safety and environmental requirements”</w:t>
      </w:r>
      <w:r>
        <w:rPr>
          <w:bCs/>
        </w:rPr>
        <w:t>. 2008.</w:t>
      </w:r>
    </w:p>
    <w:p w:rsidR="00B13B39" w:rsidRPr="004A6060" w:rsidRDefault="00B13B39" w:rsidP="00B13B39">
      <w:pPr>
        <w:spacing w:after="60"/>
        <w:ind w:left="2160" w:hanging="2160"/>
        <w:rPr>
          <w:bCs/>
        </w:rPr>
      </w:pPr>
      <w:r w:rsidRPr="008815E1">
        <w:rPr>
          <w:bCs/>
        </w:rPr>
        <w:t>IEC 60721-2-1</w:t>
      </w:r>
      <w:r>
        <w:rPr>
          <w:bCs/>
        </w:rPr>
        <w:tab/>
        <w:t>International Electro-technical Commission, “</w:t>
      </w:r>
      <w:r w:rsidRPr="004A6060">
        <w:rPr>
          <w:bCs/>
        </w:rPr>
        <w:t>Classification of environmental conditions - Part 2-1: Environmental conditions appearing in nature - Temperature and humidity</w:t>
      </w:r>
      <w:r>
        <w:rPr>
          <w:bCs/>
        </w:rPr>
        <w:t>”. 2013</w:t>
      </w:r>
    </w:p>
    <w:p w:rsidR="00B13B39" w:rsidRDefault="00B13B39" w:rsidP="00B13B39">
      <w:pPr>
        <w:spacing w:after="60"/>
        <w:ind w:left="2160" w:hanging="2160"/>
        <w:rPr>
          <w:sz w:val="21"/>
          <w:szCs w:val="21"/>
        </w:rPr>
      </w:pPr>
      <w:r>
        <w:t>ISO 5151:2010</w:t>
      </w:r>
      <w:r w:rsidRPr="008173F8">
        <w:t xml:space="preserve"> </w:t>
      </w:r>
      <w:r w:rsidRPr="008173F8">
        <w:tab/>
        <w:t>International Organization for Standardization (ISO</w:t>
      </w:r>
      <w:r w:rsidRPr="00977814">
        <w:rPr>
          <w:sz w:val="21"/>
          <w:szCs w:val="21"/>
        </w:rPr>
        <w:t>).</w:t>
      </w:r>
      <w:r>
        <w:rPr>
          <w:sz w:val="21"/>
          <w:szCs w:val="21"/>
        </w:rPr>
        <w:t xml:space="preserve"> </w:t>
      </w:r>
      <w:r w:rsidRPr="008173F8">
        <w:t xml:space="preserve">Non-ducted air conditioners and heat pumps -- Testing and rating for performance. </w:t>
      </w:r>
    </w:p>
    <w:p w:rsidR="00B13B39" w:rsidRDefault="00B13B39" w:rsidP="00B13B39">
      <w:pPr>
        <w:spacing w:after="60"/>
        <w:ind w:left="2160" w:hanging="2160"/>
        <w:rPr>
          <w:sz w:val="21"/>
          <w:szCs w:val="21"/>
        </w:rPr>
      </w:pPr>
      <w:r>
        <w:rPr>
          <w:sz w:val="21"/>
          <w:szCs w:val="21"/>
        </w:rPr>
        <w:lastRenderedPageBreak/>
        <w:t>Li, 2016</w:t>
      </w:r>
      <w:r>
        <w:rPr>
          <w:sz w:val="21"/>
          <w:szCs w:val="21"/>
        </w:rPr>
        <w:tab/>
        <w:t xml:space="preserve">Li, S. Soft-optimization test of R-410A alternative Refrigerant R-32 in a split condensing unit. AHRI conference, Orlando, January 2016 </w:t>
      </w:r>
    </w:p>
    <w:p w:rsidR="00B13B39" w:rsidRDefault="00B13B39" w:rsidP="00B13B39">
      <w:pPr>
        <w:spacing w:after="60"/>
        <w:ind w:left="2160" w:hanging="2160"/>
        <w:rPr>
          <w:sz w:val="21"/>
          <w:szCs w:val="21"/>
        </w:rPr>
      </w:pPr>
      <w:r>
        <w:rPr>
          <w:sz w:val="21"/>
          <w:szCs w:val="21"/>
        </w:rPr>
        <w:t xml:space="preserve">PRAHA, 2013 </w:t>
      </w:r>
      <w:r>
        <w:rPr>
          <w:sz w:val="21"/>
          <w:szCs w:val="21"/>
        </w:rPr>
        <w:tab/>
        <w:t>PRAHA project document, 2013</w:t>
      </w:r>
    </w:p>
    <w:p w:rsidR="00DB5375" w:rsidRDefault="00DB5375" w:rsidP="00DB5375">
      <w:pPr>
        <w:ind w:left="2160" w:hanging="2160"/>
      </w:pPr>
      <w:r w:rsidRPr="0059136A">
        <w:t>Schultz, 2016a</w:t>
      </w:r>
      <w:r w:rsidRPr="0059136A">
        <w:tab/>
        <w:t>Schultz, K. Summary of High Ambient Temperature (HAT) Tests,</w:t>
      </w:r>
      <w:r>
        <w:t xml:space="preserve"> </w:t>
      </w:r>
      <w:r w:rsidRPr="006A5F67">
        <w:t>Conducted Under AREP II</w:t>
      </w:r>
      <w:r>
        <w:t xml:space="preserve">, </w:t>
      </w:r>
      <w:r w:rsidRPr="006A5F67">
        <w:t>AHRI Conference, Orlando, Jan</w:t>
      </w:r>
      <w:r>
        <w:t>uary</w:t>
      </w:r>
      <w:r w:rsidRPr="006A5F67">
        <w:t xml:space="preserve"> 2016</w:t>
      </w:r>
    </w:p>
    <w:p w:rsidR="00DB5375" w:rsidRDefault="00DB5375" w:rsidP="00DB5375">
      <w:pPr>
        <w:ind w:left="2160" w:hanging="2160"/>
      </w:pPr>
      <w:r>
        <w:t>Schultz, 2016b</w:t>
      </w:r>
      <w:r>
        <w:tab/>
        <w:t>Schultz, K. Soft-Optimized System Test of R-410A, DR-55, R-32, and DR-5 in a 4-RT Unitary Rooftop Heat Pump. AHRI conference, Orlando, January 2016</w:t>
      </w:r>
    </w:p>
    <w:p w:rsidR="00B13B39" w:rsidRPr="003306E6" w:rsidRDefault="00B13B39" w:rsidP="00B13B39">
      <w:pPr>
        <w:spacing w:after="60"/>
        <w:ind w:left="2160" w:hanging="2160"/>
        <w:rPr>
          <w:sz w:val="21"/>
          <w:szCs w:val="21"/>
        </w:rPr>
      </w:pPr>
      <w:r>
        <w:rPr>
          <w:sz w:val="21"/>
          <w:szCs w:val="21"/>
        </w:rPr>
        <w:t>UNEP, 2015</w:t>
      </w:r>
      <w:r>
        <w:rPr>
          <w:sz w:val="21"/>
          <w:szCs w:val="21"/>
        </w:rPr>
        <w:tab/>
        <w:t xml:space="preserve">UNEP, Update </w:t>
      </w:r>
      <w:r w:rsidRPr="003306E6">
        <w:t xml:space="preserve">Decision </w:t>
      </w:r>
      <w:r>
        <w:t>XXVI</w:t>
      </w:r>
      <w:r w:rsidRPr="003306E6">
        <w:t xml:space="preserve">/9 </w:t>
      </w:r>
      <w:r>
        <w:t>T</w:t>
      </w:r>
      <w:r w:rsidRPr="003306E6">
        <w:t xml:space="preserve">ask </w:t>
      </w:r>
      <w:r>
        <w:t>F</w:t>
      </w:r>
      <w:r w:rsidRPr="003306E6">
        <w:t>orce report</w:t>
      </w:r>
      <w:r>
        <w:t>,</w:t>
      </w:r>
      <w:r w:rsidRPr="003306E6">
        <w:t xml:space="preserve"> Additional information on alternatives to ozone-depleting substances</w:t>
      </w:r>
      <w:r>
        <w:t>, September 2015, ISBN 978-9966-076-14-4</w:t>
      </w:r>
    </w:p>
    <w:p w:rsidR="00B13B39" w:rsidRDefault="00B13B39" w:rsidP="00B13B39">
      <w:pPr>
        <w:ind w:left="2160" w:hanging="2160"/>
      </w:pPr>
      <w:r>
        <w:t>Zougha</w:t>
      </w:r>
      <w:r w:rsidR="00162299">
        <w:t>i</w:t>
      </w:r>
      <w:r>
        <w:t>b, 2016</w:t>
      </w:r>
      <w:r>
        <w:tab/>
        <w:t>Zoughaib, A. System Drop in Test of R-410A Alternative Refrigerant DR5A, L1-1, L41-2, R32 and ARM71a in a Water Chiller. AHRI conference, Orlando, January 2016.</w:t>
      </w:r>
    </w:p>
    <w:bookmarkEnd w:id="55"/>
    <w:p w:rsidR="006718A1" w:rsidRDefault="006718A1" w:rsidP="00B13B39">
      <w:pPr>
        <w:pStyle w:val="Heading1"/>
        <w:jc w:val="left"/>
        <w:sectPr w:rsidR="006718A1" w:rsidSect="00C32CE4">
          <w:type w:val="oddPage"/>
          <w:pgSz w:w="11900" w:h="16840"/>
          <w:pgMar w:top="1440" w:right="1800" w:bottom="1440" w:left="1800" w:header="708" w:footer="708" w:gutter="0"/>
          <w:cols w:space="708"/>
          <w:docGrid w:linePitch="360"/>
        </w:sectPr>
      </w:pPr>
    </w:p>
    <w:p w:rsidR="00F23B5E" w:rsidRDefault="009935FE" w:rsidP="00B13B39">
      <w:pPr>
        <w:pStyle w:val="Heading1"/>
        <w:jc w:val="left"/>
      </w:pPr>
      <w:bookmarkStart w:id="100" w:name="_Toc452653390"/>
      <w:bookmarkStart w:id="101" w:name="_Toc400053494"/>
      <w:bookmarkEnd w:id="56"/>
      <w:bookmarkEnd w:id="57"/>
      <w:bookmarkEnd w:id="58"/>
      <w:r>
        <w:lastRenderedPageBreak/>
        <w:t>6</w:t>
      </w:r>
      <w:r w:rsidR="00F23B5E">
        <w:tab/>
        <w:t>BAU and MIT scenarios for Article 5 and non-Article 5 Parties for 1990-2050: Refrigeration and Air Conditioning</w:t>
      </w:r>
      <w:bookmarkEnd w:id="100"/>
    </w:p>
    <w:p w:rsidR="0087471B" w:rsidRPr="00EA1A02" w:rsidRDefault="0087471B" w:rsidP="0087471B">
      <w:pPr>
        <w:rPr>
          <w:color w:val="7030A0"/>
        </w:rPr>
      </w:pPr>
      <w:r w:rsidRPr="00EA1A02">
        <w:rPr>
          <w:color w:val="7030A0"/>
        </w:rPr>
        <w:t xml:space="preserve">This chapter contains the same presentation of scenarios as the March 2016 version of the XXVII/4 Task Force report. </w:t>
      </w:r>
      <w:r w:rsidR="00463E12">
        <w:rPr>
          <w:color w:val="7030A0"/>
        </w:rPr>
        <w:t>Based on comments from Parties on that report at OEWG-37, this revised chapter</w:t>
      </w:r>
      <w:r w:rsidRPr="00EA1A02">
        <w:rPr>
          <w:color w:val="7030A0"/>
        </w:rPr>
        <w:t xml:space="preserve"> also contains the following changes and additions:</w:t>
      </w:r>
    </w:p>
    <w:p w:rsidR="0087471B" w:rsidRPr="00EA1A02" w:rsidRDefault="0087471B" w:rsidP="008A52E4">
      <w:pPr>
        <w:numPr>
          <w:ilvl w:val="0"/>
          <w:numId w:val="56"/>
        </w:numPr>
        <w:ind w:left="714" w:hanging="357"/>
        <w:rPr>
          <w:color w:val="7030A0"/>
        </w:rPr>
      </w:pPr>
      <w:r w:rsidRPr="00EA1A02">
        <w:rPr>
          <w:color w:val="7030A0"/>
        </w:rPr>
        <w:t xml:space="preserve">Consideration of existing regulations as well pending regulations in non-Article 5 </w:t>
      </w:r>
      <w:r w:rsidR="00DB5375">
        <w:rPr>
          <w:color w:val="7030A0"/>
        </w:rPr>
        <w:t>P</w:t>
      </w:r>
      <w:r w:rsidRPr="00EA1A02">
        <w:rPr>
          <w:color w:val="7030A0"/>
        </w:rPr>
        <w:t>arties and the impact of the latter</w:t>
      </w:r>
      <w:r w:rsidR="00CB78A4">
        <w:rPr>
          <w:color w:val="7030A0"/>
        </w:rPr>
        <w:t xml:space="preserve"> (see </w:t>
      </w:r>
      <w:r w:rsidR="0081597F">
        <w:rPr>
          <w:color w:val="7030A0"/>
        </w:rPr>
        <w:t xml:space="preserve">section </w:t>
      </w:r>
      <w:r w:rsidR="00CB78A4">
        <w:rPr>
          <w:color w:val="7030A0"/>
        </w:rPr>
        <w:t>6.1)</w:t>
      </w:r>
      <w:r w:rsidRPr="00EA1A02">
        <w:rPr>
          <w:color w:val="7030A0"/>
        </w:rPr>
        <w:t>;</w:t>
      </w:r>
    </w:p>
    <w:p w:rsidR="0087471B" w:rsidRPr="00EA1A02" w:rsidRDefault="0087471B" w:rsidP="008A52E4">
      <w:pPr>
        <w:numPr>
          <w:ilvl w:val="0"/>
          <w:numId w:val="56"/>
        </w:numPr>
        <w:ind w:left="714" w:hanging="357"/>
        <w:rPr>
          <w:color w:val="7030A0"/>
        </w:rPr>
      </w:pPr>
      <w:r w:rsidRPr="00EA1A02">
        <w:rPr>
          <w:color w:val="7030A0"/>
        </w:rPr>
        <w:t xml:space="preserve">Comparison of the demand in non-Article 5 </w:t>
      </w:r>
      <w:r w:rsidR="00DB5375">
        <w:rPr>
          <w:color w:val="7030A0"/>
        </w:rPr>
        <w:t>P</w:t>
      </w:r>
      <w:r w:rsidRPr="00EA1A02">
        <w:rPr>
          <w:color w:val="7030A0"/>
        </w:rPr>
        <w:t xml:space="preserve">arties between a BAU scenario with </w:t>
      </w:r>
      <w:r w:rsidR="003D28D4" w:rsidRPr="00EA1A02">
        <w:rPr>
          <w:color w:val="7030A0"/>
        </w:rPr>
        <w:t xml:space="preserve">regulations considered </w:t>
      </w:r>
      <w:r w:rsidRPr="00EA1A02">
        <w:rPr>
          <w:color w:val="7030A0"/>
        </w:rPr>
        <w:t xml:space="preserve">(up to 2050) and without regulations </w:t>
      </w:r>
      <w:r w:rsidR="003D28D4" w:rsidRPr="00EA1A02">
        <w:rPr>
          <w:color w:val="7030A0"/>
        </w:rPr>
        <w:t xml:space="preserve">considered </w:t>
      </w:r>
      <w:r w:rsidRPr="00EA1A02">
        <w:rPr>
          <w:color w:val="7030A0"/>
        </w:rPr>
        <w:t>(up to 2030)</w:t>
      </w:r>
      <w:r w:rsidR="00CB78A4">
        <w:rPr>
          <w:color w:val="7030A0"/>
        </w:rPr>
        <w:t xml:space="preserve"> (see </w:t>
      </w:r>
      <w:r w:rsidR="0081597F">
        <w:rPr>
          <w:color w:val="7030A0"/>
        </w:rPr>
        <w:t xml:space="preserve">section </w:t>
      </w:r>
      <w:r w:rsidR="00CB78A4">
        <w:rPr>
          <w:color w:val="7030A0"/>
        </w:rPr>
        <w:t>6.4.1 and Figure 6-3)</w:t>
      </w:r>
      <w:r w:rsidRPr="00EA1A02">
        <w:rPr>
          <w:color w:val="7030A0"/>
        </w:rPr>
        <w:t>;</w:t>
      </w:r>
    </w:p>
    <w:p w:rsidR="003D28D4" w:rsidRPr="00EA1A02" w:rsidRDefault="0087471B" w:rsidP="008A52E4">
      <w:pPr>
        <w:numPr>
          <w:ilvl w:val="0"/>
          <w:numId w:val="56"/>
        </w:numPr>
        <w:ind w:left="714" w:hanging="357"/>
        <w:rPr>
          <w:color w:val="7030A0"/>
        </w:rPr>
      </w:pPr>
      <w:r w:rsidRPr="00EA1A02">
        <w:rPr>
          <w:color w:val="7030A0"/>
        </w:rPr>
        <w:t xml:space="preserve">A revised table on growth percentages for the various R/AC subsectors, for both the new manufacturing and the total demand (in the March version of the XVII/4 TF report </w:t>
      </w:r>
      <w:r w:rsidR="003D28D4" w:rsidRPr="00EA1A02">
        <w:rPr>
          <w:color w:val="7030A0"/>
        </w:rPr>
        <w:t xml:space="preserve">certain percentages of decreasing HCFC demand had been included </w:t>
      </w:r>
      <w:r w:rsidR="004E0F08">
        <w:rPr>
          <w:color w:val="7030A0"/>
        </w:rPr>
        <w:t xml:space="preserve">in the total percentages </w:t>
      </w:r>
      <w:r w:rsidR="003D28D4" w:rsidRPr="00EA1A02">
        <w:rPr>
          <w:color w:val="7030A0"/>
        </w:rPr>
        <w:t>by mistake)</w:t>
      </w:r>
      <w:r w:rsidR="00CB78A4">
        <w:rPr>
          <w:color w:val="7030A0"/>
        </w:rPr>
        <w:t xml:space="preserve"> (see</w:t>
      </w:r>
      <w:r w:rsidR="0081597F">
        <w:rPr>
          <w:color w:val="7030A0"/>
        </w:rPr>
        <w:t xml:space="preserve"> section</w:t>
      </w:r>
      <w:r w:rsidR="00CB78A4">
        <w:rPr>
          <w:color w:val="7030A0"/>
        </w:rPr>
        <w:t xml:space="preserve"> 6.2 and Table 6-1)</w:t>
      </w:r>
      <w:r w:rsidR="003D28D4" w:rsidRPr="00EA1A02">
        <w:rPr>
          <w:color w:val="7030A0"/>
        </w:rPr>
        <w:t>;</w:t>
      </w:r>
    </w:p>
    <w:p w:rsidR="003D28D4" w:rsidRPr="00DF1E74" w:rsidRDefault="003D28D4" w:rsidP="008A52E4">
      <w:pPr>
        <w:numPr>
          <w:ilvl w:val="0"/>
          <w:numId w:val="56"/>
        </w:numPr>
        <w:ind w:left="714" w:hanging="357"/>
        <w:rPr>
          <w:color w:val="7030A0"/>
        </w:rPr>
      </w:pPr>
      <w:r w:rsidRPr="00DF1E74">
        <w:rPr>
          <w:color w:val="7030A0"/>
        </w:rPr>
        <w:t>Additional information on the production of various HFCs, not only the important ones for the R/AC sector</w:t>
      </w:r>
      <w:r w:rsidR="0081597F" w:rsidRPr="00DF1E74">
        <w:rPr>
          <w:color w:val="7030A0"/>
        </w:rPr>
        <w:t xml:space="preserve"> (see section 6.3 and Table 6-2)</w:t>
      </w:r>
      <w:r w:rsidRPr="00DF1E74">
        <w:rPr>
          <w:color w:val="7030A0"/>
        </w:rPr>
        <w:t>;</w:t>
      </w:r>
    </w:p>
    <w:p w:rsidR="00EA1A02" w:rsidRPr="00DF1E74" w:rsidRDefault="003D28D4" w:rsidP="008A52E4">
      <w:pPr>
        <w:numPr>
          <w:ilvl w:val="0"/>
          <w:numId w:val="56"/>
        </w:numPr>
        <w:ind w:left="714" w:hanging="357"/>
        <w:rPr>
          <w:color w:val="7030A0"/>
          <w:lang w:eastAsia="ja-JP"/>
        </w:rPr>
      </w:pPr>
      <w:r w:rsidRPr="00DF1E74">
        <w:rPr>
          <w:color w:val="7030A0"/>
        </w:rPr>
        <w:t>Addition of an 18</w:t>
      </w:r>
      <w:r w:rsidR="00F5335B">
        <w:rPr>
          <w:color w:val="7030A0"/>
        </w:rPr>
        <w:t>-</w:t>
      </w:r>
      <w:r w:rsidRPr="00DF1E74">
        <w:rPr>
          <w:color w:val="7030A0"/>
        </w:rPr>
        <w:t>year manufacturing conversion period for the Article 5 MIT-3 scenario and its impact on total demand</w:t>
      </w:r>
      <w:r w:rsidR="0081597F" w:rsidRPr="00DF1E74">
        <w:rPr>
          <w:color w:val="7030A0"/>
        </w:rPr>
        <w:t xml:space="preserve"> (see section 6.5)</w:t>
      </w:r>
      <w:r w:rsidR="00EA1A02" w:rsidRPr="00DF1E74">
        <w:rPr>
          <w:color w:val="7030A0"/>
        </w:rPr>
        <w:t xml:space="preserve">; </w:t>
      </w:r>
    </w:p>
    <w:p w:rsidR="005B6E68" w:rsidRDefault="00EA1A02" w:rsidP="008A52E4">
      <w:pPr>
        <w:numPr>
          <w:ilvl w:val="0"/>
          <w:numId w:val="56"/>
        </w:numPr>
        <w:ind w:left="714" w:hanging="357"/>
        <w:rPr>
          <w:color w:val="7030A0"/>
        </w:rPr>
      </w:pPr>
      <w:r w:rsidRPr="00DF1E74">
        <w:rPr>
          <w:color w:val="7030A0"/>
        </w:rPr>
        <w:t xml:space="preserve">Related to this chapter, </w:t>
      </w:r>
      <w:r w:rsidR="00F5335B">
        <w:rPr>
          <w:color w:val="7030A0"/>
        </w:rPr>
        <w:t xml:space="preserve">Annex 3 </w:t>
      </w:r>
      <w:r w:rsidR="004E0F08">
        <w:rPr>
          <w:color w:val="7030A0"/>
        </w:rPr>
        <w:t xml:space="preserve">to </w:t>
      </w:r>
      <w:r w:rsidR="00F5335B">
        <w:rPr>
          <w:color w:val="7030A0"/>
        </w:rPr>
        <w:t xml:space="preserve">this report provides an overview of final regulations from the EU, USA, and Japan addressing HFCs considered for the scenarios and </w:t>
      </w:r>
      <w:r w:rsidRPr="00DF1E74">
        <w:rPr>
          <w:color w:val="7030A0"/>
        </w:rPr>
        <w:t xml:space="preserve">Annex </w:t>
      </w:r>
      <w:r w:rsidR="00191413">
        <w:rPr>
          <w:color w:val="7030A0"/>
        </w:rPr>
        <w:t>4</w:t>
      </w:r>
      <w:r w:rsidRPr="00DF1E74">
        <w:rPr>
          <w:color w:val="7030A0"/>
        </w:rPr>
        <w:t xml:space="preserve"> contains updated tables for total, new manufacturing, and servicing dema</w:t>
      </w:r>
      <w:r w:rsidRPr="00EA1A02">
        <w:rPr>
          <w:color w:val="7030A0"/>
        </w:rPr>
        <w:t>nd</w:t>
      </w:r>
      <w:r w:rsidR="004E0F08">
        <w:rPr>
          <w:color w:val="7030A0"/>
        </w:rPr>
        <w:t xml:space="preserve">; and </w:t>
      </w:r>
    </w:p>
    <w:p w:rsidR="0087471B" w:rsidRPr="00EA1A02" w:rsidRDefault="005B6E68" w:rsidP="008A52E4">
      <w:pPr>
        <w:numPr>
          <w:ilvl w:val="0"/>
          <w:numId w:val="56"/>
        </w:numPr>
        <w:ind w:left="714" w:hanging="357"/>
        <w:rPr>
          <w:color w:val="7030A0"/>
        </w:rPr>
      </w:pPr>
      <w:r>
        <w:rPr>
          <w:color w:val="7030A0"/>
        </w:rPr>
        <w:t>Costs estimates have not change</w:t>
      </w:r>
      <w:r w:rsidR="004E0F08">
        <w:rPr>
          <w:color w:val="7030A0"/>
        </w:rPr>
        <w:t xml:space="preserve">d as presented in previous </w:t>
      </w:r>
      <w:r w:rsidR="000409F4">
        <w:rPr>
          <w:color w:val="7030A0"/>
        </w:rPr>
        <w:t xml:space="preserve">Task Force </w:t>
      </w:r>
      <w:r w:rsidR="004E0F08">
        <w:rPr>
          <w:color w:val="7030A0"/>
        </w:rPr>
        <w:t>reports.</w:t>
      </w:r>
      <w:r w:rsidR="004E0F08" w:rsidRPr="00EA1A02">
        <w:rPr>
          <w:i/>
          <w:color w:val="7030A0"/>
        </w:rPr>
        <w:t xml:space="preserve"> </w:t>
      </w:r>
      <w:r w:rsidR="0087471B" w:rsidRPr="00EA1A02">
        <w:rPr>
          <w:i/>
          <w:color w:val="7030A0"/>
        </w:rPr>
        <w:br/>
      </w:r>
    </w:p>
    <w:p w:rsidR="00F23B5E" w:rsidRDefault="00F23B5E" w:rsidP="00F23B5E">
      <w:pPr>
        <w:spacing w:after="120"/>
        <w:rPr>
          <w:lang w:eastAsia="ja-JP"/>
        </w:rPr>
      </w:pPr>
      <w:r>
        <w:rPr>
          <w:lang w:eastAsia="ja-JP"/>
        </w:rPr>
        <w:t>T</w:t>
      </w:r>
      <w:r w:rsidR="0087471B">
        <w:rPr>
          <w:lang w:eastAsia="ja-JP"/>
        </w:rPr>
        <w:t>he</w:t>
      </w:r>
      <w:r>
        <w:rPr>
          <w:lang w:eastAsia="ja-JP"/>
        </w:rPr>
        <w:t xml:space="preserve"> chapter is organized as follows:</w:t>
      </w:r>
    </w:p>
    <w:p w:rsidR="00F23B5E" w:rsidRDefault="009935FE" w:rsidP="00F23B5E">
      <w:pPr>
        <w:rPr>
          <w:lang w:eastAsia="ja-JP"/>
        </w:rPr>
      </w:pPr>
      <w:r>
        <w:rPr>
          <w:lang w:eastAsia="ja-JP"/>
        </w:rPr>
        <w:t>6</w:t>
      </w:r>
      <w:r w:rsidR="00F23B5E">
        <w:rPr>
          <w:lang w:eastAsia="ja-JP"/>
        </w:rPr>
        <w:t xml:space="preserve">.1    </w:t>
      </w:r>
      <w:r w:rsidR="00F23B5E">
        <w:rPr>
          <w:lang w:eastAsia="ja-JP"/>
        </w:rPr>
        <w:tab/>
        <w:t>Expansion of scenarios</w:t>
      </w:r>
    </w:p>
    <w:p w:rsidR="00F23B5E" w:rsidRDefault="009935FE" w:rsidP="00F23B5E">
      <w:pPr>
        <w:rPr>
          <w:lang w:eastAsia="ja-JP"/>
        </w:rPr>
      </w:pPr>
      <w:r>
        <w:rPr>
          <w:lang w:eastAsia="ja-JP"/>
        </w:rPr>
        <w:t>6</w:t>
      </w:r>
      <w:r w:rsidR="00F23B5E">
        <w:rPr>
          <w:lang w:eastAsia="ja-JP"/>
        </w:rPr>
        <w:t xml:space="preserve">.2 </w:t>
      </w:r>
      <w:r w:rsidR="00F23B5E">
        <w:rPr>
          <w:lang w:eastAsia="ja-JP"/>
        </w:rPr>
        <w:tab/>
        <w:t>Method used for calculation</w:t>
      </w:r>
    </w:p>
    <w:p w:rsidR="00F23B5E" w:rsidRDefault="009935FE" w:rsidP="00F23B5E">
      <w:pPr>
        <w:rPr>
          <w:lang w:eastAsia="ja-JP"/>
        </w:rPr>
      </w:pPr>
      <w:r>
        <w:rPr>
          <w:lang w:eastAsia="ja-JP"/>
        </w:rPr>
        <w:t>6</w:t>
      </w:r>
      <w:r w:rsidR="00F23B5E">
        <w:rPr>
          <w:lang w:eastAsia="ja-JP"/>
        </w:rPr>
        <w:t xml:space="preserve">.3 </w:t>
      </w:r>
      <w:r w:rsidR="00F23B5E">
        <w:rPr>
          <w:lang w:eastAsia="ja-JP"/>
        </w:rPr>
        <w:tab/>
        <w:t>HFC consumption and production data</w:t>
      </w:r>
    </w:p>
    <w:p w:rsidR="00F23B5E" w:rsidRDefault="009935FE" w:rsidP="00F23B5E">
      <w:pPr>
        <w:rPr>
          <w:lang w:eastAsia="ja-JP"/>
        </w:rPr>
      </w:pPr>
      <w:r>
        <w:rPr>
          <w:lang w:eastAsia="ja-JP"/>
        </w:rPr>
        <w:t>6</w:t>
      </w:r>
      <w:r w:rsidR="00F23B5E">
        <w:rPr>
          <w:lang w:eastAsia="ja-JP"/>
        </w:rPr>
        <w:t xml:space="preserve">.4 </w:t>
      </w:r>
      <w:r w:rsidR="00F23B5E">
        <w:rPr>
          <w:lang w:eastAsia="ja-JP"/>
        </w:rPr>
        <w:tab/>
        <w:t>Non-Article 5 scenarios</w:t>
      </w:r>
    </w:p>
    <w:p w:rsidR="00F23B5E" w:rsidRDefault="009935FE" w:rsidP="00F23B5E">
      <w:pPr>
        <w:rPr>
          <w:lang w:eastAsia="ja-JP"/>
        </w:rPr>
      </w:pPr>
      <w:r>
        <w:rPr>
          <w:lang w:eastAsia="ja-JP"/>
        </w:rPr>
        <w:t>6</w:t>
      </w:r>
      <w:r w:rsidR="00F23B5E">
        <w:rPr>
          <w:lang w:eastAsia="ja-JP"/>
        </w:rPr>
        <w:t xml:space="preserve">.5 </w:t>
      </w:r>
      <w:r w:rsidR="00F23B5E">
        <w:rPr>
          <w:lang w:eastAsia="ja-JP"/>
        </w:rPr>
        <w:tab/>
        <w:t>Article 5 scenarios</w:t>
      </w:r>
    </w:p>
    <w:p w:rsidR="00F23B5E" w:rsidRDefault="009935FE" w:rsidP="00F23B5E">
      <w:pPr>
        <w:rPr>
          <w:lang w:eastAsia="ja-JP"/>
        </w:rPr>
      </w:pPr>
      <w:r>
        <w:rPr>
          <w:lang w:eastAsia="ja-JP"/>
        </w:rPr>
        <w:t>6</w:t>
      </w:r>
      <w:r w:rsidR="00F23B5E">
        <w:rPr>
          <w:lang w:eastAsia="ja-JP"/>
        </w:rPr>
        <w:t>.6</w:t>
      </w:r>
      <w:r w:rsidR="00F23B5E">
        <w:rPr>
          <w:lang w:eastAsia="ja-JP"/>
        </w:rPr>
        <w:tab/>
        <w:t>Demand and benefit numbers</w:t>
      </w:r>
    </w:p>
    <w:p w:rsidR="00F23B5E" w:rsidRPr="00BA381D" w:rsidRDefault="009935FE" w:rsidP="00F23B5E">
      <w:pPr>
        <w:pStyle w:val="Heading2"/>
        <w:tabs>
          <w:tab w:val="clear" w:pos="1080"/>
          <w:tab w:val="left" w:pos="900"/>
        </w:tabs>
        <w:spacing w:before="120"/>
      </w:pPr>
      <w:bookmarkStart w:id="102" w:name="_Toc452653391"/>
      <w:r>
        <w:t>6</w:t>
      </w:r>
      <w:r w:rsidR="00F23B5E" w:rsidRPr="00BA381D">
        <w:t>.</w:t>
      </w:r>
      <w:r w:rsidR="00F23B5E">
        <w:t>1</w:t>
      </w:r>
      <w:r w:rsidR="00F23B5E" w:rsidRPr="00BA381D">
        <w:tab/>
      </w:r>
      <w:r w:rsidR="00F23B5E">
        <w:tab/>
        <w:t>Expansion of scenarios</w:t>
      </w:r>
      <w:bookmarkEnd w:id="102"/>
    </w:p>
    <w:p w:rsidR="00F23B5E" w:rsidRDefault="00F23B5E" w:rsidP="00F23B5E">
      <w:r>
        <w:t xml:space="preserve">The previous Decision XXVI/9 paragraph 1 (c) asks to revise the scenarios: “Taking into account the uptake of various existing technologies, revise the scenarios for current and future demand elaborated in the October 2014 final report on additional information on alternatives to ozone-depleting substances of the Technology and Economic Assessment Panel’s task force on decision XXV/5, and improve information related to costs and benefits with regard to the criteria set out in paragraph 1 (a) of the present decision, including reference to progress identified under stage I and stage II of </w:t>
      </w:r>
      <w:r w:rsidR="006C1D49" w:rsidRPr="006C1D49">
        <w:t>HCFC Phase-out Management Plans</w:t>
      </w:r>
      <w:r>
        <w:t>”.</w:t>
      </w:r>
    </w:p>
    <w:p w:rsidR="00F23B5E" w:rsidRDefault="00F23B5E" w:rsidP="00F23B5E">
      <w:pPr>
        <w:pStyle w:val="BodyText"/>
      </w:pPr>
    </w:p>
    <w:p w:rsidR="00F23B5E" w:rsidRDefault="00F23B5E" w:rsidP="00F23B5E">
      <w:pPr>
        <w:pStyle w:val="BodyText"/>
      </w:pPr>
      <w:r>
        <w:t>The current Decision XXVII/4 requests to expand the scenarios to the period 1990-2050, twenty years after 2030 which was the last year in the scenarios used in the XXVI/9 Task Force report (UNEP, 2015).</w:t>
      </w:r>
    </w:p>
    <w:p w:rsidR="00F23B5E" w:rsidRDefault="00F23B5E" w:rsidP="00F23B5E">
      <w:pPr>
        <w:pStyle w:val="BodyText"/>
      </w:pPr>
    </w:p>
    <w:p w:rsidR="00F23B5E" w:rsidRPr="00DF1E74" w:rsidRDefault="00F23B5E" w:rsidP="004D6272">
      <w:pPr>
        <w:pStyle w:val="BodyText"/>
        <w:spacing w:after="60"/>
      </w:pPr>
      <w:r>
        <w:t xml:space="preserve">The following scenarios have again been calculated, which apply to the R/AC sector only for this first report of the </w:t>
      </w:r>
      <w:r w:rsidRPr="00DF1E74">
        <w:t>XXVII/4 Task Force submitted to OEWG-37:</w:t>
      </w:r>
    </w:p>
    <w:p w:rsidR="00F23B5E" w:rsidRDefault="00F23B5E" w:rsidP="00091F24">
      <w:pPr>
        <w:pStyle w:val="BodyText"/>
        <w:numPr>
          <w:ilvl w:val="0"/>
          <w:numId w:val="25"/>
        </w:numPr>
        <w:spacing w:after="40"/>
        <w:ind w:left="714" w:hanging="357"/>
      </w:pPr>
      <w:r w:rsidRPr="00DF1E74">
        <w:t xml:space="preserve">A BAU scenario: </w:t>
      </w:r>
      <w:r w:rsidR="00826329" w:rsidRPr="00DF1E74">
        <w:t xml:space="preserve">The Task Force is aware of various regulations and actions as well as pending regulations </w:t>
      </w:r>
      <w:r w:rsidR="007A3DD2">
        <w:t xml:space="preserve">applied </w:t>
      </w:r>
      <w:r w:rsidR="00826329" w:rsidRPr="00DF1E74">
        <w:t xml:space="preserve">by </w:t>
      </w:r>
      <w:r w:rsidR="007A3DD2">
        <w:t>P</w:t>
      </w:r>
      <w:r w:rsidR="00826329" w:rsidRPr="00DF1E74">
        <w:t xml:space="preserve">arties. </w:t>
      </w:r>
      <w:r w:rsidR="007A3DD2">
        <w:t>T</w:t>
      </w:r>
      <w:r w:rsidRPr="00DF1E74">
        <w:t xml:space="preserve">his implies </w:t>
      </w:r>
      <w:r w:rsidR="00826329" w:rsidRPr="00DF1E74">
        <w:t xml:space="preserve">that </w:t>
      </w:r>
      <w:r w:rsidRPr="00DF1E74">
        <w:t>the F-gas regulation in the E</w:t>
      </w:r>
      <w:r w:rsidR="00DB5375">
        <w:t xml:space="preserve">uropean Union (EU) </w:t>
      </w:r>
      <w:r w:rsidRPr="00DF1E74">
        <w:t xml:space="preserve">and regulations in the </w:t>
      </w:r>
      <w:r w:rsidR="00DB5375">
        <w:t xml:space="preserve">United </w:t>
      </w:r>
      <w:r w:rsidR="00DB5375" w:rsidRPr="004E0F08">
        <w:t>States (US)</w:t>
      </w:r>
      <w:r w:rsidR="007A3DD2" w:rsidRPr="008A52E4">
        <w:t>,</w:t>
      </w:r>
      <w:r w:rsidRPr="008A52E4">
        <w:t xml:space="preserve"> making certain HFCs unacceptable for certain sub-sectors by specific dates</w:t>
      </w:r>
      <w:r w:rsidR="007A3DD2" w:rsidRPr="008A52E4">
        <w:t>,</w:t>
      </w:r>
      <w:r w:rsidR="00826329" w:rsidRPr="008A52E4">
        <w:t xml:space="preserve"> have been considered as their impacts are very specific to the R/AC sectors and sub-sectors (see also </w:t>
      </w:r>
      <w:r w:rsidR="00091F24" w:rsidRPr="008A52E4">
        <w:t>Annex 3, where specific elements of these regulations are given</w:t>
      </w:r>
      <w:r w:rsidR="004E0F08" w:rsidRPr="008A52E4">
        <w:t xml:space="preserve">; </w:t>
      </w:r>
      <w:r w:rsidR="00F5335B" w:rsidRPr="008A52E4">
        <w:t xml:space="preserve">the final regulation of </w:t>
      </w:r>
      <w:r w:rsidR="00091F24" w:rsidRPr="008A52E4">
        <w:t>Japan has not been</w:t>
      </w:r>
      <w:r w:rsidR="005B6E68" w:rsidRPr="008A52E4">
        <w:t xml:space="preserve"> incorporated in th</w:t>
      </w:r>
      <w:r w:rsidR="004E0F08" w:rsidRPr="008A52E4">
        <w:t xml:space="preserve">e BAU </w:t>
      </w:r>
      <w:r w:rsidR="005B6E68" w:rsidRPr="008A52E4">
        <w:t xml:space="preserve">scenarios </w:t>
      </w:r>
      <w:r w:rsidR="00091F24" w:rsidRPr="008A52E4">
        <w:t>considered in this study).</w:t>
      </w:r>
      <w:r w:rsidRPr="008A52E4">
        <w:t xml:space="preserve"> </w:t>
      </w:r>
      <w:r w:rsidR="00663D75" w:rsidRPr="008A52E4">
        <w:t xml:space="preserve">This </w:t>
      </w:r>
      <w:r w:rsidR="00663D75" w:rsidRPr="008A52E4">
        <w:lastRenderedPageBreak/>
        <w:t xml:space="preserve">implies that, in the </w:t>
      </w:r>
      <w:r w:rsidR="00DB5375" w:rsidRPr="008A52E4">
        <w:t>business-as usual (</w:t>
      </w:r>
      <w:r w:rsidR="00663D75" w:rsidRPr="008A52E4">
        <w:t>BAU</w:t>
      </w:r>
      <w:r w:rsidR="00DB5375" w:rsidRPr="008A52E4">
        <w:t>)</w:t>
      </w:r>
      <w:r w:rsidR="00D35F5D" w:rsidRPr="008A52E4">
        <w:t xml:space="preserve"> calculation</w:t>
      </w:r>
      <w:r w:rsidR="00663D75" w:rsidRPr="008A52E4">
        <w:t xml:space="preserve">, certain high GWP substances in specific subsectors </w:t>
      </w:r>
      <w:r w:rsidR="00D35F5D" w:rsidRPr="008A52E4">
        <w:t xml:space="preserve">are </w:t>
      </w:r>
      <w:r w:rsidR="00663D75" w:rsidRPr="008A52E4">
        <w:t>replaced by low</w:t>
      </w:r>
      <w:r w:rsidR="00D35F5D" w:rsidRPr="008A52E4">
        <w:t xml:space="preserve"> or lower </w:t>
      </w:r>
      <w:r w:rsidR="00663D75" w:rsidRPr="008A52E4">
        <w:t xml:space="preserve"> GWP substances. In this way</w:t>
      </w:r>
      <w:r w:rsidR="00663D75">
        <w:t xml:space="preserve"> it responds </w:t>
      </w:r>
      <w:r w:rsidR="00663D75" w:rsidRPr="006D7E05">
        <w:t xml:space="preserve">to comments the XXVI/9 Task Force already received at OEWG-36 and at </w:t>
      </w:r>
      <w:r w:rsidR="00D238D6" w:rsidRPr="00AD5DD6">
        <w:t>MOP-27</w:t>
      </w:r>
      <w:r w:rsidR="00663D75" w:rsidRPr="006D7E05">
        <w:t xml:space="preserve">. </w:t>
      </w:r>
      <w:r w:rsidR="004C392C" w:rsidRPr="006D7E05">
        <w:t>The</w:t>
      </w:r>
      <w:r w:rsidR="004C392C">
        <w:t xml:space="preserve"> changes incorporated mainly apply to commercial refrigeration and, to a small degree, to stationary air conditioning. </w:t>
      </w:r>
      <w:r w:rsidR="00663D75">
        <w:t>I</w:t>
      </w:r>
      <w:r>
        <w:t xml:space="preserve">n Article 5 Parties, economic growth percentages expected for the period 2015-2050 are </w:t>
      </w:r>
      <w:r w:rsidR="00663D75">
        <w:t xml:space="preserve">virtually the same as </w:t>
      </w:r>
      <w:r>
        <w:t xml:space="preserve">the ones in the XXVI/9 report. </w:t>
      </w:r>
      <w:r w:rsidR="009935FE">
        <w:t xml:space="preserve">In this report, the impact of a BAU scenario without and with certain national or regional legislations </w:t>
      </w:r>
      <w:r w:rsidR="007A3DD2">
        <w:t xml:space="preserve">is </w:t>
      </w:r>
      <w:r w:rsidR="009935FE">
        <w:t>shown</w:t>
      </w:r>
      <w:r w:rsidR="007A3DD2">
        <w:t>.</w:t>
      </w:r>
    </w:p>
    <w:p w:rsidR="00F23B5E" w:rsidRDefault="00F23B5E" w:rsidP="00091F24">
      <w:pPr>
        <w:pStyle w:val="BodyText"/>
        <w:numPr>
          <w:ilvl w:val="0"/>
          <w:numId w:val="25"/>
        </w:numPr>
        <w:spacing w:after="40"/>
      </w:pPr>
      <w:r>
        <w:t xml:space="preserve">An MIT-3 scenario: A </w:t>
      </w:r>
      <w:r w:rsidRPr="00CA4B4E">
        <w:t>202</w:t>
      </w:r>
      <w:r>
        <w:t>0</w:t>
      </w:r>
      <w:r w:rsidRPr="00CA4B4E">
        <w:t xml:space="preserve"> </w:t>
      </w:r>
      <w:r w:rsidRPr="009527F8">
        <w:rPr>
          <w:i/>
        </w:rPr>
        <w:t xml:space="preserve">completion of </w:t>
      </w:r>
      <w:r w:rsidRPr="00CA4B4E">
        <w:t xml:space="preserve">conversion in </w:t>
      </w:r>
      <w:r>
        <w:t>n</w:t>
      </w:r>
      <w:r w:rsidRPr="00CA4B4E">
        <w:t xml:space="preserve">on-Article </w:t>
      </w:r>
      <w:r>
        <w:t>5 Parties</w:t>
      </w:r>
      <w:r w:rsidRPr="00CA4B4E">
        <w:t xml:space="preserve"> of all R/AC </w:t>
      </w:r>
      <w:r>
        <w:t>sub-sector</w:t>
      </w:r>
      <w:r w:rsidRPr="00CA4B4E">
        <w:t xml:space="preserve">s and the start of the manufacturing conversion of all R/AC </w:t>
      </w:r>
      <w:r>
        <w:t>sub-sector</w:t>
      </w:r>
      <w:r w:rsidRPr="00CA4B4E">
        <w:t xml:space="preserve">s </w:t>
      </w:r>
      <w:r>
        <w:t xml:space="preserve">in 2020 </w:t>
      </w:r>
      <w:r w:rsidRPr="00CA4B4E">
        <w:t xml:space="preserve">in Article </w:t>
      </w:r>
      <w:r>
        <w:t>5 Parties, now with consequences for the period 2020-2050.</w:t>
      </w:r>
    </w:p>
    <w:p w:rsidR="00F23B5E" w:rsidRDefault="00F23B5E" w:rsidP="00091F24">
      <w:pPr>
        <w:pStyle w:val="BodyText"/>
        <w:numPr>
          <w:ilvl w:val="0"/>
          <w:numId w:val="25"/>
        </w:numPr>
        <w:spacing w:after="40"/>
      </w:pPr>
      <w:r>
        <w:t>An MIT-4 scenario: This is the same as the MIT-3 scenario, but with the assumption of 2025 for the start of the manufacturing conversion for stationary AC in Article 5 Parties, now with consequences for the period 2020-2050.</w:t>
      </w:r>
    </w:p>
    <w:p w:rsidR="00F23B5E" w:rsidRDefault="00F23B5E" w:rsidP="00091F24">
      <w:pPr>
        <w:pStyle w:val="BodyText"/>
        <w:numPr>
          <w:ilvl w:val="0"/>
          <w:numId w:val="25"/>
        </w:numPr>
        <w:spacing w:after="40"/>
        <w:ind w:left="714" w:hanging="357"/>
      </w:pPr>
      <w:r w:rsidRPr="00CA4B4E">
        <w:t xml:space="preserve">An MIT-5 scenario: This is the same as the MIT-3 scenario, but with the assumption of a 2025 </w:t>
      </w:r>
      <w:r w:rsidRPr="00CA4B4E">
        <w:rPr>
          <w:i/>
        </w:rPr>
        <w:t xml:space="preserve">completion of </w:t>
      </w:r>
      <w:r w:rsidRPr="00CA4B4E">
        <w:t xml:space="preserve">conversion in </w:t>
      </w:r>
      <w:r>
        <w:t>n</w:t>
      </w:r>
      <w:r w:rsidRPr="00CA4B4E">
        <w:t xml:space="preserve">on-Article </w:t>
      </w:r>
      <w:r>
        <w:t>5 Parties</w:t>
      </w:r>
      <w:r w:rsidRPr="00CA4B4E">
        <w:t xml:space="preserve"> of all R/AC </w:t>
      </w:r>
      <w:r>
        <w:t>sub-sector</w:t>
      </w:r>
      <w:r w:rsidRPr="00CA4B4E">
        <w:t xml:space="preserve">s and the start of the manufacturing conversion of all R/AC </w:t>
      </w:r>
      <w:r>
        <w:t>sub-sector</w:t>
      </w:r>
      <w:r w:rsidRPr="00CA4B4E">
        <w:t xml:space="preserve">s </w:t>
      </w:r>
      <w:r>
        <w:t xml:space="preserve">in 2025 </w:t>
      </w:r>
      <w:r w:rsidRPr="00CA4B4E">
        <w:t xml:space="preserve">in Article </w:t>
      </w:r>
      <w:r>
        <w:t>5 Parties, now with consequences for the period 2020-2050</w:t>
      </w:r>
    </w:p>
    <w:p w:rsidR="00F23B5E" w:rsidRDefault="00F23B5E" w:rsidP="008A52E4">
      <w:pPr>
        <w:pStyle w:val="BodyText"/>
        <w:spacing w:after="160"/>
      </w:pPr>
      <w:r>
        <w:t xml:space="preserve">For Article 5 Parties, manufacturing conversion projects would need preparation to be funded; it would also </w:t>
      </w:r>
      <w:r w:rsidR="00D238D6" w:rsidRPr="00AD5DD6">
        <w:t>take</w:t>
      </w:r>
      <w:r w:rsidR="00D238D6" w:rsidRPr="006D7E05">
        <w:t xml:space="preserve"> </w:t>
      </w:r>
      <w:r w:rsidRPr="006D7E05">
        <w:t xml:space="preserve">a certain period </w:t>
      </w:r>
      <w:r w:rsidR="00D238D6" w:rsidRPr="00AD5DD6">
        <w:t>of time</w:t>
      </w:r>
      <w:r w:rsidR="00D238D6" w:rsidRPr="006D7E05">
        <w:t xml:space="preserve"> </w:t>
      </w:r>
      <w:r w:rsidRPr="006D7E05">
        <w:t>before</w:t>
      </w:r>
      <w:r>
        <w:t xml:space="preserve"> conversion projects would have been approved by a funding authority</w:t>
      </w:r>
      <w:r w:rsidR="00250AEC">
        <w:t>, so that they can be initiated</w:t>
      </w:r>
      <w:r>
        <w:t>. Finally, experience with CFCs and HCFCs has shown that, the slower the conversion of manufacturing, the longer the servicing tail will be, i.e., the longer servicing of equipment will be required</w:t>
      </w:r>
      <w:r w:rsidR="00D35F5D">
        <w:t xml:space="preserve"> (see sections </w:t>
      </w:r>
      <w:r w:rsidR="009935FE">
        <w:t>6</w:t>
      </w:r>
      <w:r w:rsidR="00D35F5D">
        <w:t xml:space="preserve">.5.3 and </w:t>
      </w:r>
      <w:r w:rsidR="009935FE">
        <w:t>6</w:t>
      </w:r>
      <w:r w:rsidR="00D35F5D">
        <w:t xml:space="preserve">.5.5 taken from </w:t>
      </w:r>
      <w:r w:rsidR="00FA1BAE">
        <w:t>(</w:t>
      </w:r>
      <w:r w:rsidR="00D35F5D">
        <w:t>UNEP, 2015</w:t>
      </w:r>
      <w:r w:rsidR="00FA1BAE">
        <w:t>)</w:t>
      </w:r>
      <w:r w:rsidR="00D35F5D">
        <w:t>)</w:t>
      </w:r>
      <w:r>
        <w:t xml:space="preserve">. </w:t>
      </w:r>
    </w:p>
    <w:p w:rsidR="00F23B5E" w:rsidRDefault="00F23B5E" w:rsidP="00F23B5E">
      <w:pPr>
        <w:pStyle w:val="BodyText"/>
      </w:pPr>
      <w:r w:rsidRPr="00CA4B4E">
        <w:t xml:space="preserve">In this chapter the </w:t>
      </w:r>
      <w:r>
        <w:t xml:space="preserve">1990-2050 </w:t>
      </w:r>
      <w:r w:rsidRPr="00CA4B4E">
        <w:t>scenarios will be given in the following sequence. First</w:t>
      </w:r>
      <w:r w:rsidR="00250AEC">
        <w:t>,</w:t>
      </w:r>
      <w:r w:rsidRPr="00CA4B4E">
        <w:t xml:space="preserve"> the BAU scenario for </w:t>
      </w:r>
      <w:r>
        <w:t>n</w:t>
      </w:r>
      <w:r w:rsidRPr="00CA4B4E">
        <w:t xml:space="preserve">on-Article </w:t>
      </w:r>
      <w:r>
        <w:t>5 Parties</w:t>
      </w:r>
      <w:r w:rsidRPr="00CA4B4E">
        <w:t xml:space="preserve"> will be dealt with, which will be analysed in tonnes and ktonnes CO</w:t>
      </w:r>
      <w:r w:rsidRPr="00CA4B4E">
        <w:rPr>
          <w:vertAlign w:val="subscript"/>
        </w:rPr>
        <w:t>2</w:t>
      </w:r>
      <w:r w:rsidRPr="00CA4B4E">
        <w:t xml:space="preserve">-eq. This is then followed by the MIT-3 and MIT-5 scenarios for </w:t>
      </w:r>
      <w:r>
        <w:t>n</w:t>
      </w:r>
      <w:r w:rsidRPr="00CA4B4E">
        <w:t xml:space="preserve">on-Article </w:t>
      </w:r>
      <w:r>
        <w:t>5 Parties</w:t>
      </w:r>
      <w:r w:rsidRPr="00CA4B4E">
        <w:t xml:space="preserve">; new manufacturing and servicing </w:t>
      </w:r>
      <w:r>
        <w:t xml:space="preserve">figures are given </w:t>
      </w:r>
      <w:r w:rsidRPr="00CA4B4E">
        <w:t>in ktonnes CO</w:t>
      </w:r>
      <w:r w:rsidRPr="00CA4B4E">
        <w:rPr>
          <w:vertAlign w:val="subscript"/>
        </w:rPr>
        <w:t>2</w:t>
      </w:r>
      <w:r w:rsidRPr="00CA4B4E">
        <w:t>-eq. (not in tonnes). As a next step</w:t>
      </w:r>
      <w:r w:rsidR="00250AEC">
        <w:t>,</w:t>
      </w:r>
      <w:r w:rsidRPr="00CA4B4E">
        <w:t xml:space="preserve"> the Article 5 scenarios are given. Again, first the BAU scenario for Article </w:t>
      </w:r>
      <w:r>
        <w:t>5 Parties</w:t>
      </w:r>
      <w:r w:rsidRPr="00CA4B4E">
        <w:t xml:space="preserve"> will be dealt with, which will be </w:t>
      </w:r>
      <w:r>
        <w:t xml:space="preserve">presented </w:t>
      </w:r>
      <w:r w:rsidRPr="00CA4B4E">
        <w:t>in tonnes and ktonnes CO</w:t>
      </w:r>
      <w:r w:rsidRPr="00CA4B4E">
        <w:rPr>
          <w:vertAlign w:val="subscript"/>
        </w:rPr>
        <w:t>2</w:t>
      </w:r>
      <w:r w:rsidRPr="00CA4B4E">
        <w:t xml:space="preserve">-eq. This is then followed by the MIT-3, MIT-4 and MIT-5 scenarios for Article </w:t>
      </w:r>
      <w:r>
        <w:t>5 Parties</w:t>
      </w:r>
      <w:r w:rsidRPr="00CA4B4E">
        <w:t xml:space="preserve">; new manufacturing and servicing </w:t>
      </w:r>
      <w:r>
        <w:t xml:space="preserve">figures are given in tonnes and in </w:t>
      </w:r>
      <w:r w:rsidRPr="00CA4B4E">
        <w:t>ktonnes CO</w:t>
      </w:r>
      <w:r w:rsidRPr="00CA4B4E">
        <w:rPr>
          <w:vertAlign w:val="subscript"/>
        </w:rPr>
        <w:t>2</w:t>
      </w:r>
      <w:r w:rsidRPr="00CA4B4E">
        <w:t>-eq.</w:t>
      </w:r>
    </w:p>
    <w:p w:rsidR="00F23B5E" w:rsidRPr="00FA1BAE" w:rsidRDefault="00F23B5E" w:rsidP="00F23B5E">
      <w:pPr>
        <w:pStyle w:val="BodyText"/>
        <w:rPr>
          <w:szCs w:val="22"/>
        </w:rPr>
      </w:pPr>
      <w:r w:rsidRPr="00FA1BAE">
        <w:rPr>
          <w:szCs w:val="22"/>
        </w:rPr>
        <w:t xml:space="preserve"> </w:t>
      </w:r>
    </w:p>
    <w:p w:rsidR="00F23B5E" w:rsidRPr="00BA381D" w:rsidRDefault="009935FE" w:rsidP="00F23B5E">
      <w:pPr>
        <w:pStyle w:val="Heading2"/>
      </w:pPr>
      <w:bookmarkStart w:id="103" w:name="_Toc452653392"/>
      <w:r>
        <w:t>6</w:t>
      </w:r>
      <w:r w:rsidR="00F23B5E" w:rsidRPr="00BA381D">
        <w:t>.</w:t>
      </w:r>
      <w:r w:rsidR="00F23B5E">
        <w:t>2</w:t>
      </w:r>
      <w:r w:rsidR="00F23B5E" w:rsidRPr="00BA381D">
        <w:t xml:space="preserve"> </w:t>
      </w:r>
      <w:r w:rsidR="00F23B5E" w:rsidRPr="00BA381D">
        <w:tab/>
      </w:r>
      <w:r w:rsidR="00F23B5E">
        <w:tab/>
      </w:r>
      <w:r w:rsidR="00F23B5E" w:rsidRPr="00BA381D">
        <w:t>Method used for calculation</w:t>
      </w:r>
      <w:bookmarkEnd w:id="103"/>
    </w:p>
    <w:p w:rsidR="00F23B5E" w:rsidRDefault="00F23B5E" w:rsidP="00FA1BAE">
      <w:pPr>
        <w:pStyle w:val="BodyText"/>
        <w:spacing w:after="120"/>
      </w:pPr>
      <w:r>
        <w:t>A “bottom-up” method has been used to predict the demand for R/AC equipment, as in the XXVI/9 Task Force report (UNEP, 2015). The RTOC 2010 Assessment Report (RTOC, 2010) describes the bottom-up method used here. A bottom up method derives the size of banks from information obtained from outside (accountancy reports on trade and exports, if possible, supplemented with a trend analysis). The banks serve to calculate emissions using agreed emission parameters. As a result, the demand (or “consumption”) can be calculated, which consists of (1) what is supplied to the existing banks (i.e., to compensate for leakage), and (2) what is added to the bank (i.e., in new equipment that has been charged)</w:t>
      </w:r>
      <w:r w:rsidR="00D52B63">
        <w:t xml:space="preserve"> ), less (3) what is recovered and reused from the bank (i.e., material reclaimed from equipment decommissioned)</w:t>
      </w:r>
      <w:r>
        <w:t>. In a spreadsheet analysis, this can be seen as one stream of refrigerant into a bank with equipment that has been manufactured over a number of years. In summary, the refrigerant demand or the annual s</w:t>
      </w:r>
      <w:r w:rsidRPr="00AD53E5">
        <w:t xml:space="preserve">ales </w:t>
      </w:r>
      <w:r>
        <w:t>of n</w:t>
      </w:r>
      <w:r w:rsidRPr="00AD53E5">
        <w:t xml:space="preserve">ew </w:t>
      </w:r>
      <w:r>
        <w:t>or virgin refrigerant are equal to the</w:t>
      </w:r>
      <w:r w:rsidRPr="00AD53E5">
        <w:t xml:space="preserve"> amount of refrigerant introduced into the </w:t>
      </w:r>
      <w:r w:rsidR="00DB5375">
        <w:t xml:space="preserve">R/AC </w:t>
      </w:r>
      <w:r w:rsidRPr="00AD53E5">
        <w:t xml:space="preserve">sector in </w:t>
      </w:r>
      <w:r>
        <w:t xml:space="preserve">a </w:t>
      </w:r>
      <w:r w:rsidRPr="00AD53E5">
        <w:t xml:space="preserve">country </w:t>
      </w:r>
      <w:r>
        <w:t xml:space="preserve">(or regions) in </w:t>
      </w:r>
      <w:r w:rsidRPr="00AD53E5">
        <w:t>a given year. It includes all the chemical</w:t>
      </w:r>
      <w:r>
        <w:t>s</w:t>
      </w:r>
      <w:r w:rsidRPr="00AD53E5">
        <w:t xml:space="preserve"> used for </w:t>
      </w:r>
      <w:r>
        <w:t>charging</w:t>
      </w:r>
      <w:r w:rsidRPr="00AD53E5">
        <w:t xml:space="preserve"> or </w:t>
      </w:r>
      <w:r>
        <w:t>recharging</w:t>
      </w:r>
      <w:r w:rsidRPr="00AD53E5">
        <w:t xml:space="preserve"> equipment, whether the </w:t>
      </w:r>
      <w:r>
        <w:t xml:space="preserve">charging </w:t>
      </w:r>
      <w:r w:rsidRPr="00AD53E5">
        <w:t xml:space="preserve">is carried out in the factory, in the field after installation, or </w:t>
      </w:r>
      <w:r>
        <w:t xml:space="preserve">whether it concerns </w:t>
      </w:r>
      <w:r w:rsidRPr="00AD53E5">
        <w:t xml:space="preserve">recharging </w:t>
      </w:r>
      <w:r>
        <w:t xml:space="preserve">with the appropriate </w:t>
      </w:r>
      <w:r w:rsidRPr="00AD53E5">
        <w:t xml:space="preserve">equipment </w:t>
      </w:r>
      <w:r>
        <w:t>during</w:t>
      </w:r>
      <w:r w:rsidRPr="00AD53E5">
        <w:t xml:space="preserve"> maintenance operations.</w:t>
      </w:r>
    </w:p>
    <w:p w:rsidR="00DE1885" w:rsidRDefault="00F23B5E" w:rsidP="00FA1BAE">
      <w:pPr>
        <w:pStyle w:val="BodyText"/>
        <w:spacing w:after="180"/>
      </w:pPr>
      <w:r>
        <w:t xml:space="preserve">In this type of “bottom-up” approach, one therefore evaluates the consumption of a certain refrigerant based on the numbers of equipment in which the fluid is charged, e.g. refrigerators, stationary air-conditioning equipment, and so on. It requires the establishment </w:t>
      </w:r>
      <w:r>
        <w:lastRenderedPageBreak/>
        <w:t xml:space="preserve">of an inventory of the numbers of equipment charged with substances (which then forms the total inventory, or the “bank”), and the knowledge related to their average lifetime, their emission rates, recycling, disposal, and other parameters. The annual emissions are estimated as functions of all these parameters during the </w:t>
      </w:r>
      <w:r w:rsidR="00826329">
        <w:t xml:space="preserve">entire </w:t>
      </w:r>
      <w:r>
        <w:t xml:space="preserve">equipment lifetime. </w:t>
      </w:r>
    </w:p>
    <w:p w:rsidR="00F23B5E" w:rsidRDefault="00F23B5E" w:rsidP="00FA1BAE">
      <w:pPr>
        <w:pStyle w:val="BodyText"/>
        <w:spacing w:line="230" w:lineRule="atLeast"/>
      </w:pPr>
      <w:r>
        <w:t xml:space="preserve">Further information on sub-sectors, equations used and information on how the installed base is being considered can be found in </w:t>
      </w:r>
      <w:r w:rsidR="00FA1BAE">
        <w:t xml:space="preserve">the XXVI/9 TF report </w:t>
      </w:r>
      <w:r>
        <w:t>(UNEP, 2015).</w:t>
      </w:r>
      <w:r w:rsidR="00DB5375">
        <w:t xml:space="preserve"> </w:t>
      </w:r>
      <w:r>
        <w:t>As in th</w:t>
      </w:r>
      <w:r w:rsidR="00FA1BAE">
        <w:t xml:space="preserve">is </w:t>
      </w:r>
      <w:r>
        <w:t>XXVI/9 report, the GWP for low GWP replacement refrigerants has been chosen as follows. In domestic refrigeration the use of isobutane is assumed with a very low GWP. In cases where the replacement refrigerant is known (ammonia</w:t>
      </w:r>
      <w:r w:rsidRPr="006D7E05">
        <w:t>, hydrocarbons)</w:t>
      </w:r>
      <w:r w:rsidR="00FA1BAE">
        <w:t xml:space="preserve">, </w:t>
      </w:r>
      <w:r w:rsidRPr="006D7E05">
        <w:t xml:space="preserve">very low GWP factors have been used. </w:t>
      </w:r>
      <w:r w:rsidR="00FA1BAE">
        <w:t xml:space="preserve">For </w:t>
      </w:r>
      <w:r w:rsidRPr="006D7E05">
        <w:t>commercial refrigeration</w:t>
      </w:r>
      <w:r w:rsidR="00D238D6" w:rsidRPr="00AD5DD6">
        <w:t>,</w:t>
      </w:r>
      <w:r w:rsidRPr="006D7E05">
        <w:t xml:space="preserve"> one can assume the use of carbon dioxide, pure low-GWP refrigerants or refrigerant blends in supermarkets</w:t>
      </w:r>
      <w:r>
        <w:t xml:space="preserve">, low GWP </w:t>
      </w:r>
      <w:r w:rsidR="00FA1BAE">
        <w:t xml:space="preserve">hydrocarbons </w:t>
      </w:r>
      <w:r>
        <w:t>in mass produced units, blends or carbon dioxide in condensing units (where an average GWP of 300 is used). For stationary AC as a whole, an average GWP of 300 has also been used</w:t>
      </w:r>
      <w:r w:rsidR="00D52B63">
        <w:t xml:space="preserve"> (as an estimated average between very low GWP refrigerants and others, such as HFC-32 and various blends under investigation). </w:t>
      </w:r>
      <w:r w:rsidR="00DE1885">
        <w:t xml:space="preserve">The choice has been made on the basis of </w:t>
      </w:r>
      <w:r w:rsidR="00826329">
        <w:t xml:space="preserve">an </w:t>
      </w:r>
      <w:r w:rsidR="00DE1885">
        <w:t xml:space="preserve">averaging </w:t>
      </w:r>
      <w:r w:rsidR="00826329">
        <w:t>exercise</w:t>
      </w:r>
      <w:r w:rsidR="00DB5375">
        <w:t xml:space="preserve">, </w:t>
      </w:r>
      <w:r w:rsidR="00DE1885">
        <w:t xml:space="preserve">not related to </w:t>
      </w:r>
      <w:r w:rsidR="00E92D47">
        <w:t xml:space="preserve">GWP </w:t>
      </w:r>
      <w:r w:rsidR="00DE1885">
        <w:t xml:space="preserve">considerations presented in Table 2-6. </w:t>
      </w:r>
      <w:r>
        <w:t xml:space="preserve">In </w:t>
      </w:r>
      <w:r w:rsidR="00DB5375">
        <w:t>Mobile Air Conditioners (</w:t>
      </w:r>
      <w:r>
        <w:t>MACs</w:t>
      </w:r>
      <w:r w:rsidR="00DB5375">
        <w:t>)</w:t>
      </w:r>
      <w:r>
        <w:t xml:space="preserve">, replacement refrigerants are assumed to have negligible GWP. </w:t>
      </w:r>
    </w:p>
    <w:p w:rsidR="00F23B5E" w:rsidRPr="00D20C19" w:rsidRDefault="00F23B5E" w:rsidP="00FA1BAE">
      <w:pPr>
        <w:pStyle w:val="BodyText"/>
        <w:spacing w:before="100" w:after="60" w:line="220" w:lineRule="atLeast"/>
        <w:rPr>
          <w:b/>
          <w:i/>
        </w:rPr>
      </w:pPr>
      <w:r w:rsidRPr="00D20C19">
        <w:rPr>
          <w:b/>
          <w:i/>
        </w:rPr>
        <w:t xml:space="preserve">Table </w:t>
      </w:r>
      <w:r w:rsidR="009935FE">
        <w:rPr>
          <w:b/>
          <w:i/>
        </w:rPr>
        <w:t>6</w:t>
      </w:r>
      <w:r w:rsidRPr="00D20C19">
        <w:rPr>
          <w:b/>
          <w:i/>
        </w:rPr>
        <w:t>-1</w:t>
      </w:r>
      <w:r>
        <w:rPr>
          <w:b/>
          <w:i/>
        </w:rPr>
        <w:t>:</w:t>
      </w:r>
      <w:r w:rsidRPr="00D20C19">
        <w:rPr>
          <w:b/>
          <w:i/>
        </w:rPr>
        <w:t xml:space="preserve"> Growth rates for high</w:t>
      </w:r>
      <w:r>
        <w:rPr>
          <w:b/>
          <w:i/>
        </w:rPr>
        <w:t>-GWP</w:t>
      </w:r>
      <w:r w:rsidRPr="00D20C19">
        <w:rPr>
          <w:b/>
          <w:i/>
        </w:rPr>
        <w:t xml:space="preserve"> HFC</w:t>
      </w:r>
      <w:r w:rsidR="00F82138">
        <w:rPr>
          <w:b/>
          <w:i/>
        </w:rPr>
        <w:t xml:space="preserve"> demands </w:t>
      </w:r>
      <w:r w:rsidRPr="00D20C19">
        <w:rPr>
          <w:b/>
          <w:i/>
        </w:rPr>
        <w:t xml:space="preserve">in the various R/AC </w:t>
      </w:r>
      <w:r>
        <w:rPr>
          <w:b/>
          <w:i/>
        </w:rPr>
        <w:t>sub-sector</w:t>
      </w:r>
      <w:r w:rsidRPr="00D20C19">
        <w:rPr>
          <w:b/>
          <w:i/>
        </w:rPr>
        <w:t xml:space="preserve">s </w:t>
      </w:r>
      <w:r w:rsidR="00F82138">
        <w:rPr>
          <w:b/>
          <w:i/>
        </w:rPr>
        <w:t xml:space="preserve">(manufacturing and total) </w:t>
      </w:r>
      <w:r w:rsidRPr="00D20C19">
        <w:rPr>
          <w:b/>
          <w:i/>
        </w:rPr>
        <w:t>during the periods 2010-2020</w:t>
      </w:r>
      <w:r w:rsidR="00395A38">
        <w:rPr>
          <w:b/>
          <w:i/>
        </w:rPr>
        <w:t xml:space="preserve">, </w:t>
      </w:r>
      <w:r w:rsidRPr="00D20C19">
        <w:rPr>
          <w:b/>
          <w:i/>
        </w:rPr>
        <w:t>2020-20</w:t>
      </w:r>
      <w:r w:rsidR="00395A38">
        <w:rPr>
          <w:b/>
          <w:i/>
        </w:rPr>
        <w:t>3</w:t>
      </w:r>
      <w:r w:rsidRPr="00D20C19">
        <w:rPr>
          <w:b/>
          <w:i/>
        </w:rPr>
        <w:t>0</w:t>
      </w:r>
      <w:r>
        <w:rPr>
          <w:b/>
          <w:i/>
        </w:rPr>
        <w:t xml:space="preserve"> </w:t>
      </w:r>
      <w:r w:rsidR="00395A38">
        <w:rPr>
          <w:b/>
          <w:i/>
        </w:rPr>
        <w:t>and 2030-2050</w:t>
      </w:r>
      <w:r>
        <w:rPr>
          <w:b/>
          <w:i/>
        </w:rPr>
        <w:t xml:space="preserve">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1464"/>
        <w:gridCol w:w="1465"/>
        <w:gridCol w:w="1465"/>
      </w:tblGrid>
      <w:tr w:rsidR="00EA7B3B" w:rsidTr="00EA7B3B">
        <w:tc>
          <w:tcPr>
            <w:tcW w:w="8080" w:type="dxa"/>
            <w:gridSpan w:val="5"/>
            <w:shd w:val="clear" w:color="auto" w:fill="auto"/>
          </w:tcPr>
          <w:p w:rsidR="00EA7B3B" w:rsidRPr="00AC7BE5" w:rsidRDefault="00EA7B3B" w:rsidP="00EA7B3B">
            <w:pPr>
              <w:pStyle w:val="BodyText"/>
              <w:rPr>
                <w:b/>
                <w:sz w:val="20"/>
                <w:szCs w:val="20"/>
              </w:rPr>
            </w:pPr>
            <w:r w:rsidRPr="00AC7BE5">
              <w:rPr>
                <w:b/>
                <w:sz w:val="20"/>
                <w:szCs w:val="20"/>
              </w:rPr>
              <w:t>Non-Article 5 Parties</w:t>
            </w:r>
          </w:p>
        </w:tc>
      </w:tr>
      <w:tr w:rsidR="00EA7B3B" w:rsidRPr="003266B8" w:rsidTr="00AC7BE5">
        <w:tc>
          <w:tcPr>
            <w:tcW w:w="2552" w:type="dxa"/>
            <w:shd w:val="clear" w:color="auto" w:fill="auto"/>
          </w:tcPr>
          <w:p w:rsidR="00EA7B3B" w:rsidRPr="00AC7BE5" w:rsidRDefault="00EA7B3B" w:rsidP="00EA7B3B">
            <w:pPr>
              <w:pStyle w:val="BodyText"/>
              <w:rPr>
                <w:b/>
                <w:sz w:val="20"/>
                <w:szCs w:val="20"/>
              </w:rPr>
            </w:pPr>
            <w:r w:rsidRPr="00AC7BE5">
              <w:rPr>
                <w:b/>
                <w:sz w:val="20"/>
                <w:szCs w:val="20"/>
              </w:rPr>
              <w:t>Sub-sector</w:t>
            </w:r>
          </w:p>
        </w:tc>
        <w:tc>
          <w:tcPr>
            <w:tcW w:w="1134" w:type="dxa"/>
          </w:tcPr>
          <w:p w:rsidR="00EA7B3B" w:rsidRPr="00AC7BE5" w:rsidRDefault="00EA7B3B" w:rsidP="00EA7B3B">
            <w:pPr>
              <w:pStyle w:val="BodyText"/>
              <w:jc w:val="right"/>
              <w:rPr>
                <w:b/>
                <w:sz w:val="20"/>
                <w:szCs w:val="20"/>
              </w:rPr>
            </w:pPr>
          </w:p>
        </w:tc>
        <w:tc>
          <w:tcPr>
            <w:tcW w:w="1464" w:type="dxa"/>
          </w:tcPr>
          <w:p w:rsidR="00EA7B3B" w:rsidRPr="00AC7BE5" w:rsidRDefault="00EA7B3B" w:rsidP="00EA7B3B">
            <w:pPr>
              <w:pStyle w:val="BodyText"/>
              <w:jc w:val="right"/>
              <w:rPr>
                <w:b/>
                <w:sz w:val="20"/>
                <w:szCs w:val="20"/>
              </w:rPr>
            </w:pPr>
            <w:r w:rsidRPr="00AC7BE5">
              <w:rPr>
                <w:b/>
                <w:sz w:val="20"/>
                <w:szCs w:val="20"/>
              </w:rPr>
              <w:t>2010-2020</w:t>
            </w:r>
          </w:p>
        </w:tc>
        <w:tc>
          <w:tcPr>
            <w:tcW w:w="1465" w:type="dxa"/>
          </w:tcPr>
          <w:p w:rsidR="00EA7B3B" w:rsidRPr="00AC7BE5" w:rsidRDefault="00EA7B3B" w:rsidP="00EA7B3B">
            <w:pPr>
              <w:pStyle w:val="BodyText"/>
              <w:jc w:val="right"/>
              <w:rPr>
                <w:b/>
                <w:sz w:val="20"/>
                <w:szCs w:val="20"/>
              </w:rPr>
            </w:pPr>
            <w:r w:rsidRPr="00AC7BE5">
              <w:rPr>
                <w:b/>
                <w:sz w:val="20"/>
                <w:szCs w:val="20"/>
              </w:rPr>
              <w:t>2020-2030</w:t>
            </w:r>
          </w:p>
        </w:tc>
        <w:tc>
          <w:tcPr>
            <w:tcW w:w="1465" w:type="dxa"/>
            <w:shd w:val="clear" w:color="auto" w:fill="auto"/>
          </w:tcPr>
          <w:p w:rsidR="00EA7B3B" w:rsidRPr="00AC7BE5" w:rsidRDefault="00EA7B3B" w:rsidP="00EA7B3B">
            <w:pPr>
              <w:pStyle w:val="BodyText"/>
              <w:jc w:val="right"/>
              <w:rPr>
                <w:b/>
                <w:sz w:val="20"/>
                <w:szCs w:val="20"/>
              </w:rPr>
            </w:pPr>
            <w:r w:rsidRPr="00AC7BE5">
              <w:rPr>
                <w:b/>
                <w:sz w:val="20"/>
                <w:szCs w:val="20"/>
              </w:rPr>
              <w:t>2030-2050</w:t>
            </w:r>
          </w:p>
        </w:tc>
      </w:tr>
      <w:tr w:rsidR="00EA7B3B" w:rsidTr="00AC7BE5">
        <w:tc>
          <w:tcPr>
            <w:tcW w:w="2552" w:type="dxa"/>
            <w:shd w:val="clear" w:color="auto" w:fill="auto"/>
          </w:tcPr>
          <w:p w:rsidR="00EA7B3B" w:rsidRPr="00AC7BE5" w:rsidRDefault="00EA7B3B" w:rsidP="004A4E5F">
            <w:pPr>
              <w:pStyle w:val="BodyText"/>
              <w:rPr>
                <w:sz w:val="20"/>
                <w:szCs w:val="20"/>
              </w:rPr>
            </w:pPr>
            <w:r w:rsidRPr="00AC7BE5">
              <w:rPr>
                <w:sz w:val="20"/>
                <w:szCs w:val="20"/>
              </w:rPr>
              <w:t>Domestic refrigeration</w:t>
            </w:r>
          </w:p>
        </w:tc>
        <w:tc>
          <w:tcPr>
            <w:tcW w:w="1134" w:type="dxa"/>
          </w:tcPr>
          <w:p w:rsidR="00EA7B3B" w:rsidRPr="00AC7BE5" w:rsidRDefault="00AC7BE5" w:rsidP="00AC7BE5">
            <w:pPr>
              <w:pStyle w:val="BodyText"/>
              <w:rPr>
                <w:sz w:val="20"/>
                <w:szCs w:val="20"/>
              </w:rPr>
            </w:pPr>
            <w:r w:rsidRPr="00AC7BE5">
              <w:rPr>
                <w:sz w:val="20"/>
                <w:szCs w:val="20"/>
              </w:rPr>
              <w:t>Manufact.</w:t>
            </w:r>
          </w:p>
        </w:tc>
        <w:tc>
          <w:tcPr>
            <w:tcW w:w="1464" w:type="dxa"/>
          </w:tcPr>
          <w:p w:rsidR="00EA7B3B" w:rsidRPr="00AC7BE5" w:rsidRDefault="00AC7BE5" w:rsidP="00DF1E74">
            <w:pPr>
              <w:pStyle w:val="BodyText"/>
              <w:jc w:val="right"/>
              <w:rPr>
                <w:sz w:val="20"/>
                <w:szCs w:val="20"/>
              </w:rPr>
            </w:pPr>
            <w:r>
              <w:rPr>
                <w:sz w:val="20"/>
                <w:szCs w:val="20"/>
              </w:rPr>
              <w:t>-</w:t>
            </w:r>
            <w:r w:rsidR="00B84B1C">
              <w:rPr>
                <w:sz w:val="20"/>
                <w:szCs w:val="20"/>
              </w:rPr>
              <w:t>6.0</w:t>
            </w:r>
            <w:r>
              <w:rPr>
                <w:sz w:val="20"/>
                <w:szCs w:val="20"/>
              </w:rPr>
              <w:t>%</w:t>
            </w:r>
          </w:p>
        </w:tc>
        <w:tc>
          <w:tcPr>
            <w:tcW w:w="1465" w:type="dxa"/>
          </w:tcPr>
          <w:p w:rsidR="00EA7B3B" w:rsidRPr="00AC7BE5" w:rsidRDefault="00B84B1C" w:rsidP="00DF1E74">
            <w:pPr>
              <w:pStyle w:val="BodyText"/>
              <w:jc w:val="right"/>
              <w:rPr>
                <w:sz w:val="20"/>
                <w:szCs w:val="20"/>
              </w:rPr>
            </w:pPr>
            <w:r>
              <w:rPr>
                <w:sz w:val="20"/>
                <w:szCs w:val="20"/>
              </w:rPr>
              <w:t>-1.5</w:t>
            </w:r>
            <w:r w:rsidR="00AC7BE5">
              <w:rPr>
                <w:sz w:val="20"/>
                <w:szCs w:val="20"/>
              </w:rPr>
              <w:t>%</w:t>
            </w:r>
          </w:p>
        </w:tc>
        <w:tc>
          <w:tcPr>
            <w:tcW w:w="1465" w:type="dxa"/>
            <w:shd w:val="clear" w:color="auto" w:fill="auto"/>
          </w:tcPr>
          <w:p w:rsidR="00EA7B3B" w:rsidRPr="00AC7BE5" w:rsidRDefault="00AC7BE5" w:rsidP="004A4E5F">
            <w:pPr>
              <w:pStyle w:val="BodyText"/>
              <w:jc w:val="right"/>
              <w:rPr>
                <w:sz w:val="20"/>
                <w:szCs w:val="20"/>
              </w:rPr>
            </w:pPr>
            <w:r>
              <w:rPr>
                <w:sz w:val="20"/>
                <w:szCs w:val="20"/>
              </w:rPr>
              <w:t>3%</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2533F1" w:rsidP="00DF1E74">
            <w:pPr>
              <w:pStyle w:val="BodyText"/>
              <w:jc w:val="right"/>
              <w:rPr>
                <w:sz w:val="20"/>
                <w:szCs w:val="20"/>
              </w:rPr>
            </w:pPr>
            <w:r>
              <w:rPr>
                <w:sz w:val="20"/>
                <w:szCs w:val="20"/>
              </w:rPr>
              <w:t>-</w:t>
            </w:r>
            <w:r w:rsidR="00B84B1C">
              <w:rPr>
                <w:sz w:val="20"/>
                <w:szCs w:val="20"/>
              </w:rPr>
              <w:t>6.0</w:t>
            </w:r>
            <w:r>
              <w:rPr>
                <w:sz w:val="20"/>
                <w:szCs w:val="20"/>
              </w:rPr>
              <w:t>%</w:t>
            </w:r>
          </w:p>
        </w:tc>
        <w:tc>
          <w:tcPr>
            <w:tcW w:w="1465" w:type="dxa"/>
          </w:tcPr>
          <w:p w:rsidR="00AC7BE5" w:rsidRPr="00AC7BE5" w:rsidRDefault="00B84B1C" w:rsidP="004A4E5F">
            <w:pPr>
              <w:pStyle w:val="BodyText"/>
              <w:jc w:val="right"/>
              <w:rPr>
                <w:sz w:val="20"/>
                <w:szCs w:val="20"/>
              </w:rPr>
            </w:pPr>
            <w:r>
              <w:rPr>
                <w:sz w:val="20"/>
                <w:szCs w:val="20"/>
              </w:rPr>
              <w:t>-1.5</w:t>
            </w:r>
            <w:r w:rsidR="002533F1">
              <w:rPr>
                <w:sz w:val="20"/>
                <w:szCs w:val="20"/>
              </w:rPr>
              <w:t>%</w:t>
            </w:r>
          </w:p>
        </w:tc>
        <w:tc>
          <w:tcPr>
            <w:tcW w:w="1465" w:type="dxa"/>
            <w:shd w:val="clear" w:color="auto" w:fill="auto"/>
          </w:tcPr>
          <w:p w:rsidR="00AC7BE5" w:rsidRPr="00AC7BE5" w:rsidRDefault="00B84B1C" w:rsidP="004A4E5F">
            <w:pPr>
              <w:pStyle w:val="BodyText"/>
              <w:jc w:val="right"/>
              <w:rPr>
                <w:sz w:val="20"/>
                <w:szCs w:val="20"/>
              </w:rPr>
            </w:pPr>
            <w:r>
              <w:rPr>
                <w:sz w:val="20"/>
                <w:szCs w:val="20"/>
              </w:rPr>
              <w:t>3</w:t>
            </w:r>
            <w:r w:rsidR="002533F1">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Commercial refrigeration</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B84B1C" w:rsidP="00735938">
            <w:pPr>
              <w:pStyle w:val="BodyText"/>
              <w:jc w:val="right"/>
              <w:rPr>
                <w:sz w:val="20"/>
                <w:szCs w:val="20"/>
              </w:rPr>
            </w:pPr>
            <w:r>
              <w:rPr>
                <w:sz w:val="20"/>
                <w:szCs w:val="20"/>
              </w:rPr>
              <w:t>-10</w:t>
            </w:r>
            <w:r w:rsidR="00735938">
              <w:rPr>
                <w:sz w:val="20"/>
                <w:szCs w:val="20"/>
              </w:rPr>
              <w:t>.</w:t>
            </w:r>
            <w:r>
              <w:rPr>
                <w:sz w:val="20"/>
                <w:szCs w:val="20"/>
              </w:rPr>
              <w:t>5</w:t>
            </w:r>
            <w:r w:rsidR="00AC7BE5">
              <w:rPr>
                <w:sz w:val="20"/>
                <w:szCs w:val="20"/>
              </w:rPr>
              <w:t>%</w:t>
            </w:r>
          </w:p>
        </w:tc>
        <w:tc>
          <w:tcPr>
            <w:tcW w:w="1465" w:type="dxa"/>
          </w:tcPr>
          <w:p w:rsidR="00AC7BE5" w:rsidRPr="00AC7BE5" w:rsidRDefault="00B84B1C" w:rsidP="00AC7BE5">
            <w:pPr>
              <w:pStyle w:val="BodyText"/>
              <w:jc w:val="right"/>
              <w:rPr>
                <w:sz w:val="20"/>
                <w:szCs w:val="20"/>
              </w:rPr>
            </w:pPr>
            <w:r>
              <w:rPr>
                <w:sz w:val="20"/>
                <w:szCs w:val="20"/>
              </w:rPr>
              <w:t>0.1</w:t>
            </w:r>
            <w:r w:rsidR="00AC7BE5">
              <w:rPr>
                <w:sz w:val="20"/>
                <w:szCs w:val="20"/>
              </w:rPr>
              <w:t>%</w:t>
            </w:r>
          </w:p>
        </w:tc>
        <w:tc>
          <w:tcPr>
            <w:tcW w:w="1465" w:type="dxa"/>
            <w:shd w:val="clear" w:color="auto" w:fill="auto"/>
          </w:tcPr>
          <w:p w:rsidR="00AC7BE5" w:rsidRPr="00AC7BE5" w:rsidRDefault="00AC7BE5" w:rsidP="00AC7BE5">
            <w:pPr>
              <w:pStyle w:val="BodyText"/>
              <w:jc w:val="right"/>
              <w:rPr>
                <w:sz w:val="20"/>
                <w:szCs w:val="20"/>
              </w:rPr>
            </w:pPr>
            <w:r>
              <w:rPr>
                <w:sz w:val="20"/>
                <w:szCs w:val="20"/>
              </w:rPr>
              <w:t>3%</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B84B1C" w:rsidP="00DF1E74">
            <w:pPr>
              <w:pStyle w:val="BodyText"/>
              <w:jc w:val="right"/>
              <w:rPr>
                <w:sz w:val="20"/>
                <w:szCs w:val="20"/>
              </w:rPr>
            </w:pPr>
            <w:r>
              <w:rPr>
                <w:sz w:val="20"/>
                <w:szCs w:val="20"/>
              </w:rPr>
              <w:t>-2.0</w:t>
            </w:r>
            <w:r w:rsidR="002533F1">
              <w:rPr>
                <w:sz w:val="20"/>
                <w:szCs w:val="20"/>
              </w:rPr>
              <w:t>%</w:t>
            </w:r>
          </w:p>
        </w:tc>
        <w:tc>
          <w:tcPr>
            <w:tcW w:w="1465" w:type="dxa"/>
          </w:tcPr>
          <w:p w:rsidR="00AC7BE5" w:rsidRPr="00AC7BE5" w:rsidRDefault="00B84B1C" w:rsidP="00DF1E74">
            <w:pPr>
              <w:pStyle w:val="BodyText"/>
              <w:jc w:val="right"/>
              <w:rPr>
                <w:sz w:val="20"/>
                <w:szCs w:val="20"/>
              </w:rPr>
            </w:pPr>
            <w:r>
              <w:rPr>
                <w:sz w:val="20"/>
                <w:szCs w:val="20"/>
              </w:rPr>
              <w:t>-5.5</w:t>
            </w:r>
            <w:r w:rsidR="002533F1">
              <w:rPr>
                <w:sz w:val="20"/>
                <w:szCs w:val="20"/>
              </w:rPr>
              <w:t>%</w:t>
            </w:r>
          </w:p>
        </w:tc>
        <w:tc>
          <w:tcPr>
            <w:tcW w:w="1465" w:type="dxa"/>
            <w:shd w:val="clear" w:color="auto" w:fill="auto"/>
          </w:tcPr>
          <w:p w:rsidR="00AC7BE5" w:rsidRPr="00AC7BE5" w:rsidRDefault="00B84B1C" w:rsidP="00AC7BE5">
            <w:pPr>
              <w:pStyle w:val="BodyText"/>
              <w:jc w:val="right"/>
              <w:rPr>
                <w:sz w:val="20"/>
                <w:szCs w:val="20"/>
              </w:rPr>
            </w:pPr>
            <w:r>
              <w:rPr>
                <w:sz w:val="20"/>
                <w:szCs w:val="20"/>
              </w:rPr>
              <w:t>2.1</w:t>
            </w:r>
            <w:r w:rsidR="002533F1">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Industrial refrigeration</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B84B1C" w:rsidP="00DF1E74">
            <w:pPr>
              <w:pStyle w:val="BodyText"/>
              <w:jc w:val="right"/>
              <w:rPr>
                <w:sz w:val="20"/>
                <w:szCs w:val="20"/>
              </w:rPr>
            </w:pPr>
            <w:r>
              <w:rPr>
                <w:sz w:val="20"/>
                <w:szCs w:val="20"/>
              </w:rPr>
              <w:t>-2.1%</w:t>
            </w:r>
          </w:p>
        </w:tc>
        <w:tc>
          <w:tcPr>
            <w:tcW w:w="1465" w:type="dxa"/>
          </w:tcPr>
          <w:p w:rsidR="00AC7BE5" w:rsidRPr="00AC7BE5" w:rsidRDefault="00B84B1C" w:rsidP="00AC7BE5">
            <w:pPr>
              <w:pStyle w:val="BodyText"/>
              <w:jc w:val="right"/>
              <w:rPr>
                <w:sz w:val="20"/>
                <w:szCs w:val="20"/>
              </w:rPr>
            </w:pPr>
            <w:r>
              <w:rPr>
                <w:sz w:val="20"/>
                <w:szCs w:val="20"/>
              </w:rPr>
              <w:t>-1.8</w:t>
            </w:r>
            <w:r w:rsidR="00AC7BE5">
              <w:rPr>
                <w:sz w:val="20"/>
                <w:szCs w:val="20"/>
              </w:rPr>
              <w:t>%</w:t>
            </w:r>
          </w:p>
        </w:tc>
        <w:tc>
          <w:tcPr>
            <w:tcW w:w="1465" w:type="dxa"/>
            <w:shd w:val="clear" w:color="auto" w:fill="auto"/>
          </w:tcPr>
          <w:p w:rsidR="00AC7BE5" w:rsidRPr="00AC7BE5" w:rsidRDefault="00B84B1C" w:rsidP="00DF1E74">
            <w:pPr>
              <w:pStyle w:val="BodyText"/>
              <w:jc w:val="right"/>
              <w:rPr>
                <w:sz w:val="20"/>
                <w:szCs w:val="20"/>
              </w:rPr>
            </w:pPr>
            <w:r>
              <w:rPr>
                <w:sz w:val="20"/>
                <w:szCs w:val="20"/>
              </w:rPr>
              <w:t>3</w:t>
            </w:r>
            <w:r w:rsidR="00AC7BE5">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2533F1" w:rsidP="00DF1E74">
            <w:pPr>
              <w:pStyle w:val="BodyText"/>
              <w:jc w:val="right"/>
              <w:rPr>
                <w:sz w:val="20"/>
                <w:szCs w:val="20"/>
              </w:rPr>
            </w:pPr>
            <w:r>
              <w:rPr>
                <w:sz w:val="20"/>
                <w:szCs w:val="20"/>
              </w:rPr>
              <w:t>0%</w:t>
            </w:r>
          </w:p>
        </w:tc>
        <w:tc>
          <w:tcPr>
            <w:tcW w:w="1465" w:type="dxa"/>
          </w:tcPr>
          <w:p w:rsidR="00AC7BE5" w:rsidRPr="00AC7BE5" w:rsidRDefault="00B84B1C" w:rsidP="00DF1E74">
            <w:pPr>
              <w:pStyle w:val="BodyText"/>
              <w:jc w:val="right"/>
              <w:rPr>
                <w:sz w:val="20"/>
                <w:szCs w:val="20"/>
              </w:rPr>
            </w:pPr>
            <w:r>
              <w:rPr>
                <w:sz w:val="20"/>
                <w:szCs w:val="20"/>
              </w:rPr>
              <w:t>-1.2</w:t>
            </w:r>
            <w:r w:rsidR="002533F1">
              <w:rPr>
                <w:sz w:val="20"/>
                <w:szCs w:val="20"/>
              </w:rPr>
              <w:t>%</w:t>
            </w:r>
          </w:p>
        </w:tc>
        <w:tc>
          <w:tcPr>
            <w:tcW w:w="1465" w:type="dxa"/>
            <w:shd w:val="clear" w:color="auto" w:fill="auto"/>
          </w:tcPr>
          <w:p w:rsidR="00AC7BE5" w:rsidRPr="00AC7BE5" w:rsidRDefault="00B84B1C" w:rsidP="00DF1E74">
            <w:pPr>
              <w:pStyle w:val="BodyText"/>
              <w:jc w:val="right"/>
              <w:rPr>
                <w:sz w:val="20"/>
                <w:szCs w:val="20"/>
              </w:rPr>
            </w:pPr>
            <w:r>
              <w:rPr>
                <w:sz w:val="20"/>
                <w:szCs w:val="20"/>
              </w:rPr>
              <w:t>1.8</w:t>
            </w:r>
            <w:r w:rsidR="002533F1">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Transport refrigeration</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B84B1C" w:rsidP="00DF1E74">
            <w:pPr>
              <w:pStyle w:val="BodyText"/>
              <w:jc w:val="right"/>
              <w:rPr>
                <w:sz w:val="20"/>
                <w:szCs w:val="20"/>
              </w:rPr>
            </w:pPr>
            <w:r>
              <w:rPr>
                <w:sz w:val="20"/>
                <w:szCs w:val="20"/>
              </w:rPr>
              <w:t>-9.5</w:t>
            </w:r>
            <w:r w:rsidR="00AC7BE5">
              <w:rPr>
                <w:sz w:val="20"/>
                <w:szCs w:val="20"/>
              </w:rPr>
              <w:t>%</w:t>
            </w:r>
          </w:p>
        </w:tc>
        <w:tc>
          <w:tcPr>
            <w:tcW w:w="1465" w:type="dxa"/>
          </w:tcPr>
          <w:p w:rsidR="00AC7BE5" w:rsidRPr="00AC7BE5" w:rsidRDefault="00B84B1C" w:rsidP="00AC7BE5">
            <w:pPr>
              <w:pStyle w:val="BodyText"/>
              <w:jc w:val="right"/>
              <w:rPr>
                <w:sz w:val="20"/>
                <w:szCs w:val="20"/>
              </w:rPr>
            </w:pPr>
            <w:r>
              <w:rPr>
                <w:sz w:val="20"/>
                <w:szCs w:val="20"/>
              </w:rPr>
              <w:t>-4</w:t>
            </w:r>
            <w:r w:rsidR="00AC7BE5">
              <w:rPr>
                <w:sz w:val="20"/>
                <w:szCs w:val="20"/>
              </w:rPr>
              <w:t>%</w:t>
            </w:r>
          </w:p>
        </w:tc>
        <w:tc>
          <w:tcPr>
            <w:tcW w:w="1465" w:type="dxa"/>
            <w:shd w:val="clear" w:color="auto" w:fill="auto"/>
          </w:tcPr>
          <w:p w:rsidR="00AC7BE5" w:rsidRPr="00AC7BE5" w:rsidRDefault="00AC7BE5" w:rsidP="00AC7BE5">
            <w:pPr>
              <w:pStyle w:val="BodyText"/>
              <w:jc w:val="right"/>
              <w:rPr>
                <w:sz w:val="20"/>
                <w:szCs w:val="20"/>
              </w:rPr>
            </w:pPr>
            <w:r>
              <w:rPr>
                <w:sz w:val="20"/>
                <w:szCs w:val="20"/>
              </w:rPr>
              <w:t>3%</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B84B1C" w:rsidP="00DF1E74">
            <w:pPr>
              <w:pStyle w:val="BodyText"/>
              <w:jc w:val="right"/>
              <w:rPr>
                <w:sz w:val="20"/>
                <w:szCs w:val="20"/>
              </w:rPr>
            </w:pPr>
            <w:r>
              <w:rPr>
                <w:sz w:val="20"/>
                <w:szCs w:val="20"/>
              </w:rPr>
              <w:t>-1.3</w:t>
            </w:r>
            <w:r w:rsidR="002533F1">
              <w:rPr>
                <w:sz w:val="20"/>
                <w:szCs w:val="20"/>
              </w:rPr>
              <w:t>%</w:t>
            </w:r>
          </w:p>
        </w:tc>
        <w:tc>
          <w:tcPr>
            <w:tcW w:w="1465" w:type="dxa"/>
          </w:tcPr>
          <w:p w:rsidR="00AC7BE5" w:rsidRPr="00AC7BE5" w:rsidRDefault="00B84B1C" w:rsidP="00DF1E74">
            <w:pPr>
              <w:pStyle w:val="BodyText"/>
              <w:jc w:val="right"/>
              <w:rPr>
                <w:sz w:val="20"/>
                <w:szCs w:val="20"/>
              </w:rPr>
            </w:pPr>
            <w:r>
              <w:rPr>
                <w:sz w:val="20"/>
                <w:szCs w:val="20"/>
              </w:rPr>
              <w:t>-0.2</w:t>
            </w:r>
            <w:r w:rsidR="002533F1">
              <w:rPr>
                <w:sz w:val="20"/>
                <w:szCs w:val="20"/>
              </w:rPr>
              <w:t>%</w:t>
            </w:r>
          </w:p>
        </w:tc>
        <w:tc>
          <w:tcPr>
            <w:tcW w:w="1465" w:type="dxa"/>
            <w:shd w:val="clear" w:color="auto" w:fill="auto"/>
          </w:tcPr>
          <w:p w:rsidR="00AC7BE5" w:rsidRPr="00AC7BE5" w:rsidRDefault="00B84B1C" w:rsidP="00AC7BE5">
            <w:pPr>
              <w:pStyle w:val="BodyText"/>
              <w:jc w:val="right"/>
              <w:rPr>
                <w:sz w:val="20"/>
                <w:szCs w:val="20"/>
              </w:rPr>
            </w:pPr>
            <w:r>
              <w:rPr>
                <w:sz w:val="20"/>
                <w:szCs w:val="20"/>
              </w:rPr>
              <w:t>0.9</w:t>
            </w:r>
            <w:r w:rsidR="002533F1">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Stationary AC</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B84B1C" w:rsidP="00DF1E74">
            <w:pPr>
              <w:pStyle w:val="BodyText"/>
              <w:jc w:val="right"/>
              <w:rPr>
                <w:sz w:val="20"/>
                <w:szCs w:val="20"/>
              </w:rPr>
            </w:pPr>
            <w:r>
              <w:rPr>
                <w:sz w:val="20"/>
                <w:szCs w:val="20"/>
              </w:rPr>
              <w:t>5.8</w:t>
            </w:r>
            <w:r w:rsidR="00AC7BE5">
              <w:rPr>
                <w:sz w:val="20"/>
                <w:szCs w:val="20"/>
              </w:rPr>
              <w:t>%</w:t>
            </w:r>
          </w:p>
        </w:tc>
        <w:tc>
          <w:tcPr>
            <w:tcW w:w="1465" w:type="dxa"/>
          </w:tcPr>
          <w:p w:rsidR="00AC7BE5" w:rsidRPr="00AC7BE5" w:rsidRDefault="00AC7BE5" w:rsidP="00AC7BE5">
            <w:pPr>
              <w:pStyle w:val="BodyText"/>
              <w:jc w:val="right"/>
              <w:rPr>
                <w:sz w:val="20"/>
                <w:szCs w:val="20"/>
              </w:rPr>
            </w:pPr>
            <w:r>
              <w:rPr>
                <w:sz w:val="20"/>
                <w:szCs w:val="20"/>
              </w:rPr>
              <w:t>3%</w:t>
            </w:r>
          </w:p>
        </w:tc>
        <w:tc>
          <w:tcPr>
            <w:tcW w:w="1465" w:type="dxa"/>
            <w:shd w:val="clear" w:color="auto" w:fill="auto"/>
          </w:tcPr>
          <w:p w:rsidR="00AC7BE5" w:rsidRPr="00AC7BE5" w:rsidRDefault="00AC7BE5" w:rsidP="00AC7BE5">
            <w:pPr>
              <w:pStyle w:val="BodyText"/>
              <w:jc w:val="right"/>
              <w:rPr>
                <w:sz w:val="20"/>
                <w:szCs w:val="20"/>
              </w:rPr>
            </w:pPr>
            <w:r>
              <w:rPr>
                <w:sz w:val="20"/>
                <w:szCs w:val="20"/>
              </w:rPr>
              <w:t>3%</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B84B1C" w:rsidP="00DF1E74">
            <w:pPr>
              <w:pStyle w:val="BodyText"/>
              <w:jc w:val="right"/>
              <w:rPr>
                <w:sz w:val="20"/>
                <w:szCs w:val="20"/>
              </w:rPr>
            </w:pPr>
            <w:r>
              <w:rPr>
                <w:sz w:val="20"/>
                <w:szCs w:val="20"/>
              </w:rPr>
              <w:t>8.5</w:t>
            </w:r>
            <w:r w:rsidR="002533F1">
              <w:rPr>
                <w:sz w:val="20"/>
                <w:szCs w:val="20"/>
              </w:rPr>
              <w:t>%</w:t>
            </w:r>
          </w:p>
        </w:tc>
        <w:tc>
          <w:tcPr>
            <w:tcW w:w="1465" w:type="dxa"/>
          </w:tcPr>
          <w:p w:rsidR="00AC7BE5" w:rsidRPr="00AC7BE5" w:rsidRDefault="00B84B1C" w:rsidP="00DF1E74">
            <w:pPr>
              <w:pStyle w:val="BodyText"/>
              <w:jc w:val="right"/>
              <w:rPr>
                <w:sz w:val="20"/>
                <w:szCs w:val="20"/>
              </w:rPr>
            </w:pPr>
            <w:r>
              <w:rPr>
                <w:sz w:val="20"/>
                <w:szCs w:val="20"/>
              </w:rPr>
              <w:t>2.8</w:t>
            </w:r>
            <w:r w:rsidR="002533F1">
              <w:rPr>
                <w:sz w:val="20"/>
                <w:szCs w:val="20"/>
              </w:rPr>
              <w:t>%</w:t>
            </w:r>
          </w:p>
        </w:tc>
        <w:tc>
          <w:tcPr>
            <w:tcW w:w="1465" w:type="dxa"/>
            <w:shd w:val="clear" w:color="auto" w:fill="auto"/>
          </w:tcPr>
          <w:p w:rsidR="00AC7BE5" w:rsidRPr="00AC7BE5" w:rsidRDefault="00B84B1C" w:rsidP="00DF1E74">
            <w:pPr>
              <w:pStyle w:val="BodyText"/>
              <w:jc w:val="right"/>
              <w:rPr>
                <w:sz w:val="20"/>
                <w:szCs w:val="20"/>
              </w:rPr>
            </w:pPr>
            <w:r>
              <w:rPr>
                <w:sz w:val="20"/>
                <w:szCs w:val="20"/>
              </w:rPr>
              <w:t>2.7</w:t>
            </w:r>
            <w:r w:rsidR="002533F1">
              <w:rPr>
                <w:sz w:val="20"/>
                <w:szCs w:val="20"/>
              </w:rPr>
              <w:t>%</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Mobile AC</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B84B1C" w:rsidP="00DF1E74">
            <w:pPr>
              <w:pStyle w:val="BodyText"/>
              <w:jc w:val="right"/>
              <w:rPr>
                <w:sz w:val="20"/>
                <w:szCs w:val="20"/>
              </w:rPr>
            </w:pPr>
            <w:r>
              <w:rPr>
                <w:sz w:val="20"/>
                <w:szCs w:val="20"/>
              </w:rPr>
              <w:t>-12.5</w:t>
            </w:r>
            <w:r w:rsidR="00AC7BE5">
              <w:rPr>
                <w:sz w:val="20"/>
                <w:szCs w:val="20"/>
              </w:rPr>
              <w:t>%</w:t>
            </w:r>
          </w:p>
        </w:tc>
        <w:tc>
          <w:tcPr>
            <w:tcW w:w="1465" w:type="dxa"/>
          </w:tcPr>
          <w:p w:rsidR="00AC7BE5" w:rsidRPr="00AC7BE5" w:rsidRDefault="00B84B1C" w:rsidP="00AC7BE5">
            <w:pPr>
              <w:pStyle w:val="BodyText"/>
              <w:jc w:val="right"/>
              <w:rPr>
                <w:sz w:val="20"/>
                <w:szCs w:val="20"/>
              </w:rPr>
            </w:pPr>
            <w:r>
              <w:rPr>
                <w:sz w:val="20"/>
                <w:szCs w:val="20"/>
              </w:rPr>
              <w:t>3.3</w:t>
            </w:r>
            <w:r w:rsidR="00AC7BE5">
              <w:rPr>
                <w:sz w:val="20"/>
                <w:szCs w:val="20"/>
              </w:rPr>
              <w:t>%</w:t>
            </w:r>
          </w:p>
        </w:tc>
        <w:tc>
          <w:tcPr>
            <w:tcW w:w="1465" w:type="dxa"/>
            <w:shd w:val="clear" w:color="auto" w:fill="auto"/>
          </w:tcPr>
          <w:p w:rsidR="00AC7BE5" w:rsidRPr="00AC7BE5" w:rsidRDefault="00AC7BE5" w:rsidP="00AC7BE5">
            <w:pPr>
              <w:pStyle w:val="BodyText"/>
              <w:jc w:val="right"/>
              <w:rPr>
                <w:sz w:val="20"/>
                <w:szCs w:val="20"/>
              </w:rPr>
            </w:pPr>
            <w:r>
              <w:rPr>
                <w:sz w:val="20"/>
                <w:szCs w:val="20"/>
              </w:rPr>
              <w:t>3%</w:t>
            </w:r>
          </w:p>
        </w:tc>
      </w:tr>
      <w:tr w:rsidR="00AC7BE5" w:rsidTr="00AC7BE5">
        <w:tc>
          <w:tcPr>
            <w:tcW w:w="2552" w:type="dxa"/>
            <w:shd w:val="clear" w:color="auto" w:fill="auto"/>
          </w:tcPr>
          <w:p w:rsidR="00AC7BE5" w:rsidRPr="00AC7BE5" w:rsidRDefault="00AC7BE5" w:rsidP="00AC7BE5">
            <w:pPr>
              <w:pStyle w:val="BodyText"/>
              <w:rPr>
                <w:sz w:val="20"/>
                <w:szCs w:val="20"/>
              </w:rPr>
            </w:pPr>
          </w:p>
        </w:tc>
        <w:tc>
          <w:tcPr>
            <w:tcW w:w="1134" w:type="dxa"/>
          </w:tcPr>
          <w:p w:rsidR="00AC7BE5" w:rsidRPr="00AC7BE5" w:rsidRDefault="00AC7BE5" w:rsidP="00AC7BE5">
            <w:pPr>
              <w:pStyle w:val="BodyText"/>
              <w:rPr>
                <w:sz w:val="20"/>
                <w:szCs w:val="20"/>
              </w:rPr>
            </w:pPr>
            <w:r w:rsidRPr="00AC7BE5">
              <w:rPr>
                <w:sz w:val="20"/>
                <w:szCs w:val="20"/>
              </w:rPr>
              <w:t>Total</w:t>
            </w:r>
          </w:p>
        </w:tc>
        <w:tc>
          <w:tcPr>
            <w:tcW w:w="1464" w:type="dxa"/>
          </w:tcPr>
          <w:p w:rsidR="00AC7BE5" w:rsidRPr="00AC7BE5" w:rsidRDefault="00B84B1C" w:rsidP="00DF1E74">
            <w:pPr>
              <w:pStyle w:val="BodyText"/>
              <w:jc w:val="right"/>
              <w:rPr>
                <w:sz w:val="20"/>
                <w:szCs w:val="20"/>
              </w:rPr>
            </w:pPr>
            <w:r>
              <w:rPr>
                <w:sz w:val="20"/>
                <w:szCs w:val="20"/>
              </w:rPr>
              <w:t>-3.6</w:t>
            </w:r>
            <w:r w:rsidR="002533F1">
              <w:rPr>
                <w:sz w:val="20"/>
                <w:szCs w:val="20"/>
              </w:rPr>
              <w:t>%</w:t>
            </w:r>
          </w:p>
        </w:tc>
        <w:tc>
          <w:tcPr>
            <w:tcW w:w="1465" w:type="dxa"/>
          </w:tcPr>
          <w:p w:rsidR="00AC7BE5" w:rsidRPr="00AC7BE5" w:rsidRDefault="00B84B1C" w:rsidP="00DF1E74">
            <w:pPr>
              <w:pStyle w:val="BodyText"/>
              <w:jc w:val="right"/>
              <w:rPr>
                <w:sz w:val="20"/>
                <w:szCs w:val="20"/>
              </w:rPr>
            </w:pPr>
            <w:r>
              <w:rPr>
                <w:sz w:val="20"/>
                <w:szCs w:val="20"/>
              </w:rPr>
              <w:t>-5.5</w:t>
            </w:r>
            <w:r w:rsidR="002533F1">
              <w:rPr>
                <w:sz w:val="20"/>
                <w:szCs w:val="20"/>
              </w:rPr>
              <w:t>%</w:t>
            </w:r>
          </w:p>
        </w:tc>
        <w:tc>
          <w:tcPr>
            <w:tcW w:w="1465" w:type="dxa"/>
            <w:shd w:val="clear" w:color="auto" w:fill="auto"/>
          </w:tcPr>
          <w:p w:rsidR="00AC7BE5" w:rsidRPr="00AC7BE5" w:rsidRDefault="00B84B1C" w:rsidP="00AC7BE5">
            <w:pPr>
              <w:pStyle w:val="BodyText"/>
              <w:jc w:val="right"/>
              <w:rPr>
                <w:sz w:val="20"/>
                <w:szCs w:val="20"/>
              </w:rPr>
            </w:pPr>
            <w:r>
              <w:rPr>
                <w:sz w:val="20"/>
                <w:szCs w:val="20"/>
              </w:rPr>
              <w:t>1.9</w:t>
            </w:r>
            <w:r w:rsidR="002533F1">
              <w:rPr>
                <w:sz w:val="20"/>
                <w:szCs w:val="20"/>
              </w:rPr>
              <w:t>%</w:t>
            </w:r>
          </w:p>
        </w:tc>
      </w:tr>
      <w:tr w:rsidR="00AC7BE5" w:rsidTr="009A6E3D">
        <w:tc>
          <w:tcPr>
            <w:tcW w:w="8080" w:type="dxa"/>
            <w:gridSpan w:val="5"/>
            <w:shd w:val="clear" w:color="auto" w:fill="auto"/>
          </w:tcPr>
          <w:p w:rsidR="00AC7BE5" w:rsidRPr="00AC7BE5" w:rsidRDefault="00AC7BE5" w:rsidP="00AC7BE5">
            <w:pPr>
              <w:pStyle w:val="BodyText"/>
              <w:rPr>
                <w:b/>
                <w:sz w:val="20"/>
                <w:szCs w:val="20"/>
              </w:rPr>
            </w:pPr>
            <w:r w:rsidRPr="00AC7BE5">
              <w:rPr>
                <w:b/>
                <w:sz w:val="20"/>
                <w:szCs w:val="20"/>
              </w:rPr>
              <w:t>Article 5 Parties</w:t>
            </w:r>
          </w:p>
        </w:tc>
      </w:tr>
      <w:tr w:rsidR="00AC7BE5" w:rsidTr="00AC7BE5">
        <w:tc>
          <w:tcPr>
            <w:tcW w:w="2552" w:type="dxa"/>
            <w:shd w:val="clear" w:color="auto" w:fill="auto"/>
          </w:tcPr>
          <w:p w:rsidR="00AC7BE5" w:rsidRPr="00AC7BE5" w:rsidRDefault="00AC7BE5" w:rsidP="00AC7BE5">
            <w:pPr>
              <w:pStyle w:val="BodyText"/>
              <w:rPr>
                <w:b/>
                <w:sz w:val="20"/>
                <w:szCs w:val="20"/>
              </w:rPr>
            </w:pPr>
            <w:r w:rsidRPr="00AC7BE5">
              <w:rPr>
                <w:b/>
                <w:sz w:val="20"/>
                <w:szCs w:val="20"/>
              </w:rPr>
              <w:t>Sub-sector</w:t>
            </w:r>
          </w:p>
        </w:tc>
        <w:tc>
          <w:tcPr>
            <w:tcW w:w="1134" w:type="dxa"/>
          </w:tcPr>
          <w:p w:rsidR="00AC7BE5" w:rsidRPr="00AC7BE5" w:rsidRDefault="00AC7BE5" w:rsidP="00AC7BE5">
            <w:pPr>
              <w:pStyle w:val="BodyText"/>
              <w:jc w:val="right"/>
              <w:rPr>
                <w:b/>
                <w:sz w:val="20"/>
                <w:szCs w:val="20"/>
              </w:rPr>
            </w:pPr>
          </w:p>
        </w:tc>
        <w:tc>
          <w:tcPr>
            <w:tcW w:w="1464" w:type="dxa"/>
          </w:tcPr>
          <w:p w:rsidR="00AC7BE5" w:rsidRPr="00AC7BE5" w:rsidRDefault="00AC7BE5" w:rsidP="00AC7BE5">
            <w:pPr>
              <w:pStyle w:val="BodyText"/>
              <w:jc w:val="right"/>
              <w:rPr>
                <w:b/>
                <w:sz w:val="20"/>
                <w:szCs w:val="20"/>
              </w:rPr>
            </w:pPr>
            <w:r w:rsidRPr="00AC7BE5">
              <w:rPr>
                <w:b/>
                <w:sz w:val="20"/>
                <w:szCs w:val="20"/>
              </w:rPr>
              <w:t>2010-2020</w:t>
            </w:r>
          </w:p>
        </w:tc>
        <w:tc>
          <w:tcPr>
            <w:tcW w:w="1465" w:type="dxa"/>
          </w:tcPr>
          <w:p w:rsidR="00AC7BE5" w:rsidRPr="00AC7BE5" w:rsidRDefault="00AC7BE5" w:rsidP="00AC7BE5">
            <w:pPr>
              <w:pStyle w:val="BodyText"/>
              <w:jc w:val="right"/>
              <w:rPr>
                <w:b/>
                <w:sz w:val="20"/>
                <w:szCs w:val="20"/>
              </w:rPr>
            </w:pPr>
            <w:r w:rsidRPr="00AC7BE5">
              <w:rPr>
                <w:b/>
                <w:sz w:val="20"/>
                <w:szCs w:val="20"/>
              </w:rPr>
              <w:t>2020-2030</w:t>
            </w:r>
          </w:p>
        </w:tc>
        <w:tc>
          <w:tcPr>
            <w:tcW w:w="1465" w:type="dxa"/>
            <w:shd w:val="clear" w:color="auto" w:fill="auto"/>
          </w:tcPr>
          <w:p w:rsidR="00AC7BE5" w:rsidRPr="00AC7BE5" w:rsidRDefault="00AC7BE5" w:rsidP="00AC7BE5">
            <w:pPr>
              <w:pStyle w:val="BodyText"/>
              <w:jc w:val="right"/>
              <w:rPr>
                <w:b/>
                <w:sz w:val="20"/>
                <w:szCs w:val="20"/>
              </w:rPr>
            </w:pPr>
            <w:r w:rsidRPr="00AC7BE5">
              <w:rPr>
                <w:b/>
                <w:sz w:val="20"/>
                <w:szCs w:val="20"/>
              </w:rPr>
              <w:t>2030-2050</w:t>
            </w:r>
          </w:p>
        </w:tc>
      </w:tr>
      <w:tr w:rsidR="00AC7BE5" w:rsidTr="00AC7BE5">
        <w:tc>
          <w:tcPr>
            <w:tcW w:w="2552" w:type="dxa"/>
            <w:shd w:val="clear" w:color="auto" w:fill="auto"/>
          </w:tcPr>
          <w:p w:rsidR="00AC7BE5" w:rsidRPr="00AC7BE5" w:rsidRDefault="00AC7BE5" w:rsidP="00AC7BE5">
            <w:pPr>
              <w:pStyle w:val="BodyText"/>
              <w:rPr>
                <w:sz w:val="20"/>
                <w:szCs w:val="20"/>
              </w:rPr>
            </w:pPr>
            <w:r w:rsidRPr="00AC7BE5">
              <w:rPr>
                <w:sz w:val="20"/>
                <w:szCs w:val="20"/>
              </w:rPr>
              <w:t>Domestic refrigeration</w:t>
            </w:r>
          </w:p>
        </w:tc>
        <w:tc>
          <w:tcPr>
            <w:tcW w:w="1134" w:type="dxa"/>
          </w:tcPr>
          <w:p w:rsidR="00AC7BE5" w:rsidRPr="00AC7BE5" w:rsidRDefault="00AC7BE5" w:rsidP="00AC7BE5">
            <w:pPr>
              <w:pStyle w:val="BodyText"/>
              <w:rPr>
                <w:sz w:val="20"/>
                <w:szCs w:val="20"/>
              </w:rPr>
            </w:pPr>
            <w:r w:rsidRPr="00AC7BE5">
              <w:rPr>
                <w:sz w:val="20"/>
                <w:szCs w:val="20"/>
              </w:rPr>
              <w:t>Manufact.</w:t>
            </w:r>
          </w:p>
        </w:tc>
        <w:tc>
          <w:tcPr>
            <w:tcW w:w="1464" w:type="dxa"/>
          </w:tcPr>
          <w:p w:rsidR="00AC7BE5" w:rsidRPr="00AC7BE5" w:rsidRDefault="00F82138" w:rsidP="00F82138">
            <w:pPr>
              <w:pStyle w:val="BodyText"/>
              <w:jc w:val="right"/>
              <w:rPr>
                <w:sz w:val="20"/>
                <w:szCs w:val="20"/>
              </w:rPr>
            </w:pPr>
            <w:r>
              <w:rPr>
                <w:sz w:val="20"/>
                <w:szCs w:val="20"/>
              </w:rPr>
              <w:t>5</w:t>
            </w:r>
            <w:r w:rsidR="00AC7BE5">
              <w:rPr>
                <w:sz w:val="20"/>
                <w:szCs w:val="20"/>
              </w:rPr>
              <w:t>.8%</w:t>
            </w:r>
          </w:p>
        </w:tc>
        <w:tc>
          <w:tcPr>
            <w:tcW w:w="1465" w:type="dxa"/>
          </w:tcPr>
          <w:p w:rsidR="00AC7BE5" w:rsidRPr="00AC7BE5" w:rsidRDefault="00AC7BE5" w:rsidP="00AC7BE5">
            <w:pPr>
              <w:pStyle w:val="BodyText"/>
              <w:jc w:val="right"/>
              <w:rPr>
                <w:sz w:val="20"/>
                <w:szCs w:val="20"/>
              </w:rPr>
            </w:pPr>
            <w:r>
              <w:rPr>
                <w:sz w:val="20"/>
                <w:szCs w:val="20"/>
              </w:rPr>
              <w:t>5.8%</w:t>
            </w:r>
          </w:p>
        </w:tc>
        <w:tc>
          <w:tcPr>
            <w:tcW w:w="1465" w:type="dxa"/>
            <w:shd w:val="clear" w:color="auto" w:fill="auto"/>
          </w:tcPr>
          <w:p w:rsidR="00AC7BE5" w:rsidRPr="00AC7BE5" w:rsidRDefault="00F82138" w:rsidP="00AC7BE5">
            <w:pPr>
              <w:pStyle w:val="BodyText"/>
              <w:jc w:val="right"/>
              <w:rPr>
                <w:sz w:val="20"/>
                <w:szCs w:val="20"/>
              </w:rPr>
            </w:pPr>
            <w:r>
              <w:rPr>
                <w:sz w:val="20"/>
                <w:szCs w:val="20"/>
              </w:rPr>
              <w:t>4.5%</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4.8%</w:t>
            </w:r>
          </w:p>
        </w:tc>
        <w:tc>
          <w:tcPr>
            <w:tcW w:w="1465" w:type="dxa"/>
          </w:tcPr>
          <w:p w:rsidR="00F82138" w:rsidRPr="00AC7BE5" w:rsidRDefault="00F82138" w:rsidP="00F82138">
            <w:pPr>
              <w:pStyle w:val="BodyText"/>
              <w:jc w:val="right"/>
              <w:rPr>
                <w:sz w:val="20"/>
                <w:szCs w:val="20"/>
              </w:rPr>
            </w:pPr>
            <w:r>
              <w:rPr>
                <w:sz w:val="20"/>
                <w:szCs w:val="20"/>
              </w:rPr>
              <w:t>5.8%</w:t>
            </w:r>
          </w:p>
        </w:tc>
        <w:tc>
          <w:tcPr>
            <w:tcW w:w="1465" w:type="dxa"/>
            <w:shd w:val="clear" w:color="auto" w:fill="auto"/>
          </w:tcPr>
          <w:p w:rsidR="00F82138" w:rsidRPr="00AC7BE5" w:rsidRDefault="00F82138" w:rsidP="00F82138">
            <w:pPr>
              <w:pStyle w:val="BodyText"/>
              <w:jc w:val="right"/>
              <w:rPr>
                <w:sz w:val="20"/>
                <w:szCs w:val="20"/>
              </w:rPr>
            </w:pPr>
            <w:r>
              <w:rPr>
                <w:sz w:val="20"/>
                <w:szCs w:val="20"/>
              </w:rPr>
              <w:t>4.5%</w:t>
            </w:r>
          </w:p>
        </w:tc>
      </w:tr>
      <w:tr w:rsidR="00F82138" w:rsidTr="00AC7BE5">
        <w:tc>
          <w:tcPr>
            <w:tcW w:w="2552" w:type="dxa"/>
            <w:shd w:val="clear" w:color="auto" w:fill="auto"/>
          </w:tcPr>
          <w:p w:rsidR="00F82138" w:rsidRPr="00AC7BE5" w:rsidRDefault="00F82138" w:rsidP="00F82138">
            <w:pPr>
              <w:pStyle w:val="BodyText"/>
              <w:rPr>
                <w:sz w:val="20"/>
                <w:szCs w:val="20"/>
              </w:rPr>
            </w:pPr>
            <w:r w:rsidRPr="00AC7BE5">
              <w:rPr>
                <w:sz w:val="20"/>
                <w:szCs w:val="20"/>
              </w:rPr>
              <w:t>Commercial refrigeration</w:t>
            </w:r>
          </w:p>
        </w:tc>
        <w:tc>
          <w:tcPr>
            <w:tcW w:w="1134" w:type="dxa"/>
          </w:tcPr>
          <w:p w:rsidR="00F82138" w:rsidRPr="00AC7BE5" w:rsidRDefault="00F82138" w:rsidP="00F82138">
            <w:pPr>
              <w:pStyle w:val="BodyText"/>
              <w:rPr>
                <w:sz w:val="20"/>
                <w:szCs w:val="20"/>
              </w:rPr>
            </w:pPr>
            <w:r w:rsidRPr="00AC7BE5">
              <w:rPr>
                <w:sz w:val="20"/>
                <w:szCs w:val="20"/>
              </w:rPr>
              <w:t>Manufact.</w:t>
            </w:r>
          </w:p>
        </w:tc>
        <w:tc>
          <w:tcPr>
            <w:tcW w:w="1464" w:type="dxa"/>
          </w:tcPr>
          <w:p w:rsidR="00F82138" w:rsidRPr="00AC7BE5" w:rsidRDefault="00F82138" w:rsidP="00F82138">
            <w:pPr>
              <w:pStyle w:val="BodyText"/>
              <w:jc w:val="right"/>
              <w:rPr>
                <w:sz w:val="20"/>
                <w:szCs w:val="20"/>
              </w:rPr>
            </w:pPr>
            <w:r>
              <w:rPr>
                <w:sz w:val="20"/>
                <w:szCs w:val="20"/>
              </w:rPr>
              <w:t>12.9%</w:t>
            </w:r>
          </w:p>
        </w:tc>
        <w:tc>
          <w:tcPr>
            <w:tcW w:w="1465" w:type="dxa"/>
          </w:tcPr>
          <w:p w:rsidR="00F82138" w:rsidRPr="00AC7BE5" w:rsidRDefault="00F82138" w:rsidP="00F82138">
            <w:pPr>
              <w:pStyle w:val="BodyText"/>
              <w:jc w:val="right"/>
              <w:rPr>
                <w:sz w:val="20"/>
                <w:szCs w:val="20"/>
              </w:rPr>
            </w:pPr>
            <w:r>
              <w:rPr>
                <w:sz w:val="20"/>
                <w:szCs w:val="20"/>
              </w:rPr>
              <w:t>8.6%</w:t>
            </w:r>
          </w:p>
        </w:tc>
        <w:tc>
          <w:tcPr>
            <w:tcW w:w="1465" w:type="dxa"/>
            <w:shd w:val="clear" w:color="auto" w:fill="auto"/>
          </w:tcPr>
          <w:p w:rsidR="00F82138" w:rsidRPr="00AC7BE5" w:rsidRDefault="00F82138" w:rsidP="00F82138">
            <w:pPr>
              <w:pStyle w:val="BodyText"/>
              <w:jc w:val="right"/>
              <w:rPr>
                <w:sz w:val="20"/>
                <w:szCs w:val="20"/>
              </w:rPr>
            </w:pPr>
            <w:r>
              <w:rPr>
                <w:sz w:val="20"/>
                <w:szCs w:val="20"/>
              </w:rPr>
              <w:t>4.5%</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16.5%</w:t>
            </w:r>
          </w:p>
        </w:tc>
        <w:tc>
          <w:tcPr>
            <w:tcW w:w="1465" w:type="dxa"/>
          </w:tcPr>
          <w:p w:rsidR="00F82138" w:rsidRPr="00AC7BE5" w:rsidRDefault="00F82138" w:rsidP="00F82138">
            <w:pPr>
              <w:pStyle w:val="BodyText"/>
              <w:jc w:val="right"/>
              <w:rPr>
                <w:sz w:val="20"/>
                <w:szCs w:val="20"/>
              </w:rPr>
            </w:pPr>
            <w:r>
              <w:rPr>
                <w:sz w:val="20"/>
                <w:szCs w:val="20"/>
              </w:rPr>
              <w:t>9.6%</w:t>
            </w:r>
          </w:p>
        </w:tc>
        <w:tc>
          <w:tcPr>
            <w:tcW w:w="1465" w:type="dxa"/>
            <w:shd w:val="clear" w:color="auto" w:fill="auto"/>
          </w:tcPr>
          <w:p w:rsidR="00F82138" w:rsidRPr="00AC7BE5" w:rsidRDefault="00F82138" w:rsidP="00F82138">
            <w:pPr>
              <w:pStyle w:val="BodyText"/>
              <w:jc w:val="right"/>
              <w:rPr>
                <w:sz w:val="20"/>
                <w:szCs w:val="20"/>
              </w:rPr>
            </w:pPr>
            <w:r>
              <w:rPr>
                <w:sz w:val="20"/>
                <w:szCs w:val="20"/>
              </w:rPr>
              <w:t>5.1%</w:t>
            </w:r>
          </w:p>
        </w:tc>
      </w:tr>
      <w:tr w:rsidR="00F82138" w:rsidTr="00AC7BE5">
        <w:tc>
          <w:tcPr>
            <w:tcW w:w="2552" w:type="dxa"/>
            <w:shd w:val="clear" w:color="auto" w:fill="auto"/>
          </w:tcPr>
          <w:p w:rsidR="00F82138" w:rsidRPr="00AC7BE5" w:rsidRDefault="00F82138" w:rsidP="00F82138">
            <w:pPr>
              <w:pStyle w:val="BodyText"/>
              <w:rPr>
                <w:sz w:val="20"/>
                <w:szCs w:val="20"/>
              </w:rPr>
            </w:pPr>
            <w:r w:rsidRPr="00AC7BE5">
              <w:rPr>
                <w:sz w:val="20"/>
                <w:szCs w:val="20"/>
              </w:rPr>
              <w:t>Industrial refrigeration</w:t>
            </w:r>
          </w:p>
        </w:tc>
        <w:tc>
          <w:tcPr>
            <w:tcW w:w="1134" w:type="dxa"/>
          </w:tcPr>
          <w:p w:rsidR="00F82138" w:rsidRPr="00AC7BE5" w:rsidRDefault="00F82138" w:rsidP="00F82138">
            <w:pPr>
              <w:pStyle w:val="BodyText"/>
              <w:rPr>
                <w:sz w:val="20"/>
                <w:szCs w:val="20"/>
              </w:rPr>
            </w:pPr>
            <w:r w:rsidRPr="00AC7BE5">
              <w:rPr>
                <w:sz w:val="20"/>
                <w:szCs w:val="20"/>
              </w:rPr>
              <w:t>Manufact.</w:t>
            </w:r>
          </w:p>
        </w:tc>
        <w:tc>
          <w:tcPr>
            <w:tcW w:w="1464" w:type="dxa"/>
          </w:tcPr>
          <w:p w:rsidR="00F82138" w:rsidRPr="00AC7BE5" w:rsidRDefault="00F82138" w:rsidP="00F82138">
            <w:pPr>
              <w:pStyle w:val="BodyText"/>
              <w:jc w:val="right"/>
              <w:rPr>
                <w:sz w:val="20"/>
                <w:szCs w:val="20"/>
              </w:rPr>
            </w:pPr>
            <w:r>
              <w:rPr>
                <w:sz w:val="20"/>
                <w:szCs w:val="20"/>
              </w:rPr>
              <w:t>8.8%</w:t>
            </w:r>
          </w:p>
        </w:tc>
        <w:tc>
          <w:tcPr>
            <w:tcW w:w="1465" w:type="dxa"/>
          </w:tcPr>
          <w:p w:rsidR="00F82138" w:rsidRPr="00AC7BE5" w:rsidRDefault="00F82138" w:rsidP="00F82138">
            <w:pPr>
              <w:pStyle w:val="BodyText"/>
              <w:jc w:val="right"/>
              <w:rPr>
                <w:sz w:val="20"/>
                <w:szCs w:val="20"/>
              </w:rPr>
            </w:pPr>
            <w:r>
              <w:rPr>
                <w:sz w:val="20"/>
                <w:szCs w:val="20"/>
              </w:rPr>
              <w:t>6.8%</w:t>
            </w:r>
          </w:p>
        </w:tc>
        <w:tc>
          <w:tcPr>
            <w:tcW w:w="1465" w:type="dxa"/>
            <w:shd w:val="clear" w:color="auto" w:fill="auto"/>
          </w:tcPr>
          <w:p w:rsidR="00F82138" w:rsidRPr="00AC7BE5" w:rsidRDefault="00F82138" w:rsidP="00F82138">
            <w:pPr>
              <w:pStyle w:val="BodyText"/>
              <w:jc w:val="right"/>
              <w:rPr>
                <w:sz w:val="20"/>
                <w:szCs w:val="20"/>
              </w:rPr>
            </w:pPr>
            <w:r>
              <w:rPr>
                <w:sz w:val="20"/>
                <w:szCs w:val="20"/>
              </w:rPr>
              <w:t>3.7%</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6.1%</w:t>
            </w:r>
          </w:p>
        </w:tc>
        <w:tc>
          <w:tcPr>
            <w:tcW w:w="1465" w:type="dxa"/>
          </w:tcPr>
          <w:p w:rsidR="00F82138" w:rsidRPr="00AC7BE5" w:rsidRDefault="00F82138" w:rsidP="00F82138">
            <w:pPr>
              <w:pStyle w:val="BodyText"/>
              <w:jc w:val="right"/>
              <w:rPr>
                <w:sz w:val="20"/>
                <w:szCs w:val="20"/>
              </w:rPr>
            </w:pPr>
            <w:r>
              <w:rPr>
                <w:sz w:val="20"/>
                <w:szCs w:val="20"/>
              </w:rPr>
              <w:t>6.1%</w:t>
            </w:r>
          </w:p>
        </w:tc>
        <w:tc>
          <w:tcPr>
            <w:tcW w:w="1465" w:type="dxa"/>
            <w:shd w:val="clear" w:color="auto" w:fill="auto"/>
          </w:tcPr>
          <w:p w:rsidR="00F82138" w:rsidRPr="00AC7BE5" w:rsidRDefault="00F82138" w:rsidP="00F82138">
            <w:pPr>
              <w:pStyle w:val="BodyText"/>
              <w:jc w:val="right"/>
              <w:rPr>
                <w:sz w:val="20"/>
                <w:szCs w:val="20"/>
              </w:rPr>
            </w:pPr>
            <w:r>
              <w:rPr>
                <w:sz w:val="20"/>
                <w:szCs w:val="20"/>
              </w:rPr>
              <w:t>4.2%</w:t>
            </w:r>
          </w:p>
        </w:tc>
      </w:tr>
      <w:tr w:rsidR="00F82138" w:rsidTr="00AC7BE5">
        <w:tc>
          <w:tcPr>
            <w:tcW w:w="2552" w:type="dxa"/>
            <w:shd w:val="clear" w:color="auto" w:fill="auto"/>
          </w:tcPr>
          <w:p w:rsidR="00F82138" w:rsidRPr="00AC7BE5" w:rsidRDefault="00F82138" w:rsidP="00F82138">
            <w:pPr>
              <w:pStyle w:val="BodyText"/>
              <w:rPr>
                <w:sz w:val="20"/>
                <w:szCs w:val="20"/>
              </w:rPr>
            </w:pPr>
            <w:r w:rsidRPr="00AC7BE5">
              <w:rPr>
                <w:sz w:val="20"/>
                <w:szCs w:val="20"/>
              </w:rPr>
              <w:t>Transport refrigeration</w:t>
            </w:r>
          </w:p>
        </w:tc>
        <w:tc>
          <w:tcPr>
            <w:tcW w:w="1134" w:type="dxa"/>
          </w:tcPr>
          <w:p w:rsidR="00F82138" w:rsidRPr="00AC7BE5" w:rsidRDefault="00F82138" w:rsidP="00F82138">
            <w:pPr>
              <w:pStyle w:val="BodyText"/>
              <w:rPr>
                <w:sz w:val="20"/>
                <w:szCs w:val="20"/>
              </w:rPr>
            </w:pPr>
            <w:r w:rsidRPr="00AC7BE5">
              <w:rPr>
                <w:sz w:val="20"/>
                <w:szCs w:val="20"/>
              </w:rPr>
              <w:t>Manufact.</w:t>
            </w:r>
          </w:p>
        </w:tc>
        <w:tc>
          <w:tcPr>
            <w:tcW w:w="1464" w:type="dxa"/>
          </w:tcPr>
          <w:p w:rsidR="00F82138" w:rsidRPr="00AC7BE5" w:rsidRDefault="00F82138" w:rsidP="00F82138">
            <w:pPr>
              <w:pStyle w:val="BodyText"/>
              <w:jc w:val="right"/>
              <w:rPr>
                <w:sz w:val="20"/>
                <w:szCs w:val="20"/>
              </w:rPr>
            </w:pPr>
            <w:r>
              <w:rPr>
                <w:sz w:val="20"/>
                <w:szCs w:val="20"/>
              </w:rPr>
              <w:t>5.8%</w:t>
            </w:r>
          </w:p>
        </w:tc>
        <w:tc>
          <w:tcPr>
            <w:tcW w:w="1465" w:type="dxa"/>
          </w:tcPr>
          <w:p w:rsidR="00F82138" w:rsidRPr="00AC7BE5" w:rsidRDefault="00F82138" w:rsidP="00F82138">
            <w:pPr>
              <w:pStyle w:val="BodyText"/>
              <w:jc w:val="right"/>
              <w:rPr>
                <w:sz w:val="20"/>
                <w:szCs w:val="20"/>
              </w:rPr>
            </w:pPr>
            <w:r>
              <w:rPr>
                <w:sz w:val="20"/>
                <w:szCs w:val="20"/>
              </w:rPr>
              <w:t>4.5%</w:t>
            </w:r>
          </w:p>
        </w:tc>
        <w:tc>
          <w:tcPr>
            <w:tcW w:w="1465" w:type="dxa"/>
            <w:shd w:val="clear" w:color="auto" w:fill="auto"/>
          </w:tcPr>
          <w:p w:rsidR="00F82138" w:rsidRPr="00AC7BE5" w:rsidRDefault="00F82138" w:rsidP="00F82138">
            <w:pPr>
              <w:pStyle w:val="BodyText"/>
              <w:jc w:val="right"/>
              <w:rPr>
                <w:sz w:val="20"/>
                <w:szCs w:val="20"/>
              </w:rPr>
            </w:pPr>
            <w:r>
              <w:rPr>
                <w:sz w:val="20"/>
                <w:szCs w:val="20"/>
              </w:rPr>
              <w:t>4.5%</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9.5%</w:t>
            </w:r>
          </w:p>
        </w:tc>
        <w:tc>
          <w:tcPr>
            <w:tcW w:w="1465" w:type="dxa"/>
          </w:tcPr>
          <w:p w:rsidR="00F82138" w:rsidRPr="00AC7BE5" w:rsidRDefault="00F82138" w:rsidP="00F82138">
            <w:pPr>
              <w:pStyle w:val="BodyText"/>
              <w:jc w:val="right"/>
              <w:rPr>
                <w:sz w:val="20"/>
                <w:szCs w:val="20"/>
              </w:rPr>
            </w:pPr>
            <w:r>
              <w:rPr>
                <w:sz w:val="20"/>
                <w:szCs w:val="20"/>
              </w:rPr>
              <w:t>5.7%</w:t>
            </w:r>
          </w:p>
        </w:tc>
        <w:tc>
          <w:tcPr>
            <w:tcW w:w="1465" w:type="dxa"/>
            <w:shd w:val="clear" w:color="auto" w:fill="auto"/>
          </w:tcPr>
          <w:p w:rsidR="00F82138" w:rsidRPr="00AC7BE5" w:rsidRDefault="00F82138" w:rsidP="00F82138">
            <w:pPr>
              <w:pStyle w:val="BodyText"/>
              <w:jc w:val="right"/>
              <w:rPr>
                <w:sz w:val="20"/>
                <w:szCs w:val="20"/>
              </w:rPr>
            </w:pPr>
            <w:r>
              <w:rPr>
                <w:sz w:val="20"/>
                <w:szCs w:val="20"/>
              </w:rPr>
              <w:t>4.4%</w:t>
            </w:r>
          </w:p>
        </w:tc>
      </w:tr>
      <w:tr w:rsidR="00F82138" w:rsidTr="00AC7BE5">
        <w:tc>
          <w:tcPr>
            <w:tcW w:w="2552" w:type="dxa"/>
            <w:shd w:val="clear" w:color="auto" w:fill="auto"/>
          </w:tcPr>
          <w:p w:rsidR="00F82138" w:rsidRPr="00AC7BE5" w:rsidRDefault="00F82138" w:rsidP="00F82138">
            <w:pPr>
              <w:pStyle w:val="BodyText"/>
              <w:rPr>
                <w:sz w:val="20"/>
                <w:szCs w:val="20"/>
              </w:rPr>
            </w:pPr>
            <w:r w:rsidRPr="00AC7BE5">
              <w:rPr>
                <w:sz w:val="20"/>
                <w:szCs w:val="20"/>
              </w:rPr>
              <w:t>Stationary AC</w:t>
            </w:r>
          </w:p>
        </w:tc>
        <w:tc>
          <w:tcPr>
            <w:tcW w:w="1134" w:type="dxa"/>
          </w:tcPr>
          <w:p w:rsidR="00F82138" w:rsidRPr="00AC7BE5" w:rsidRDefault="00F82138" w:rsidP="00F82138">
            <w:pPr>
              <w:pStyle w:val="BodyText"/>
              <w:rPr>
                <w:sz w:val="20"/>
                <w:szCs w:val="20"/>
              </w:rPr>
            </w:pPr>
            <w:r w:rsidRPr="00AC7BE5">
              <w:rPr>
                <w:sz w:val="20"/>
                <w:szCs w:val="20"/>
              </w:rPr>
              <w:t>Manufact.</w:t>
            </w:r>
          </w:p>
        </w:tc>
        <w:tc>
          <w:tcPr>
            <w:tcW w:w="1464" w:type="dxa"/>
          </w:tcPr>
          <w:p w:rsidR="00F82138" w:rsidRPr="00AC7BE5" w:rsidRDefault="00F82138" w:rsidP="00F82138">
            <w:pPr>
              <w:pStyle w:val="BodyText"/>
              <w:jc w:val="right"/>
              <w:rPr>
                <w:sz w:val="20"/>
                <w:szCs w:val="20"/>
              </w:rPr>
            </w:pPr>
            <w:r>
              <w:rPr>
                <w:sz w:val="20"/>
                <w:szCs w:val="20"/>
              </w:rPr>
              <w:t>15.8%</w:t>
            </w:r>
          </w:p>
        </w:tc>
        <w:tc>
          <w:tcPr>
            <w:tcW w:w="1465" w:type="dxa"/>
          </w:tcPr>
          <w:p w:rsidR="00F82138" w:rsidRPr="00AC7BE5" w:rsidRDefault="00F82138" w:rsidP="00F82138">
            <w:pPr>
              <w:pStyle w:val="BodyText"/>
              <w:jc w:val="right"/>
              <w:rPr>
                <w:sz w:val="20"/>
                <w:szCs w:val="20"/>
              </w:rPr>
            </w:pPr>
            <w:r>
              <w:rPr>
                <w:sz w:val="20"/>
                <w:szCs w:val="20"/>
              </w:rPr>
              <w:t>6.0%</w:t>
            </w:r>
          </w:p>
        </w:tc>
        <w:tc>
          <w:tcPr>
            <w:tcW w:w="1465" w:type="dxa"/>
            <w:shd w:val="clear" w:color="auto" w:fill="auto"/>
          </w:tcPr>
          <w:p w:rsidR="00F82138" w:rsidRPr="00AC7BE5" w:rsidRDefault="00F82138" w:rsidP="00F82138">
            <w:pPr>
              <w:pStyle w:val="BodyText"/>
              <w:jc w:val="right"/>
              <w:rPr>
                <w:sz w:val="20"/>
                <w:szCs w:val="20"/>
              </w:rPr>
            </w:pPr>
            <w:r>
              <w:rPr>
                <w:sz w:val="20"/>
                <w:szCs w:val="20"/>
              </w:rPr>
              <w:t>1.5%</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17.7%</w:t>
            </w:r>
          </w:p>
        </w:tc>
        <w:tc>
          <w:tcPr>
            <w:tcW w:w="1465" w:type="dxa"/>
          </w:tcPr>
          <w:p w:rsidR="00F82138" w:rsidRPr="00AC7BE5" w:rsidRDefault="00F82138" w:rsidP="00F82138">
            <w:pPr>
              <w:pStyle w:val="BodyText"/>
              <w:jc w:val="right"/>
              <w:rPr>
                <w:sz w:val="20"/>
                <w:szCs w:val="20"/>
              </w:rPr>
            </w:pPr>
            <w:r>
              <w:rPr>
                <w:sz w:val="20"/>
                <w:szCs w:val="20"/>
              </w:rPr>
              <w:t>8.3%</w:t>
            </w:r>
          </w:p>
        </w:tc>
        <w:tc>
          <w:tcPr>
            <w:tcW w:w="1465" w:type="dxa"/>
            <w:shd w:val="clear" w:color="auto" w:fill="auto"/>
          </w:tcPr>
          <w:p w:rsidR="00F82138" w:rsidRPr="00AC7BE5" w:rsidRDefault="00F82138" w:rsidP="00F82138">
            <w:pPr>
              <w:pStyle w:val="BodyText"/>
              <w:jc w:val="right"/>
              <w:rPr>
                <w:sz w:val="20"/>
                <w:szCs w:val="20"/>
              </w:rPr>
            </w:pPr>
            <w:r>
              <w:rPr>
                <w:sz w:val="20"/>
                <w:szCs w:val="20"/>
              </w:rPr>
              <w:t>3.0%</w:t>
            </w:r>
          </w:p>
        </w:tc>
      </w:tr>
      <w:tr w:rsidR="00F82138" w:rsidTr="00AC7BE5">
        <w:tc>
          <w:tcPr>
            <w:tcW w:w="2552" w:type="dxa"/>
            <w:shd w:val="clear" w:color="auto" w:fill="auto"/>
          </w:tcPr>
          <w:p w:rsidR="00F82138" w:rsidRPr="00AC7BE5" w:rsidRDefault="00F82138" w:rsidP="00F82138">
            <w:pPr>
              <w:pStyle w:val="BodyText"/>
              <w:rPr>
                <w:sz w:val="20"/>
                <w:szCs w:val="20"/>
              </w:rPr>
            </w:pPr>
            <w:r w:rsidRPr="00AC7BE5">
              <w:rPr>
                <w:sz w:val="20"/>
                <w:szCs w:val="20"/>
              </w:rPr>
              <w:t>Mobile AC</w:t>
            </w:r>
          </w:p>
        </w:tc>
        <w:tc>
          <w:tcPr>
            <w:tcW w:w="1134" w:type="dxa"/>
          </w:tcPr>
          <w:p w:rsidR="00F82138" w:rsidRPr="00AC7BE5" w:rsidRDefault="00F82138" w:rsidP="00F82138">
            <w:pPr>
              <w:pStyle w:val="BodyText"/>
              <w:rPr>
                <w:sz w:val="20"/>
                <w:szCs w:val="20"/>
              </w:rPr>
            </w:pPr>
            <w:r w:rsidRPr="00AC7BE5">
              <w:rPr>
                <w:sz w:val="20"/>
                <w:szCs w:val="20"/>
              </w:rPr>
              <w:t>Manufact.</w:t>
            </w:r>
          </w:p>
        </w:tc>
        <w:tc>
          <w:tcPr>
            <w:tcW w:w="1464" w:type="dxa"/>
          </w:tcPr>
          <w:p w:rsidR="00F82138" w:rsidRPr="00AC7BE5" w:rsidRDefault="00F82138" w:rsidP="00F82138">
            <w:pPr>
              <w:pStyle w:val="BodyText"/>
              <w:jc w:val="right"/>
              <w:rPr>
                <w:sz w:val="20"/>
                <w:szCs w:val="20"/>
              </w:rPr>
            </w:pPr>
            <w:r>
              <w:rPr>
                <w:sz w:val="20"/>
                <w:szCs w:val="20"/>
              </w:rPr>
              <w:t>5.0%</w:t>
            </w:r>
          </w:p>
        </w:tc>
        <w:tc>
          <w:tcPr>
            <w:tcW w:w="1465" w:type="dxa"/>
          </w:tcPr>
          <w:p w:rsidR="00F82138" w:rsidRPr="00AC7BE5" w:rsidRDefault="00F82138" w:rsidP="00F82138">
            <w:pPr>
              <w:pStyle w:val="BodyText"/>
              <w:jc w:val="right"/>
              <w:rPr>
                <w:sz w:val="20"/>
                <w:szCs w:val="20"/>
              </w:rPr>
            </w:pPr>
            <w:r>
              <w:rPr>
                <w:sz w:val="20"/>
                <w:szCs w:val="20"/>
              </w:rPr>
              <w:t>5.0%</w:t>
            </w:r>
          </w:p>
        </w:tc>
        <w:tc>
          <w:tcPr>
            <w:tcW w:w="1465" w:type="dxa"/>
            <w:shd w:val="clear" w:color="auto" w:fill="auto"/>
          </w:tcPr>
          <w:p w:rsidR="00F82138" w:rsidRPr="00AC7BE5" w:rsidRDefault="00F82138" w:rsidP="00F82138">
            <w:pPr>
              <w:pStyle w:val="BodyText"/>
              <w:jc w:val="right"/>
              <w:rPr>
                <w:sz w:val="20"/>
                <w:szCs w:val="20"/>
              </w:rPr>
            </w:pPr>
            <w:r>
              <w:rPr>
                <w:sz w:val="20"/>
                <w:szCs w:val="20"/>
              </w:rPr>
              <w:t>5.0%</w:t>
            </w:r>
          </w:p>
        </w:tc>
      </w:tr>
      <w:tr w:rsidR="00F82138" w:rsidTr="00AC7BE5">
        <w:tc>
          <w:tcPr>
            <w:tcW w:w="2552" w:type="dxa"/>
            <w:shd w:val="clear" w:color="auto" w:fill="auto"/>
          </w:tcPr>
          <w:p w:rsidR="00F82138" w:rsidRPr="00AC7BE5" w:rsidRDefault="00F82138" w:rsidP="00F82138">
            <w:pPr>
              <w:pStyle w:val="BodyText"/>
              <w:rPr>
                <w:sz w:val="20"/>
                <w:szCs w:val="20"/>
              </w:rPr>
            </w:pPr>
          </w:p>
        </w:tc>
        <w:tc>
          <w:tcPr>
            <w:tcW w:w="1134" w:type="dxa"/>
          </w:tcPr>
          <w:p w:rsidR="00F82138" w:rsidRPr="00AC7BE5" w:rsidRDefault="00F82138" w:rsidP="00F82138">
            <w:pPr>
              <w:pStyle w:val="BodyText"/>
              <w:rPr>
                <w:sz w:val="20"/>
                <w:szCs w:val="20"/>
              </w:rPr>
            </w:pPr>
            <w:r w:rsidRPr="00AC7BE5">
              <w:rPr>
                <w:sz w:val="20"/>
                <w:szCs w:val="20"/>
              </w:rPr>
              <w:t>Total</w:t>
            </w:r>
          </w:p>
        </w:tc>
        <w:tc>
          <w:tcPr>
            <w:tcW w:w="1464" w:type="dxa"/>
          </w:tcPr>
          <w:p w:rsidR="00F82138" w:rsidRPr="00AC7BE5" w:rsidRDefault="00F82138" w:rsidP="00F82138">
            <w:pPr>
              <w:pStyle w:val="BodyText"/>
              <w:jc w:val="right"/>
              <w:rPr>
                <w:sz w:val="20"/>
                <w:szCs w:val="20"/>
              </w:rPr>
            </w:pPr>
            <w:r>
              <w:rPr>
                <w:sz w:val="20"/>
                <w:szCs w:val="20"/>
              </w:rPr>
              <w:t>6.4%</w:t>
            </w:r>
          </w:p>
        </w:tc>
        <w:tc>
          <w:tcPr>
            <w:tcW w:w="1465" w:type="dxa"/>
          </w:tcPr>
          <w:p w:rsidR="00F82138" w:rsidRPr="00AC7BE5" w:rsidRDefault="00F82138" w:rsidP="00F82138">
            <w:pPr>
              <w:pStyle w:val="BodyText"/>
              <w:jc w:val="right"/>
              <w:rPr>
                <w:sz w:val="20"/>
                <w:szCs w:val="20"/>
              </w:rPr>
            </w:pPr>
            <w:r>
              <w:rPr>
                <w:sz w:val="20"/>
                <w:szCs w:val="20"/>
              </w:rPr>
              <w:t>5.0%</w:t>
            </w:r>
          </w:p>
        </w:tc>
        <w:tc>
          <w:tcPr>
            <w:tcW w:w="1465" w:type="dxa"/>
            <w:shd w:val="clear" w:color="auto" w:fill="auto"/>
          </w:tcPr>
          <w:p w:rsidR="00F82138" w:rsidRPr="00AC7BE5" w:rsidRDefault="00F82138" w:rsidP="00F82138">
            <w:pPr>
              <w:pStyle w:val="BodyText"/>
              <w:jc w:val="right"/>
              <w:rPr>
                <w:sz w:val="20"/>
                <w:szCs w:val="20"/>
              </w:rPr>
            </w:pPr>
            <w:r>
              <w:rPr>
                <w:sz w:val="20"/>
                <w:szCs w:val="20"/>
              </w:rPr>
              <w:t>5.0%</w:t>
            </w:r>
          </w:p>
        </w:tc>
      </w:tr>
    </w:tbl>
    <w:p w:rsidR="007B7BF4" w:rsidRPr="00395A38" w:rsidRDefault="00395A38" w:rsidP="007B7BF4">
      <w:pPr>
        <w:pStyle w:val="BodyText"/>
        <w:rPr>
          <w:i/>
          <w:sz w:val="20"/>
          <w:szCs w:val="20"/>
        </w:rPr>
      </w:pPr>
      <w:r w:rsidRPr="00395A38">
        <w:rPr>
          <w:i/>
          <w:sz w:val="20"/>
          <w:szCs w:val="20"/>
        </w:rPr>
        <w:t>Note: this table is different from the one in the March 2016 TF report, since some negative growth in HCFC</w:t>
      </w:r>
      <w:r w:rsidR="003C7082">
        <w:rPr>
          <w:i/>
          <w:sz w:val="20"/>
          <w:szCs w:val="20"/>
        </w:rPr>
        <w:t xml:space="preserve"> demand </w:t>
      </w:r>
      <w:r w:rsidRPr="00395A38">
        <w:rPr>
          <w:i/>
          <w:sz w:val="20"/>
          <w:szCs w:val="20"/>
        </w:rPr>
        <w:t xml:space="preserve">was taken into account in the first 10 (20) years </w:t>
      </w:r>
      <w:r w:rsidR="003C7082">
        <w:rPr>
          <w:i/>
          <w:sz w:val="20"/>
          <w:szCs w:val="20"/>
        </w:rPr>
        <w:t xml:space="preserve">(2010-2030) </w:t>
      </w:r>
      <w:r w:rsidRPr="00395A38">
        <w:rPr>
          <w:i/>
          <w:sz w:val="20"/>
          <w:szCs w:val="20"/>
        </w:rPr>
        <w:t>in Article 5 Parties</w:t>
      </w:r>
    </w:p>
    <w:p w:rsidR="00395A38" w:rsidRDefault="00395A38" w:rsidP="007B7BF4">
      <w:pPr>
        <w:pStyle w:val="BodyText"/>
      </w:pPr>
    </w:p>
    <w:p w:rsidR="00826329" w:rsidRDefault="00826329" w:rsidP="00826329">
      <w:pPr>
        <w:pStyle w:val="BodyText"/>
      </w:pPr>
      <w:r>
        <w:t>Growth rates for equipment production have been slightly changed (in two cases) compared to the rates used in the XXVI/9 Task Force report, in order to give a more realistic</w:t>
      </w:r>
      <w:r w:rsidR="009C2ACF">
        <w:t xml:space="preserve"> </w:t>
      </w:r>
      <w:r>
        <w:t>approach in the period after 2030. In this report, the growth rates apply as given in Table 6-1 above.</w:t>
      </w:r>
    </w:p>
    <w:p w:rsidR="00826329" w:rsidRDefault="00826329" w:rsidP="00826329">
      <w:pPr>
        <w:pStyle w:val="BodyText"/>
        <w:spacing w:before="120"/>
      </w:pPr>
      <w:r>
        <w:lastRenderedPageBreak/>
        <w:t>A number of considerations substantially complicate the calculations. This includes the preference to apply certain alternatives in specific equipment (and often under certain conditions), combined with the fact that the R/AC banks -the amounts present in the equipment- need recharging (i.e., servicing) over the entire lifetime of the equipment. Details on lifetime and annual leakage are given in (Table 5-2 in) the XXVI/9 report (UNEP, 2015).</w:t>
      </w:r>
    </w:p>
    <w:p w:rsidR="00826329" w:rsidRDefault="00826329" w:rsidP="007B7BF4">
      <w:pPr>
        <w:pStyle w:val="BodyText"/>
      </w:pPr>
    </w:p>
    <w:p w:rsidR="00F67501" w:rsidRDefault="007B7BF4" w:rsidP="00F67501">
      <w:pPr>
        <w:pStyle w:val="BodyText"/>
      </w:pPr>
      <w:r>
        <w:t xml:space="preserve">The calculation method covers the period from 1990 until 2050, </w:t>
      </w:r>
      <w:r w:rsidR="00376194">
        <w:t xml:space="preserve">the latter year </w:t>
      </w:r>
      <w:r>
        <w:t>as requested in Decision XXVII/4.</w:t>
      </w:r>
      <w:r w:rsidR="00FE15E7">
        <w:t xml:space="preserve"> Table </w:t>
      </w:r>
      <w:r w:rsidR="003C7082">
        <w:t>6</w:t>
      </w:r>
      <w:r w:rsidR="00FE15E7">
        <w:t>-1 gives the growth rates assumed for new manufacturing in the various R/AC sub-sectors</w:t>
      </w:r>
      <w:r w:rsidR="00F82138">
        <w:t>, as well as for the total demand (manufacturing and servicing)</w:t>
      </w:r>
      <w:r w:rsidR="00FE15E7">
        <w:t>. The growth rate assumed in the manufacturing sector is only one parameter in the scenario calculations. The total demand for a sub-sector is calculated using parameters such as equipment lifetime, equipment leakage, charge at new manufacturing etc. This implies that</w:t>
      </w:r>
      <w:r w:rsidR="00F67501">
        <w:t xml:space="preserve">, if </w:t>
      </w:r>
      <w:r w:rsidR="00FE15E7">
        <w:t xml:space="preserve">the annual growth rate in a </w:t>
      </w:r>
      <w:r w:rsidR="00F67501">
        <w:t xml:space="preserve">manufacturing </w:t>
      </w:r>
      <w:r w:rsidR="00FE15E7">
        <w:t xml:space="preserve">sub-sector </w:t>
      </w:r>
      <w:r w:rsidR="00F67501">
        <w:t xml:space="preserve">would </w:t>
      </w:r>
      <w:r w:rsidR="00FE15E7">
        <w:t xml:space="preserve">be 1-5%, the annual growth </w:t>
      </w:r>
      <w:r w:rsidR="00F67501">
        <w:t xml:space="preserve">rate of the total demand for that subsector can be </w:t>
      </w:r>
      <w:r w:rsidR="00F82138">
        <w:t xml:space="preserve">a few </w:t>
      </w:r>
      <w:r w:rsidR="00F67501">
        <w:t xml:space="preserve">percent higher, e.g., varying from </w:t>
      </w:r>
      <w:r w:rsidR="00F82138">
        <w:t>2</w:t>
      </w:r>
      <w:r w:rsidR="00F67501">
        <w:t xml:space="preserve"> </w:t>
      </w:r>
      <w:r w:rsidR="00826329">
        <w:t xml:space="preserve">up </w:t>
      </w:r>
      <w:r w:rsidR="00F67501">
        <w:t xml:space="preserve">to </w:t>
      </w:r>
      <w:r w:rsidR="00395A38">
        <w:t>5-</w:t>
      </w:r>
      <w:r w:rsidR="00826329">
        <w:t>6</w:t>
      </w:r>
      <w:r w:rsidR="00395A38">
        <w:t>%</w:t>
      </w:r>
      <w:r w:rsidR="00F67501">
        <w:t xml:space="preserve">. These percentages can also be derived from the BAU Tables </w:t>
      </w:r>
      <w:r w:rsidR="003C7082">
        <w:t>6</w:t>
      </w:r>
      <w:r w:rsidR="00F67501">
        <w:t xml:space="preserve">-7 and </w:t>
      </w:r>
      <w:r w:rsidR="003C7082">
        <w:t>6</w:t>
      </w:r>
      <w:r w:rsidR="00F67501">
        <w:t xml:space="preserve">-8 and from the more detailed tables </w:t>
      </w:r>
      <w:r w:rsidR="00F82138">
        <w:t xml:space="preserve">as given </w:t>
      </w:r>
      <w:r w:rsidR="00F67501">
        <w:t>in Annex</w:t>
      </w:r>
      <w:r w:rsidR="00826329">
        <w:t xml:space="preserve"> </w:t>
      </w:r>
      <w:r w:rsidR="00191413">
        <w:t>4</w:t>
      </w:r>
      <w:r w:rsidR="00F67501">
        <w:t xml:space="preserve">. </w:t>
      </w:r>
    </w:p>
    <w:p w:rsidR="00F67501" w:rsidRDefault="00F67501" w:rsidP="00F67501">
      <w:pPr>
        <w:pStyle w:val="BodyText"/>
      </w:pPr>
    </w:p>
    <w:p w:rsidR="00F23B5E" w:rsidRPr="00E12CCD" w:rsidRDefault="00F23B5E" w:rsidP="00F67501">
      <w:pPr>
        <w:pStyle w:val="BodyText"/>
        <w:rPr>
          <w:i/>
        </w:rPr>
      </w:pPr>
      <w:r>
        <w:t xml:space="preserve">Depending on the application sector, uncertainties are different either because activity data include different uncertainties or because emission factors may vary significantly from one </w:t>
      </w:r>
      <w:r w:rsidR="00DB5375">
        <w:t xml:space="preserve">Party </w:t>
      </w:r>
      <w:r>
        <w:t xml:space="preserve">to the other. The 2010 RTOC Assessment Report (RTOC, 2010) describes a simple approach that gives a quality index expressed in percentages. Further elaboration can be found in the XXVI/9 report. Uncertainties in banks are estimated at 12.5-22.5%, uncertainties in emissions 12.8-37%, specific numbers are dependent on the sub-sector. For the total R/AC sector, the uncertainty range in the demand calculated </w:t>
      </w:r>
      <w:r w:rsidR="00E92D47">
        <w:t xml:space="preserve">ranges from </w:t>
      </w:r>
      <w:r w:rsidRPr="00E12CCD">
        <w:rPr>
          <w:i/>
        </w:rPr>
        <w:t>-10</w:t>
      </w:r>
      <w:r w:rsidR="00D238D6">
        <w:rPr>
          <w:i/>
        </w:rPr>
        <w:t>% to</w:t>
      </w:r>
      <w:r w:rsidR="00E92D47">
        <w:rPr>
          <w:i/>
        </w:rPr>
        <w:t xml:space="preserve"> </w:t>
      </w:r>
      <w:r w:rsidRPr="00E12CCD">
        <w:rPr>
          <w:i/>
        </w:rPr>
        <w:t>+30%.</w:t>
      </w:r>
    </w:p>
    <w:p w:rsidR="00F23B5E" w:rsidRDefault="00F23B5E" w:rsidP="00F23B5E">
      <w:pPr>
        <w:pStyle w:val="BodyText"/>
      </w:pPr>
    </w:p>
    <w:p w:rsidR="00826329" w:rsidRPr="00017425" w:rsidRDefault="00826329" w:rsidP="00826329">
      <w:pPr>
        <w:pStyle w:val="BodyText"/>
      </w:pPr>
      <w:r>
        <w:t xml:space="preserve">The bank of refrigerants is substantially larger (10-20 times) than the annual demand. In fact the bank </w:t>
      </w:r>
      <w:r w:rsidR="00376194">
        <w:t xml:space="preserve">as </w:t>
      </w:r>
      <w:r>
        <w:t xml:space="preserve">calculated determines the </w:t>
      </w:r>
      <w:r w:rsidR="00376194">
        <w:t xml:space="preserve">amount of </w:t>
      </w:r>
      <w:r>
        <w:t>emissions</w:t>
      </w:r>
      <w:r w:rsidR="00376194">
        <w:t>,</w:t>
      </w:r>
      <w:r>
        <w:t xml:space="preserve"> dependent on leakage assumptions during operation</w:t>
      </w:r>
      <w:r w:rsidR="00376194">
        <w:t>. T</w:t>
      </w:r>
      <w:r>
        <w:t xml:space="preserve">he total demand is the sum of the amount used for new manufacturing and for re-charging to balance </w:t>
      </w:r>
      <w:r w:rsidR="00376194">
        <w:t xml:space="preserve">the </w:t>
      </w:r>
      <w:r>
        <w:t>refrigerant lost via all emissions</w:t>
      </w:r>
      <w:r w:rsidR="00376194">
        <w:t xml:space="preserve"> types</w:t>
      </w:r>
      <w:r>
        <w:t xml:space="preserve">. Banks of refrigerants could be given for regions and/or for certain </w:t>
      </w:r>
      <w:r w:rsidR="00DB5375">
        <w:t xml:space="preserve">Parties </w:t>
      </w:r>
      <w:r>
        <w:t xml:space="preserve">as used in the model, but the amounts that would </w:t>
      </w:r>
      <w:r w:rsidR="00376194">
        <w:t xml:space="preserve">then </w:t>
      </w:r>
      <w:r>
        <w:t xml:space="preserve">be presented would not contribute to a better understanding of the demand, which is the essential parameter in this chapter </w:t>
      </w:r>
      <w:r w:rsidR="00376194">
        <w:t xml:space="preserve">that </w:t>
      </w:r>
      <w:r>
        <w:t>deal</w:t>
      </w:r>
      <w:r w:rsidR="00376194">
        <w:t>s</w:t>
      </w:r>
      <w:r>
        <w:t xml:space="preserve"> with demand scenarios</w:t>
      </w:r>
      <w:r w:rsidR="00FE51D6">
        <w:t xml:space="preserve">. </w:t>
      </w:r>
      <w:r>
        <w:t xml:space="preserve"> </w:t>
      </w:r>
    </w:p>
    <w:p w:rsidR="00826329" w:rsidRDefault="00826329" w:rsidP="00F23B5E">
      <w:pPr>
        <w:pStyle w:val="BodyText"/>
      </w:pPr>
    </w:p>
    <w:p w:rsidR="00F23B5E" w:rsidRDefault="00F23B5E" w:rsidP="00F23B5E">
      <w:pPr>
        <w:pStyle w:val="BodyText"/>
      </w:pPr>
      <w:r>
        <w:t xml:space="preserve">As </w:t>
      </w:r>
      <w:r w:rsidR="00C304E6">
        <w:t xml:space="preserve">already </w:t>
      </w:r>
      <w:r>
        <w:t xml:space="preserve">mentioned in the </w:t>
      </w:r>
      <w:r w:rsidR="00F5335B">
        <w:t xml:space="preserve">Decision </w:t>
      </w:r>
      <w:r>
        <w:t xml:space="preserve">XXVI/9 </w:t>
      </w:r>
      <w:r w:rsidR="00F5335B">
        <w:t>TF September Update R</w:t>
      </w:r>
      <w:r>
        <w:t>eport (UNEP, 2015), estimates should be cross-checked with reported HFC consumption and production data, specified per refrigerant.</w:t>
      </w:r>
      <w:r w:rsidR="00C304E6">
        <w:t xml:space="preserve"> For the most recent cross-check, information can be found below.</w:t>
      </w:r>
    </w:p>
    <w:p w:rsidR="00F23B5E" w:rsidRDefault="00F23B5E" w:rsidP="00F23B5E">
      <w:pPr>
        <w:pStyle w:val="BodyText"/>
      </w:pPr>
    </w:p>
    <w:p w:rsidR="00F23B5E" w:rsidRPr="00BA381D" w:rsidRDefault="00AB3587" w:rsidP="00F23B5E">
      <w:pPr>
        <w:pStyle w:val="Heading2"/>
      </w:pPr>
      <w:bookmarkStart w:id="104" w:name="_Toc452653393"/>
      <w:r>
        <w:t>6</w:t>
      </w:r>
      <w:r w:rsidR="00F23B5E" w:rsidRPr="00BA381D">
        <w:t>.</w:t>
      </w:r>
      <w:r w:rsidR="00F23B5E">
        <w:t>3</w:t>
      </w:r>
      <w:r w:rsidR="00F23B5E" w:rsidRPr="00BA381D">
        <w:tab/>
      </w:r>
      <w:r w:rsidR="00F23B5E">
        <w:tab/>
      </w:r>
      <w:r w:rsidR="00F23B5E" w:rsidRPr="00BA381D">
        <w:t xml:space="preserve">HFC </w:t>
      </w:r>
      <w:r w:rsidR="00CD3DFC">
        <w:t>production and demand (</w:t>
      </w:r>
      <w:r w:rsidR="00F23B5E" w:rsidRPr="00BA381D">
        <w:t>consumption</w:t>
      </w:r>
      <w:r w:rsidR="00CD3DFC">
        <w:t>)</w:t>
      </w:r>
      <w:r w:rsidR="00F23B5E" w:rsidRPr="00BA381D">
        <w:t xml:space="preserve"> data</w:t>
      </w:r>
      <w:bookmarkEnd w:id="104"/>
    </w:p>
    <w:p w:rsidR="00F23B5E" w:rsidRDefault="00F23B5E" w:rsidP="00F23B5E">
      <w:pPr>
        <w:rPr>
          <w:lang w:eastAsia="ja-JP"/>
        </w:rPr>
      </w:pPr>
      <w:r>
        <w:rPr>
          <w:lang w:eastAsia="ja-JP"/>
        </w:rPr>
        <w:t xml:space="preserve">Estimates for global 2012 and 2015 production </w:t>
      </w:r>
      <w:r w:rsidR="00826329">
        <w:rPr>
          <w:lang w:eastAsia="ja-JP"/>
        </w:rPr>
        <w:t xml:space="preserve">of the relevant HFC chemicals </w:t>
      </w:r>
      <w:r>
        <w:rPr>
          <w:lang w:eastAsia="ja-JP"/>
        </w:rPr>
        <w:t xml:space="preserve">can be made by combining UNFCCC data, manufacturer’s estimates for production capacity as well as global emission data. This </w:t>
      </w:r>
      <w:r w:rsidR="00EA6CC0">
        <w:rPr>
          <w:lang w:eastAsia="ja-JP"/>
        </w:rPr>
        <w:t xml:space="preserve">was already </w:t>
      </w:r>
      <w:r>
        <w:rPr>
          <w:lang w:eastAsia="ja-JP"/>
        </w:rPr>
        <w:t xml:space="preserve">given in the XXVI/9 </w:t>
      </w:r>
      <w:r w:rsidR="009862DD">
        <w:rPr>
          <w:lang w:eastAsia="ja-JP"/>
        </w:rPr>
        <w:t xml:space="preserve">Task Force </w:t>
      </w:r>
      <w:r>
        <w:rPr>
          <w:lang w:eastAsia="ja-JP"/>
        </w:rPr>
        <w:t xml:space="preserve">report (UNEP, 2015). </w:t>
      </w:r>
    </w:p>
    <w:p w:rsidR="00F23B5E" w:rsidRDefault="00F23B5E" w:rsidP="00F23B5E">
      <w:pPr>
        <w:rPr>
          <w:lang w:eastAsia="ja-JP"/>
        </w:rPr>
      </w:pPr>
    </w:p>
    <w:p w:rsidR="00DE1885" w:rsidRDefault="00F23B5E" w:rsidP="00F23B5E">
      <w:pPr>
        <w:rPr>
          <w:lang w:eastAsia="ja-JP"/>
        </w:rPr>
      </w:pPr>
      <w:r>
        <w:rPr>
          <w:lang w:eastAsia="ja-JP"/>
        </w:rPr>
        <w:t xml:space="preserve">Data on HFC emissions are reported annually by developed countries, i.e., the Annex I Parties under the UNFCCC Kyoto Protocol; these emission data are estimated (calculated) by national agencies. </w:t>
      </w:r>
    </w:p>
    <w:p w:rsidR="00F23B5E" w:rsidRDefault="00F23B5E" w:rsidP="00F23B5E">
      <w:pPr>
        <w:rPr>
          <w:lang w:eastAsia="ja-JP"/>
        </w:rPr>
      </w:pPr>
      <w:r>
        <w:rPr>
          <w:lang w:eastAsia="ja-JP"/>
        </w:rPr>
        <w:t xml:space="preserve">HFC consumption and production data are also reported </w:t>
      </w:r>
      <w:r w:rsidR="000A2F00">
        <w:rPr>
          <w:lang w:eastAsia="ja-JP"/>
        </w:rPr>
        <w:t xml:space="preserve">by developed countries, i.e., the Annex I Parties </w:t>
      </w:r>
      <w:r>
        <w:rPr>
          <w:lang w:eastAsia="ja-JP"/>
        </w:rPr>
        <w:t xml:space="preserve">to the UNFCCC. Even when certain consumption and production data are missing (i.e., data not reported by some countries, or reported as HFCs in general), </w:t>
      </w:r>
      <w:r w:rsidR="00DE1885">
        <w:rPr>
          <w:lang w:eastAsia="ja-JP"/>
        </w:rPr>
        <w:t xml:space="preserve">these reports enable </w:t>
      </w:r>
      <w:r>
        <w:rPr>
          <w:lang w:eastAsia="ja-JP"/>
        </w:rPr>
        <w:t xml:space="preserve">a </w:t>
      </w:r>
      <w:r w:rsidR="00DE1885">
        <w:rPr>
          <w:lang w:eastAsia="ja-JP"/>
        </w:rPr>
        <w:t xml:space="preserve">first </w:t>
      </w:r>
      <w:r>
        <w:rPr>
          <w:lang w:eastAsia="ja-JP"/>
        </w:rPr>
        <w:t xml:space="preserve">estimate for the production of most HFCs in the Annex I Parties </w:t>
      </w:r>
      <w:r w:rsidR="00DE1885">
        <w:rPr>
          <w:lang w:eastAsia="ja-JP"/>
        </w:rPr>
        <w:t xml:space="preserve">to </w:t>
      </w:r>
      <w:r>
        <w:rPr>
          <w:lang w:eastAsia="ja-JP"/>
        </w:rPr>
        <w:t>be made.</w:t>
      </w:r>
    </w:p>
    <w:p w:rsidR="00F23B5E" w:rsidRDefault="00F23B5E" w:rsidP="00F23B5E">
      <w:pPr>
        <w:rPr>
          <w:lang w:eastAsia="ja-JP"/>
        </w:rPr>
      </w:pPr>
    </w:p>
    <w:p w:rsidR="00735A66" w:rsidRDefault="00F23B5E" w:rsidP="00F23B5E">
      <w:pPr>
        <w:rPr>
          <w:lang w:eastAsia="ja-JP"/>
        </w:rPr>
      </w:pPr>
      <w:r>
        <w:rPr>
          <w:lang w:eastAsia="ja-JP"/>
        </w:rPr>
        <w:t xml:space="preserve">Estimates for HFC production in the </w:t>
      </w:r>
      <w:r w:rsidR="00DB5375">
        <w:rPr>
          <w:lang w:eastAsia="ja-JP"/>
        </w:rPr>
        <w:t>Article 5 Parties</w:t>
      </w:r>
      <w:r>
        <w:rPr>
          <w:lang w:eastAsia="ja-JP"/>
        </w:rPr>
        <w:t xml:space="preserve"> are often made by </w:t>
      </w:r>
      <w:r w:rsidR="00DB5375">
        <w:rPr>
          <w:lang w:eastAsia="ja-JP"/>
        </w:rPr>
        <w:t xml:space="preserve">non-Article 5 </w:t>
      </w:r>
      <w:r>
        <w:rPr>
          <w:lang w:eastAsia="ja-JP"/>
        </w:rPr>
        <w:t xml:space="preserve">chemical manufacturers (Kuijpers, 2015). Based on global consumption calculations, estimates for HFC production were also made by McCulloch (2015). Furthermore, global </w:t>
      </w:r>
      <w:r>
        <w:rPr>
          <w:lang w:eastAsia="ja-JP"/>
        </w:rPr>
        <w:lastRenderedPageBreak/>
        <w:t xml:space="preserve">emissions data for several HFCs are available from certain literature sources, e.g. from Montzka (2015). Recently, Chinese HFC (and HCFC) production data up to the year 2013 were reported by Kaixiang (2015). </w:t>
      </w:r>
    </w:p>
    <w:p w:rsidR="00735A66" w:rsidRDefault="00735A66" w:rsidP="00F23B5E">
      <w:pPr>
        <w:rPr>
          <w:lang w:eastAsia="ja-JP"/>
        </w:rPr>
      </w:pPr>
    </w:p>
    <w:p w:rsidR="00F23B5E" w:rsidRDefault="00F23B5E" w:rsidP="00F23B5E">
      <w:pPr>
        <w:rPr>
          <w:lang w:eastAsia="ja-JP"/>
        </w:rPr>
      </w:pPr>
      <w:r>
        <w:rPr>
          <w:lang w:eastAsia="ja-JP"/>
        </w:rPr>
        <w:t xml:space="preserve">Further HFC production estimates from Chinese manufacturers were also obtained </w:t>
      </w:r>
      <w:r w:rsidR="003C7082">
        <w:rPr>
          <w:lang w:eastAsia="ja-JP"/>
        </w:rPr>
        <w:t xml:space="preserve">in the period </w:t>
      </w:r>
      <w:r>
        <w:rPr>
          <w:lang w:eastAsia="ja-JP"/>
        </w:rPr>
        <w:t>May-July 2015 (Kuijpers, 2015).</w:t>
      </w:r>
      <w:r w:rsidR="00735A66">
        <w:rPr>
          <w:lang w:eastAsia="ja-JP"/>
        </w:rPr>
        <w:t xml:space="preserve"> The HFCs considered above are HFC-32, HFC-125, HFC-134a and HFC-143a, but also HFC-152a, HFC-227ea, HFC-</w:t>
      </w:r>
      <w:r w:rsidR="003C7082">
        <w:rPr>
          <w:lang w:eastAsia="ja-JP"/>
        </w:rPr>
        <w:t>236</w:t>
      </w:r>
      <w:r w:rsidR="00735A66">
        <w:rPr>
          <w:lang w:eastAsia="ja-JP"/>
        </w:rPr>
        <w:t>fa and HFC-2</w:t>
      </w:r>
      <w:r w:rsidR="003C7082">
        <w:rPr>
          <w:lang w:eastAsia="ja-JP"/>
        </w:rPr>
        <w:t>45fa</w:t>
      </w:r>
      <w:r w:rsidR="00735A66">
        <w:rPr>
          <w:lang w:eastAsia="ja-JP"/>
        </w:rPr>
        <w:t>.</w:t>
      </w:r>
    </w:p>
    <w:p w:rsidR="00F23B5E" w:rsidRDefault="00F23B5E" w:rsidP="00F23B5E">
      <w:pPr>
        <w:rPr>
          <w:lang w:eastAsia="ja-JP"/>
        </w:rPr>
      </w:pPr>
    </w:p>
    <w:p w:rsidR="00735A66" w:rsidRDefault="005C5F7D" w:rsidP="00F23B5E">
      <w:pPr>
        <w:rPr>
          <w:lang w:eastAsia="ja-JP"/>
        </w:rPr>
      </w:pPr>
      <w:r>
        <w:rPr>
          <w:lang w:eastAsia="ja-JP"/>
        </w:rPr>
        <w:t>However, t</w:t>
      </w:r>
      <w:r w:rsidR="00F23B5E">
        <w:rPr>
          <w:lang w:eastAsia="ja-JP"/>
        </w:rPr>
        <w:t xml:space="preserve">his report uses almost the same estimates (as in the XXVI/9 report) for HFC production of the </w:t>
      </w:r>
      <w:r w:rsidR="00F23B5E" w:rsidRPr="005C5F7D">
        <w:rPr>
          <w:i/>
          <w:lang w:eastAsia="ja-JP"/>
        </w:rPr>
        <w:t>four</w:t>
      </w:r>
      <w:r w:rsidR="00F23B5E">
        <w:rPr>
          <w:lang w:eastAsia="ja-JP"/>
        </w:rPr>
        <w:t xml:space="preserve"> main HFCs </w:t>
      </w:r>
      <w:r w:rsidR="00395A38">
        <w:rPr>
          <w:lang w:eastAsia="ja-JP"/>
        </w:rPr>
        <w:t xml:space="preserve">(the ones important for R/AC) </w:t>
      </w:r>
      <w:r w:rsidR="00F23B5E">
        <w:rPr>
          <w:lang w:eastAsia="ja-JP"/>
        </w:rPr>
        <w:t xml:space="preserve">in Table </w:t>
      </w:r>
      <w:r w:rsidR="003C7082">
        <w:rPr>
          <w:lang w:eastAsia="ja-JP"/>
        </w:rPr>
        <w:t>6</w:t>
      </w:r>
      <w:r w:rsidR="00F23B5E">
        <w:rPr>
          <w:lang w:eastAsia="ja-JP"/>
        </w:rPr>
        <w:t>-2 below (</w:t>
      </w:r>
      <w:r w:rsidR="00C371AF">
        <w:rPr>
          <w:lang w:eastAsia="ja-JP"/>
        </w:rPr>
        <w:t xml:space="preserve">the </w:t>
      </w:r>
      <w:r w:rsidR="00F23B5E">
        <w:rPr>
          <w:lang w:eastAsia="ja-JP"/>
        </w:rPr>
        <w:t>estimated production of HFC-134a</w:t>
      </w:r>
      <w:r w:rsidR="00C371AF">
        <w:rPr>
          <w:lang w:eastAsia="ja-JP"/>
        </w:rPr>
        <w:t xml:space="preserve"> in one country</w:t>
      </w:r>
      <w:r w:rsidR="00395A38">
        <w:rPr>
          <w:lang w:eastAsia="ja-JP"/>
        </w:rPr>
        <w:t xml:space="preserve"> </w:t>
      </w:r>
      <w:r w:rsidR="00DB5375">
        <w:rPr>
          <w:lang w:eastAsia="ja-JP"/>
        </w:rPr>
        <w:t xml:space="preserve">has been added </w:t>
      </w:r>
      <w:r w:rsidR="00EA6CC0">
        <w:rPr>
          <w:lang w:eastAsia="ja-JP"/>
        </w:rPr>
        <w:t xml:space="preserve">that was not included in the </w:t>
      </w:r>
      <w:r w:rsidR="00395A38">
        <w:rPr>
          <w:lang w:eastAsia="ja-JP"/>
        </w:rPr>
        <w:t>XXVI/9 Task Force report</w:t>
      </w:r>
      <w:r w:rsidR="00F23B5E">
        <w:rPr>
          <w:lang w:eastAsia="ja-JP"/>
        </w:rPr>
        <w:t xml:space="preserve">). </w:t>
      </w:r>
      <w:r w:rsidR="00395A38">
        <w:rPr>
          <w:lang w:eastAsia="ja-JP"/>
        </w:rPr>
        <w:t>As mentioned, t</w:t>
      </w:r>
      <w:r w:rsidR="00F23B5E">
        <w:rPr>
          <w:lang w:eastAsia="ja-JP"/>
        </w:rPr>
        <w:t>hese four HFCs are the main ones used in the R/AC sector</w:t>
      </w:r>
      <w:r w:rsidR="008B1EC3">
        <w:rPr>
          <w:lang w:eastAsia="ja-JP"/>
        </w:rPr>
        <w:t xml:space="preserve">, </w:t>
      </w:r>
      <w:r w:rsidR="004C392C">
        <w:rPr>
          <w:lang w:eastAsia="ja-JP"/>
        </w:rPr>
        <w:t>except for HFC-134a</w:t>
      </w:r>
      <w:r w:rsidR="003C7082">
        <w:rPr>
          <w:lang w:eastAsia="ja-JP"/>
        </w:rPr>
        <w:t>,</w:t>
      </w:r>
      <w:r w:rsidR="004C392C">
        <w:rPr>
          <w:lang w:eastAsia="ja-JP"/>
        </w:rPr>
        <w:t xml:space="preserve"> </w:t>
      </w:r>
      <w:r w:rsidR="0000746A">
        <w:rPr>
          <w:lang w:eastAsia="ja-JP"/>
        </w:rPr>
        <w:t xml:space="preserve">which is </w:t>
      </w:r>
      <w:r w:rsidR="006F3BE0">
        <w:rPr>
          <w:lang w:eastAsia="ja-JP"/>
        </w:rPr>
        <w:t xml:space="preserve">also applied </w:t>
      </w:r>
      <w:r w:rsidR="004C392C">
        <w:rPr>
          <w:lang w:eastAsia="ja-JP"/>
        </w:rPr>
        <w:t xml:space="preserve">in </w:t>
      </w:r>
      <w:r w:rsidR="009862DD">
        <w:rPr>
          <w:lang w:eastAsia="ja-JP"/>
        </w:rPr>
        <w:t xml:space="preserve">several </w:t>
      </w:r>
      <w:r w:rsidR="004C392C">
        <w:rPr>
          <w:lang w:eastAsia="ja-JP"/>
        </w:rPr>
        <w:t>other sectors</w:t>
      </w:r>
      <w:r w:rsidR="006F3BE0">
        <w:rPr>
          <w:lang w:eastAsia="ja-JP"/>
        </w:rPr>
        <w:t xml:space="preserve"> (</w:t>
      </w:r>
      <w:r w:rsidR="0000746A">
        <w:rPr>
          <w:lang w:eastAsia="ja-JP"/>
        </w:rPr>
        <w:t xml:space="preserve">such as </w:t>
      </w:r>
      <w:r w:rsidR="006F3BE0">
        <w:rPr>
          <w:lang w:eastAsia="ja-JP"/>
        </w:rPr>
        <w:t>foams, aerosols, MDIs)</w:t>
      </w:r>
      <w:r w:rsidR="004C392C">
        <w:rPr>
          <w:lang w:eastAsia="ja-JP"/>
        </w:rPr>
        <w:t>.</w:t>
      </w:r>
      <w:r w:rsidR="00F23B5E">
        <w:rPr>
          <w:lang w:eastAsia="ja-JP"/>
        </w:rPr>
        <w:t xml:space="preserve"> </w:t>
      </w:r>
    </w:p>
    <w:p w:rsidR="00735A66" w:rsidRDefault="00735A66" w:rsidP="00F23B5E">
      <w:pPr>
        <w:rPr>
          <w:lang w:eastAsia="ja-JP"/>
        </w:rPr>
      </w:pPr>
    </w:p>
    <w:p w:rsidR="00F23B5E" w:rsidRDefault="0000746A" w:rsidP="00F23B5E">
      <w:pPr>
        <w:rPr>
          <w:lang w:eastAsia="ja-JP"/>
        </w:rPr>
      </w:pPr>
      <w:r>
        <w:rPr>
          <w:lang w:eastAsia="ja-JP"/>
        </w:rPr>
        <w:t xml:space="preserve">The table </w:t>
      </w:r>
      <w:r w:rsidR="00F23B5E">
        <w:rPr>
          <w:lang w:eastAsia="ja-JP"/>
        </w:rPr>
        <w:t xml:space="preserve">shows a total </w:t>
      </w:r>
      <w:r w:rsidR="00250AEC">
        <w:rPr>
          <w:lang w:eastAsia="ja-JP"/>
        </w:rPr>
        <w:t xml:space="preserve">HFC </w:t>
      </w:r>
      <w:r w:rsidR="00F23B5E">
        <w:rPr>
          <w:lang w:eastAsia="ja-JP"/>
        </w:rPr>
        <w:t xml:space="preserve">production of </w:t>
      </w:r>
      <w:r w:rsidR="00F23B5E" w:rsidRPr="00CA4B4E">
        <w:rPr>
          <w:lang w:eastAsia="ja-JP"/>
        </w:rPr>
        <w:t>a</w:t>
      </w:r>
      <w:r w:rsidR="00D52B63">
        <w:rPr>
          <w:lang w:eastAsia="ja-JP"/>
        </w:rPr>
        <w:t xml:space="preserve">bout </w:t>
      </w:r>
      <w:r w:rsidR="00F23B5E">
        <w:rPr>
          <w:lang w:eastAsia="ja-JP"/>
        </w:rPr>
        <w:t>5</w:t>
      </w:r>
      <w:r w:rsidR="00D52B63">
        <w:rPr>
          <w:lang w:eastAsia="ja-JP"/>
        </w:rPr>
        <w:t>1</w:t>
      </w:r>
      <w:r w:rsidR="00F23B5E">
        <w:rPr>
          <w:lang w:eastAsia="ja-JP"/>
        </w:rPr>
        <w:t>0</w:t>
      </w:r>
      <w:r w:rsidR="00F23B5E" w:rsidRPr="00CA4B4E">
        <w:rPr>
          <w:lang w:eastAsia="ja-JP"/>
        </w:rPr>
        <w:t xml:space="preserve"> ktonnes</w:t>
      </w:r>
      <w:r w:rsidR="00250AEC">
        <w:rPr>
          <w:lang w:eastAsia="ja-JP"/>
        </w:rPr>
        <w:t xml:space="preserve"> for these </w:t>
      </w:r>
      <w:r w:rsidR="00250AEC" w:rsidRPr="00DF1E74">
        <w:rPr>
          <w:i/>
          <w:lang w:eastAsia="ja-JP"/>
        </w:rPr>
        <w:t>four</w:t>
      </w:r>
      <w:r w:rsidR="00250AEC">
        <w:rPr>
          <w:lang w:eastAsia="ja-JP"/>
        </w:rPr>
        <w:t xml:space="preserve"> </w:t>
      </w:r>
      <w:r w:rsidR="000A2F00">
        <w:rPr>
          <w:lang w:eastAsia="ja-JP"/>
        </w:rPr>
        <w:t xml:space="preserve">(main) </w:t>
      </w:r>
      <w:r w:rsidR="00250AEC">
        <w:rPr>
          <w:lang w:eastAsia="ja-JP"/>
        </w:rPr>
        <w:t>HFCs</w:t>
      </w:r>
      <w:r w:rsidR="00F23B5E">
        <w:rPr>
          <w:lang w:eastAsia="ja-JP"/>
        </w:rPr>
        <w:t xml:space="preserve">, </w:t>
      </w:r>
      <w:r>
        <w:rPr>
          <w:lang w:eastAsia="ja-JP"/>
        </w:rPr>
        <w:t xml:space="preserve">which is </w:t>
      </w:r>
      <w:r w:rsidR="00395A38">
        <w:rPr>
          <w:lang w:eastAsia="ja-JP"/>
        </w:rPr>
        <w:t xml:space="preserve">a </w:t>
      </w:r>
      <w:r w:rsidR="00F23B5E">
        <w:rPr>
          <w:lang w:eastAsia="ja-JP"/>
        </w:rPr>
        <w:t>forecast for the year 2015 (</w:t>
      </w:r>
      <w:r>
        <w:rPr>
          <w:lang w:eastAsia="ja-JP"/>
        </w:rPr>
        <w:t xml:space="preserve">this can be translated to </w:t>
      </w:r>
      <w:r w:rsidR="00F23B5E">
        <w:rPr>
          <w:lang w:eastAsia="ja-JP"/>
        </w:rPr>
        <w:t>about 930 Mt CO</w:t>
      </w:r>
      <w:r w:rsidR="00F23B5E" w:rsidRPr="006B4060">
        <w:rPr>
          <w:vertAlign w:val="subscript"/>
          <w:lang w:eastAsia="ja-JP"/>
        </w:rPr>
        <w:t>2</w:t>
      </w:r>
      <w:r w:rsidR="00F23B5E">
        <w:rPr>
          <w:lang w:eastAsia="ja-JP"/>
        </w:rPr>
        <w:t>-eq., if calculated in climate terms).</w:t>
      </w:r>
      <w:r w:rsidR="00735A66">
        <w:rPr>
          <w:lang w:eastAsia="ja-JP"/>
        </w:rPr>
        <w:t xml:space="preserve"> </w:t>
      </w:r>
      <w:r w:rsidR="00F23B5E">
        <w:rPr>
          <w:lang w:eastAsia="ja-JP"/>
        </w:rPr>
        <w:t xml:space="preserve">The global production capacity for these </w:t>
      </w:r>
      <w:r w:rsidR="00C304E6">
        <w:rPr>
          <w:lang w:eastAsia="ja-JP"/>
        </w:rPr>
        <w:t xml:space="preserve">four </w:t>
      </w:r>
      <w:r w:rsidR="00F23B5E">
        <w:rPr>
          <w:lang w:eastAsia="ja-JP"/>
        </w:rPr>
        <w:t xml:space="preserve">HFCs is estimated </w:t>
      </w:r>
      <w:r>
        <w:rPr>
          <w:lang w:eastAsia="ja-JP"/>
        </w:rPr>
        <w:t xml:space="preserve">at a </w:t>
      </w:r>
      <w:r w:rsidR="00F23B5E">
        <w:rPr>
          <w:lang w:eastAsia="ja-JP"/>
        </w:rPr>
        <w:t>much higher</w:t>
      </w:r>
      <w:r>
        <w:rPr>
          <w:lang w:eastAsia="ja-JP"/>
        </w:rPr>
        <w:t xml:space="preserve"> level</w:t>
      </w:r>
      <w:r w:rsidR="00F23B5E">
        <w:rPr>
          <w:lang w:eastAsia="ja-JP"/>
        </w:rPr>
        <w:t xml:space="preserve">, at </w:t>
      </w:r>
      <w:r>
        <w:rPr>
          <w:lang w:eastAsia="ja-JP"/>
        </w:rPr>
        <w:t xml:space="preserve">about </w:t>
      </w:r>
      <w:r w:rsidR="00F23B5E">
        <w:rPr>
          <w:lang w:eastAsia="ja-JP"/>
        </w:rPr>
        <w:t>750 ktonnes (Campbell, 2015)</w:t>
      </w:r>
      <w:r w:rsidR="00FE51D6">
        <w:rPr>
          <w:lang w:eastAsia="ja-JP"/>
        </w:rPr>
        <w:t xml:space="preserve">. </w:t>
      </w:r>
    </w:p>
    <w:p w:rsidR="00F23B5E" w:rsidRDefault="00F23B5E" w:rsidP="00F23B5E">
      <w:pPr>
        <w:rPr>
          <w:lang w:eastAsia="ja-JP"/>
        </w:rPr>
      </w:pPr>
    </w:p>
    <w:p w:rsidR="005C5F7D" w:rsidRDefault="00F23B5E" w:rsidP="00F23B5E">
      <w:pPr>
        <w:rPr>
          <w:lang w:eastAsia="ja-JP"/>
        </w:rPr>
      </w:pPr>
      <w:r>
        <w:rPr>
          <w:lang w:eastAsia="ja-JP"/>
        </w:rPr>
        <w:t>It needs to be emphasised that the global HFC production (for the</w:t>
      </w:r>
      <w:r w:rsidR="00735A66">
        <w:rPr>
          <w:lang w:eastAsia="ja-JP"/>
        </w:rPr>
        <w:t>se</w:t>
      </w:r>
      <w:r>
        <w:rPr>
          <w:lang w:eastAsia="ja-JP"/>
        </w:rPr>
        <w:t xml:space="preserve"> four main HFCs) determined in this way is estimated to have a ±10% uncertainty for the separate HFC chemicals</w:t>
      </w:r>
      <w:r w:rsidR="00735A66">
        <w:rPr>
          <w:lang w:eastAsia="ja-JP"/>
        </w:rPr>
        <w:t>, which implies that the 510 ktonnes value roughly has a 5% uncertainty value</w:t>
      </w:r>
      <w:r w:rsidR="00C304E6">
        <w:rPr>
          <w:lang w:eastAsia="ja-JP"/>
        </w:rPr>
        <w:t xml:space="preserve"> (495-535 ktonnes)</w:t>
      </w:r>
      <w:r w:rsidR="00735A66">
        <w:rPr>
          <w:lang w:eastAsia="ja-JP"/>
        </w:rPr>
        <w:t xml:space="preserve">. </w:t>
      </w:r>
    </w:p>
    <w:p w:rsidR="00584FB4" w:rsidRDefault="00584FB4" w:rsidP="00F23B5E">
      <w:pPr>
        <w:rPr>
          <w:lang w:eastAsia="ja-JP"/>
        </w:rPr>
      </w:pPr>
    </w:p>
    <w:p w:rsidR="00584FB4" w:rsidRDefault="00776F20" w:rsidP="00F23B5E">
      <w:pPr>
        <w:rPr>
          <w:lang w:eastAsia="ja-JP"/>
        </w:rPr>
      </w:pPr>
      <w:r>
        <w:rPr>
          <w:lang w:eastAsia="ja-JP"/>
        </w:rPr>
        <w:t>Estimated global p</w:t>
      </w:r>
      <w:r w:rsidR="00584FB4">
        <w:rPr>
          <w:lang w:eastAsia="ja-JP"/>
        </w:rPr>
        <w:t>roduction quantities for HFC-152a, HFC-227ea, HFC-</w:t>
      </w:r>
      <w:r w:rsidR="00584FB4" w:rsidRPr="004E0F08">
        <w:rPr>
          <w:lang w:eastAsia="ja-JP"/>
        </w:rPr>
        <w:t>236fa and HFC-245fa</w:t>
      </w:r>
      <w:r w:rsidRPr="008A52E4">
        <w:rPr>
          <w:lang w:eastAsia="ja-JP"/>
        </w:rPr>
        <w:t xml:space="preserve"> are around 170 ktonnes, of which more than 50% </w:t>
      </w:r>
      <w:r w:rsidR="001E4C2D" w:rsidRPr="008A52E4">
        <w:rPr>
          <w:lang w:eastAsia="ja-JP"/>
        </w:rPr>
        <w:t xml:space="preserve">of the total </w:t>
      </w:r>
      <w:r w:rsidR="00C304E6" w:rsidRPr="008A52E4">
        <w:rPr>
          <w:lang w:eastAsia="ja-JP"/>
        </w:rPr>
        <w:t xml:space="preserve">concerns </w:t>
      </w:r>
      <w:r w:rsidRPr="008A52E4">
        <w:rPr>
          <w:lang w:eastAsia="ja-JP"/>
        </w:rPr>
        <w:t xml:space="preserve">HFC-152a production </w:t>
      </w:r>
      <w:r w:rsidR="00800F3F" w:rsidRPr="008A52E4">
        <w:rPr>
          <w:lang w:eastAsia="ja-JP"/>
        </w:rPr>
        <w:t>(Kaixiang, 2015, Kuijpers, 2015)</w:t>
      </w:r>
      <w:r w:rsidR="00800F3F" w:rsidRPr="004E0F08">
        <w:rPr>
          <w:lang w:eastAsia="ja-JP"/>
        </w:rPr>
        <w:t xml:space="preserve"> </w:t>
      </w:r>
      <w:r w:rsidRPr="008A52E4">
        <w:rPr>
          <w:lang w:eastAsia="ja-JP"/>
        </w:rPr>
        <w:t>(th</w:t>
      </w:r>
      <w:r w:rsidR="001E4C2D" w:rsidRPr="008A52E4">
        <w:rPr>
          <w:lang w:eastAsia="ja-JP"/>
        </w:rPr>
        <w:t xml:space="preserve">e total </w:t>
      </w:r>
      <w:r w:rsidRPr="008A52E4">
        <w:rPr>
          <w:lang w:eastAsia="ja-JP"/>
        </w:rPr>
        <w:t>can be translated into about 150 Mt CO</w:t>
      </w:r>
      <w:r w:rsidRPr="008A52E4">
        <w:rPr>
          <w:vertAlign w:val="subscript"/>
          <w:lang w:eastAsia="ja-JP"/>
        </w:rPr>
        <w:t>2</w:t>
      </w:r>
      <w:r w:rsidRPr="008A52E4">
        <w:rPr>
          <w:lang w:eastAsia="ja-JP"/>
        </w:rPr>
        <w:t>-eq.</w:t>
      </w:r>
      <w:r w:rsidR="00DB5375" w:rsidRPr="008A52E4">
        <w:rPr>
          <w:lang w:eastAsia="ja-JP"/>
        </w:rPr>
        <w:t xml:space="preserve"> </w:t>
      </w:r>
      <w:r w:rsidRPr="008A52E4">
        <w:rPr>
          <w:lang w:eastAsia="ja-JP"/>
        </w:rPr>
        <w:t>in climate terms).</w:t>
      </w:r>
      <w:r w:rsidR="00584FB4">
        <w:rPr>
          <w:lang w:eastAsia="ja-JP"/>
        </w:rPr>
        <w:t xml:space="preserve"> </w:t>
      </w:r>
    </w:p>
    <w:p w:rsidR="00F23B5E" w:rsidRPr="00307755" w:rsidRDefault="00F23B5E" w:rsidP="00F23B5E">
      <w:pPr>
        <w:rPr>
          <w:sz w:val="16"/>
          <w:szCs w:val="16"/>
          <w:lang w:eastAsia="ja-JP"/>
        </w:rPr>
      </w:pPr>
    </w:p>
    <w:p w:rsidR="00F23B5E" w:rsidRPr="001A6FB8" w:rsidRDefault="00F23B5E" w:rsidP="00F23B5E">
      <w:pPr>
        <w:spacing w:after="120"/>
        <w:rPr>
          <w:b/>
          <w:i/>
        </w:rPr>
      </w:pPr>
      <w:r>
        <w:rPr>
          <w:b/>
          <w:i/>
        </w:rPr>
        <w:t xml:space="preserve">Table </w:t>
      </w:r>
      <w:r w:rsidR="003C7082">
        <w:rPr>
          <w:b/>
          <w:i/>
        </w:rPr>
        <w:t>6</w:t>
      </w:r>
      <w:r w:rsidRPr="001A6FB8">
        <w:rPr>
          <w:b/>
          <w:i/>
        </w:rPr>
        <w:t>-</w:t>
      </w:r>
      <w:r>
        <w:rPr>
          <w:b/>
          <w:i/>
        </w:rPr>
        <w:t>2: Estimates for global HFC production (for HFC-32, -125, -134a and -143a)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99"/>
        <w:gridCol w:w="1430"/>
        <w:gridCol w:w="1405"/>
        <w:gridCol w:w="1449"/>
        <w:gridCol w:w="1449"/>
      </w:tblGrid>
      <w:tr w:rsidR="00F23B5E" w:rsidRPr="00DD6155" w:rsidTr="004A4E5F">
        <w:trPr>
          <w:trHeight w:val="480"/>
        </w:trPr>
        <w:tc>
          <w:tcPr>
            <w:tcW w:w="1276" w:type="dxa"/>
            <w:shd w:val="clear" w:color="auto" w:fill="auto"/>
          </w:tcPr>
          <w:p w:rsidR="00F23B5E" w:rsidRPr="00DD6155" w:rsidRDefault="00F23B5E" w:rsidP="004A4E5F">
            <w:pPr>
              <w:rPr>
                <w:szCs w:val="22"/>
                <w:lang w:eastAsia="ja-JP"/>
              </w:rPr>
            </w:pPr>
            <w:r w:rsidRPr="00DD6155">
              <w:rPr>
                <w:szCs w:val="22"/>
                <w:lang w:eastAsia="ja-JP"/>
              </w:rPr>
              <w:t xml:space="preserve">Gg (ktonnes) </w:t>
            </w:r>
          </w:p>
          <w:p w:rsidR="00F23B5E" w:rsidRPr="00DD6155" w:rsidRDefault="00F23B5E" w:rsidP="004A4E5F">
            <w:pPr>
              <w:rPr>
                <w:szCs w:val="22"/>
                <w:lang w:eastAsia="ja-JP"/>
              </w:rPr>
            </w:pPr>
            <w:r w:rsidRPr="00DD6155">
              <w:rPr>
                <w:szCs w:val="22"/>
                <w:lang w:eastAsia="ja-JP"/>
              </w:rPr>
              <w:t>for HFCs</w:t>
            </w:r>
          </w:p>
          <w:p w:rsidR="00F23B5E" w:rsidRPr="00DD6155" w:rsidRDefault="00F23B5E" w:rsidP="004A4E5F">
            <w:pPr>
              <w:rPr>
                <w:szCs w:val="22"/>
                <w:lang w:eastAsia="ja-JP"/>
              </w:rPr>
            </w:pPr>
            <w:r w:rsidRPr="00DD6155">
              <w:rPr>
                <w:szCs w:val="22"/>
                <w:lang w:eastAsia="ja-JP"/>
              </w:rPr>
              <w:t>(per year)</w:t>
            </w:r>
          </w:p>
        </w:tc>
        <w:tc>
          <w:tcPr>
            <w:tcW w:w="1399" w:type="dxa"/>
            <w:shd w:val="clear" w:color="auto" w:fill="auto"/>
          </w:tcPr>
          <w:p w:rsidR="00F23B5E" w:rsidRPr="00DD6155" w:rsidRDefault="00F23B5E" w:rsidP="004A4E5F">
            <w:pPr>
              <w:jc w:val="right"/>
              <w:rPr>
                <w:szCs w:val="22"/>
                <w:lang w:eastAsia="ja-JP"/>
              </w:rPr>
            </w:pPr>
            <w:r w:rsidRPr="00DD6155">
              <w:rPr>
                <w:szCs w:val="22"/>
                <w:lang w:eastAsia="ja-JP"/>
              </w:rPr>
              <w:t>(Montzka, 2015)</w:t>
            </w:r>
          </w:p>
          <w:p w:rsidR="00F23B5E" w:rsidRPr="00DD6155" w:rsidRDefault="00F23B5E" w:rsidP="004A4E5F">
            <w:pPr>
              <w:jc w:val="right"/>
              <w:rPr>
                <w:szCs w:val="22"/>
                <w:lang w:eastAsia="ja-JP"/>
              </w:rPr>
            </w:pPr>
            <w:r w:rsidRPr="00DD6155">
              <w:rPr>
                <w:szCs w:val="22"/>
                <w:lang w:eastAsia="ja-JP"/>
              </w:rPr>
              <w:t xml:space="preserve">Emissions </w:t>
            </w:r>
            <w:r w:rsidRPr="00DD6155">
              <w:rPr>
                <w:szCs w:val="22"/>
                <w:lang w:eastAsia="ja-JP"/>
              </w:rPr>
              <w:br/>
              <w:t>year 2012</w:t>
            </w:r>
          </w:p>
        </w:tc>
        <w:tc>
          <w:tcPr>
            <w:tcW w:w="1430" w:type="dxa"/>
            <w:shd w:val="clear" w:color="auto" w:fill="auto"/>
          </w:tcPr>
          <w:p w:rsidR="00F23B5E" w:rsidRPr="00DD6155" w:rsidRDefault="00F23B5E" w:rsidP="004A4E5F">
            <w:pPr>
              <w:jc w:val="right"/>
              <w:rPr>
                <w:szCs w:val="22"/>
                <w:lang w:eastAsia="ja-JP"/>
              </w:rPr>
            </w:pPr>
            <w:r w:rsidRPr="00DD6155">
              <w:rPr>
                <w:szCs w:val="22"/>
                <w:lang w:eastAsia="ja-JP"/>
              </w:rPr>
              <w:t>UNFCCC</w:t>
            </w:r>
          </w:p>
          <w:p w:rsidR="00F23B5E" w:rsidRPr="00DD6155" w:rsidRDefault="00F23B5E" w:rsidP="004A4E5F">
            <w:pPr>
              <w:jc w:val="right"/>
              <w:rPr>
                <w:szCs w:val="22"/>
                <w:lang w:eastAsia="ja-JP"/>
              </w:rPr>
            </w:pPr>
            <w:r w:rsidRPr="00DD6155">
              <w:rPr>
                <w:szCs w:val="22"/>
                <w:lang w:eastAsia="ja-JP"/>
              </w:rPr>
              <w:t>based estimate for</w:t>
            </w:r>
          </w:p>
          <w:p w:rsidR="00F23B5E" w:rsidRPr="00DD6155" w:rsidRDefault="00F23B5E" w:rsidP="004A4E5F">
            <w:pPr>
              <w:jc w:val="right"/>
              <w:rPr>
                <w:szCs w:val="22"/>
                <w:lang w:eastAsia="ja-JP"/>
              </w:rPr>
            </w:pPr>
            <w:r w:rsidRPr="00DD6155">
              <w:rPr>
                <w:szCs w:val="22"/>
                <w:lang w:eastAsia="ja-JP"/>
              </w:rPr>
              <w:t>non-A5 prod. (2012)</w:t>
            </w:r>
          </w:p>
        </w:tc>
        <w:tc>
          <w:tcPr>
            <w:tcW w:w="1405" w:type="dxa"/>
            <w:shd w:val="clear" w:color="auto" w:fill="auto"/>
          </w:tcPr>
          <w:p w:rsidR="00F23B5E" w:rsidRPr="00DD6155" w:rsidRDefault="00F23B5E" w:rsidP="004A4E5F">
            <w:pPr>
              <w:jc w:val="right"/>
              <w:rPr>
                <w:szCs w:val="22"/>
                <w:lang w:eastAsia="ja-JP"/>
              </w:rPr>
            </w:pPr>
            <w:r w:rsidRPr="00DD6155">
              <w:rPr>
                <w:szCs w:val="22"/>
                <w:lang w:eastAsia="ja-JP"/>
              </w:rPr>
              <w:t>Estimate for non-A5 production (for 2015)</w:t>
            </w:r>
          </w:p>
        </w:tc>
        <w:tc>
          <w:tcPr>
            <w:tcW w:w="1449" w:type="dxa"/>
            <w:shd w:val="clear" w:color="auto" w:fill="auto"/>
          </w:tcPr>
          <w:p w:rsidR="00F23B5E" w:rsidRPr="00DD6155" w:rsidRDefault="00F23B5E" w:rsidP="004A4E5F">
            <w:pPr>
              <w:jc w:val="right"/>
              <w:rPr>
                <w:szCs w:val="22"/>
                <w:lang w:eastAsia="ja-JP"/>
              </w:rPr>
            </w:pPr>
            <w:r w:rsidRPr="00DD6155">
              <w:rPr>
                <w:szCs w:val="22"/>
                <w:lang w:eastAsia="ja-JP"/>
              </w:rPr>
              <w:t>Estimate from various sources A5 production (for 2015)</w:t>
            </w:r>
          </w:p>
        </w:tc>
        <w:tc>
          <w:tcPr>
            <w:tcW w:w="1449" w:type="dxa"/>
            <w:shd w:val="clear" w:color="auto" w:fill="auto"/>
          </w:tcPr>
          <w:p w:rsidR="00F23B5E" w:rsidRPr="00DD6155" w:rsidRDefault="00F23B5E" w:rsidP="004A4E5F">
            <w:pPr>
              <w:jc w:val="right"/>
              <w:rPr>
                <w:szCs w:val="22"/>
                <w:lang w:eastAsia="ja-JP"/>
              </w:rPr>
            </w:pPr>
            <w:r w:rsidRPr="00DD6155">
              <w:rPr>
                <w:szCs w:val="22"/>
                <w:lang w:eastAsia="ja-JP"/>
              </w:rPr>
              <w:t>Estimate global production    year 2015 (*)</w:t>
            </w:r>
          </w:p>
        </w:tc>
      </w:tr>
      <w:tr w:rsidR="00F23B5E" w:rsidRPr="00DD6155" w:rsidTr="004A4E5F">
        <w:tc>
          <w:tcPr>
            <w:tcW w:w="1276" w:type="dxa"/>
            <w:shd w:val="clear" w:color="auto" w:fill="auto"/>
          </w:tcPr>
          <w:p w:rsidR="00F23B5E" w:rsidRPr="00DD6155" w:rsidRDefault="00F23B5E" w:rsidP="00CB1CCC">
            <w:pPr>
              <w:spacing w:before="40"/>
              <w:rPr>
                <w:szCs w:val="22"/>
                <w:lang w:eastAsia="ja-JP"/>
              </w:rPr>
            </w:pPr>
            <w:r w:rsidRPr="00DD6155">
              <w:rPr>
                <w:szCs w:val="22"/>
                <w:lang w:eastAsia="ja-JP"/>
              </w:rPr>
              <w:t>HFC-32</w:t>
            </w:r>
          </w:p>
        </w:tc>
        <w:tc>
          <w:tcPr>
            <w:tcW w:w="1399" w:type="dxa"/>
            <w:shd w:val="clear" w:color="auto" w:fill="auto"/>
          </w:tcPr>
          <w:p w:rsidR="00F23B5E" w:rsidRPr="00DD6155" w:rsidRDefault="00F23B5E" w:rsidP="00CB1CCC">
            <w:pPr>
              <w:spacing w:before="40"/>
              <w:jc w:val="right"/>
              <w:rPr>
                <w:szCs w:val="22"/>
                <w:lang w:eastAsia="ja-JP"/>
              </w:rPr>
            </w:pPr>
            <w:r w:rsidRPr="00DD6155">
              <w:rPr>
                <w:szCs w:val="22"/>
                <w:lang w:eastAsia="ja-JP"/>
              </w:rPr>
              <w:t>16 (21**)</w:t>
            </w:r>
          </w:p>
        </w:tc>
        <w:tc>
          <w:tcPr>
            <w:tcW w:w="1430" w:type="dxa"/>
            <w:shd w:val="clear" w:color="auto" w:fill="auto"/>
          </w:tcPr>
          <w:p w:rsidR="00F23B5E" w:rsidRPr="00DD6155" w:rsidRDefault="00F23B5E" w:rsidP="00CB1CCC">
            <w:pPr>
              <w:spacing w:before="40"/>
              <w:jc w:val="right"/>
              <w:rPr>
                <w:szCs w:val="22"/>
                <w:lang w:eastAsia="ja-JP"/>
              </w:rPr>
            </w:pPr>
            <w:r w:rsidRPr="00DD6155">
              <w:rPr>
                <w:szCs w:val="22"/>
                <w:lang w:eastAsia="ja-JP"/>
              </w:rPr>
              <w:t>≈ 22</w:t>
            </w:r>
          </w:p>
        </w:tc>
        <w:tc>
          <w:tcPr>
            <w:tcW w:w="1405" w:type="dxa"/>
            <w:shd w:val="clear" w:color="auto" w:fill="auto"/>
          </w:tcPr>
          <w:p w:rsidR="00F23B5E" w:rsidRPr="00DD6155" w:rsidRDefault="00F23B5E" w:rsidP="00CB1CCC">
            <w:pPr>
              <w:spacing w:before="40"/>
              <w:jc w:val="right"/>
              <w:rPr>
                <w:szCs w:val="22"/>
                <w:lang w:eastAsia="ja-JP"/>
              </w:rPr>
            </w:pPr>
            <w:r w:rsidRPr="00DD6155">
              <w:rPr>
                <w:szCs w:val="22"/>
                <w:lang w:eastAsia="ja-JP"/>
              </w:rPr>
              <w:t>23</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71</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94</w:t>
            </w:r>
          </w:p>
        </w:tc>
      </w:tr>
      <w:tr w:rsidR="00F23B5E" w:rsidRPr="00DD6155" w:rsidTr="004A4E5F">
        <w:tc>
          <w:tcPr>
            <w:tcW w:w="1276" w:type="dxa"/>
            <w:shd w:val="clear" w:color="auto" w:fill="auto"/>
          </w:tcPr>
          <w:p w:rsidR="00F23B5E" w:rsidRPr="00DD6155" w:rsidRDefault="00F23B5E" w:rsidP="00CB1CCC">
            <w:pPr>
              <w:spacing w:before="40"/>
              <w:rPr>
                <w:szCs w:val="22"/>
                <w:lang w:eastAsia="ja-JP"/>
              </w:rPr>
            </w:pPr>
            <w:r w:rsidRPr="00DD6155">
              <w:rPr>
                <w:szCs w:val="22"/>
                <w:lang w:eastAsia="ja-JP"/>
              </w:rPr>
              <w:t>HFC-125</w:t>
            </w:r>
          </w:p>
        </w:tc>
        <w:tc>
          <w:tcPr>
            <w:tcW w:w="1399" w:type="dxa"/>
            <w:shd w:val="clear" w:color="auto" w:fill="auto"/>
          </w:tcPr>
          <w:p w:rsidR="00F23B5E" w:rsidRPr="00DD6155" w:rsidRDefault="00F23B5E" w:rsidP="00CB1CCC">
            <w:pPr>
              <w:spacing w:before="40"/>
              <w:jc w:val="right"/>
              <w:rPr>
                <w:szCs w:val="22"/>
                <w:lang w:eastAsia="ja-JP"/>
              </w:rPr>
            </w:pPr>
            <w:r w:rsidRPr="00DD6155">
              <w:rPr>
                <w:szCs w:val="22"/>
                <w:lang w:eastAsia="ja-JP"/>
              </w:rPr>
              <w:t>41</w:t>
            </w:r>
          </w:p>
        </w:tc>
        <w:tc>
          <w:tcPr>
            <w:tcW w:w="1430" w:type="dxa"/>
            <w:shd w:val="clear" w:color="auto" w:fill="auto"/>
          </w:tcPr>
          <w:p w:rsidR="00F23B5E" w:rsidRPr="00DD6155" w:rsidRDefault="00F23B5E" w:rsidP="00CB1CCC">
            <w:pPr>
              <w:spacing w:before="40"/>
              <w:jc w:val="right"/>
              <w:rPr>
                <w:szCs w:val="22"/>
                <w:lang w:eastAsia="ja-JP"/>
              </w:rPr>
            </w:pPr>
            <w:r w:rsidRPr="00DD6155">
              <w:rPr>
                <w:szCs w:val="22"/>
                <w:lang w:eastAsia="ja-JP"/>
              </w:rPr>
              <w:t>&lt; 30</w:t>
            </w:r>
          </w:p>
        </w:tc>
        <w:tc>
          <w:tcPr>
            <w:tcW w:w="1405" w:type="dxa"/>
            <w:shd w:val="clear" w:color="auto" w:fill="auto"/>
          </w:tcPr>
          <w:p w:rsidR="00F23B5E" w:rsidRPr="00DD6155" w:rsidRDefault="00F23B5E" w:rsidP="00CB1CCC">
            <w:pPr>
              <w:spacing w:before="40"/>
              <w:jc w:val="right"/>
              <w:rPr>
                <w:szCs w:val="22"/>
                <w:lang w:eastAsia="ja-JP"/>
              </w:rPr>
            </w:pPr>
            <w:r w:rsidRPr="00DD6155">
              <w:rPr>
                <w:szCs w:val="22"/>
                <w:lang w:eastAsia="ja-JP"/>
              </w:rPr>
              <w:t>31.5</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98.5</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130</w:t>
            </w:r>
          </w:p>
        </w:tc>
      </w:tr>
      <w:tr w:rsidR="00F23B5E" w:rsidRPr="00DD6155" w:rsidTr="004A4E5F">
        <w:tc>
          <w:tcPr>
            <w:tcW w:w="1276" w:type="dxa"/>
            <w:shd w:val="clear" w:color="auto" w:fill="auto"/>
          </w:tcPr>
          <w:p w:rsidR="00F23B5E" w:rsidRPr="00DD6155" w:rsidRDefault="00F23B5E" w:rsidP="00CB1CCC">
            <w:pPr>
              <w:spacing w:before="40"/>
              <w:rPr>
                <w:szCs w:val="22"/>
                <w:lang w:eastAsia="ja-JP"/>
              </w:rPr>
            </w:pPr>
            <w:r w:rsidRPr="00DD6155">
              <w:rPr>
                <w:szCs w:val="22"/>
                <w:lang w:eastAsia="ja-JP"/>
              </w:rPr>
              <w:t>HFC-134a</w:t>
            </w:r>
          </w:p>
        </w:tc>
        <w:tc>
          <w:tcPr>
            <w:tcW w:w="1399" w:type="dxa"/>
            <w:shd w:val="clear" w:color="auto" w:fill="auto"/>
          </w:tcPr>
          <w:p w:rsidR="00F23B5E" w:rsidRPr="00DD6155" w:rsidRDefault="00F23B5E" w:rsidP="00CB1CCC">
            <w:pPr>
              <w:spacing w:before="40"/>
              <w:jc w:val="right"/>
              <w:rPr>
                <w:szCs w:val="22"/>
                <w:lang w:eastAsia="ja-JP"/>
              </w:rPr>
            </w:pPr>
            <w:r w:rsidRPr="00DD6155">
              <w:rPr>
                <w:szCs w:val="22"/>
                <w:lang w:eastAsia="ja-JP"/>
              </w:rPr>
              <w:t>173</w:t>
            </w:r>
          </w:p>
        </w:tc>
        <w:tc>
          <w:tcPr>
            <w:tcW w:w="1430" w:type="dxa"/>
            <w:shd w:val="clear" w:color="auto" w:fill="auto"/>
          </w:tcPr>
          <w:p w:rsidR="00F23B5E" w:rsidRPr="00DD6155" w:rsidRDefault="00F23B5E" w:rsidP="00CB1CCC">
            <w:pPr>
              <w:spacing w:before="40"/>
              <w:jc w:val="right"/>
              <w:rPr>
                <w:szCs w:val="22"/>
                <w:lang w:eastAsia="ja-JP"/>
              </w:rPr>
            </w:pPr>
            <w:r w:rsidRPr="00DD6155">
              <w:rPr>
                <w:szCs w:val="22"/>
                <w:lang w:eastAsia="ja-JP"/>
              </w:rPr>
              <w:t>&lt; 100</w:t>
            </w:r>
          </w:p>
        </w:tc>
        <w:tc>
          <w:tcPr>
            <w:tcW w:w="1405" w:type="dxa"/>
            <w:shd w:val="clear" w:color="auto" w:fill="auto"/>
          </w:tcPr>
          <w:p w:rsidR="00F23B5E" w:rsidRPr="00DD6155" w:rsidRDefault="00F23B5E" w:rsidP="00CB1CCC">
            <w:pPr>
              <w:spacing w:before="40"/>
              <w:jc w:val="right"/>
              <w:rPr>
                <w:szCs w:val="22"/>
                <w:lang w:eastAsia="ja-JP"/>
              </w:rPr>
            </w:pPr>
            <w:r w:rsidRPr="00DD6155">
              <w:rPr>
                <w:szCs w:val="22"/>
                <w:lang w:eastAsia="ja-JP"/>
              </w:rPr>
              <w:t>97</w:t>
            </w:r>
          </w:p>
        </w:tc>
        <w:tc>
          <w:tcPr>
            <w:tcW w:w="1449" w:type="dxa"/>
            <w:shd w:val="clear" w:color="auto" w:fill="auto"/>
          </w:tcPr>
          <w:p w:rsidR="00F23B5E" w:rsidRPr="00DD6155" w:rsidRDefault="00F23B5E" w:rsidP="0012188C">
            <w:pPr>
              <w:spacing w:before="40"/>
              <w:jc w:val="right"/>
              <w:rPr>
                <w:szCs w:val="22"/>
                <w:lang w:eastAsia="ja-JP"/>
              </w:rPr>
            </w:pPr>
            <w:r w:rsidRPr="00DD6155">
              <w:rPr>
                <w:szCs w:val="22"/>
                <w:lang w:eastAsia="ja-JP"/>
              </w:rPr>
              <w:t>1</w:t>
            </w:r>
            <w:r w:rsidR="0012188C">
              <w:rPr>
                <w:szCs w:val="22"/>
                <w:lang w:eastAsia="ja-JP"/>
              </w:rPr>
              <w:t>61</w:t>
            </w:r>
            <w:r>
              <w:rPr>
                <w:szCs w:val="22"/>
                <w:lang w:eastAsia="ja-JP"/>
              </w:rPr>
              <w:t>^</w:t>
            </w:r>
          </w:p>
        </w:tc>
        <w:tc>
          <w:tcPr>
            <w:tcW w:w="1449" w:type="dxa"/>
            <w:shd w:val="clear" w:color="auto" w:fill="auto"/>
          </w:tcPr>
          <w:p w:rsidR="00F23B5E" w:rsidRPr="00DD6155" w:rsidRDefault="0059136A" w:rsidP="00EA6CC0">
            <w:pPr>
              <w:spacing w:before="40"/>
              <w:jc w:val="right"/>
              <w:rPr>
                <w:szCs w:val="22"/>
                <w:lang w:eastAsia="ja-JP"/>
              </w:rPr>
            </w:pPr>
            <w:r>
              <w:rPr>
                <w:szCs w:val="22"/>
                <w:lang w:eastAsia="ja-JP"/>
              </w:rPr>
              <w:t>25</w:t>
            </w:r>
            <w:r w:rsidR="00EA6CC0">
              <w:rPr>
                <w:szCs w:val="22"/>
                <w:lang w:eastAsia="ja-JP"/>
              </w:rPr>
              <w:t>8</w:t>
            </w:r>
          </w:p>
        </w:tc>
      </w:tr>
      <w:tr w:rsidR="00F23B5E" w:rsidRPr="00DD6155" w:rsidTr="004A4E5F">
        <w:trPr>
          <w:trHeight w:val="58"/>
        </w:trPr>
        <w:tc>
          <w:tcPr>
            <w:tcW w:w="1276" w:type="dxa"/>
            <w:shd w:val="clear" w:color="auto" w:fill="auto"/>
          </w:tcPr>
          <w:p w:rsidR="00F23B5E" w:rsidRPr="00DD6155" w:rsidRDefault="00F23B5E" w:rsidP="00CB1CCC">
            <w:pPr>
              <w:spacing w:before="40"/>
              <w:rPr>
                <w:szCs w:val="22"/>
                <w:lang w:eastAsia="ja-JP"/>
              </w:rPr>
            </w:pPr>
            <w:r w:rsidRPr="00DD6155">
              <w:rPr>
                <w:szCs w:val="22"/>
                <w:lang w:eastAsia="ja-JP"/>
              </w:rPr>
              <w:t>HFC-143a</w:t>
            </w:r>
          </w:p>
        </w:tc>
        <w:tc>
          <w:tcPr>
            <w:tcW w:w="1399" w:type="dxa"/>
            <w:shd w:val="clear" w:color="auto" w:fill="auto"/>
          </w:tcPr>
          <w:p w:rsidR="00F23B5E" w:rsidRPr="00DD6155" w:rsidRDefault="00F23B5E" w:rsidP="00CB1CCC">
            <w:pPr>
              <w:spacing w:before="40"/>
              <w:jc w:val="right"/>
              <w:rPr>
                <w:szCs w:val="22"/>
                <w:lang w:eastAsia="ja-JP"/>
              </w:rPr>
            </w:pPr>
            <w:r w:rsidRPr="00DD6155">
              <w:rPr>
                <w:szCs w:val="22"/>
                <w:lang w:eastAsia="ja-JP"/>
              </w:rPr>
              <w:t>21</w:t>
            </w:r>
          </w:p>
        </w:tc>
        <w:tc>
          <w:tcPr>
            <w:tcW w:w="1430" w:type="dxa"/>
            <w:shd w:val="clear" w:color="auto" w:fill="auto"/>
          </w:tcPr>
          <w:p w:rsidR="00F23B5E" w:rsidRPr="00DD6155" w:rsidRDefault="00F23B5E" w:rsidP="00CB1CCC">
            <w:pPr>
              <w:spacing w:before="40"/>
              <w:jc w:val="right"/>
              <w:rPr>
                <w:szCs w:val="22"/>
                <w:lang w:eastAsia="ja-JP"/>
              </w:rPr>
            </w:pPr>
            <w:r w:rsidRPr="00DD6155">
              <w:rPr>
                <w:szCs w:val="22"/>
                <w:lang w:eastAsia="ja-JP"/>
              </w:rPr>
              <w:t>&lt;10</w:t>
            </w:r>
          </w:p>
        </w:tc>
        <w:tc>
          <w:tcPr>
            <w:tcW w:w="1405" w:type="dxa"/>
            <w:shd w:val="clear" w:color="auto" w:fill="auto"/>
          </w:tcPr>
          <w:p w:rsidR="00F23B5E" w:rsidRPr="00DD6155" w:rsidRDefault="00F23B5E" w:rsidP="00CB1CCC">
            <w:pPr>
              <w:spacing w:before="40"/>
              <w:jc w:val="right"/>
              <w:rPr>
                <w:szCs w:val="22"/>
                <w:lang w:eastAsia="ja-JP"/>
              </w:rPr>
            </w:pPr>
            <w:r w:rsidRPr="00DD6155">
              <w:rPr>
                <w:szCs w:val="22"/>
                <w:lang w:eastAsia="ja-JP"/>
              </w:rPr>
              <w:t>11</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17</w:t>
            </w:r>
          </w:p>
        </w:tc>
        <w:tc>
          <w:tcPr>
            <w:tcW w:w="1449" w:type="dxa"/>
            <w:shd w:val="clear" w:color="auto" w:fill="auto"/>
          </w:tcPr>
          <w:p w:rsidR="00F23B5E" w:rsidRPr="00DD6155" w:rsidRDefault="00F23B5E" w:rsidP="00CB1CCC">
            <w:pPr>
              <w:spacing w:before="40"/>
              <w:jc w:val="right"/>
              <w:rPr>
                <w:szCs w:val="22"/>
                <w:lang w:eastAsia="ja-JP"/>
              </w:rPr>
            </w:pPr>
            <w:r w:rsidRPr="00DD6155">
              <w:rPr>
                <w:szCs w:val="22"/>
                <w:lang w:eastAsia="ja-JP"/>
              </w:rPr>
              <w:t>28</w:t>
            </w:r>
          </w:p>
        </w:tc>
      </w:tr>
    </w:tbl>
    <w:p w:rsidR="00F23B5E" w:rsidRPr="00AB3587" w:rsidRDefault="00F23B5E" w:rsidP="00AB3587">
      <w:pPr>
        <w:rPr>
          <w:sz w:val="20"/>
          <w:szCs w:val="20"/>
        </w:rPr>
      </w:pPr>
      <w:r w:rsidRPr="00AB3587">
        <w:rPr>
          <w:sz w:val="20"/>
          <w:szCs w:val="20"/>
        </w:rPr>
        <w:t xml:space="preserve">Note: (*) Global production is equal to non-Article 5 plus Article 5 (China, minor other) production </w:t>
      </w:r>
    </w:p>
    <w:p w:rsidR="00F23B5E" w:rsidRPr="00AB3587" w:rsidRDefault="00F23B5E" w:rsidP="00AB3587">
      <w:pPr>
        <w:rPr>
          <w:sz w:val="20"/>
          <w:szCs w:val="20"/>
        </w:rPr>
      </w:pPr>
      <w:r w:rsidRPr="00AB3587">
        <w:rPr>
          <w:sz w:val="20"/>
          <w:szCs w:val="20"/>
        </w:rPr>
        <w:t xml:space="preserve">Note: (**) Estimate from Rigby (2013) </w:t>
      </w:r>
    </w:p>
    <w:p w:rsidR="005C5F7D" w:rsidRDefault="00F23B5E" w:rsidP="00AB3587">
      <w:pPr>
        <w:rPr>
          <w:sz w:val="20"/>
          <w:szCs w:val="20"/>
        </w:rPr>
      </w:pPr>
      <w:r w:rsidRPr="00AB3587">
        <w:rPr>
          <w:sz w:val="20"/>
          <w:szCs w:val="20"/>
        </w:rPr>
        <w:t>Note: (^) New value for this report</w:t>
      </w:r>
      <w:r w:rsidR="00735A66" w:rsidRPr="00AB3587">
        <w:rPr>
          <w:sz w:val="20"/>
          <w:szCs w:val="20"/>
        </w:rPr>
        <w:t xml:space="preserve">, due to </w:t>
      </w:r>
      <w:r w:rsidR="000A2F00">
        <w:rPr>
          <w:sz w:val="20"/>
          <w:szCs w:val="20"/>
        </w:rPr>
        <w:t xml:space="preserve">the addition of the </w:t>
      </w:r>
      <w:r w:rsidR="00735A66" w:rsidRPr="00AB3587">
        <w:rPr>
          <w:sz w:val="20"/>
          <w:szCs w:val="20"/>
        </w:rPr>
        <w:t xml:space="preserve">HFC-134a production </w:t>
      </w:r>
      <w:r w:rsidR="000A2F00">
        <w:rPr>
          <w:sz w:val="20"/>
          <w:szCs w:val="20"/>
        </w:rPr>
        <w:t xml:space="preserve">quantity </w:t>
      </w:r>
      <w:r w:rsidR="00735A66" w:rsidRPr="00AB3587">
        <w:rPr>
          <w:sz w:val="20"/>
          <w:szCs w:val="20"/>
        </w:rPr>
        <w:t xml:space="preserve">in one Article 5 Party </w:t>
      </w:r>
    </w:p>
    <w:p w:rsidR="00AB3587" w:rsidRPr="00AB3587" w:rsidRDefault="00AB3587" w:rsidP="00AB3587">
      <w:pPr>
        <w:rPr>
          <w:sz w:val="20"/>
          <w:szCs w:val="20"/>
        </w:rPr>
      </w:pPr>
    </w:p>
    <w:p w:rsidR="00776F20" w:rsidRDefault="00776F20" w:rsidP="00DF1E74">
      <w:pPr>
        <w:spacing w:after="120"/>
        <w:rPr>
          <w:lang w:eastAsia="ja-JP"/>
        </w:rPr>
      </w:pPr>
      <w:r>
        <w:rPr>
          <w:lang w:eastAsia="ja-JP"/>
        </w:rPr>
        <w:t>These production data for certain years are reasonably reliable global estimates and have been used in order to check the demand data determined via the bottom-up method used, wh</w:t>
      </w:r>
      <w:r w:rsidR="00F8671B">
        <w:rPr>
          <w:lang w:eastAsia="ja-JP"/>
        </w:rPr>
        <w:t>ere details a</w:t>
      </w:r>
      <w:r>
        <w:rPr>
          <w:lang w:eastAsia="ja-JP"/>
        </w:rPr>
        <w:t>re given in the sections below for the R/AC sector.</w:t>
      </w:r>
    </w:p>
    <w:p w:rsidR="00F8671B" w:rsidRDefault="00F8671B" w:rsidP="00DF1E74">
      <w:pPr>
        <w:spacing w:after="120"/>
        <w:rPr>
          <w:lang w:eastAsia="ja-JP"/>
        </w:rPr>
      </w:pPr>
      <w:r>
        <w:rPr>
          <w:lang w:eastAsia="ja-JP"/>
        </w:rPr>
        <w:t xml:space="preserve">For the R/AC sector as a whole, the total </w:t>
      </w:r>
      <w:r w:rsidR="00757860">
        <w:rPr>
          <w:lang w:eastAsia="ja-JP"/>
        </w:rPr>
        <w:t xml:space="preserve">bottom-up </w:t>
      </w:r>
      <w:r>
        <w:rPr>
          <w:lang w:eastAsia="ja-JP"/>
        </w:rPr>
        <w:t xml:space="preserve">demand that has been calculated for the year 2015 for non-Article 5 Parties (200.5 ktonnes) and Article 5 Parties (272.9 ktonnes) equals 473.4 ktonnes. This relates to the four main HFCs given in Table 6-2. </w:t>
      </w:r>
      <w:r w:rsidR="00735938">
        <w:rPr>
          <w:lang w:eastAsia="ja-JP"/>
        </w:rPr>
        <w:t xml:space="preserve">It </w:t>
      </w:r>
      <w:r>
        <w:rPr>
          <w:lang w:eastAsia="ja-JP"/>
        </w:rPr>
        <w:t xml:space="preserve">would imply that about 37 ktonnes of HFCs (mainly HFC-134a) </w:t>
      </w:r>
      <w:r w:rsidR="00735938">
        <w:rPr>
          <w:lang w:eastAsia="ja-JP"/>
        </w:rPr>
        <w:t xml:space="preserve">are </w:t>
      </w:r>
      <w:r>
        <w:rPr>
          <w:lang w:eastAsia="ja-JP"/>
        </w:rPr>
        <w:t xml:space="preserve">used (globally) in sectors </w:t>
      </w:r>
      <w:r w:rsidR="00F5335B">
        <w:rPr>
          <w:lang w:eastAsia="ja-JP"/>
        </w:rPr>
        <w:t xml:space="preserve">other </w:t>
      </w:r>
      <w:r>
        <w:rPr>
          <w:lang w:eastAsia="ja-JP"/>
        </w:rPr>
        <w:t>than R/AC; these other sectors would mainly be foams, medical and technical aerosols. One needs to take into account that both the production estimates and the bottom up calculated R/AC demand have uncertainties, as mentioned above.</w:t>
      </w:r>
    </w:p>
    <w:p w:rsidR="00F8671B" w:rsidRDefault="00F8671B" w:rsidP="00307755">
      <w:pPr>
        <w:spacing w:after="240"/>
        <w:rPr>
          <w:lang w:eastAsia="ja-JP"/>
        </w:rPr>
      </w:pPr>
      <w:r>
        <w:rPr>
          <w:lang w:eastAsia="ja-JP"/>
        </w:rPr>
        <w:lastRenderedPageBreak/>
        <w:t xml:space="preserve">The value of 37 ktonnes </w:t>
      </w:r>
      <w:r w:rsidR="00F5335B">
        <w:rPr>
          <w:lang w:eastAsia="ja-JP"/>
        </w:rPr>
        <w:t xml:space="preserve">used in sectors other than R/AC </w:t>
      </w:r>
      <w:r>
        <w:rPr>
          <w:lang w:eastAsia="ja-JP"/>
        </w:rPr>
        <w:t>will be further investigated in the update September 2016 TF report.</w:t>
      </w:r>
    </w:p>
    <w:p w:rsidR="00F23B5E" w:rsidRDefault="003C7082" w:rsidP="00735A66">
      <w:pPr>
        <w:pStyle w:val="Heading2"/>
        <w:ind w:left="0" w:firstLine="0"/>
      </w:pPr>
      <w:bookmarkStart w:id="105" w:name="_Toc452653394"/>
      <w:r>
        <w:rPr>
          <w:b w:val="0"/>
        </w:rPr>
        <w:t>6</w:t>
      </w:r>
      <w:r w:rsidR="00F23B5E">
        <w:t>.4</w:t>
      </w:r>
      <w:r w:rsidR="00F23B5E" w:rsidRPr="00BA381D">
        <w:tab/>
      </w:r>
      <w:r w:rsidR="00F23B5E">
        <w:tab/>
        <w:t>Non-Article 5 scenarios up to 2050</w:t>
      </w:r>
      <w:bookmarkEnd w:id="105"/>
    </w:p>
    <w:p w:rsidR="00F23B5E" w:rsidRPr="00BA381D" w:rsidRDefault="003C7082" w:rsidP="00F23B5E">
      <w:pPr>
        <w:pStyle w:val="Heading3"/>
      </w:pPr>
      <w:bookmarkStart w:id="106" w:name="_Toc452653395"/>
      <w:r>
        <w:t>6</w:t>
      </w:r>
      <w:r w:rsidR="00F23B5E">
        <w:t>.4.1</w:t>
      </w:r>
      <w:r w:rsidR="00F23B5E">
        <w:tab/>
        <w:t>BAU scenario</w:t>
      </w:r>
      <w:bookmarkEnd w:id="106"/>
      <w:r w:rsidR="00F23B5E">
        <w:t xml:space="preserve"> </w:t>
      </w:r>
    </w:p>
    <w:p w:rsidR="00F23B5E" w:rsidRPr="001A6FB8" w:rsidRDefault="004D6272" w:rsidP="00F23B5E">
      <w:r>
        <w:t>T</w:t>
      </w:r>
      <w:r w:rsidR="00F23B5E" w:rsidRPr="001A6FB8">
        <w:t xml:space="preserve">he figures below </w:t>
      </w:r>
      <w:r>
        <w:t xml:space="preserve">present </w:t>
      </w:r>
      <w:r w:rsidR="00F23B5E" w:rsidRPr="001A6FB8">
        <w:t xml:space="preserve">the </w:t>
      </w:r>
      <w:r w:rsidR="00F23B5E">
        <w:t xml:space="preserve">results of the </w:t>
      </w:r>
      <w:r>
        <w:t xml:space="preserve">Non-Article 5 </w:t>
      </w:r>
      <w:r w:rsidR="00F23B5E" w:rsidRPr="001A6FB8">
        <w:t>scenario</w:t>
      </w:r>
      <w:r w:rsidR="00F23B5E">
        <w:t xml:space="preserve"> calculations</w:t>
      </w:r>
      <w:r w:rsidR="00F23B5E" w:rsidRPr="001A6FB8">
        <w:t>:</w:t>
      </w:r>
    </w:p>
    <w:p w:rsidR="00F23B5E" w:rsidRPr="001A6FB8" w:rsidRDefault="00F23B5E" w:rsidP="00F23B5E">
      <w:pPr>
        <w:numPr>
          <w:ilvl w:val="0"/>
          <w:numId w:val="17"/>
        </w:numPr>
        <w:ind w:left="714" w:hanging="357"/>
      </w:pPr>
      <w:r w:rsidRPr="001A6FB8">
        <w:t>Non-Article 5 BAU scenario with subdivision for refrigerants.</w:t>
      </w:r>
    </w:p>
    <w:p w:rsidR="00F23B5E" w:rsidRPr="001A6FB8" w:rsidRDefault="00F23B5E" w:rsidP="00F23B5E">
      <w:pPr>
        <w:numPr>
          <w:ilvl w:val="0"/>
          <w:numId w:val="17"/>
        </w:numPr>
      </w:pPr>
      <w:r w:rsidRPr="001A6FB8">
        <w:t xml:space="preserve">Non-Article 5 BAU scenario with subdivision for the various R/AC </w:t>
      </w:r>
      <w:r>
        <w:t>sub-sectors</w:t>
      </w:r>
      <w:r w:rsidRPr="001A6FB8">
        <w:t>.</w:t>
      </w:r>
    </w:p>
    <w:tbl>
      <w:tblPr>
        <w:tblW w:w="5000" w:type="pct"/>
        <w:jc w:val="center"/>
        <w:tblCellMar>
          <w:left w:w="70" w:type="dxa"/>
          <w:right w:w="70" w:type="dxa"/>
        </w:tblCellMar>
        <w:tblLook w:val="04A0" w:firstRow="1" w:lastRow="0" w:firstColumn="1" w:lastColumn="0" w:noHBand="0" w:noVBand="1"/>
      </w:tblPr>
      <w:tblGrid>
        <w:gridCol w:w="4218"/>
        <w:gridCol w:w="4222"/>
      </w:tblGrid>
      <w:tr w:rsidR="00F23B5E" w:rsidRPr="004D6272" w:rsidTr="004A4E5F">
        <w:trPr>
          <w:jc w:val="center"/>
        </w:trPr>
        <w:tc>
          <w:tcPr>
            <w:tcW w:w="2499" w:type="pct"/>
            <w:shd w:val="clear" w:color="auto" w:fill="auto"/>
          </w:tcPr>
          <w:p w:rsidR="00F23B5E" w:rsidRPr="004D6272" w:rsidRDefault="00F23B5E" w:rsidP="004A4E5F">
            <w:pPr>
              <w:rPr>
                <w:sz w:val="12"/>
                <w:szCs w:val="12"/>
                <w:highlight w:val="yellow"/>
                <w:lang w:val="en-US"/>
              </w:rPr>
            </w:pPr>
            <w:r w:rsidRPr="004D6272">
              <w:rPr>
                <w:noProof/>
                <w:sz w:val="12"/>
                <w:szCs w:val="12"/>
                <w:highlight w:val="yellow"/>
              </w:rPr>
              <w:t xml:space="preserve">     </w:t>
            </w:r>
          </w:p>
        </w:tc>
        <w:tc>
          <w:tcPr>
            <w:tcW w:w="2501" w:type="pct"/>
            <w:shd w:val="clear" w:color="auto" w:fill="auto"/>
          </w:tcPr>
          <w:p w:rsidR="00F23B5E" w:rsidRPr="004D6272" w:rsidRDefault="00F23B5E" w:rsidP="004A4E5F">
            <w:pPr>
              <w:rPr>
                <w:sz w:val="12"/>
                <w:szCs w:val="12"/>
                <w:highlight w:val="yellow"/>
                <w:lang w:val="en-US"/>
              </w:rPr>
            </w:pPr>
          </w:p>
        </w:tc>
      </w:tr>
    </w:tbl>
    <w:p w:rsidR="00F23B5E" w:rsidRDefault="00F712FD" w:rsidP="00F23B5E">
      <w:pPr>
        <w:spacing w:before="120" w:after="120"/>
        <w:rPr>
          <w:b/>
          <w:i/>
        </w:rPr>
      </w:pPr>
      <w:r w:rsidRPr="005E648A">
        <w:rPr>
          <w:noProof/>
          <w:lang w:val="en-US" w:eastAsia="en-US"/>
        </w:rPr>
        <w:drawing>
          <wp:inline distT="0" distB="0" distL="0" distR="0" wp14:anchorId="3FB31ACE" wp14:editId="55183131">
            <wp:extent cx="4387850" cy="2268220"/>
            <wp:effectExtent l="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850" cy="2268220"/>
                    </a:xfrm>
                    <a:prstGeom prst="rect">
                      <a:avLst/>
                    </a:prstGeom>
                    <a:noFill/>
                    <a:ln>
                      <a:noFill/>
                    </a:ln>
                  </pic:spPr>
                </pic:pic>
              </a:graphicData>
            </a:graphic>
          </wp:inline>
        </w:drawing>
      </w:r>
    </w:p>
    <w:p w:rsidR="00F23B5E" w:rsidRDefault="00F23B5E" w:rsidP="00F23B5E">
      <w:pPr>
        <w:spacing w:before="120" w:after="120"/>
        <w:ind w:left="-227"/>
        <w:rPr>
          <w:b/>
          <w:i/>
        </w:rPr>
      </w:pPr>
      <w:r w:rsidRPr="00BC53A2">
        <w:rPr>
          <w:noProof/>
        </w:rPr>
        <w:t xml:space="preserve">   </w:t>
      </w:r>
      <w:r w:rsidR="00F712FD" w:rsidRPr="005E648A">
        <w:rPr>
          <w:noProof/>
          <w:lang w:val="en-US" w:eastAsia="en-US"/>
        </w:rPr>
        <w:drawing>
          <wp:inline distT="0" distB="0" distL="0" distR="0" wp14:anchorId="1C241545" wp14:editId="2F50C432">
            <wp:extent cx="4408805" cy="2381885"/>
            <wp:effectExtent l="0" t="0" r="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8805" cy="2381885"/>
                    </a:xfrm>
                    <a:prstGeom prst="rect">
                      <a:avLst/>
                    </a:prstGeom>
                    <a:noFill/>
                    <a:ln>
                      <a:noFill/>
                    </a:ln>
                  </pic:spPr>
                </pic:pic>
              </a:graphicData>
            </a:graphic>
          </wp:inline>
        </w:drawing>
      </w:r>
    </w:p>
    <w:p w:rsidR="00F23B5E" w:rsidRPr="001A6FB8" w:rsidRDefault="00F23B5E" w:rsidP="00F23B5E">
      <w:pPr>
        <w:spacing w:after="120"/>
        <w:rPr>
          <w:b/>
          <w:i/>
        </w:rPr>
      </w:pPr>
      <w:r w:rsidRPr="001A6FB8">
        <w:rPr>
          <w:b/>
          <w:i/>
        </w:rPr>
        <w:t xml:space="preserve">Figure </w:t>
      </w:r>
      <w:r w:rsidR="003C7082">
        <w:rPr>
          <w:b/>
          <w:i/>
        </w:rPr>
        <w:t>6</w:t>
      </w:r>
      <w:r w:rsidRPr="001A6FB8">
        <w:rPr>
          <w:b/>
          <w:i/>
        </w:rPr>
        <w:t>-</w:t>
      </w:r>
      <w:r>
        <w:rPr>
          <w:b/>
          <w:i/>
        </w:rPr>
        <w:t>1</w:t>
      </w:r>
      <w:r w:rsidRPr="001A6FB8">
        <w:rPr>
          <w:b/>
          <w:i/>
        </w:rPr>
        <w:t xml:space="preserve">: Non-Article 5 BAU scenario with subdivision for </w:t>
      </w:r>
      <w:r>
        <w:rPr>
          <w:b/>
          <w:i/>
        </w:rPr>
        <w:t xml:space="preserve">the various </w:t>
      </w:r>
      <w:r w:rsidRPr="001A6FB8">
        <w:rPr>
          <w:b/>
          <w:i/>
        </w:rPr>
        <w:t>refrigerants</w:t>
      </w:r>
      <w:r>
        <w:rPr>
          <w:b/>
          <w:i/>
        </w:rPr>
        <w:t xml:space="preserve"> or refrigerant blends in tonnes and ktonnes CO</w:t>
      </w:r>
      <w:r w:rsidRPr="005C587B">
        <w:rPr>
          <w:rFonts w:ascii="Times New Roman Bold" w:hAnsi="Times New Roman Bold"/>
          <w:b/>
          <w:i/>
          <w:vertAlign w:val="subscript"/>
        </w:rPr>
        <w:t>2</w:t>
      </w:r>
      <w:r>
        <w:rPr>
          <w:b/>
          <w:i/>
        </w:rPr>
        <w:t>-eq.</w:t>
      </w:r>
    </w:p>
    <w:p w:rsidR="00F23B5E" w:rsidRDefault="00F23B5E" w:rsidP="00F23B5E">
      <w:r w:rsidRPr="001A6FB8">
        <w:t xml:space="preserve">Figure </w:t>
      </w:r>
      <w:r w:rsidR="003C7082">
        <w:t>6</w:t>
      </w:r>
      <w:r w:rsidRPr="001A6FB8">
        <w:t>-1 shows the</w:t>
      </w:r>
      <w:r>
        <w:t xml:space="preserve"> current and projected future n</w:t>
      </w:r>
      <w:r w:rsidRPr="001A6FB8">
        <w:t>on-Article 5 refrigerant BAU demand, with a subdivision for the commonly used high</w:t>
      </w:r>
      <w:r>
        <w:t>-GWP</w:t>
      </w:r>
      <w:r w:rsidRPr="001A6FB8">
        <w:t xml:space="preserve"> refrigerants and low</w:t>
      </w:r>
      <w:r>
        <w:t>-GWP</w:t>
      </w:r>
      <w:r w:rsidRPr="001A6FB8">
        <w:t xml:space="preserve"> refrigerants. The demand is given in tonnes and in GWP weighted terms (in </w:t>
      </w:r>
      <w:r w:rsidR="009862DD">
        <w:t>kt</w:t>
      </w:r>
      <w:r w:rsidR="00AD5DD6">
        <w:t>onnes</w:t>
      </w:r>
      <w:r w:rsidR="009862DD">
        <w:t xml:space="preserve"> </w:t>
      </w:r>
      <w:r w:rsidRPr="001A6FB8">
        <w:t>CO</w:t>
      </w:r>
      <w:r w:rsidRPr="001A6FB8">
        <w:rPr>
          <w:vertAlign w:val="subscript"/>
        </w:rPr>
        <w:t>2</w:t>
      </w:r>
      <w:r w:rsidRPr="001A6FB8">
        <w:t>-eq.).</w:t>
      </w:r>
      <w:r>
        <w:t xml:space="preserve"> The amount of low-GWP refrigerants in the BAU scenario increases rapidly after 2020, because the BAU scenario includes the EU F-gas regulation as well as the </w:t>
      </w:r>
      <w:r w:rsidR="00FD0AF6">
        <w:t xml:space="preserve">US </w:t>
      </w:r>
      <w:r>
        <w:t>measures that enter into force as of 2016-2021 (e.g. low GWP in manufacturing of MACs)</w:t>
      </w:r>
      <w:r w:rsidR="00D52B63">
        <w:t>.</w:t>
      </w:r>
      <w:r>
        <w:t xml:space="preserve"> Over the period 2010-205</w:t>
      </w:r>
      <w:r w:rsidRPr="001A6FB8">
        <w:t xml:space="preserve">0, the importance of R-410A and </w:t>
      </w:r>
      <w:r>
        <w:t xml:space="preserve">also </w:t>
      </w:r>
      <w:r w:rsidRPr="001A6FB8">
        <w:t xml:space="preserve">R-407C </w:t>
      </w:r>
      <w:r>
        <w:t xml:space="preserve">for stationary AC becomes more and more </w:t>
      </w:r>
      <w:r w:rsidRPr="001A6FB8">
        <w:t>dominant</w:t>
      </w:r>
      <w:r>
        <w:t>, with an increase of a factor 2 in tonnes and in GWP weighted tonnes between 2015 and 2050</w:t>
      </w:r>
      <w:r w:rsidR="00FE51D6">
        <w:t xml:space="preserve">. </w:t>
      </w:r>
    </w:p>
    <w:p w:rsidR="00F23B5E" w:rsidRDefault="00F23B5E" w:rsidP="00F23B5E"/>
    <w:p w:rsidR="00F23B5E" w:rsidRDefault="00F23B5E" w:rsidP="00F23B5E">
      <w:pPr>
        <w:spacing w:after="240"/>
      </w:pPr>
      <w:r w:rsidRPr="00E02D21">
        <w:t xml:space="preserve">Figure </w:t>
      </w:r>
      <w:r w:rsidR="003C7082">
        <w:t>6</w:t>
      </w:r>
      <w:r w:rsidRPr="00E02D21">
        <w:t xml:space="preserve">-2 shows the </w:t>
      </w:r>
      <w:r>
        <w:t>n</w:t>
      </w:r>
      <w:r w:rsidRPr="00E02D21">
        <w:t>on-Article 5 refrigerant BAU demand, with a subdivision for the different R/AC sub-sectors (</w:t>
      </w:r>
      <w:r>
        <w:t xml:space="preserve">n.b., all </w:t>
      </w:r>
      <w:r w:rsidRPr="00E02D21">
        <w:t xml:space="preserve">graphs start in the year 1990). The demand is given in tonnes and in </w:t>
      </w:r>
      <w:r>
        <w:t>kt</w:t>
      </w:r>
      <w:r w:rsidR="00AD5DD6">
        <w:t>onnes</w:t>
      </w:r>
      <w:r>
        <w:t xml:space="preserve"> </w:t>
      </w:r>
      <w:r w:rsidRPr="00E02D21">
        <w:t>CO</w:t>
      </w:r>
      <w:r w:rsidRPr="009C52F5">
        <w:rPr>
          <w:vertAlign w:val="subscript"/>
        </w:rPr>
        <w:t>2</w:t>
      </w:r>
      <w:r w:rsidRPr="00E02D21">
        <w:t>-eq.)</w:t>
      </w:r>
      <w:r>
        <w:t xml:space="preserve">. </w:t>
      </w:r>
      <w:r w:rsidRPr="00E02D21">
        <w:t>By 2030</w:t>
      </w:r>
      <w:r>
        <w:t>-2050</w:t>
      </w:r>
      <w:r w:rsidRPr="00E02D21">
        <w:t xml:space="preserve">, stationary AC accounts for </w:t>
      </w:r>
      <w:r>
        <w:t>more than 8</w:t>
      </w:r>
      <w:r w:rsidRPr="00E02D21">
        <w:t xml:space="preserve">0% of </w:t>
      </w:r>
      <w:r w:rsidRPr="00E02D21">
        <w:lastRenderedPageBreak/>
        <w:t>the GWP adjusted tonnage</w:t>
      </w:r>
      <w:r>
        <w:t xml:space="preserve"> (even when using low growth percentages, as given in Table </w:t>
      </w:r>
      <w:r w:rsidR="003C7082">
        <w:t>6</w:t>
      </w:r>
      <w:r>
        <w:t>-1). This is due to the fact that only a small amount of regulatory restrictions have been built in.</w:t>
      </w:r>
    </w:p>
    <w:p w:rsidR="00F23B5E" w:rsidRDefault="00F23B5E" w:rsidP="00F23B5E"/>
    <w:tbl>
      <w:tblPr>
        <w:tblW w:w="5133" w:type="pct"/>
        <w:jc w:val="center"/>
        <w:tblCellMar>
          <w:left w:w="70" w:type="dxa"/>
          <w:right w:w="70" w:type="dxa"/>
        </w:tblCellMar>
        <w:tblLook w:val="04A0" w:firstRow="1" w:lastRow="0" w:firstColumn="1" w:lastColumn="0" w:noHBand="0" w:noVBand="1"/>
      </w:tblPr>
      <w:tblGrid>
        <w:gridCol w:w="8502"/>
        <w:gridCol w:w="163"/>
      </w:tblGrid>
      <w:tr w:rsidR="00F23B5E" w:rsidRPr="001E33A7" w:rsidTr="004A4E5F">
        <w:trPr>
          <w:trHeight w:val="2943"/>
          <w:jc w:val="center"/>
        </w:trPr>
        <w:tc>
          <w:tcPr>
            <w:tcW w:w="4906" w:type="pct"/>
            <w:shd w:val="clear" w:color="auto" w:fill="auto"/>
          </w:tcPr>
          <w:p w:rsidR="00F23B5E" w:rsidRPr="00D4683C" w:rsidRDefault="00F712FD" w:rsidP="004A4E5F">
            <w:pPr>
              <w:rPr>
                <w:sz w:val="18"/>
                <w:highlight w:val="yellow"/>
                <w:lang w:val="en-US"/>
              </w:rPr>
            </w:pPr>
            <w:r w:rsidRPr="005E648A">
              <w:rPr>
                <w:noProof/>
                <w:lang w:val="en-US" w:eastAsia="en-US"/>
              </w:rPr>
              <w:drawing>
                <wp:inline distT="0" distB="0" distL="0" distR="0" wp14:anchorId="48837A9F" wp14:editId="7703F209">
                  <wp:extent cx="4345305" cy="269367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5305" cy="2693670"/>
                          </a:xfrm>
                          <a:prstGeom prst="rect">
                            <a:avLst/>
                          </a:prstGeom>
                          <a:noFill/>
                          <a:ln>
                            <a:noFill/>
                          </a:ln>
                        </pic:spPr>
                      </pic:pic>
                    </a:graphicData>
                  </a:graphic>
                </wp:inline>
              </w:drawing>
            </w:r>
          </w:p>
          <w:p w:rsidR="00F23B5E" w:rsidRPr="001E33A7" w:rsidRDefault="00F23B5E" w:rsidP="004A4E5F">
            <w:pPr>
              <w:rPr>
                <w:highlight w:val="yellow"/>
                <w:lang w:val="en-US"/>
              </w:rPr>
            </w:pPr>
          </w:p>
        </w:tc>
        <w:tc>
          <w:tcPr>
            <w:tcW w:w="94" w:type="pct"/>
            <w:shd w:val="clear" w:color="auto" w:fill="auto"/>
          </w:tcPr>
          <w:p w:rsidR="00F23B5E" w:rsidRPr="001E33A7" w:rsidRDefault="00F23B5E" w:rsidP="004A4E5F">
            <w:pPr>
              <w:rPr>
                <w:highlight w:val="yellow"/>
                <w:lang w:val="en-US"/>
              </w:rPr>
            </w:pPr>
          </w:p>
        </w:tc>
      </w:tr>
    </w:tbl>
    <w:p w:rsidR="00F23B5E" w:rsidRDefault="00F712FD" w:rsidP="00F23B5E">
      <w:pPr>
        <w:spacing w:before="120" w:after="120"/>
        <w:rPr>
          <w:noProof/>
          <w:lang w:val="nl-NL"/>
        </w:rPr>
      </w:pPr>
      <w:r w:rsidRPr="005E648A">
        <w:rPr>
          <w:noProof/>
          <w:lang w:val="en-US" w:eastAsia="en-US"/>
        </w:rPr>
        <w:drawing>
          <wp:inline distT="0" distB="0" distL="0" distR="0" wp14:anchorId="6D694006" wp14:editId="79CA10A6">
            <wp:extent cx="4267200" cy="2601595"/>
            <wp:effectExtent l="0" t="0" r="0" b="8255"/>
            <wp:docPr id="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601595"/>
                    </a:xfrm>
                    <a:prstGeom prst="rect">
                      <a:avLst/>
                    </a:prstGeom>
                    <a:noFill/>
                    <a:ln>
                      <a:noFill/>
                    </a:ln>
                  </pic:spPr>
                </pic:pic>
              </a:graphicData>
            </a:graphic>
          </wp:inline>
        </w:drawing>
      </w:r>
    </w:p>
    <w:p w:rsidR="004D6272" w:rsidRDefault="00F23B5E" w:rsidP="004D6272">
      <w:pPr>
        <w:spacing w:before="240" w:after="240"/>
      </w:pPr>
      <w:r w:rsidRPr="004321E7">
        <w:rPr>
          <w:b/>
          <w:i/>
        </w:rPr>
        <w:t xml:space="preserve">Figure </w:t>
      </w:r>
      <w:r w:rsidR="003C7082">
        <w:rPr>
          <w:b/>
          <w:i/>
        </w:rPr>
        <w:t>6</w:t>
      </w:r>
      <w:r w:rsidRPr="004321E7">
        <w:rPr>
          <w:b/>
          <w:i/>
        </w:rPr>
        <w:t>-2: Non-Article 5 BAU scenario</w:t>
      </w:r>
      <w:r>
        <w:rPr>
          <w:b/>
          <w:i/>
        </w:rPr>
        <w:t>;</w:t>
      </w:r>
      <w:r w:rsidRPr="004321E7">
        <w:rPr>
          <w:b/>
          <w:i/>
        </w:rPr>
        <w:t xml:space="preserve"> subdivision for the various </w:t>
      </w:r>
      <w:r>
        <w:rPr>
          <w:b/>
          <w:i/>
        </w:rPr>
        <w:t>R/AC</w:t>
      </w:r>
      <w:r w:rsidRPr="004321E7">
        <w:rPr>
          <w:b/>
          <w:i/>
        </w:rPr>
        <w:t xml:space="preserve"> </w:t>
      </w:r>
      <w:r>
        <w:rPr>
          <w:b/>
          <w:i/>
        </w:rPr>
        <w:t>sub-sectors</w:t>
      </w:r>
      <w:r w:rsidR="004D6272" w:rsidRPr="004D6272">
        <w:t xml:space="preserve"> </w:t>
      </w:r>
    </w:p>
    <w:p w:rsidR="00977450" w:rsidRDefault="003C7082" w:rsidP="00977450">
      <w:pPr>
        <w:spacing w:after="240"/>
      </w:pPr>
      <w:r>
        <w:t xml:space="preserve">It is interesting to compare the Non-Article 5 BAU scenario without and with certain regulations; it then shows the impact </w:t>
      </w:r>
      <w:r w:rsidRPr="004E0F08">
        <w:t xml:space="preserve">of these regulations over the time period considered (in fact the values for these two types </w:t>
      </w:r>
      <w:r w:rsidRPr="008A52E4">
        <w:t>of BAU scenarios can be found in the Annexes of the XXVI/9 Task Force and this XXVII/4 Task Force report</w:t>
      </w:r>
      <w:r w:rsidR="004E0F08" w:rsidRPr="008A52E4">
        <w:t>. Annex 3</w:t>
      </w:r>
      <w:r w:rsidR="00977450" w:rsidRPr="008A52E4">
        <w:t xml:space="preserve"> gives </w:t>
      </w:r>
      <w:r w:rsidR="00AD55CF">
        <w:t>the</w:t>
      </w:r>
      <w:r w:rsidR="00977450" w:rsidRPr="008A52E4">
        <w:t xml:space="preserve"> summary table with the regulations for the EU, USA and Japan. In the BAU scenario in this report the EU and US regulations</w:t>
      </w:r>
      <w:r w:rsidR="00C553EA" w:rsidRPr="008A52E4">
        <w:t>,</w:t>
      </w:r>
      <w:r w:rsidR="00977450" w:rsidRPr="008A52E4">
        <w:t xml:space="preserve"> </w:t>
      </w:r>
      <w:r w:rsidR="00C553EA" w:rsidRPr="008A52E4">
        <w:t xml:space="preserve">making certain HFCs unacceptable for certain sub-sectors by specific dates, </w:t>
      </w:r>
      <w:r w:rsidR="00977450" w:rsidRPr="008A52E4">
        <w:t>have been applied</w:t>
      </w:r>
      <w:r w:rsidR="00C553EA" w:rsidRPr="008A52E4">
        <w:t xml:space="preserve"> as their impacts are very specific related to the R/AC sectors and sub-sectors</w:t>
      </w:r>
      <w:r w:rsidR="00977450" w:rsidRPr="008A52E4">
        <w:t>.</w:t>
      </w:r>
      <w:r w:rsidR="00977450">
        <w:t xml:space="preserve"> </w:t>
      </w:r>
    </w:p>
    <w:p w:rsidR="003C7082" w:rsidRDefault="003C7082" w:rsidP="004D6272">
      <w:pPr>
        <w:spacing w:after="240"/>
      </w:pPr>
      <w:r>
        <w:t xml:space="preserve">Figure 6-3 </w:t>
      </w:r>
      <w:r w:rsidR="00B00DE6">
        <w:t>s</w:t>
      </w:r>
      <w:r>
        <w:t>hows the impact</w:t>
      </w:r>
      <w:r w:rsidR="00B00DE6">
        <w:t xml:space="preserve"> of regulations on the BAU demand. The demand is expected to be lower as of 2015 when certain regulations enter into force</w:t>
      </w:r>
      <w:r>
        <w:t>,</w:t>
      </w:r>
      <w:r w:rsidR="00B00DE6">
        <w:t xml:space="preserve"> the difference will increase after 2019-2020 when more regulations are assumed to be in place and the impact of the servicing demand becomes more visible. The difference between both types of BAU demand is in the order of 140 Mt CO</w:t>
      </w:r>
      <w:r w:rsidR="00B00DE6" w:rsidRPr="00B00DE6">
        <w:rPr>
          <w:vertAlign w:val="subscript"/>
        </w:rPr>
        <w:t>2</w:t>
      </w:r>
      <w:r w:rsidR="00B00DE6">
        <w:t xml:space="preserve">-eq. in the year 2030. The demand with regulations does not </w:t>
      </w:r>
      <w:r w:rsidR="00B00DE6">
        <w:lastRenderedPageBreak/>
        <w:t>increase much between the years 2015 and 2030, after which the growth in certain commercial refrigeration subsector and particularly in the stationary AC subsector are determining</w:t>
      </w:r>
      <w:r w:rsidR="00FE51D6">
        <w:t xml:space="preserve">. </w:t>
      </w:r>
      <w:r>
        <w:t xml:space="preserve"> </w:t>
      </w:r>
    </w:p>
    <w:p w:rsidR="00D46C2B" w:rsidRDefault="00F712FD" w:rsidP="004D6272">
      <w:pPr>
        <w:spacing w:after="240"/>
      </w:pPr>
      <w:r w:rsidRPr="00D46C2B">
        <w:rPr>
          <w:noProof/>
          <w:lang w:val="en-US" w:eastAsia="en-US"/>
        </w:rPr>
        <w:drawing>
          <wp:inline distT="0" distB="0" distL="0" distR="0" wp14:anchorId="57EDB4DA" wp14:editId="553FF579">
            <wp:extent cx="4205605" cy="2677160"/>
            <wp:effectExtent l="0" t="0" r="4445" b="889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6C2B" w:rsidRDefault="00D46C2B" w:rsidP="00D46C2B">
      <w:pPr>
        <w:spacing w:after="240"/>
      </w:pPr>
      <w:r w:rsidRPr="004321E7">
        <w:rPr>
          <w:b/>
          <w:i/>
        </w:rPr>
        <w:t xml:space="preserve">Figure </w:t>
      </w:r>
      <w:r>
        <w:rPr>
          <w:b/>
          <w:i/>
        </w:rPr>
        <w:t>6</w:t>
      </w:r>
      <w:r w:rsidRPr="004321E7">
        <w:rPr>
          <w:b/>
          <w:i/>
        </w:rPr>
        <w:t>-</w:t>
      </w:r>
      <w:r>
        <w:rPr>
          <w:b/>
          <w:i/>
        </w:rPr>
        <w:t>3</w:t>
      </w:r>
      <w:r w:rsidRPr="004321E7">
        <w:rPr>
          <w:b/>
          <w:i/>
        </w:rPr>
        <w:t>: Non-Article 5 BAU scenario</w:t>
      </w:r>
      <w:r>
        <w:rPr>
          <w:b/>
          <w:i/>
        </w:rPr>
        <w:t xml:space="preserve"> without and with consideration of national and reginal regulations (without r</w:t>
      </w:r>
      <w:r w:rsidR="00AB00CF">
        <w:rPr>
          <w:b/>
          <w:i/>
        </w:rPr>
        <w:t>e</w:t>
      </w:r>
      <w:r>
        <w:rPr>
          <w:b/>
          <w:i/>
        </w:rPr>
        <w:t>gulations until 2030; with regulations until 2050)</w:t>
      </w:r>
      <w:r w:rsidRPr="004D6272">
        <w:t xml:space="preserve"> </w:t>
      </w:r>
    </w:p>
    <w:p w:rsidR="005C5F7D" w:rsidRDefault="004D6272" w:rsidP="005C5F7D">
      <w:pPr>
        <w:spacing w:after="240"/>
      </w:pPr>
      <w:r>
        <w:t xml:space="preserve">Figure </w:t>
      </w:r>
      <w:r w:rsidR="003C7082">
        <w:t>6</w:t>
      </w:r>
      <w:r>
        <w:t>-</w:t>
      </w:r>
      <w:r w:rsidR="003C7082">
        <w:t>4</w:t>
      </w:r>
      <w:r>
        <w:t xml:space="preserve"> below is in principle the same as in the XXVI/9 report (UNEP, 2015). It is surprising that, with the assumptions used, the percentage of R-404A in manufacturing decreases sharply, servicing remains (with the assumptions on the servicing percentage) and increases again after 2033 due to economic growth. The low GWP fraction remains very moderate in </w:t>
      </w:r>
      <w:r w:rsidR="00AD5DD6">
        <w:t xml:space="preserve">ktonnes </w:t>
      </w:r>
      <w:r>
        <w:t>CO</w:t>
      </w:r>
      <w:r w:rsidRPr="0092353E">
        <w:rPr>
          <w:vertAlign w:val="subscript"/>
        </w:rPr>
        <w:t>2</w:t>
      </w:r>
      <w:r>
        <w:t>-eq., but that number implies a much larger percentage in tonnes</w:t>
      </w:r>
      <w:r w:rsidR="00FE51D6">
        <w:t xml:space="preserve">. </w:t>
      </w:r>
    </w:p>
    <w:p w:rsidR="006718A1" w:rsidRDefault="006718A1" w:rsidP="005C5F7D">
      <w:pPr>
        <w:spacing w:after="240"/>
      </w:pPr>
    </w:p>
    <w:p w:rsidR="006718A1" w:rsidRDefault="00A905AF" w:rsidP="005C5F7D">
      <w:pPr>
        <w:spacing w:after="240"/>
      </w:pPr>
      <w:r>
        <w:br w:type="page"/>
      </w:r>
    </w:p>
    <w:p w:rsidR="00F23B5E" w:rsidRDefault="00F712FD" w:rsidP="005C5F7D">
      <w:pPr>
        <w:spacing w:after="240"/>
        <w:rPr>
          <w:noProof/>
          <w:lang w:val="nl-NL"/>
        </w:rPr>
      </w:pPr>
      <w:r w:rsidRPr="005E648A">
        <w:rPr>
          <w:noProof/>
          <w:lang w:val="en-US" w:eastAsia="en-US"/>
        </w:rPr>
        <w:lastRenderedPageBreak/>
        <w:drawing>
          <wp:inline distT="0" distB="0" distL="0" distR="0" wp14:anchorId="11B8FA7A" wp14:editId="006DD3CB">
            <wp:extent cx="4267200" cy="2934335"/>
            <wp:effectExtent l="0" t="0" r="0" b="0"/>
            <wp:docPr id="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2934335"/>
                    </a:xfrm>
                    <a:prstGeom prst="rect">
                      <a:avLst/>
                    </a:prstGeom>
                    <a:solidFill>
                      <a:srgbClr val="D8D8D8"/>
                    </a:solidFill>
                    <a:ln>
                      <a:noFill/>
                    </a:ln>
                  </pic:spPr>
                </pic:pic>
              </a:graphicData>
            </a:graphic>
          </wp:inline>
        </w:drawing>
      </w:r>
    </w:p>
    <w:p w:rsidR="00F23B5E" w:rsidRDefault="00F712FD" w:rsidP="002D66E3">
      <w:pPr>
        <w:spacing w:after="120"/>
      </w:pPr>
      <w:r w:rsidRPr="005E648A">
        <w:rPr>
          <w:noProof/>
          <w:lang w:val="en-US" w:eastAsia="en-US"/>
        </w:rPr>
        <w:drawing>
          <wp:inline distT="0" distB="0" distL="0" distR="0" wp14:anchorId="1062D270" wp14:editId="3A2FD54D">
            <wp:extent cx="4267200" cy="2998470"/>
            <wp:effectExtent l="0" t="0" r="0" b="0"/>
            <wp:docPr id="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2998470"/>
                    </a:xfrm>
                    <a:prstGeom prst="rect">
                      <a:avLst/>
                    </a:prstGeom>
                    <a:noFill/>
                    <a:ln>
                      <a:noFill/>
                    </a:ln>
                  </pic:spPr>
                </pic:pic>
              </a:graphicData>
            </a:graphic>
          </wp:inline>
        </w:drawing>
      </w:r>
    </w:p>
    <w:p w:rsidR="00F23B5E" w:rsidRDefault="00F23B5E" w:rsidP="00F23B5E">
      <w:pPr>
        <w:rPr>
          <w:b/>
          <w:i/>
        </w:rPr>
      </w:pPr>
      <w:r w:rsidRPr="004321E7">
        <w:rPr>
          <w:b/>
          <w:i/>
        </w:rPr>
        <w:t xml:space="preserve">Figure </w:t>
      </w:r>
      <w:r w:rsidR="003C7082">
        <w:rPr>
          <w:b/>
          <w:i/>
        </w:rPr>
        <w:t>6</w:t>
      </w:r>
      <w:r w:rsidRPr="004321E7">
        <w:rPr>
          <w:b/>
          <w:i/>
        </w:rPr>
        <w:t>-</w:t>
      </w:r>
      <w:r w:rsidR="003C7082">
        <w:rPr>
          <w:b/>
          <w:i/>
        </w:rPr>
        <w:t>4</w:t>
      </w:r>
      <w:r w:rsidRPr="004321E7">
        <w:rPr>
          <w:b/>
          <w:i/>
        </w:rPr>
        <w:t xml:space="preserve">: </w:t>
      </w:r>
      <w:r>
        <w:rPr>
          <w:b/>
          <w:i/>
        </w:rPr>
        <w:t>New manufacturing and servicing parts of the non</w:t>
      </w:r>
      <w:r w:rsidRPr="004321E7">
        <w:rPr>
          <w:b/>
          <w:i/>
        </w:rPr>
        <w:t xml:space="preserve">-Article 5 BAU scenario with </w:t>
      </w:r>
      <w:r>
        <w:rPr>
          <w:b/>
          <w:i/>
        </w:rPr>
        <w:t xml:space="preserve">a </w:t>
      </w:r>
      <w:r w:rsidRPr="004321E7">
        <w:rPr>
          <w:b/>
          <w:i/>
        </w:rPr>
        <w:t xml:space="preserve">subdivision for the various </w:t>
      </w:r>
      <w:r>
        <w:rPr>
          <w:b/>
          <w:i/>
        </w:rPr>
        <w:t>R/AC</w:t>
      </w:r>
      <w:r w:rsidRPr="004321E7">
        <w:rPr>
          <w:b/>
          <w:i/>
        </w:rPr>
        <w:t xml:space="preserve"> </w:t>
      </w:r>
      <w:r>
        <w:rPr>
          <w:b/>
          <w:i/>
        </w:rPr>
        <w:t>sub-sectors</w:t>
      </w:r>
    </w:p>
    <w:p w:rsidR="004D6272" w:rsidRDefault="004D6272" w:rsidP="00F23B5E">
      <w:pPr>
        <w:pStyle w:val="Heading3"/>
      </w:pPr>
    </w:p>
    <w:p w:rsidR="00F23B5E" w:rsidRDefault="003C7082" w:rsidP="00F23B5E">
      <w:pPr>
        <w:pStyle w:val="Heading3"/>
      </w:pPr>
      <w:bookmarkStart w:id="107" w:name="_Toc452653396"/>
      <w:r>
        <w:t>6</w:t>
      </w:r>
      <w:r w:rsidR="00F23B5E">
        <w:t xml:space="preserve">.4.2 </w:t>
      </w:r>
      <w:r w:rsidR="00F23B5E">
        <w:tab/>
        <w:t>MIT-3 scenario</w:t>
      </w:r>
      <w:bookmarkEnd w:id="107"/>
      <w:r w:rsidR="00F23B5E">
        <w:t xml:space="preserve"> </w:t>
      </w:r>
    </w:p>
    <w:p w:rsidR="00F23B5E" w:rsidRDefault="00F23B5E" w:rsidP="00F23B5E">
      <w:pPr>
        <w:spacing w:after="240"/>
      </w:pPr>
      <w:r>
        <w:t xml:space="preserve">The following </w:t>
      </w:r>
      <w:r w:rsidRPr="00930C67">
        <w:t xml:space="preserve">figures </w:t>
      </w:r>
      <w:r>
        <w:t xml:space="preserve">are for </w:t>
      </w:r>
      <w:r w:rsidRPr="00930C67">
        <w:t>the MIT-</w:t>
      </w:r>
      <w:r>
        <w:t xml:space="preserve">3 scenario, </w:t>
      </w:r>
      <w:r w:rsidRPr="009C52F5">
        <w:t>for non-Article 5 Parties</w:t>
      </w:r>
      <w:r w:rsidRPr="00142939">
        <w:t>,</w:t>
      </w:r>
      <w:r>
        <w:t xml:space="preserve"> in </w:t>
      </w:r>
      <w:r w:rsidRPr="00930C67">
        <w:t>the various R</w:t>
      </w:r>
      <w:r>
        <w:t>/</w:t>
      </w:r>
      <w:r w:rsidRPr="00930C67">
        <w:t xml:space="preserve">AC </w:t>
      </w:r>
      <w:r>
        <w:t>sub-sectors</w:t>
      </w:r>
      <w:r w:rsidRPr="00930C67">
        <w:t>.</w:t>
      </w:r>
      <w:r>
        <w:t xml:space="preserve"> This is the scenario where all sub-sectors are assumed to have converted by the year 2020. The total demand, the new manufacturing and the servicing demand are shown in Figs </w:t>
      </w:r>
      <w:r w:rsidR="003C7082">
        <w:t>6-5</w:t>
      </w:r>
      <w:r w:rsidR="009D1167">
        <w:t xml:space="preserve">, </w:t>
      </w:r>
      <w:r w:rsidR="003C7082">
        <w:t>6-6</w:t>
      </w:r>
      <w:r>
        <w:t xml:space="preserve">, and </w:t>
      </w:r>
      <w:r w:rsidR="009D1167">
        <w:t>6-7</w:t>
      </w:r>
      <w:r>
        <w:t>.</w:t>
      </w:r>
    </w:p>
    <w:p w:rsidR="00F23B5E" w:rsidRDefault="00F712FD" w:rsidP="00F23B5E">
      <w:pPr>
        <w:spacing w:after="240"/>
        <w:rPr>
          <w:noProof/>
          <w:lang w:val="nl-NL"/>
        </w:rPr>
      </w:pPr>
      <w:r w:rsidRPr="005E648A">
        <w:rPr>
          <w:noProof/>
          <w:lang w:val="en-US" w:eastAsia="en-US"/>
        </w:rPr>
        <w:lastRenderedPageBreak/>
        <w:drawing>
          <wp:inline distT="0" distB="0" distL="0" distR="0" wp14:anchorId="5816BC4E" wp14:editId="7B42EFF2">
            <wp:extent cx="4309745" cy="2849245"/>
            <wp:effectExtent l="0" t="0" r="0" b="8255"/>
            <wp:docPr id="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9745" cy="2849245"/>
                    </a:xfrm>
                    <a:prstGeom prst="rect">
                      <a:avLst/>
                    </a:prstGeom>
                    <a:noFill/>
                    <a:ln>
                      <a:noFill/>
                    </a:ln>
                  </pic:spPr>
                </pic:pic>
              </a:graphicData>
            </a:graphic>
          </wp:inline>
        </w:drawing>
      </w:r>
    </w:p>
    <w:p w:rsidR="00F23B5E" w:rsidRDefault="00F23B5E" w:rsidP="00F23B5E">
      <w:pPr>
        <w:spacing w:after="120"/>
        <w:rPr>
          <w:b/>
          <w:i/>
        </w:rPr>
      </w:pPr>
      <w:r w:rsidRPr="004321E7">
        <w:rPr>
          <w:b/>
          <w:i/>
        </w:rPr>
        <w:t xml:space="preserve">Figure </w:t>
      </w:r>
      <w:r w:rsidR="009D1167">
        <w:rPr>
          <w:b/>
          <w:i/>
        </w:rPr>
        <w:t>6-5</w:t>
      </w:r>
      <w:r w:rsidRPr="004321E7">
        <w:rPr>
          <w:b/>
          <w:i/>
        </w:rPr>
        <w:t xml:space="preserve">: </w:t>
      </w:r>
      <w:r>
        <w:rPr>
          <w:b/>
          <w:i/>
        </w:rPr>
        <w:t>Total demand for the Non</w:t>
      </w:r>
      <w:r w:rsidRPr="004321E7">
        <w:rPr>
          <w:b/>
          <w:i/>
        </w:rPr>
        <w:t xml:space="preserve">-Article 5 </w:t>
      </w:r>
      <w:r>
        <w:rPr>
          <w:b/>
          <w:i/>
        </w:rPr>
        <w:t>MIT-3</w:t>
      </w:r>
      <w:r w:rsidRPr="004321E7">
        <w:rPr>
          <w:b/>
          <w:i/>
        </w:rPr>
        <w:t xml:space="preserve"> scenario with </w:t>
      </w:r>
      <w:r>
        <w:rPr>
          <w:b/>
          <w:i/>
        </w:rPr>
        <w:t xml:space="preserve">a </w:t>
      </w:r>
      <w:r w:rsidRPr="004321E7">
        <w:rPr>
          <w:b/>
          <w:i/>
        </w:rPr>
        <w:t xml:space="preserve">subdivision for the various </w:t>
      </w:r>
      <w:r>
        <w:rPr>
          <w:b/>
          <w:i/>
        </w:rPr>
        <w:t>R/AC</w:t>
      </w:r>
      <w:r w:rsidRPr="004321E7">
        <w:rPr>
          <w:b/>
          <w:i/>
        </w:rPr>
        <w:t xml:space="preserve"> </w:t>
      </w:r>
      <w:r>
        <w:rPr>
          <w:b/>
          <w:i/>
        </w:rPr>
        <w:t>sub-sectors</w:t>
      </w:r>
    </w:p>
    <w:p w:rsidR="00F23B5E" w:rsidRDefault="00F23B5E" w:rsidP="00DE1885">
      <w:pPr>
        <w:spacing w:before="120"/>
      </w:pPr>
      <w:r>
        <w:t>In MIT-3, the conversion in all sub-sectors to replace high-GWP refrigerants with a variety of refrigerants with an average GWP of 300 is assumed to be complete by 2020. Manufacturing capacity is converted in equal portions per year during the period 2017-2020. This is a major difference with the BAU scenario in which stationary AC is not addressed in this manner.</w:t>
      </w:r>
    </w:p>
    <w:p w:rsidR="00F23B5E" w:rsidRDefault="00F23B5E" w:rsidP="00F23B5E"/>
    <w:p w:rsidR="00F23B5E" w:rsidRPr="00930C67" w:rsidRDefault="00F23B5E" w:rsidP="00F23B5E">
      <w:r>
        <w:t xml:space="preserve">Figure </w:t>
      </w:r>
      <w:r w:rsidR="009D1167">
        <w:t>6-5</w:t>
      </w:r>
      <w:r>
        <w:t xml:space="preserve"> shows the steep decrease in the years before 2020, after which the curve flattens due to continued servicing needs. Since some high-GWP equipment will have been manufactured until 2020, and has an average 12 year lifetime, supplies of high-GWP refrigerants will continue to be required in decreasing amounts until about 2032.</w:t>
      </w:r>
      <w:r w:rsidRPr="00AC68E5">
        <w:t xml:space="preserve"> </w:t>
      </w:r>
    </w:p>
    <w:p w:rsidR="00F23B5E" w:rsidRDefault="00F23B5E" w:rsidP="00F23B5E"/>
    <w:p w:rsidR="00F23B5E" w:rsidRDefault="00F23B5E" w:rsidP="00F23B5E">
      <w:r>
        <w:t xml:space="preserve">During 2010-2015, stationary AC and commercial refrigeration demands are assumed to increase quickly (see above). With </w:t>
      </w:r>
      <w:r w:rsidR="00D52B63">
        <w:t xml:space="preserve">transition in </w:t>
      </w:r>
      <w:r>
        <w:t>new manufacturing</w:t>
      </w:r>
      <w:r w:rsidRPr="00930C67">
        <w:t xml:space="preserve"> as of </w:t>
      </w:r>
      <w:r w:rsidRPr="006D7E05">
        <w:t xml:space="preserve">2020, high-GWP refrigerants in these sector decrease, being replaced by low-GWP refrigerants </w:t>
      </w:r>
      <w:r w:rsidR="002E023D" w:rsidRPr="00AD5DD6">
        <w:t>that</w:t>
      </w:r>
      <w:r w:rsidR="002E023D" w:rsidRPr="006D7E05">
        <w:t xml:space="preserve"> </w:t>
      </w:r>
      <w:r w:rsidRPr="006D7E05">
        <w:t>will account for more than 80% of total demand between 2020 and 2050.</w:t>
      </w:r>
      <w:r>
        <w:t xml:space="preserve"> </w:t>
      </w:r>
    </w:p>
    <w:p w:rsidR="00F23B5E" w:rsidRDefault="00F23B5E" w:rsidP="00F23B5E"/>
    <w:p w:rsidR="00F23B5E" w:rsidRDefault="00F23B5E" w:rsidP="00F23B5E">
      <w:r>
        <w:t>What becomes again clear here, that is that the minimum demand is reached by 2032-2033, after which the demand increases again, in particular due to growth in stationary AC.</w:t>
      </w:r>
    </w:p>
    <w:p w:rsidR="00F23B5E" w:rsidRDefault="00F23B5E" w:rsidP="00F23B5E"/>
    <w:p w:rsidR="00F23B5E" w:rsidRDefault="00F23B5E" w:rsidP="00F23B5E">
      <w:r>
        <w:t xml:space="preserve">So, there is a large improvement in climate impact, although with a GWP of 300, the large refrigerant volumes considered still have a certain climate impact. </w:t>
      </w:r>
    </w:p>
    <w:p w:rsidR="00F23B5E" w:rsidRDefault="00F23B5E" w:rsidP="00F23B5E"/>
    <w:p w:rsidR="00F23B5E" w:rsidRPr="00930C67" w:rsidRDefault="00F23B5E" w:rsidP="00F23B5E">
      <w:r>
        <w:t xml:space="preserve">In Figure </w:t>
      </w:r>
      <w:r w:rsidR="009D1167">
        <w:t>6-6</w:t>
      </w:r>
      <w:r>
        <w:t xml:space="preserve">, the new manufacturing demand for the R/AC sub-sectors for high-GWP chemicals is given. By 2020, the demand for high-GWP refrigerants in new equipment manufacture falls to &lt; 5% of the 2019 peak. </w:t>
      </w:r>
    </w:p>
    <w:p w:rsidR="00F23B5E" w:rsidRDefault="00F23B5E" w:rsidP="00F23B5E"/>
    <w:p w:rsidR="00F23B5E" w:rsidRDefault="00F712FD" w:rsidP="00F23B5E">
      <w:r w:rsidRPr="005E648A">
        <w:rPr>
          <w:noProof/>
          <w:lang w:val="en-US" w:eastAsia="en-US"/>
        </w:rPr>
        <w:lastRenderedPageBreak/>
        <w:drawing>
          <wp:inline distT="0" distB="0" distL="0" distR="0" wp14:anchorId="51FC2188" wp14:editId="509F3998">
            <wp:extent cx="4281170" cy="2849245"/>
            <wp:effectExtent l="0" t="0" r="5080" b="8255"/>
            <wp:docPr id="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1170" cy="2849245"/>
                    </a:xfrm>
                    <a:prstGeom prst="rect">
                      <a:avLst/>
                    </a:prstGeom>
                    <a:noFill/>
                    <a:ln>
                      <a:noFill/>
                    </a:ln>
                  </pic:spPr>
                </pic:pic>
              </a:graphicData>
            </a:graphic>
          </wp:inline>
        </w:drawing>
      </w:r>
    </w:p>
    <w:p w:rsidR="00F23B5E" w:rsidRPr="009862DD" w:rsidRDefault="00F23B5E" w:rsidP="00DE1885">
      <w:pPr>
        <w:spacing w:before="120" w:after="240"/>
        <w:rPr>
          <w:b/>
          <w:i/>
        </w:rPr>
      </w:pPr>
      <w:r w:rsidRPr="003A6AF8">
        <w:rPr>
          <w:b/>
          <w:i/>
        </w:rPr>
        <w:t xml:space="preserve">Figure </w:t>
      </w:r>
      <w:r w:rsidR="009D1167">
        <w:rPr>
          <w:b/>
          <w:i/>
        </w:rPr>
        <w:t>6</w:t>
      </w:r>
      <w:r w:rsidRPr="003A6AF8">
        <w:rPr>
          <w:b/>
          <w:i/>
        </w:rPr>
        <w:t>-</w:t>
      </w:r>
      <w:r w:rsidR="009D1167">
        <w:rPr>
          <w:b/>
          <w:i/>
        </w:rPr>
        <w:t>6</w:t>
      </w:r>
      <w:r w:rsidRPr="003A6AF8">
        <w:rPr>
          <w:b/>
          <w:i/>
        </w:rPr>
        <w:t xml:space="preserve">: </w:t>
      </w:r>
      <w:r>
        <w:rPr>
          <w:b/>
          <w:i/>
        </w:rPr>
        <w:t>Non-</w:t>
      </w:r>
      <w:r w:rsidRPr="003A6AF8">
        <w:rPr>
          <w:b/>
          <w:i/>
        </w:rPr>
        <w:t xml:space="preserve">Article 5 MIT-3 scenario for new manufacturing demand </w:t>
      </w:r>
      <w:r>
        <w:rPr>
          <w:b/>
          <w:i/>
        </w:rPr>
        <w:t xml:space="preserve">for high-GWP refrigerants in the </w:t>
      </w:r>
      <w:r w:rsidRPr="003A6AF8">
        <w:rPr>
          <w:b/>
          <w:i/>
        </w:rPr>
        <w:t>various R/AC sub-</w:t>
      </w:r>
      <w:r w:rsidRPr="009862DD">
        <w:rPr>
          <w:b/>
          <w:i/>
        </w:rPr>
        <w:t xml:space="preserve">sectors </w:t>
      </w:r>
      <w:r w:rsidR="009862DD" w:rsidRPr="009862DD">
        <w:rPr>
          <w:b/>
          <w:i/>
        </w:rPr>
        <w:t>in kt</w:t>
      </w:r>
      <w:r w:rsidR="00AD5DD6">
        <w:rPr>
          <w:b/>
          <w:i/>
        </w:rPr>
        <w:t>onnes</w:t>
      </w:r>
      <w:r w:rsidR="009862DD" w:rsidRPr="009862DD">
        <w:rPr>
          <w:b/>
          <w:i/>
        </w:rPr>
        <w:t xml:space="preserve"> CO</w:t>
      </w:r>
      <w:r w:rsidR="009862DD" w:rsidRPr="009862DD">
        <w:rPr>
          <w:b/>
          <w:i/>
          <w:vertAlign w:val="subscript"/>
        </w:rPr>
        <w:t>2</w:t>
      </w:r>
      <w:r w:rsidR="009862DD" w:rsidRPr="009862DD">
        <w:rPr>
          <w:b/>
          <w:i/>
        </w:rPr>
        <w:t xml:space="preserve">-eq. </w:t>
      </w:r>
      <w:r w:rsidRPr="009862DD">
        <w:rPr>
          <w:b/>
          <w:i/>
        </w:rPr>
        <w:t>(assuming manufacturing conversion over a period of 3 years, 2017-2020).</w:t>
      </w:r>
    </w:p>
    <w:p w:rsidR="00F23B5E" w:rsidRDefault="00F712FD" w:rsidP="00F23B5E">
      <w:r w:rsidRPr="009862DD">
        <w:rPr>
          <w:b/>
          <w:i/>
          <w:noProof/>
          <w:lang w:val="en-US" w:eastAsia="en-US"/>
        </w:rPr>
        <w:drawing>
          <wp:inline distT="0" distB="0" distL="0" distR="0" wp14:anchorId="0771583C" wp14:editId="2252AB5F">
            <wp:extent cx="4281170" cy="2835275"/>
            <wp:effectExtent l="0" t="0" r="5080" b="3175"/>
            <wp:docPr id="1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1170" cy="2835275"/>
                    </a:xfrm>
                    <a:prstGeom prst="rect">
                      <a:avLst/>
                    </a:prstGeom>
                    <a:noFill/>
                    <a:ln>
                      <a:noFill/>
                    </a:ln>
                  </pic:spPr>
                </pic:pic>
              </a:graphicData>
            </a:graphic>
          </wp:inline>
        </w:drawing>
      </w:r>
    </w:p>
    <w:p w:rsidR="00F23B5E" w:rsidRDefault="00F23B5E" w:rsidP="00F23B5E">
      <w:pPr>
        <w:spacing w:before="120" w:after="120"/>
        <w:rPr>
          <w:b/>
          <w:i/>
        </w:rPr>
      </w:pPr>
      <w:r w:rsidRPr="00CD5837">
        <w:rPr>
          <w:b/>
          <w:i/>
        </w:rPr>
        <w:t xml:space="preserve">Figure </w:t>
      </w:r>
      <w:r w:rsidR="009D1167">
        <w:rPr>
          <w:b/>
          <w:i/>
        </w:rPr>
        <w:t>6</w:t>
      </w:r>
      <w:r w:rsidRPr="00CD5837">
        <w:rPr>
          <w:b/>
          <w:i/>
        </w:rPr>
        <w:t>-</w:t>
      </w:r>
      <w:r w:rsidR="009D1167">
        <w:rPr>
          <w:b/>
          <w:i/>
        </w:rPr>
        <w:t>7</w:t>
      </w:r>
      <w:r w:rsidRPr="00CD5837">
        <w:rPr>
          <w:b/>
          <w:i/>
        </w:rPr>
        <w:t xml:space="preserve">: </w:t>
      </w:r>
      <w:r>
        <w:rPr>
          <w:b/>
          <w:i/>
        </w:rPr>
        <w:t>Non-A</w:t>
      </w:r>
      <w:r w:rsidRPr="00CD5837">
        <w:rPr>
          <w:b/>
          <w:i/>
        </w:rPr>
        <w:t>rticle 5 MIT-</w:t>
      </w:r>
      <w:r>
        <w:rPr>
          <w:b/>
          <w:i/>
        </w:rPr>
        <w:t>3</w:t>
      </w:r>
      <w:r w:rsidRPr="00CD5837">
        <w:rPr>
          <w:b/>
          <w:i/>
        </w:rPr>
        <w:t xml:space="preserve"> scenario with </w:t>
      </w:r>
      <w:r>
        <w:rPr>
          <w:b/>
          <w:i/>
        </w:rPr>
        <w:t>the servicing demand for the various sub-</w:t>
      </w:r>
      <w:r w:rsidRPr="009862DD">
        <w:rPr>
          <w:b/>
          <w:i/>
        </w:rPr>
        <w:t xml:space="preserve">sectors </w:t>
      </w:r>
      <w:r w:rsidR="009862DD" w:rsidRPr="009862DD">
        <w:rPr>
          <w:b/>
          <w:i/>
        </w:rPr>
        <w:t>in kt</w:t>
      </w:r>
      <w:r w:rsidR="00AD5DD6">
        <w:rPr>
          <w:b/>
          <w:i/>
        </w:rPr>
        <w:t>onnes</w:t>
      </w:r>
      <w:r w:rsidR="009862DD" w:rsidRPr="009862DD">
        <w:rPr>
          <w:b/>
          <w:i/>
        </w:rPr>
        <w:t xml:space="preserve"> CO</w:t>
      </w:r>
      <w:r w:rsidR="009862DD" w:rsidRPr="009862DD">
        <w:rPr>
          <w:b/>
          <w:i/>
          <w:vertAlign w:val="subscript"/>
        </w:rPr>
        <w:t>2</w:t>
      </w:r>
      <w:r w:rsidR="009862DD" w:rsidRPr="009862DD">
        <w:rPr>
          <w:b/>
          <w:i/>
        </w:rPr>
        <w:t xml:space="preserve">-eq. </w:t>
      </w:r>
      <w:r>
        <w:rPr>
          <w:b/>
          <w:i/>
        </w:rPr>
        <w:t xml:space="preserve">(assuming </w:t>
      </w:r>
      <w:r w:rsidRPr="00CD5837">
        <w:rPr>
          <w:b/>
          <w:i/>
        </w:rPr>
        <w:t xml:space="preserve">manufacturing conversion </w:t>
      </w:r>
      <w:r>
        <w:rPr>
          <w:b/>
          <w:i/>
        </w:rPr>
        <w:t>over the period 2017-2020</w:t>
      </w:r>
      <w:r w:rsidRPr="00CD5837">
        <w:rPr>
          <w:b/>
          <w:i/>
        </w:rPr>
        <w:t>)</w:t>
      </w:r>
    </w:p>
    <w:p w:rsidR="00F23B5E" w:rsidRPr="009C52F5" w:rsidRDefault="00F23B5E" w:rsidP="00F23B5E">
      <w:pPr>
        <w:spacing w:before="120" w:after="120"/>
      </w:pPr>
      <w:r w:rsidRPr="009C52F5">
        <w:t xml:space="preserve">Figure </w:t>
      </w:r>
      <w:r w:rsidR="009D1167">
        <w:t>6-7</w:t>
      </w:r>
      <w:r w:rsidRPr="009C52F5">
        <w:t xml:space="preserve"> shows the volumes of high</w:t>
      </w:r>
      <w:r>
        <w:t>-GWP</w:t>
      </w:r>
      <w:r w:rsidRPr="009C52F5">
        <w:t xml:space="preserve"> refrigerants that will be needed for servicing the installed equipment in the MIT-3 scenario. This varies between sectors (see table in section above) and decreases rapidly between 2020 and 203</w:t>
      </w:r>
      <w:r>
        <w:t>2, increases again due to economic growth after 2033</w:t>
      </w:r>
      <w:r w:rsidRPr="009C52F5">
        <w:t>.</w:t>
      </w:r>
    </w:p>
    <w:p w:rsidR="00F23B5E" w:rsidRDefault="009D1167" w:rsidP="00F23B5E">
      <w:pPr>
        <w:pStyle w:val="Heading3"/>
      </w:pPr>
      <w:bookmarkStart w:id="108" w:name="_Toc452653397"/>
      <w:r>
        <w:t>6</w:t>
      </w:r>
      <w:r w:rsidR="00F23B5E">
        <w:t xml:space="preserve">.4.3 </w:t>
      </w:r>
      <w:r w:rsidR="00D92614">
        <w:tab/>
      </w:r>
      <w:r w:rsidR="00F23B5E">
        <w:t>MIT-5 scenario</w:t>
      </w:r>
      <w:bookmarkEnd w:id="108"/>
    </w:p>
    <w:p w:rsidR="00F23B5E" w:rsidRDefault="00F23B5E" w:rsidP="00F23B5E">
      <w:pPr>
        <w:spacing w:after="240"/>
      </w:pPr>
      <w:r>
        <w:t xml:space="preserve">This is the </w:t>
      </w:r>
      <w:r w:rsidRPr="00CA4B4E">
        <w:t>scenario where</w:t>
      </w:r>
      <w:r w:rsidRPr="007A4D70">
        <w:t xml:space="preserve">, </w:t>
      </w:r>
      <w:r w:rsidRPr="003C609B">
        <w:t>for non-Article 5 Parties</w:t>
      </w:r>
      <w:r w:rsidRPr="007A4D70">
        <w:t>,</w:t>
      </w:r>
      <w:r w:rsidRPr="00CA4B4E">
        <w:t xml:space="preserve"> all </w:t>
      </w:r>
      <w:r>
        <w:t>sub-sector</w:t>
      </w:r>
      <w:r w:rsidRPr="00CA4B4E">
        <w:t>s are assu</w:t>
      </w:r>
      <w:r>
        <w:t>med to have converted by the year 2025. The total</w:t>
      </w:r>
      <w:r w:rsidR="00C371AF">
        <w:t>,</w:t>
      </w:r>
      <w:r>
        <w:t xml:space="preserve"> the new manufacturing and servicing demand are shown in Figs </w:t>
      </w:r>
      <w:r w:rsidR="009D1167">
        <w:t>6-8</w:t>
      </w:r>
      <w:r>
        <w:t xml:space="preserve">, </w:t>
      </w:r>
      <w:r w:rsidR="009D1167">
        <w:t>6-9</w:t>
      </w:r>
      <w:r>
        <w:t xml:space="preserve"> and </w:t>
      </w:r>
      <w:r w:rsidR="009D1167">
        <w:t>6-10</w:t>
      </w:r>
      <w:r>
        <w:t>.</w:t>
      </w:r>
    </w:p>
    <w:p w:rsidR="00F23B5E" w:rsidRDefault="00F712FD" w:rsidP="00F23B5E">
      <w:pPr>
        <w:rPr>
          <w:b/>
          <w:i/>
        </w:rPr>
      </w:pPr>
      <w:r w:rsidRPr="005E648A">
        <w:rPr>
          <w:noProof/>
          <w:lang w:val="en-US" w:eastAsia="en-US"/>
        </w:rPr>
        <w:lastRenderedPageBreak/>
        <w:drawing>
          <wp:inline distT="0" distB="0" distL="0" distR="0" wp14:anchorId="5885307B" wp14:editId="08A1B7C7">
            <wp:extent cx="4267200" cy="2821305"/>
            <wp:effectExtent l="0" t="0" r="0" b="0"/>
            <wp:docPr id="1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821305"/>
                    </a:xfrm>
                    <a:prstGeom prst="rect">
                      <a:avLst/>
                    </a:prstGeom>
                    <a:noFill/>
                    <a:ln>
                      <a:noFill/>
                    </a:ln>
                  </pic:spPr>
                </pic:pic>
              </a:graphicData>
            </a:graphic>
          </wp:inline>
        </w:drawing>
      </w:r>
    </w:p>
    <w:p w:rsidR="00F23B5E" w:rsidRDefault="00F23B5E" w:rsidP="00F23B5E">
      <w:pPr>
        <w:rPr>
          <w:b/>
          <w:i/>
        </w:rPr>
      </w:pPr>
    </w:p>
    <w:p w:rsidR="00F23B5E" w:rsidRDefault="00F23B5E" w:rsidP="00F23B5E">
      <w:pPr>
        <w:rPr>
          <w:b/>
          <w:i/>
        </w:rPr>
      </w:pPr>
      <w:r w:rsidRPr="00930C67">
        <w:rPr>
          <w:b/>
          <w:i/>
        </w:rPr>
        <w:t xml:space="preserve">Figure </w:t>
      </w:r>
      <w:r w:rsidR="009D1167">
        <w:rPr>
          <w:b/>
          <w:i/>
        </w:rPr>
        <w:t>6</w:t>
      </w:r>
      <w:r w:rsidRPr="00930C67">
        <w:rPr>
          <w:b/>
          <w:i/>
        </w:rPr>
        <w:t>-</w:t>
      </w:r>
      <w:r w:rsidR="009D1167">
        <w:rPr>
          <w:b/>
          <w:i/>
        </w:rPr>
        <w:t>8</w:t>
      </w:r>
      <w:r w:rsidRPr="00930C67">
        <w:rPr>
          <w:b/>
          <w:i/>
        </w:rPr>
        <w:t xml:space="preserve">: </w:t>
      </w:r>
      <w:r>
        <w:rPr>
          <w:b/>
          <w:i/>
        </w:rPr>
        <w:t>Non-</w:t>
      </w:r>
      <w:r w:rsidRPr="00930C67">
        <w:rPr>
          <w:b/>
          <w:i/>
        </w:rPr>
        <w:t>Article 5 MIT-</w:t>
      </w:r>
      <w:r>
        <w:rPr>
          <w:b/>
          <w:i/>
        </w:rPr>
        <w:t>5</w:t>
      </w:r>
      <w:r w:rsidRPr="00930C67">
        <w:rPr>
          <w:b/>
          <w:i/>
        </w:rPr>
        <w:t xml:space="preserve"> </w:t>
      </w:r>
      <w:r>
        <w:rPr>
          <w:b/>
          <w:i/>
        </w:rPr>
        <w:t>s</w:t>
      </w:r>
      <w:r w:rsidRPr="00930C67">
        <w:rPr>
          <w:b/>
          <w:i/>
        </w:rPr>
        <w:t xml:space="preserve">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-eq. (compare Figure 4-4 for MIT-3)</w:t>
      </w:r>
    </w:p>
    <w:p w:rsidR="00F23B5E" w:rsidRDefault="00F23B5E" w:rsidP="00F23B5E">
      <w:pPr>
        <w:spacing w:before="240" w:after="120"/>
      </w:pPr>
      <w:r>
        <w:t xml:space="preserve">Figure </w:t>
      </w:r>
      <w:r w:rsidR="009D1167">
        <w:t>6-8</w:t>
      </w:r>
      <w:r>
        <w:t xml:space="preserve"> includes both manufacturing and servicing, and is similar to Fig </w:t>
      </w:r>
      <w:r w:rsidR="009D1167">
        <w:t>6-6</w:t>
      </w:r>
      <w:r>
        <w:t xml:space="preserve"> for MIT-3. Figure </w:t>
      </w:r>
      <w:r w:rsidR="009D1167">
        <w:t>6-9</w:t>
      </w:r>
      <w:r>
        <w:t xml:space="preserve"> shows the same data for HFCs used in new manufacturing only. </w:t>
      </w:r>
    </w:p>
    <w:p w:rsidR="00F23B5E" w:rsidRPr="00BC53A2" w:rsidRDefault="00F23B5E" w:rsidP="00F23B5E">
      <w:pPr>
        <w:rPr>
          <w:sz w:val="12"/>
          <w:szCs w:val="12"/>
        </w:rPr>
      </w:pPr>
    </w:p>
    <w:p w:rsidR="00F23B5E" w:rsidRDefault="00F712FD" w:rsidP="00F23B5E">
      <w:r w:rsidRPr="005E648A">
        <w:rPr>
          <w:noProof/>
          <w:lang w:val="en-US" w:eastAsia="en-US"/>
        </w:rPr>
        <w:drawing>
          <wp:inline distT="0" distB="0" distL="0" distR="0" wp14:anchorId="3F13FFA5" wp14:editId="7D43392D">
            <wp:extent cx="4309745" cy="2722245"/>
            <wp:effectExtent l="0" t="0" r="0" b="1905"/>
            <wp:docPr id="1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9745" cy="2722245"/>
                    </a:xfrm>
                    <a:prstGeom prst="rect">
                      <a:avLst/>
                    </a:prstGeom>
                    <a:noFill/>
                    <a:ln>
                      <a:noFill/>
                    </a:ln>
                  </pic:spPr>
                </pic:pic>
              </a:graphicData>
            </a:graphic>
          </wp:inline>
        </w:drawing>
      </w:r>
    </w:p>
    <w:p w:rsidR="00F23B5E" w:rsidRDefault="00F23B5E" w:rsidP="00F23B5E">
      <w:pPr>
        <w:spacing w:before="120" w:after="120"/>
        <w:rPr>
          <w:b/>
          <w:i/>
        </w:rPr>
      </w:pPr>
      <w:r>
        <w:rPr>
          <w:b/>
          <w:i/>
        </w:rPr>
        <w:t>Figure</w:t>
      </w:r>
      <w:r w:rsidRPr="00CD5837">
        <w:rPr>
          <w:b/>
          <w:i/>
        </w:rPr>
        <w:t xml:space="preserve"> </w:t>
      </w:r>
      <w:r w:rsidR="009D1167">
        <w:rPr>
          <w:b/>
          <w:i/>
        </w:rPr>
        <w:t>6-9</w:t>
      </w:r>
      <w:r w:rsidRPr="00CD5837">
        <w:rPr>
          <w:b/>
          <w:i/>
        </w:rPr>
        <w:t xml:space="preserve">: </w:t>
      </w:r>
      <w:r>
        <w:rPr>
          <w:b/>
          <w:i/>
        </w:rPr>
        <w:t>Non-</w:t>
      </w:r>
      <w:r w:rsidRPr="00CD5837">
        <w:rPr>
          <w:b/>
          <w:i/>
        </w:rPr>
        <w:t>Article 5 MIT-</w:t>
      </w:r>
      <w:r>
        <w:rPr>
          <w:b/>
          <w:i/>
        </w:rPr>
        <w:t>5</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GWP weighted terms (compare Fig. </w:t>
      </w:r>
      <w:r w:rsidR="009D1167">
        <w:rPr>
          <w:b/>
          <w:i/>
        </w:rPr>
        <w:t>6</w:t>
      </w:r>
      <w:r>
        <w:rPr>
          <w:b/>
          <w:i/>
        </w:rPr>
        <w:t>-</w:t>
      </w:r>
      <w:r w:rsidR="009D1167">
        <w:rPr>
          <w:b/>
          <w:i/>
        </w:rPr>
        <w:t>6</w:t>
      </w:r>
      <w:r>
        <w:rPr>
          <w:b/>
          <w:i/>
        </w:rPr>
        <w:t xml:space="preserve"> for MIT-3)</w:t>
      </w:r>
    </w:p>
    <w:p w:rsidR="00F23B5E" w:rsidRPr="00CD5837" w:rsidRDefault="00F23B5E" w:rsidP="00F23B5E">
      <w:pPr>
        <w:spacing w:before="240" w:after="120"/>
      </w:pPr>
      <w:r>
        <w:t xml:space="preserve">In 2020, demand for new manufacturing is at about 180 Mt </w:t>
      </w:r>
      <w:r w:rsidRPr="00CD5837">
        <w:t>CO</w:t>
      </w:r>
      <w:r w:rsidRPr="00CD5837">
        <w:rPr>
          <w:vertAlign w:val="subscript"/>
        </w:rPr>
        <w:t>2</w:t>
      </w:r>
      <w:r w:rsidRPr="00CD5837">
        <w:t>-eq</w:t>
      </w:r>
      <w:r>
        <w:t xml:space="preserve">, and demand for servicing is also at about 180 Mt </w:t>
      </w:r>
      <w:r w:rsidRPr="00CD5837">
        <w:t>CO</w:t>
      </w:r>
      <w:r w:rsidRPr="00CD5837">
        <w:rPr>
          <w:vertAlign w:val="subscript"/>
        </w:rPr>
        <w:t>2</w:t>
      </w:r>
      <w:r w:rsidRPr="00CD5837">
        <w:t>-eq</w:t>
      </w:r>
      <w:r>
        <w:t>, but after 2025, the picture becomes different</w:t>
      </w:r>
      <w:r w:rsidRPr="00CD5837">
        <w:t>.</w:t>
      </w:r>
      <w:r>
        <w:t xml:space="preserve"> New manufacturing demand decreases to less than 30 Mt </w:t>
      </w:r>
      <w:r w:rsidRPr="00CD5837">
        <w:t>CO</w:t>
      </w:r>
      <w:r w:rsidRPr="00CD5837">
        <w:rPr>
          <w:vertAlign w:val="subscript"/>
        </w:rPr>
        <w:t>2</w:t>
      </w:r>
      <w:r w:rsidRPr="00CD5837">
        <w:t>-eq</w:t>
      </w:r>
      <w:r>
        <w:t xml:space="preserve">, whereas this value is reached around the year 2037 in servicing. This is an issue that needs to borne in mind, i.e., that servicing will be delaying non-Article 5 reductions expressed in Mt </w:t>
      </w:r>
      <w:r w:rsidRPr="00CD5837">
        <w:t>CO</w:t>
      </w:r>
      <w:r w:rsidRPr="00CD5837">
        <w:rPr>
          <w:vertAlign w:val="subscript"/>
        </w:rPr>
        <w:t>2</w:t>
      </w:r>
      <w:r w:rsidRPr="00CD5837">
        <w:t>-eq.</w:t>
      </w:r>
      <w:r>
        <w:t xml:space="preserve"> After a minimum in the demand in new manufacture and service, demand will increase again after 2035-2037 (5 years later than in MIT-3), due to economic growth assumed.</w:t>
      </w:r>
    </w:p>
    <w:p w:rsidR="00F23B5E" w:rsidRPr="00CD5837" w:rsidRDefault="00F23B5E" w:rsidP="00F23B5E">
      <w:pPr>
        <w:spacing w:before="120" w:after="120"/>
        <w:rPr>
          <w:b/>
          <w:i/>
        </w:rPr>
      </w:pPr>
    </w:p>
    <w:p w:rsidR="00F23B5E" w:rsidRDefault="00F712FD" w:rsidP="00F23B5E">
      <w:r w:rsidRPr="005E648A">
        <w:rPr>
          <w:noProof/>
          <w:lang w:val="en-US" w:eastAsia="en-US"/>
        </w:rPr>
        <w:lastRenderedPageBreak/>
        <w:drawing>
          <wp:inline distT="0" distB="0" distL="0" distR="0" wp14:anchorId="16F56431" wp14:editId="5F117468">
            <wp:extent cx="4260215" cy="2764155"/>
            <wp:effectExtent l="0" t="0" r="6985" b="0"/>
            <wp:docPr id="1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0215" cy="2764155"/>
                    </a:xfrm>
                    <a:prstGeom prst="rect">
                      <a:avLst/>
                    </a:prstGeom>
                    <a:noFill/>
                    <a:ln>
                      <a:noFill/>
                    </a:ln>
                  </pic:spPr>
                </pic:pic>
              </a:graphicData>
            </a:graphic>
          </wp:inline>
        </w:drawing>
      </w:r>
    </w:p>
    <w:p w:rsidR="00F23B5E" w:rsidRDefault="00F23B5E" w:rsidP="00DE1885">
      <w:pPr>
        <w:spacing w:before="120" w:after="360"/>
        <w:rPr>
          <w:b/>
          <w:i/>
        </w:rPr>
      </w:pPr>
      <w:r w:rsidRPr="00CD5837">
        <w:rPr>
          <w:b/>
          <w:i/>
        </w:rPr>
        <w:t xml:space="preserve">Figure </w:t>
      </w:r>
      <w:r w:rsidR="009D1167">
        <w:rPr>
          <w:b/>
          <w:i/>
        </w:rPr>
        <w:t>6-10</w:t>
      </w:r>
      <w:r w:rsidRPr="00CD5837">
        <w:rPr>
          <w:b/>
          <w:i/>
        </w:rPr>
        <w:t xml:space="preserve">: </w:t>
      </w:r>
      <w:r>
        <w:rPr>
          <w:b/>
          <w:i/>
        </w:rPr>
        <w:t>Non-</w:t>
      </w:r>
      <w:r w:rsidRPr="00CD5837">
        <w:rPr>
          <w:b/>
          <w:i/>
        </w:rPr>
        <w:t>Article 5 MIT-</w:t>
      </w:r>
      <w:r>
        <w:rPr>
          <w:b/>
          <w:i/>
        </w:rPr>
        <w:t>5</w:t>
      </w:r>
      <w:r w:rsidRPr="00CD5837">
        <w:rPr>
          <w:b/>
          <w:i/>
        </w:rPr>
        <w:t xml:space="preserve"> scenario with </w:t>
      </w:r>
      <w:r>
        <w:rPr>
          <w:b/>
          <w:i/>
        </w:rPr>
        <w:t xml:space="preserve">the servicing demand for the various sub-sectors in GWP weighted terms (compare Fig. </w:t>
      </w:r>
      <w:r w:rsidR="009D1167">
        <w:rPr>
          <w:b/>
          <w:i/>
        </w:rPr>
        <w:t>6-7</w:t>
      </w:r>
      <w:r>
        <w:rPr>
          <w:b/>
          <w:i/>
        </w:rPr>
        <w:t xml:space="preserve"> for MIT-3)</w:t>
      </w:r>
    </w:p>
    <w:p w:rsidR="00F23B5E" w:rsidRDefault="009D1167" w:rsidP="00F23B5E">
      <w:pPr>
        <w:pStyle w:val="Heading2"/>
      </w:pPr>
      <w:bookmarkStart w:id="109" w:name="_Toc452653398"/>
      <w:r>
        <w:t>6</w:t>
      </w:r>
      <w:r w:rsidR="00F23B5E">
        <w:t>.</w:t>
      </w:r>
      <w:r>
        <w:t>5</w:t>
      </w:r>
      <w:r w:rsidR="00F23B5E">
        <w:t xml:space="preserve"> </w:t>
      </w:r>
      <w:r w:rsidR="00F23B5E">
        <w:tab/>
      </w:r>
      <w:r w:rsidR="00F23B5E">
        <w:tab/>
        <w:t>Article 5 scenarios</w:t>
      </w:r>
      <w:r w:rsidR="00E44F98">
        <w:t xml:space="preserve"> up to 2050</w:t>
      </w:r>
      <w:bookmarkEnd w:id="109"/>
    </w:p>
    <w:p w:rsidR="00F23B5E" w:rsidRPr="00D44CB1" w:rsidRDefault="009D1167" w:rsidP="00F23B5E">
      <w:pPr>
        <w:pStyle w:val="Heading3"/>
        <w:rPr>
          <w:lang w:eastAsia="ja-JP"/>
        </w:rPr>
      </w:pPr>
      <w:bookmarkStart w:id="110" w:name="_Toc452653399"/>
      <w:r>
        <w:rPr>
          <w:lang w:eastAsia="ja-JP"/>
        </w:rPr>
        <w:t>6</w:t>
      </w:r>
      <w:r w:rsidR="00F23B5E">
        <w:rPr>
          <w:lang w:eastAsia="ja-JP"/>
        </w:rPr>
        <w:t>.5.1</w:t>
      </w:r>
      <w:r w:rsidR="00F23B5E">
        <w:rPr>
          <w:lang w:eastAsia="ja-JP"/>
        </w:rPr>
        <w:tab/>
        <w:t>BAU scenario</w:t>
      </w:r>
      <w:bookmarkEnd w:id="110"/>
    </w:p>
    <w:p w:rsidR="00DE1885" w:rsidRDefault="00F23B5E" w:rsidP="00F23B5E">
      <w:r w:rsidRPr="004321E7">
        <w:t xml:space="preserve">Figure </w:t>
      </w:r>
      <w:r w:rsidR="009D1167">
        <w:t>6-11</w:t>
      </w:r>
      <w:r w:rsidRPr="004321E7">
        <w:t xml:space="preserve"> </w:t>
      </w:r>
      <w:r>
        <w:t xml:space="preserve">below </w:t>
      </w:r>
      <w:r w:rsidRPr="004321E7">
        <w:t xml:space="preserve">shows the Article 5 refrigerant BAU demand, with a subdivision for the different high GWP refrigerants and the low-GWP </w:t>
      </w:r>
      <w:r>
        <w:t xml:space="preserve">ones, both </w:t>
      </w:r>
      <w:r w:rsidRPr="004321E7">
        <w:t>in tonnes and in GWP weighted terms (in CO</w:t>
      </w:r>
      <w:r w:rsidRPr="004321E7">
        <w:rPr>
          <w:vertAlign w:val="subscript"/>
        </w:rPr>
        <w:t>2</w:t>
      </w:r>
      <w:r w:rsidRPr="004321E7">
        <w:t>-eq.).</w:t>
      </w:r>
      <w:r>
        <w:t xml:space="preserve"> </w:t>
      </w:r>
    </w:p>
    <w:p w:rsidR="00DE1885" w:rsidRDefault="00DE1885" w:rsidP="00F23B5E"/>
    <w:p w:rsidR="00F23B5E" w:rsidRDefault="00F23B5E" w:rsidP="00F23B5E">
      <w:r>
        <w:t xml:space="preserve">The low-GWP refrigerants applied here are again only visible in tonnes and cannot be really seen in the scale when adjusted for GWP, shown in GWP weighted terms. In the 2020-2030 period, </w:t>
      </w:r>
      <w:r w:rsidRPr="004321E7">
        <w:t>the high</w:t>
      </w:r>
      <w:r>
        <w:t xml:space="preserve">-GWP refrigerant </w:t>
      </w:r>
      <w:r w:rsidRPr="004321E7">
        <w:t>R-404A</w:t>
      </w:r>
      <w:r>
        <w:t xml:space="preserve">, which is used in commercial refrigeration, becomes increasingly important in </w:t>
      </w:r>
      <w:r w:rsidRPr="004321E7">
        <w:t xml:space="preserve">GWP weighted terms. </w:t>
      </w:r>
    </w:p>
    <w:p w:rsidR="00F23B5E" w:rsidRDefault="00F23B5E" w:rsidP="00F23B5E"/>
    <w:p w:rsidR="00F23B5E" w:rsidRDefault="00F23B5E" w:rsidP="00DE1885">
      <w:r>
        <w:t xml:space="preserve">The demand calculated for the year 2015 is about 300 ktonnes, a higher value than calculated for the BAU demand in non-Article 5 Parties (210-220 ktonnes, see above). </w:t>
      </w:r>
    </w:p>
    <w:p w:rsidR="00F23B5E" w:rsidRDefault="00F23B5E" w:rsidP="00F23B5E"/>
    <w:p w:rsidR="00F23B5E" w:rsidRDefault="00F23B5E" w:rsidP="00F23B5E">
      <w:pPr>
        <w:spacing w:after="120"/>
      </w:pPr>
      <w:r w:rsidRPr="007F7A00">
        <w:t xml:space="preserve">Figure </w:t>
      </w:r>
      <w:r w:rsidR="009D1167">
        <w:t>6-12</w:t>
      </w:r>
      <w:r w:rsidRPr="007F7A00">
        <w:t xml:space="preserve"> shows the Article 5 refrigerant BAU demand</w:t>
      </w:r>
      <w:r>
        <w:t xml:space="preserve"> for the</w:t>
      </w:r>
      <w:r w:rsidRPr="007F7A00">
        <w:t xml:space="preserve"> different sub-sectors. The demand is </w:t>
      </w:r>
      <w:r>
        <w:t xml:space="preserve">again </w:t>
      </w:r>
      <w:r w:rsidRPr="007F7A00">
        <w:t>given in tonnes and in GWP weighted terms (</w:t>
      </w:r>
      <w:r w:rsidR="00AD5DD6">
        <w:t xml:space="preserve">ktonnes </w:t>
      </w:r>
      <w:r w:rsidRPr="007F7A00">
        <w:t>CO</w:t>
      </w:r>
      <w:r w:rsidRPr="00F83593">
        <w:rPr>
          <w:vertAlign w:val="subscript"/>
        </w:rPr>
        <w:t>2</w:t>
      </w:r>
      <w:r w:rsidRPr="007F7A00">
        <w:t xml:space="preserve">-eq.). </w:t>
      </w:r>
      <w:r>
        <w:t xml:space="preserve">The BAU model predicts that between 2015 and 2050, overall </w:t>
      </w:r>
      <w:r w:rsidRPr="007F7A00">
        <w:t xml:space="preserve">demand </w:t>
      </w:r>
      <w:r>
        <w:t>increases by a factor of 7-8, to about 4.5 Gt CO</w:t>
      </w:r>
      <w:r w:rsidRPr="00692555">
        <w:rPr>
          <w:vertAlign w:val="subscript"/>
        </w:rPr>
        <w:t>2</w:t>
      </w:r>
      <w:r>
        <w:t xml:space="preserve">. Stationary AC increases substantially, but the commercial </w:t>
      </w:r>
      <w:r w:rsidRPr="007F7A00">
        <w:t xml:space="preserve">refrigeration </w:t>
      </w:r>
      <w:r>
        <w:t xml:space="preserve">sub-sector also is important in GWP terms, </w:t>
      </w:r>
      <w:r w:rsidRPr="007F7A00">
        <w:t>due to the use of the high</w:t>
      </w:r>
      <w:r>
        <w:t>-</w:t>
      </w:r>
      <w:r w:rsidRPr="007F7A00">
        <w:t>GWP R-404A.</w:t>
      </w:r>
    </w:p>
    <w:p w:rsidR="00F23B5E" w:rsidRDefault="00F23B5E" w:rsidP="00F23B5E">
      <w:pPr>
        <w:spacing w:after="120"/>
      </w:pPr>
    </w:p>
    <w:p w:rsidR="00F23B5E" w:rsidRDefault="00F712FD" w:rsidP="00F23B5E">
      <w:pPr>
        <w:rPr>
          <w:noProof/>
          <w:lang w:val="nl-NL"/>
        </w:rPr>
      </w:pPr>
      <w:r w:rsidRPr="00B0643A">
        <w:rPr>
          <w:noProof/>
          <w:lang w:val="en-US" w:eastAsia="en-US"/>
        </w:rPr>
        <w:lastRenderedPageBreak/>
        <w:drawing>
          <wp:inline distT="0" distB="0" distL="0" distR="0" wp14:anchorId="3BAB93FF" wp14:editId="40596BCA">
            <wp:extent cx="4076065" cy="2722245"/>
            <wp:effectExtent l="0" t="0" r="635" b="1905"/>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6065" cy="2722245"/>
                    </a:xfrm>
                    <a:prstGeom prst="rect">
                      <a:avLst/>
                    </a:prstGeom>
                    <a:noFill/>
                    <a:ln>
                      <a:noFill/>
                    </a:ln>
                  </pic:spPr>
                </pic:pic>
              </a:graphicData>
            </a:graphic>
          </wp:inline>
        </w:drawing>
      </w:r>
    </w:p>
    <w:p w:rsidR="00A905AF" w:rsidRPr="004321E7" w:rsidRDefault="00A905AF" w:rsidP="00F23B5E"/>
    <w:tbl>
      <w:tblPr>
        <w:tblW w:w="5084" w:type="pct"/>
        <w:jc w:val="center"/>
        <w:tblCellMar>
          <w:left w:w="70" w:type="dxa"/>
          <w:right w:w="70" w:type="dxa"/>
        </w:tblCellMar>
        <w:tblLook w:val="04A0" w:firstRow="1" w:lastRow="0" w:firstColumn="1" w:lastColumn="0" w:noHBand="0" w:noVBand="1"/>
      </w:tblPr>
      <w:tblGrid>
        <w:gridCol w:w="8436"/>
        <w:gridCol w:w="146"/>
      </w:tblGrid>
      <w:tr w:rsidR="00F23B5E" w:rsidRPr="001E33A7" w:rsidTr="004A4E5F">
        <w:trPr>
          <w:jc w:val="center"/>
        </w:trPr>
        <w:tc>
          <w:tcPr>
            <w:tcW w:w="4915" w:type="pct"/>
            <w:shd w:val="clear" w:color="auto" w:fill="auto"/>
          </w:tcPr>
          <w:p w:rsidR="00F23B5E" w:rsidRPr="001E33A7" w:rsidRDefault="00F712FD" w:rsidP="004A4E5F">
            <w:pPr>
              <w:rPr>
                <w:highlight w:val="yellow"/>
                <w:lang w:val="en-US"/>
              </w:rPr>
            </w:pPr>
            <w:r w:rsidRPr="00B0643A">
              <w:rPr>
                <w:noProof/>
                <w:lang w:val="en-US" w:eastAsia="en-US"/>
              </w:rPr>
              <w:drawing>
                <wp:inline distT="0" distB="0" distL="0" distR="0" wp14:anchorId="4188E92B" wp14:editId="3C65E6B8">
                  <wp:extent cx="4125595" cy="2629535"/>
                  <wp:effectExtent l="0" t="0" r="8255"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5595" cy="2629535"/>
                          </a:xfrm>
                          <a:prstGeom prst="rect">
                            <a:avLst/>
                          </a:prstGeom>
                          <a:noFill/>
                          <a:ln>
                            <a:noFill/>
                          </a:ln>
                        </pic:spPr>
                      </pic:pic>
                    </a:graphicData>
                  </a:graphic>
                </wp:inline>
              </w:drawing>
            </w:r>
          </w:p>
        </w:tc>
        <w:tc>
          <w:tcPr>
            <w:tcW w:w="85" w:type="pct"/>
            <w:shd w:val="clear" w:color="auto" w:fill="auto"/>
          </w:tcPr>
          <w:p w:rsidR="00F23B5E" w:rsidRPr="001E33A7" w:rsidRDefault="00F23B5E" w:rsidP="004A4E5F">
            <w:pPr>
              <w:rPr>
                <w:highlight w:val="yellow"/>
                <w:lang w:val="en-US"/>
              </w:rPr>
            </w:pPr>
          </w:p>
        </w:tc>
      </w:tr>
    </w:tbl>
    <w:p w:rsidR="00F23B5E" w:rsidRPr="004321E7" w:rsidRDefault="00F23B5E" w:rsidP="00F23B5E">
      <w:pPr>
        <w:spacing w:before="120" w:after="120"/>
        <w:rPr>
          <w:b/>
          <w:i/>
        </w:rPr>
      </w:pPr>
      <w:r w:rsidRPr="004321E7">
        <w:rPr>
          <w:b/>
          <w:i/>
        </w:rPr>
        <w:t xml:space="preserve">Figure </w:t>
      </w:r>
      <w:r w:rsidR="009D1167">
        <w:rPr>
          <w:b/>
          <w:i/>
        </w:rPr>
        <w:t>6-11</w:t>
      </w:r>
      <w:r w:rsidRPr="004321E7">
        <w:rPr>
          <w:b/>
          <w:i/>
        </w:rPr>
        <w:t xml:space="preserve">: Article 5 BAU scenario with </w:t>
      </w:r>
      <w:r>
        <w:rPr>
          <w:b/>
          <w:i/>
        </w:rPr>
        <w:t xml:space="preserve">a </w:t>
      </w:r>
      <w:r w:rsidRPr="004321E7">
        <w:rPr>
          <w:b/>
          <w:i/>
        </w:rPr>
        <w:t xml:space="preserve">subdivision for </w:t>
      </w:r>
      <w:r>
        <w:rPr>
          <w:b/>
          <w:i/>
        </w:rPr>
        <w:t xml:space="preserve">the various </w:t>
      </w:r>
      <w:r w:rsidRPr="004321E7">
        <w:rPr>
          <w:b/>
          <w:i/>
        </w:rPr>
        <w:t>refrigerants</w:t>
      </w:r>
      <w:r>
        <w:rPr>
          <w:b/>
          <w:i/>
        </w:rPr>
        <w:t xml:space="preserve"> and refrigerant blends in tonnes and ktonnes CO</w:t>
      </w:r>
      <w:r w:rsidRPr="00B23A37">
        <w:rPr>
          <w:rFonts w:ascii="Times New Roman Bold" w:hAnsi="Times New Roman Bold"/>
          <w:b/>
          <w:i/>
          <w:vertAlign w:val="subscript"/>
        </w:rPr>
        <w:t>2</w:t>
      </w:r>
      <w:r>
        <w:rPr>
          <w:b/>
          <w:i/>
        </w:rPr>
        <w:t>-eq.</w:t>
      </w:r>
    </w:p>
    <w:tbl>
      <w:tblPr>
        <w:tblW w:w="5084" w:type="pct"/>
        <w:jc w:val="center"/>
        <w:tblCellMar>
          <w:left w:w="70" w:type="dxa"/>
          <w:right w:w="70" w:type="dxa"/>
        </w:tblCellMar>
        <w:tblLook w:val="04A0" w:firstRow="1" w:lastRow="0" w:firstColumn="1" w:lastColumn="0" w:noHBand="0" w:noVBand="1"/>
      </w:tblPr>
      <w:tblGrid>
        <w:gridCol w:w="8436"/>
        <w:gridCol w:w="146"/>
      </w:tblGrid>
      <w:tr w:rsidR="00F23B5E" w:rsidRPr="001E33A7" w:rsidTr="004A4E5F">
        <w:trPr>
          <w:jc w:val="center"/>
        </w:trPr>
        <w:tc>
          <w:tcPr>
            <w:tcW w:w="4915" w:type="pct"/>
            <w:shd w:val="clear" w:color="auto" w:fill="auto"/>
          </w:tcPr>
          <w:p w:rsidR="00F23B5E" w:rsidRPr="001E33A7" w:rsidRDefault="00F712FD" w:rsidP="00D4683C">
            <w:pPr>
              <w:keepNext/>
              <w:spacing w:before="120"/>
              <w:rPr>
                <w:highlight w:val="yellow"/>
                <w:lang w:val="en-US"/>
              </w:rPr>
            </w:pPr>
            <w:r w:rsidRPr="00B0643A">
              <w:rPr>
                <w:noProof/>
                <w:lang w:val="en-US" w:eastAsia="en-US"/>
              </w:rPr>
              <w:lastRenderedPageBreak/>
              <w:drawing>
                <wp:inline distT="0" distB="0" distL="0" distR="0" wp14:anchorId="2C51015A" wp14:editId="3AADB1BD">
                  <wp:extent cx="4196080" cy="2651125"/>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6080" cy="2651125"/>
                          </a:xfrm>
                          <a:prstGeom prst="rect">
                            <a:avLst/>
                          </a:prstGeom>
                          <a:noFill/>
                          <a:ln>
                            <a:noFill/>
                          </a:ln>
                        </pic:spPr>
                      </pic:pic>
                    </a:graphicData>
                  </a:graphic>
                </wp:inline>
              </w:drawing>
            </w:r>
          </w:p>
        </w:tc>
        <w:tc>
          <w:tcPr>
            <w:tcW w:w="85" w:type="pct"/>
            <w:shd w:val="clear" w:color="auto" w:fill="auto"/>
          </w:tcPr>
          <w:p w:rsidR="00F23B5E" w:rsidRPr="001E33A7" w:rsidRDefault="00F23B5E" w:rsidP="004A4E5F">
            <w:pPr>
              <w:spacing w:before="120"/>
              <w:rPr>
                <w:highlight w:val="yellow"/>
                <w:lang w:val="en-US"/>
              </w:rPr>
            </w:pPr>
          </w:p>
        </w:tc>
      </w:tr>
    </w:tbl>
    <w:p w:rsidR="00F23B5E" w:rsidRDefault="00F712FD" w:rsidP="00F23B5E">
      <w:pPr>
        <w:spacing w:before="120" w:after="120"/>
        <w:rPr>
          <w:noProof/>
          <w:lang w:val="nl-NL"/>
        </w:rPr>
      </w:pPr>
      <w:r w:rsidRPr="00B0643A">
        <w:rPr>
          <w:noProof/>
          <w:lang w:val="en-US" w:eastAsia="en-US"/>
        </w:rPr>
        <w:drawing>
          <wp:inline distT="0" distB="0" distL="0" distR="0" wp14:anchorId="3488638C" wp14:editId="6F5FBB10">
            <wp:extent cx="4146550" cy="2417445"/>
            <wp:effectExtent l="0" t="0" r="6350" b="1905"/>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6550" cy="2417445"/>
                    </a:xfrm>
                    <a:prstGeom prst="rect">
                      <a:avLst/>
                    </a:prstGeom>
                    <a:noFill/>
                    <a:ln>
                      <a:noFill/>
                    </a:ln>
                  </pic:spPr>
                </pic:pic>
              </a:graphicData>
            </a:graphic>
          </wp:inline>
        </w:drawing>
      </w:r>
    </w:p>
    <w:p w:rsidR="00F23B5E" w:rsidRPr="004321E7" w:rsidRDefault="00F23B5E" w:rsidP="00F23B5E">
      <w:pPr>
        <w:spacing w:before="120" w:after="120"/>
        <w:rPr>
          <w:b/>
          <w:i/>
        </w:rPr>
      </w:pPr>
      <w:r w:rsidRPr="004321E7">
        <w:rPr>
          <w:b/>
          <w:i/>
        </w:rPr>
        <w:t xml:space="preserve">Figure </w:t>
      </w:r>
      <w:r w:rsidR="009D1167">
        <w:rPr>
          <w:b/>
          <w:i/>
        </w:rPr>
        <w:t>6</w:t>
      </w:r>
      <w:r w:rsidRPr="004321E7">
        <w:rPr>
          <w:b/>
          <w:i/>
        </w:rPr>
        <w:t>-</w:t>
      </w:r>
      <w:r>
        <w:rPr>
          <w:b/>
          <w:i/>
        </w:rPr>
        <w:t>1</w:t>
      </w:r>
      <w:r w:rsidR="009D1167">
        <w:rPr>
          <w:b/>
          <w:i/>
        </w:rPr>
        <w:t>2</w:t>
      </w:r>
      <w:r w:rsidRPr="004321E7">
        <w:rPr>
          <w:b/>
          <w:i/>
        </w:rPr>
        <w:t xml:space="preserve">: Article 5 BAU scenario with </w:t>
      </w:r>
      <w:r>
        <w:rPr>
          <w:b/>
          <w:i/>
        </w:rPr>
        <w:t xml:space="preserve">a </w:t>
      </w:r>
      <w:r w:rsidRPr="004321E7">
        <w:rPr>
          <w:b/>
          <w:i/>
        </w:rPr>
        <w:t xml:space="preserve">subdivision for </w:t>
      </w:r>
      <w:r>
        <w:rPr>
          <w:b/>
          <w:i/>
        </w:rPr>
        <w:t>the various sub-sectors in tonnes and ktonnes CO</w:t>
      </w:r>
      <w:r w:rsidRPr="00B23A37">
        <w:rPr>
          <w:rFonts w:ascii="Times New Roman Bold" w:hAnsi="Times New Roman Bold"/>
          <w:b/>
          <w:i/>
          <w:vertAlign w:val="subscript"/>
        </w:rPr>
        <w:t>2</w:t>
      </w:r>
      <w:r>
        <w:rPr>
          <w:b/>
          <w:i/>
        </w:rPr>
        <w:t>-eq.</w:t>
      </w:r>
    </w:p>
    <w:p w:rsidR="00F23B5E" w:rsidRDefault="00F712FD" w:rsidP="00D4683C">
      <w:pPr>
        <w:keepNext/>
        <w:spacing w:before="120"/>
        <w:rPr>
          <w:noProof/>
          <w:lang w:val="nl-NL"/>
        </w:rPr>
      </w:pPr>
      <w:r w:rsidRPr="00B0643A">
        <w:rPr>
          <w:noProof/>
          <w:lang w:val="en-US" w:eastAsia="en-US"/>
        </w:rPr>
        <w:lastRenderedPageBreak/>
        <w:drawing>
          <wp:inline distT="0" distB="0" distL="0" distR="0" wp14:anchorId="46984069" wp14:editId="59EBCFB0">
            <wp:extent cx="4125595" cy="2586990"/>
            <wp:effectExtent l="0" t="0" r="8255" b="3810"/>
            <wp:docPr id="1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5595" cy="2586990"/>
                    </a:xfrm>
                    <a:prstGeom prst="rect">
                      <a:avLst/>
                    </a:prstGeom>
                    <a:noFill/>
                    <a:ln>
                      <a:noFill/>
                    </a:ln>
                  </pic:spPr>
                </pic:pic>
              </a:graphicData>
            </a:graphic>
          </wp:inline>
        </w:drawing>
      </w:r>
    </w:p>
    <w:p w:rsidR="00F23B5E" w:rsidRDefault="00F712FD" w:rsidP="00F23B5E">
      <w:pPr>
        <w:rPr>
          <w:b/>
          <w:i/>
        </w:rPr>
      </w:pPr>
      <w:r w:rsidRPr="00B0643A">
        <w:rPr>
          <w:noProof/>
          <w:lang w:val="en-US" w:eastAsia="en-US"/>
        </w:rPr>
        <w:drawing>
          <wp:inline distT="0" distB="0" distL="0" distR="0" wp14:anchorId="468B8115" wp14:editId="70E3DCEA">
            <wp:extent cx="4125595" cy="2629535"/>
            <wp:effectExtent l="0" t="0" r="8255" b="0"/>
            <wp:docPr id="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5595" cy="2629535"/>
                    </a:xfrm>
                    <a:prstGeom prst="rect">
                      <a:avLst/>
                    </a:prstGeom>
                    <a:noFill/>
                    <a:ln>
                      <a:noFill/>
                    </a:ln>
                  </pic:spPr>
                </pic:pic>
              </a:graphicData>
            </a:graphic>
          </wp:inline>
        </w:drawing>
      </w:r>
    </w:p>
    <w:p w:rsidR="00F23B5E" w:rsidRDefault="00F23B5E" w:rsidP="00F23B5E">
      <w:pPr>
        <w:spacing w:before="120" w:after="120"/>
        <w:rPr>
          <w:b/>
          <w:i/>
        </w:rPr>
      </w:pPr>
      <w:r w:rsidRPr="00930C67">
        <w:rPr>
          <w:b/>
          <w:i/>
        </w:rPr>
        <w:t xml:space="preserve">Figure </w:t>
      </w:r>
      <w:r w:rsidR="009D1167">
        <w:rPr>
          <w:b/>
          <w:i/>
        </w:rPr>
        <w:t>6-13</w:t>
      </w:r>
      <w:r w:rsidRPr="00930C67">
        <w:rPr>
          <w:b/>
          <w:i/>
        </w:rPr>
        <w:t xml:space="preserve">: Article 5 BAU scenario with </w:t>
      </w:r>
      <w:r>
        <w:rPr>
          <w:b/>
          <w:i/>
        </w:rPr>
        <w:t>new manufacturing and servicing demand for the various refrigerants (both in ktonnes CO</w:t>
      </w:r>
      <w:r w:rsidRPr="00B23A37">
        <w:rPr>
          <w:rFonts w:ascii="Times New Roman Bold" w:hAnsi="Times New Roman Bold"/>
          <w:b/>
          <w:i/>
          <w:vertAlign w:val="subscript"/>
        </w:rPr>
        <w:t>2</w:t>
      </w:r>
      <w:r>
        <w:rPr>
          <w:b/>
          <w:i/>
        </w:rPr>
        <w:t>-eq.)</w:t>
      </w:r>
      <w:r w:rsidR="009C03C8">
        <w:rPr>
          <w:b/>
          <w:i/>
        </w:rPr>
        <w:t xml:space="preserve"> (note the scale difference with Figs. 6-11 and 6-12)</w:t>
      </w:r>
    </w:p>
    <w:p w:rsidR="00F23B5E" w:rsidRDefault="00F23B5E" w:rsidP="00F23B5E">
      <w:pPr>
        <w:spacing w:after="120"/>
      </w:pPr>
      <w:r w:rsidRPr="003A6AF8">
        <w:t xml:space="preserve">Figure </w:t>
      </w:r>
      <w:r w:rsidR="009D1167">
        <w:t>6-13</w:t>
      </w:r>
      <w:r w:rsidRPr="003A6AF8">
        <w:t xml:space="preserve"> shows the demand for new manufacturing and for servicing. </w:t>
      </w:r>
      <w:r>
        <w:t xml:space="preserve">When manufacturing increases </w:t>
      </w:r>
      <w:r w:rsidRPr="003A6AF8">
        <w:t>rapidly</w:t>
      </w:r>
      <w:r>
        <w:t xml:space="preserve">, </w:t>
      </w:r>
      <w:r w:rsidRPr="003A6AF8">
        <w:t>the demand for servicing initially lag</w:t>
      </w:r>
      <w:r>
        <w:t>s behind</w:t>
      </w:r>
      <w:r w:rsidRPr="003A6AF8">
        <w:t xml:space="preserve"> the </w:t>
      </w:r>
      <w:r>
        <w:t xml:space="preserve">volumes used for </w:t>
      </w:r>
      <w:r w:rsidRPr="003A6AF8">
        <w:t>manufacturing</w:t>
      </w:r>
      <w:r>
        <w:t>. However, after a certain period it catches up, the servicing volumes become comparable to those used in manufacturing as follows in the BAU scenario (in ktonnes, not in ktonnes CO</w:t>
      </w:r>
      <w:r w:rsidRPr="008A16A2">
        <w:rPr>
          <w:vertAlign w:val="subscript"/>
        </w:rPr>
        <w:t>2</w:t>
      </w:r>
      <w:r>
        <w:t xml:space="preserve">-eq.): </w:t>
      </w:r>
    </w:p>
    <w:p w:rsidR="00F23B5E" w:rsidRDefault="00F23B5E" w:rsidP="004A4E5F">
      <w:pPr>
        <w:numPr>
          <w:ilvl w:val="0"/>
          <w:numId w:val="18"/>
        </w:numPr>
        <w:ind w:left="714" w:hanging="357"/>
      </w:pPr>
      <w:r>
        <w:t xml:space="preserve">2015: </w:t>
      </w:r>
      <w:r w:rsidRPr="003A6AF8">
        <w:t xml:space="preserve">new manufacturing </w:t>
      </w:r>
      <w:r>
        <w:t>195</w:t>
      </w:r>
      <w:r w:rsidRPr="003A6AF8">
        <w:t xml:space="preserve"> kt,</w:t>
      </w:r>
      <w:r>
        <w:t xml:space="preserve"> </w:t>
      </w:r>
      <w:r w:rsidRPr="003A6AF8">
        <w:t xml:space="preserve">servicing </w:t>
      </w:r>
      <w:r>
        <w:t>1</w:t>
      </w:r>
      <w:r w:rsidRPr="003A6AF8">
        <w:t>00 kt</w:t>
      </w:r>
    </w:p>
    <w:p w:rsidR="00F23B5E" w:rsidRDefault="00F23B5E" w:rsidP="004A4E5F">
      <w:pPr>
        <w:numPr>
          <w:ilvl w:val="0"/>
          <w:numId w:val="18"/>
        </w:numPr>
        <w:ind w:left="714" w:hanging="357"/>
      </w:pPr>
      <w:r>
        <w:t xml:space="preserve">2020: </w:t>
      </w:r>
      <w:r w:rsidRPr="003A6AF8">
        <w:t>new manufacturing 300 kt, servicing 200 kt</w:t>
      </w:r>
    </w:p>
    <w:p w:rsidR="00F23B5E" w:rsidRDefault="00F23B5E" w:rsidP="004A4E5F">
      <w:pPr>
        <w:numPr>
          <w:ilvl w:val="0"/>
          <w:numId w:val="18"/>
        </w:numPr>
        <w:ind w:left="714" w:hanging="357"/>
      </w:pPr>
      <w:r>
        <w:t>2030: new manufacturing 530 kt, servicing 515 kt</w:t>
      </w:r>
    </w:p>
    <w:p w:rsidR="00F23B5E" w:rsidRPr="003A6AF8" w:rsidRDefault="00F23B5E" w:rsidP="004A4E5F">
      <w:pPr>
        <w:numPr>
          <w:ilvl w:val="0"/>
          <w:numId w:val="18"/>
        </w:numPr>
        <w:spacing w:after="240"/>
        <w:ind w:left="714" w:hanging="357"/>
      </w:pPr>
      <w:r w:rsidRPr="003A6AF8">
        <w:t>20</w:t>
      </w:r>
      <w:r>
        <w:t>5</w:t>
      </w:r>
      <w:r w:rsidRPr="003A6AF8">
        <w:t>0</w:t>
      </w:r>
      <w:r>
        <w:t>:</w:t>
      </w:r>
      <w:r w:rsidRPr="003A6AF8">
        <w:t xml:space="preserve"> </w:t>
      </w:r>
      <w:r>
        <w:t>new manufacturing 915 kt, servicing 1080</w:t>
      </w:r>
      <w:r w:rsidRPr="003A6AF8">
        <w:t xml:space="preserve"> kt</w:t>
      </w:r>
    </w:p>
    <w:p w:rsidR="00F23B5E" w:rsidRPr="00BA381D" w:rsidRDefault="009D1167" w:rsidP="00F23B5E">
      <w:pPr>
        <w:pStyle w:val="Heading3"/>
      </w:pPr>
      <w:bookmarkStart w:id="111" w:name="_Toc452653400"/>
      <w:r>
        <w:t>6</w:t>
      </w:r>
      <w:r w:rsidR="00F23B5E" w:rsidRPr="00BA381D">
        <w:t>.</w:t>
      </w:r>
      <w:r w:rsidR="00F23B5E">
        <w:t>5.2</w:t>
      </w:r>
      <w:r w:rsidR="00F23B5E" w:rsidRPr="00BA381D">
        <w:tab/>
        <w:t>MIT-3 scenario</w:t>
      </w:r>
      <w:bookmarkEnd w:id="111"/>
    </w:p>
    <w:p w:rsidR="00F23B5E" w:rsidRDefault="00F23B5E" w:rsidP="00F23B5E">
      <w:pPr>
        <w:spacing w:after="120"/>
      </w:pPr>
      <w:r>
        <w:t xml:space="preserve">In MIT-3, as of </w:t>
      </w:r>
      <w:r w:rsidRPr="00AC68E5">
        <w:t>2020</w:t>
      </w:r>
      <w:r>
        <w:t xml:space="preserve">, the conversion is assumed to start in all sub-sectors to replace high-GWP refrigerants with a variety of refrigerants, with the refrigerant blends assumed to have an average GWP of 300. Conversion has been assumed to take </w:t>
      </w:r>
      <w:r w:rsidR="006C1D49">
        <w:t>six</w:t>
      </w:r>
      <w:r>
        <w:t xml:space="preserve"> years for Article 5 Parties, and the manufacturing capacity is modelled to convert in equal portions per year during the period 2020-2025 (</w:t>
      </w:r>
      <w:r w:rsidR="006C1D49">
        <w:t>six years</w:t>
      </w:r>
      <w:r>
        <w:t xml:space="preserve">). The following graphs are for </w:t>
      </w:r>
      <w:r w:rsidRPr="00930C67">
        <w:t xml:space="preserve">the </w:t>
      </w:r>
      <w:r>
        <w:t xml:space="preserve">Article 5 </w:t>
      </w:r>
      <w:r w:rsidRPr="00930C67">
        <w:t>MIT-</w:t>
      </w:r>
      <w:r>
        <w:t xml:space="preserve">3 scenario, split into in </w:t>
      </w:r>
      <w:r w:rsidRPr="00930C67">
        <w:t>the various R</w:t>
      </w:r>
      <w:r>
        <w:t>/</w:t>
      </w:r>
      <w:r w:rsidRPr="00930C67">
        <w:t xml:space="preserve">AC </w:t>
      </w:r>
      <w:r>
        <w:t>sub-sectors</w:t>
      </w:r>
      <w:r w:rsidRPr="00930C67">
        <w:t>.</w:t>
      </w:r>
      <w:r>
        <w:t xml:space="preserve"> </w:t>
      </w:r>
    </w:p>
    <w:p w:rsidR="00F23B5E" w:rsidRDefault="00F712FD" w:rsidP="00F23B5E">
      <w:r w:rsidRPr="00B0643A">
        <w:rPr>
          <w:noProof/>
          <w:lang w:val="en-US" w:eastAsia="en-US"/>
        </w:rPr>
        <w:lastRenderedPageBreak/>
        <w:drawing>
          <wp:inline distT="0" distB="0" distL="0" distR="0" wp14:anchorId="709EF87D" wp14:editId="1DAFBA70">
            <wp:extent cx="4338320" cy="2700655"/>
            <wp:effectExtent l="0" t="0" r="5080" b="4445"/>
            <wp:docPr id="2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8320" cy="2700655"/>
                    </a:xfrm>
                    <a:prstGeom prst="rect">
                      <a:avLst/>
                    </a:prstGeom>
                    <a:noFill/>
                    <a:ln>
                      <a:noFill/>
                    </a:ln>
                  </pic:spPr>
                </pic:pic>
              </a:graphicData>
            </a:graphic>
          </wp:inline>
        </w:drawing>
      </w:r>
    </w:p>
    <w:p w:rsidR="00F23B5E" w:rsidRDefault="00F23B5E" w:rsidP="00F23B5E">
      <w:pPr>
        <w:spacing w:before="120" w:after="120"/>
        <w:rPr>
          <w:b/>
          <w:i/>
        </w:rPr>
      </w:pPr>
      <w:r w:rsidRPr="00930C67">
        <w:rPr>
          <w:b/>
          <w:i/>
        </w:rPr>
        <w:t xml:space="preserve">Figure </w:t>
      </w:r>
      <w:r w:rsidR="009D1167">
        <w:rPr>
          <w:b/>
          <w:i/>
        </w:rPr>
        <w:t>6</w:t>
      </w:r>
      <w:r w:rsidRPr="00930C67">
        <w:rPr>
          <w:b/>
          <w:i/>
        </w:rPr>
        <w:t>-</w:t>
      </w:r>
      <w:r>
        <w:rPr>
          <w:b/>
          <w:i/>
        </w:rPr>
        <w:t>1</w:t>
      </w:r>
      <w:r w:rsidR="009D1167">
        <w:rPr>
          <w:b/>
          <w:i/>
        </w:rPr>
        <w:t>4</w:t>
      </w:r>
      <w:r>
        <w:rPr>
          <w:b/>
          <w:i/>
        </w:rPr>
        <w:t>:</w:t>
      </w:r>
      <w:r w:rsidRPr="00930C67">
        <w:rPr>
          <w:b/>
          <w:i/>
        </w:rPr>
        <w:t xml:space="preserve"> Article 5 MIT-</w:t>
      </w:r>
      <w:r>
        <w:rPr>
          <w:b/>
          <w:i/>
        </w:rPr>
        <w:t>3</w:t>
      </w:r>
      <w:r w:rsidRPr="00930C67">
        <w:rPr>
          <w:b/>
          <w:i/>
        </w:rPr>
        <w:t xml:space="preserve"> scenario with </w:t>
      </w:r>
      <w:r>
        <w:rPr>
          <w:b/>
          <w:i/>
        </w:rPr>
        <w:t xml:space="preserve">the demand </w:t>
      </w:r>
      <w:r w:rsidRPr="00930C67">
        <w:rPr>
          <w:b/>
          <w:i/>
        </w:rPr>
        <w:t xml:space="preserve">for </w:t>
      </w:r>
      <w:r>
        <w:rPr>
          <w:b/>
          <w:i/>
        </w:rPr>
        <w:t>the R/AC sub-sectors, including both new manufacturing and servicing</w:t>
      </w:r>
    </w:p>
    <w:p w:rsidR="00F23B5E" w:rsidRPr="00930C67" w:rsidRDefault="00F23B5E" w:rsidP="00F23B5E">
      <w:pPr>
        <w:spacing w:before="120"/>
      </w:pPr>
      <w:r>
        <w:t xml:space="preserve">Figure </w:t>
      </w:r>
      <w:r w:rsidR="009D1167">
        <w:t>6-14</w:t>
      </w:r>
      <w:r>
        <w:t xml:space="preserve"> shows the steep decrease in the first </w:t>
      </w:r>
      <w:r w:rsidR="006C1D49">
        <w:t>six years</w:t>
      </w:r>
      <w:r>
        <w:t xml:space="preserve"> as of 2020, after which the curve flattens due to continued servicing needs only. Since some high-GWP equipment will have been manufactured until 2025, and has an average 12 year lifetime, supplies of high-GWP refrigerants will be continue to be required --in decreasing amounts-- until about 2035-37.</w:t>
      </w:r>
      <w:r w:rsidRPr="00AC68E5">
        <w:t xml:space="preserve"> </w:t>
      </w:r>
    </w:p>
    <w:p w:rsidR="00F23B5E" w:rsidRDefault="00F23B5E" w:rsidP="00F23B5E">
      <w:r>
        <w:t xml:space="preserve">During 2010-2015, stationary AC and commercial refrigeration demands increase rapidly. With controls assumed </w:t>
      </w:r>
      <w:r w:rsidRPr="00930C67">
        <w:t xml:space="preserve">on </w:t>
      </w:r>
      <w:r>
        <w:t>new manufacturing</w:t>
      </w:r>
      <w:r w:rsidRPr="00930C67">
        <w:t xml:space="preserve"> as of 2020, </w:t>
      </w:r>
      <w:r>
        <w:t>the high-</w:t>
      </w:r>
      <w:r w:rsidRPr="00930C67">
        <w:t>GWP refrigerant</w:t>
      </w:r>
      <w:r>
        <w:t xml:space="preserve"> demand in these sector decreases, being replaced by </w:t>
      </w:r>
      <w:r w:rsidRPr="00930C67">
        <w:t>low</w:t>
      </w:r>
      <w:r>
        <w:t>-G</w:t>
      </w:r>
      <w:r w:rsidRPr="00930C67">
        <w:t>WP refrigerants</w:t>
      </w:r>
      <w:r>
        <w:t>,</w:t>
      </w:r>
      <w:r w:rsidRPr="00930C67">
        <w:t xml:space="preserve"> </w:t>
      </w:r>
      <w:r>
        <w:t>which will account for 80</w:t>
      </w:r>
      <w:r w:rsidRPr="00930C67">
        <w:t>%</w:t>
      </w:r>
      <w:r>
        <w:t xml:space="preserve"> of </w:t>
      </w:r>
      <w:r w:rsidRPr="00930C67">
        <w:t>total demand</w:t>
      </w:r>
      <w:r>
        <w:t xml:space="preserve"> between after 2025-2030. This is a large improvement in climate impact, although with this GWP of 300, the large refrigerant volumes considered still have a certain climate impact</w:t>
      </w:r>
      <w:r w:rsidRPr="00930C67">
        <w:t xml:space="preserve">, the relative importance of these refrigerants is </w:t>
      </w:r>
      <w:r>
        <w:t xml:space="preserve">now </w:t>
      </w:r>
      <w:r w:rsidRPr="00930C67">
        <w:t>much lower in the GWP weighted graph</w:t>
      </w:r>
      <w:r>
        <w:t>. The demand increases again (even with a large percentage low GWP refrigerants) after 2032, due to assumed economic growth.</w:t>
      </w:r>
    </w:p>
    <w:p w:rsidR="00F23B5E" w:rsidRDefault="00F23B5E" w:rsidP="00F23B5E"/>
    <w:p w:rsidR="00F23B5E" w:rsidRDefault="00F23B5E" w:rsidP="00F23B5E">
      <w:r>
        <w:t xml:space="preserve">In Figure </w:t>
      </w:r>
      <w:r w:rsidR="009D1167">
        <w:t>6</w:t>
      </w:r>
      <w:r>
        <w:t>-1</w:t>
      </w:r>
      <w:r w:rsidR="009D1167">
        <w:t>5</w:t>
      </w:r>
      <w:r>
        <w:t>, the new manufacturing demand for the R/AC sub-sectors for high-GWP chemicals is given. By 2026, the demand for high-GWP refrigerants in new equipment manufacture falls to &lt;20% of the 2019 peak value, then starts to increase again due to economic growth.</w:t>
      </w:r>
    </w:p>
    <w:p w:rsidR="00F23B5E" w:rsidRPr="00930C67" w:rsidRDefault="00F23B5E" w:rsidP="00F23B5E"/>
    <w:p w:rsidR="00F23B5E" w:rsidRPr="001E33A7" w:rsidRDefault="00F712FD" w:rsidP="00D4683C">
      <w:pPr>
        <w:keepNext/>
        <w:spacing w:before="120"/>
        <w:rPr>
          <w:b/>
          <w:highlight w:val="yellow"/>
        </w:rPr>
      </w:pPr>
      <w:r w:rsidRPr="00B0643A">
        <w:rPr>
          <w:noProof/>
          <w:lang w:val="en-US" w:eastAsia="en-US"/>
        </w:rPr>
        <w:lastRenderedPageBreak/>
        <w:drawing>
          <wp:inline distT="0" distB="0" distL="0" distR="0" wp14:anchorId="79902B3B" wp14:editId="2AD780C1">
            <wp:extent cx="4465955" cy="2672080"/>
            <wp:effectExtent l="0" t="0" r="0"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5955" cy="2672080"/>
                    </a:xfrm>
                    <a:prstGeom prst="rect">
                      <a:avLst/>
                    </a:prstGeom>
                    <a:noFill/>
                    <a:ln>
                      <a:noFill/>
                    </a:ln>
                  </pic:spPr>
                </pic:pic>
              </a:graphicData>
            </a:graphic>
          </wp:inline>
        </w:drawing>
      </w:r>
    </w:p>
    <w:p w:rsidR="00F23B5E" w:rsidRPr="00CD5837" w:rsidRDefault="00F23B5E" w:rsidP="00F23B5E">
      <w:pPr>
        <w:spacing w:before="120" w:after="120"/>
        <w:rPr>
          <w:b/>
          <w:i/>
        </w:rPr>
      </w:pPr>
      <w:r w:rsidRPr="003A6AF8">
        <w:rPr>
          <w:b/>
          <w:i/>
        </w:rPr>
        <w:t xml:space="preserve">Figure </w:t>
      </w:r>
      <w:r w:rsidR="009D1167">
        <w:rPr>
          <w:b/>
          <w:i/>
        </w:rPr>
        <w:t>6</w:t>
      </w:r>
      <w:r w:rsidRPr="003A6AF8">
        <w:rPr>
          <w:b/>
          <w:i/>
        </w:rPr>
        <w:t>-</w:t>
      </w:r>
      <w:r>
        <w:rPr>
          <w:b/>
          <w:i/>
        </w:rPr>
        <w:t>1</w:t>
      </w:r>
      <w:r w:rsidR="009D1167">
        <w:rPr>
          <w:b/>
          <w:i/>
        </w:rPr>
        <w:t>5</w:t>
      </w:r>
      <w:r w:rsidRPr="003A6AF8">
        <w:rPr>
          <w:b/>
          <w:i/>
        </w:rPr>
        <w:t xml:space="preserve">: Article 5 MIT-3 scenario for new manufacturing demand </w:t>
      </w:r>
      <w:r>
        <w:rPr>
          <w:b/>
          <w:i/>
        </w:rPr>
        <w:t xml:space="preserve">for high-GWP refrigerants in the </w:t>
      </w:r>
      <w:r w:rsidRPr="003A6AF8">
        <w:rPr>
          <w:b/>
          <w:i/>
        </w:rPr>
        <w:t>various R/AC sub-sectors</w:t>
      </w:r>
      <w:r>
        <w:rPr>
          <w:b/>
          <w:i/>
        </w:rPr>
        <w:t xml:space="preserve"> </w:t>
      </w:r>
      <w:r w:rsidR="0092165F" w:rsidRPr="0092165F">
        <w:rPr>
          <w:b/>
          <w:i/>
        </w:rPr>
        <w:t xml:space="preserve">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9D1167">
        <w:rPr>
          <w:b/>
          <w:i/>
        </w:rPr>
        <w:t>6-6</w:t>
      </w:r>
      <w:r>
        <w:rPr>
          <w:b/>
          <w:i/>
        </w:rPr>
        <w:t xml:space="preserve"> for non-Article 5 manufacturing demand)</w:t>
      </w:r>
    </w:p>
    <w:p w:rsidR="00F23B5E" w:rsidRPr="00CD5837" w:rsidRDefault="00F712FD" w:rsidP="00F23B5E">
      <w:r w:rsidRPr="00B0643A">
        <w:rPr>
          <w:noProof/>
          <w:lang w:val="en-US" w:eastAsia="en-US"/>
        </w:rPr>
        <w:drawing>
          <wp:inline distT="0" distB="0" distL="0" distR="0" wp14:anchorId="28732B6E" wp14:editId="6555E118">
            <wp:extent cx="4323715" cy="2438400"/>
            <wp:effectExtent l="0" t="0" r="635" b="0"/>
            <wp:docPr id="2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3715" cy="2438400"/>
                    </a:xfrm>
                    <a:prstGeom prst="rect">
                      <a:avLst/>
                    </a:prstGeom>
                    <a:noFill/>
                    <a:ln>
                      <a:noFill/>
                    </a:ln>
                  </pic:spPr>
                </pic:pic>
              </a:graphicData>
            </a:graphic>
          </wp:inline>
        </w:drawing>
      </w:r>
    </w:p>
    <w:p w:rsidR="00F23B5E" w:rsidRPr="00CD5837" w:rsidRDefault="00F23B5E" w:rsidP="00F23B5E">
      <w:pPr>
        <w:spacing w:before="120" w:after="120"/>
        <w:rPr>
          <w:b/>
          <w:i/>
        </w:rPr>
      </w:pPr>
      <w:r w:rsidRPr="00CD5837">
        <w:rPr>
          <w:b/>
          <w:i/>
        </w:rPr>
        <w:t xml:space="preserve">Figure </w:t>
      </w:r>
      <w:r w:rsidR="009D1167">
        <w:rPr>
          <w:b/>
          <w:i/>
        </w:rPr>
        <w:t>6</w:t>
      </w:r>
      <w:r w:rsidRPr="00CD5837">
        <w:rPr>
          <w:b/>
          <w:i/>
        </w:rPr>
        <w:t>-</w:t>
      </w:r>
      <w:r>
        <w:rPr>
          <w:b/>
          <w:i/>
        </w:rPr>
        <w:t>1</w:t>
      </w:r>
      <w:r w:rsidR="009D1167">
        <w:rPr>
          <w:b/>
          <w:i/>
        </w:rPr>
        <w:t>6</w:t>
      </w:r>
      <w:r w:rsidRPr="00CD5837">
        <w:rPr>
          <w:b/>
          <w:i/>
        </w:rPr>
        <w:t>: Article 5 MIT-</w:t>
      </w:r>
      <w:r>
        <w:rPr>
          <w:b/>
          <w:i/>
        </w:rPr>
        <w:t>3</w:t>
      </w:r>
      <w:r w:rsidRPr="00CD5837">
        <w:rPr>
          <w:b/>
          <w:i/>
        </w:rPr>
        <w:t xml:space="preserve"> scenario with </w:t>
      </w:r>
      <w:r>
        <w:rPr>
          <w:b/>
          <w:i/>
        </w:rPr>
        <w:t xml:space="preserve">the servicing demand for the various sub-sectors </w:t>
      </w:r>
      <w:r w:rsidR="0092165F">
        <w:rPr>
          <w:b/>
          <w:i/>
        </w:rPr>
        <w:t xml:space="preserve">in </w:t>
      </w:r>
      <w:r w:rsidR="0092165F" w:rsidRPr="0092165F">
        <w:rPr>
          <w:b/>
          <w:i/>
        </w:rPr>
        <w:t>kt</w:t>
      </w:r>
      <w:r w:rsidR="00AD5DD6">
        <w:rPr>
          <w:b/>
          <w:i/>
        </w:rPr>
        <w:t>onnes</w:t>
      </w:r>
      <w:r w:rsidR="0092165F" w:rsidRPr="0092165F">
        <w:rPr>
          <w:b/>
          <w:i/>
        </w:rPr>
        <w:t xml:space="preserve"> 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9D1167">
        <w:rPr>
          <w:b/>
          <w:i/>
        </w:rPr>
        <w:t>6</w:t>
      </w:r>
      <w:r>
        <w:rPr>
          <w:b/>
          <w:i/>
        </w:rPr>
        <w:t>-</w:t>
      </w:r>
      <w:r w:rsidR="009D1167">
        <w:rPr>
          <w:b/>
          <w:i/>
        </w:rPr>
        <w:t>7</w:t>
      </w:r>
      <w:r>
        <w:rPr>
          <w:b/>
          <w:i/>
        </w:rPr>
        <w:t xml:space="preserve"> for non-Article 5 servicing demand)</w:t>
      </w:r>
    </w:p>
    <w:p w:rsidR="00F23B5E" w:rsidRDefault="00F23B5E" w:rsidP="00F23B5E">
      <w:pPr>
        <w:pStyle w:val="NormalBold"/>
        <w:tabs>
          <w:tab w:val="clear" w:pos="1080"/>
        </w:tabs>
        <w:spacing w:before="120" w:after="0"/>
        <w:jc w:val="left"/>
        <w:rPr>
          <w:b w:val="0"/>
          <w:i w:val="0"/>
        </w:rPr>
      </w:pPr>
      <w:r>
        <w:rPr>
          <w:b w:val="0"/>
          <w:i w:val="0"/>
        </w:rPr>
        <w:t xml:space="preserve">Figure </w:t>
      </w:r>
      <w:r w:rsidR="009D1167">
        <w:rPr>
          <w:b w:val="0"/>
          <w:i w:val="0"/>
        </w:rPr>
        <w:t>6-16</w:t>
      </w:r>
      <w:r>
        <w:rPr>
          <w:b w:val="0"/>
          <w:i w:val="0"/>
        </w:rPr>
        <w:t xml:space="preserve"> shows the amounts of high-GWP refrigerants in kt</w:t>
      </w:r>
      <w:r w:rsidR="00AD5DD6">
        <w:rPr>
          <w:b w:val="0"/>
          <w:i w:val="0"/>
        </w:rPr>
        <w:t>onnes</w:t>
      </w:r>
      <w:r>
        <w:rPr>
          <w:b w:val="0"/>
          <w:i w:val="0"/>
        </w:rPr>
        <w:t xml:space="preserve"> CO</w:t>
      </w:r>
      <w:r w:rsidRPr="00A33917">
        <w:rPr>
          <w:b w:val="0"/>
          <w:i w:val="0"/>
          <w:vertAlign w:val="subscript"/>
        </w:rPr>
        <w:t>2</w:t>
      </w:r>
      <w:r>
        <w:rPr>
          <w:b w:val="0"/>
          <w:i w:val="0"/>
        </w:rPr>
        <w:t>-eq. that will be needed for servicing the installed equipment. This varies between sectors and according to the speed of the manufacturing transition (the slower the manufacturing transition, the longer the servicing tail). Amounts (expressed in GWP weighted terms) will increase again after 2030-2032.</w:t>
      </w:r>
    </w:p>
    <w:p w:rsidR="00F23B5E" w:rsidRDefault="009D1167" w:rsidP="00F23B5E">
      <w:pPr>
        <w:pStyle w:val="Heading3"/>
        <w:spacing w:before="120"/>
      </w:pPr>
      <w:bookmarkStart w:id="112" w:name="_Toc452653401"/>
      <w:r>
        <w:t>6</w:t>
      </w:r>
      <w:r w:rsidR="00F23B5E">
        <w:t xml:space="preserve">.5.3 </w:t>
      </w:r>
      <w:r w:rsidR="00F23B5E">
        <w:tab/>
        <w:t>Impact of manufacturing conversion periods in the MIT-3 scenario</w:t>
      </w:r>
      <w:bookmarkEnd w:id="112"/>
    </w:p>
    <w:p w:rsidR="00F23B5E" w:rsidRDefault="00F23B5E" w:rsidP="002A477C">
      <w:pPr>
        <w:spacing w:after="120"/>
      </w:pPr>
      <w:r>
        <w:t xml:space="preserve">Figure </w:t>
      </w:r>
      <w:r w:rsidR="009D1167">
        <w:t>6-17</w:t>
      </w:r>
      <w:r>
        <w:t xml:space="preserve"> shows the demand dependent on the rate of conversion or the length of the conversion period</w:t>
      </w:r>
      <w:r w:rsidR="008B1EC3">
        <w:t>, which is an important parameter</w:t>
      </w:r>
      <w:r>
        <w:t xml:space="preserve"> (</w:t>
      </w:r>
      <w:r w:rsidR="006F3BE0">
        <w:t xml:space="preserve">unchanged from what was given in </w:t>
      </w:r>
      <w:r>
        <w:t xml:space="preserve">(UNEP, 2015)). The </w:t>
      </w:r>
      <w:r w:rsidRPr="009E0F0A">
        <w:t>six years conversion</w:t>
      </w:r>
      <w:r>
        <w:t xml:space="preserve"> period </w:t>
      </w:r>
      <w:r w:rsidRPr="009E0F0A">
        <w:t xml:space="preserve">in manufacturing for all sub-sectors results in a decrease </w:t>
      </w:r>
      <w:r>
        <w:t>of</w:t>
      </w:r>
      <w:r w:rsidRPr="009E0F0A">
        <w:t xml:space="preserve"> </w:t>
      </w:r>
      <w:r>
        <w:t>approximately</w:t>
      </w:r>
      <w:r w:rsidRPr="009E0F0A">
        <w:t xml:space="preserve"> 40% by the year 2026</w:t>
      </w:r>
      <w:r>
        <w:t xml:space="preserve">, and about 50% by 2030. After 2026, the remaining demand is for servicing, and only declines by about </w:t>
      </w:r>
      <w:r w:rsidRPr="009E0F0A">
        <w:t xml:space="preserve">10% </w:t>
      </w:r>
      <w:r>
        <w:t xml:space="preserve">over the following </w:t>
      </w:r>
      <w:r w:rsidRPr="009E0F0A">
        <w:t>four years (2026-2030).</w:t>
      </w:r>
      <w:r w:rsidR="00DE1885">
        <w:t xml:space="preserve"> </w:t>
      </w:r>
      <w:r w:rsidRPr="009E0F0A">
        <w:t>A</w:t>
      </w:r>
      <w:r>
        <w:t xml:space="preserve">t the other extreme, a </w:t>
      </w:r>
      <w:r w:rsidRPr="009E0F0A">
        <w:t>twelve years</w:t>
      </w:r>
      <w:r>
        <w:t xml:space="preserve"> manufacturing conversion period only leads to a negligible reduction by 2026, and a 25% reduction by 2030. There is a difference of about 350 Mt CO</w:t>
      </w:r>
      <w:r w:rsidRPr="00673F80">
        <w:rPr>
          <w:vertAlign w:val="subscript"/>
        </w:rPr>
        <w:t>2</w:t>
      </w:r>
      <w:r>
        <w:t xml:space="preserve">-eq. between the 6 and 12 year manufacturing conversion periods after 2025. </w:t>
      </w:r>
    </w:p>
    <w:p w:rsidR="00F23B5E" w:rsidRDefault="00F712FD" w:rsidP="0092165F">
      <w:pPr>
        <w:spacing w:before="120"/>
      </w:pPr>
      <w:r w:rsidRPr="005465AB">
        <w:rPr>
          <w:noProof/>
          <w:lang w:val="en-US" w:eastAsia="en-US"/>
        </w:rPr>
        <w:lastRenderedPageBreak/>
        <w:drawing>
          <wp:inline distT="0" distB="0" distL="0" distR="0" wp14:anchorId="2AA93029" wp14:editId="37A95196">
            <wp:extent cx="3543300" cy="2144395"/>
            <wp:effectExtent l="0" t="0" r="0" b="825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3B5E" w:rsidRPr="00D440B6" w:rsidRDefault="00F23B5E" w:rsidP="00F23B5E">
      <w:pPr>
        <w:spacing w:before="120" w:after="120"/>
        <w:rPr>
          <w:b/>
          <w:i/>
        </w:rPr>
      </w:pPr>
      <w:r w:rsidRPr="00D440B6">
        <w:rPr>
          <w:b/>
          <w:i/>
        </w:rPr>
        <w:t xml:space="preserve">Figure </w:t>
      </w:r>
      <w:r w:rsidR="009D1167">
        <w:rPr>
          <w:b/>
          <w:i/>
        </w:rPr>
        <w:t>6-</w:t>
      </w:r>
      <w:r>
        <w:rPr>
          <w:b/>
          <w:i/>
        </w:rPr>
        <w:t>1</w:t>
      </w:r>
      <w:r w:rsidR="009D1167">
        <w:rPr>
          <w:b/>
          <w:i/>
        </w:rPr>
        <w:t>7</w:t>
      </w:r>
      <w:r w:rsidRPr="00D440B6">
        <w:rPr>
          <w:b/>
          <w:i/>
        </w:rPr>
        <w:t xml:space="preserve">: Article 5 MIT-3 demand scenario for all R/AC sectors for </w:t>
      </w:r>
      <w:r>
        <w:rPr>
          <w:b/>
          <w:i/>
        </w:rPr>
        <w:t xml:space="preserve">new </w:t>
      </w:r>
      <w:r w:rsidRPr="00D440B6">
        <w:rPr>
          <w:b/>
          <w:i/>
        </w:rPr>
        <w:t xml:space="preserve">manufacturing conversion periods of 6-8-10-12 years </w:t>
      </w:r>
      <w:r w:rsidR="0092165F">
        <w:rPr>
          <w:b/>
          <w:i/>
        </w:rPr>
        <w:t xml:space="preserve">in </w:t>
      </w:r>
      <w:r w:rsidR="0092165F" w:rsidRPr="0092165F">
        <w:rPr>
          <w:b/>
          <w:i/>
        </w:rPr>
        <w:t>Mt CO</w:t>
      </w:r>
      <w:r w:rsidR="0092165F" w:rsidRPr="0092165F">
        <w:rPr>
          <w:b/>
          <w:i/>
          <w:vertAlign w:val="subscript"/>
        </w:rPr>
        <w:t>2</w:t>
      </w:r>
      <w:r w:rsidR="0092165F" w:rsidRPr="0092165F">
        <w:rPr>
          <w:b/>
          <w:i/>
        </w:rPr>
        <w:t>-eq.</w:t>
      </w:r>
      <w:r w:rsidR="0092165F">
        <w:rPr>
          <w:b/>
          <w:i/>
        </w:rPr>
        <w:t xml:space="preserve"> </w:t>
      </w:r>
      <w:r>
        <w:rPr>
          <w:b/>
          <w:i/>
        </w:rPr>
        <w:t>(UNEP, 2015)</w:t>
      </w:r>
    </w:p>
    <w:p w:rsidR="00F23B5E" w:rsidRDefault="00F23B5E" w:rsidP="00F23B5E">
      <w:pPr>
        <w:spacing w:before="120"/>
      </w:pPr>
      <w:r w:rsidRPr="009E0F0A">
        <w:t xml:space="preserve">A twelve year conversion period does not yield a lower demand until after 4-5 years after the start of the conversion in the year 2020. The build-up of the servicing demand (from the manufacturing that has not </w:t>
      </w:r>
      <w:r>
        <w:t xml:space="preserve">yet </w:t>
      </w:r>
      <w:r w:rsidRPr="009E0F0A">
        <w:t xml:space="preserve">been converted) causes this increasing profile in the demand curve (2020-2025). </w:t>
      </w:r>
      <w:r w:rsidR="00C371AF">
        <w:t xml:space="preserve">Ten </w:t>
      </w:r>
      <w:r w:rsidRPr="009E0F0A">
        <w:t>years after the start of the conversion in 2020, a demand reduction of 20-25% can be observed</w:t>
      </w:r>
      <w:r>
        <w:t xml:space="preserve"> in this case</w:t>
      </w:r>
      <w:r w:rsidRPr="009E0F0A">
        <w:t>.</w:t>
      </w:r>
      <w:r>
        <w:t xml:space="preserve"> In the year 2026, the demand for the 12 years conversion period is almost twice as high as for the six years conversion period, which underscores that a rapid conversion will be very important. </w:t>
      </w:r>
      <w:r w:rsidRPr="009E0F0A">
        <w:t>It will be clear that there is a direct relation</w:t>
      </w:r>
      <w:r w:rsidR="00C371AF">
        <w:t>ship</w:t>
      </w:r>
      <w:r w:rsidRPr="009E0F0A">
        <w:t xml:space="preserve"> of the shape of the curves to the conversion period</w:t>
      </w:r>
      <w:r>
        <w:t xml:space="preserve">. There are </w:t>
      </w:r>
      <w:r w:rsidR="00C371AF">
        <w:t xml:space="preserve">also </w:t>
      </w:r>
      <w:r>
        <w:t>cost implications. A</w:t>
      </w:r>
      <w:r w:rsidRPr="009E0F0A">
        <w:t xml:space="preserve"> </w:t>
      </w:r>
      <w:r w:rsidR="00C371AF">
        <w:t>six</w:t>
      </w:r>
      <w:r w:rsidRPr="009E0F0A">
        <w:t xml:space="preserve"> </w:t>
      </w:r>
      <w:r w:rsidRPr="00E92D47">
        <w:t>year conv</w:t>
      </w:r>
      <w:r w:rsidRPr="009E0F0A">
        <w:t xml:space="preserve">ersion period would </w:t>
      </w:r>
      <w:r>
        <w:t xml:space="preserve">imply </w:t>
      </w:r>
      <w:r w:rsidRPr="009E0F0A">
        <w:t xml:space="preserve">twice the </w:t>
      </w:r>
      <w:r>
        <w:t xml:space="preserve">costs </w:t>
      </w:r>
      <w:r w:rsidRPr="009E0F0A">
        <w:t xml:space="preserve">in the first </w:t>
      </w:r>
      <w:r w:rsidR="00C371AF">
        <w:t>six</w:t>
      </w:r>
      <w:r w:rsidRPr="009E0F0A">
        <w:t xml:space="preserve"> years after 2020</w:t>
      </w:r>
      <w:r>
        <w:t xml:space="preserve"> (2021-2026), compared to</w:t>
      </w:r>
      <w:r w:rsidRPr="009E0F0A">
        <w:t xml:space="preserve"> the 12 years conversion period</w:t>
      </w:r>
      <w:r>
        <w:t>, where the same amount will be spread over 12 years</w:t>
      </w:r>
      <w:r w:rsidR="009D1167">
        <w:t xml:space="preserve"> (see chapter 6 in the XXVI/9 Task Force report)</w:t>
      </w:r>
      <w:r>
        <w:t xml:space="preserve">. </w:t>
      </w:r>
    </w:p>
    <w:p w:rsidR="009D1167" w:rsidRDefault="009D1167" w:rsidP="00F23B5E">
      <w:pPr>
        <w:spacing w:before="120"/>
      </w:pPr>
      <w:r>
        <w:t xml:space="preserve">A longer period </w:t>
      </w:r>
      <w:r w:rsidR="00BA6AD6">
        <w:t xml:space="preserve">than 12 years, i.e., 18 years has been considered where it concerns the total demand compared to the 6 </w:t>
      </w:r>
      <w:r w:rsidR="00887BEE">
        <w:t xml:space="preserve">and 12 </w:t>
      </w:r>
      <w:r w:rsidR="00BA6AD6">
        <w:t xml:space="preserve">years conversion period. </w:t>
      </w:r>
      <w:r w:rsidR="00887BEE">
        <w:t xml:space="preserve">The various </w:t>
      </w:r>
      <w:r w:rsidR="00BA6AD6">
        <w:t>demands are given in Figure 6-18</w:t>
      </w:r>
      <w:r w:rsidR="00887BEE">
        <w:t xml:space="preserve"> (with also BAU demand as developing 2020-2024). The demand for a 18 years conversion period first increases (servicing build-up) then decreases after 2028</w:t>
      </w:r>
      <w:r w:rsidR="002A477C">
        <w:t>-2030</w:t>
      </w:r>
      <w:r w:rsidR="00BA6AD6">
        <w:t>.</w:t>
      </w:r>
    </w:p>
    <w:p w:rsidR="009D1167" w:rsidRDefault="00F712FD" w:rsidP="00F23B5E">
      <w:pPr>
        <w:spacing w:before="120"/>
      </w:pPr>
      <w:r w:rsidRPr="008E207F">
        <w:rPr>
          <w:noProof/>
          <w:lang w:val="en-US" w:eastAsia="en-US"/>
        </w:rPr>
        <w:drawing>
          <wp:inline distT="0" distB="0" distL="0" distR="0" wp14:anchorId="75ABC646" wp14:editId="59E26304">
            <wp:extent cx="3972560" cy="2096135"/>
            <wp:effectExtent l="0" t="0" r="8890" b="1841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A6AD6" w:rsidRDefault="00BA6AD6" w:rsidP="00BA6AD6">
      <w:pPr>
        <w:spacing w:before="120" w:after="120"/>
        <w:rPr>
          <w:b/>
          <w:i/>
        </w:rPr>
      </w:pPr>
      <w:r w:rsidRPr="00930C67">
        <w:rPr>
          <w:b/>
          <w:i/>
        </w:rPr>
        <w:t xml:space="preserve">Figure </w:t>
      </w:r>
      <w:r>
        <w:rPr>
          <w:b/>
          <w:i/>
        </w:rPr>
        <w:t>6</w:t>
      </w:r>
      <w:r w:rsidRPr="00930C67">
        <w:rPr>
          <w:b/>
          <w:i/>
        </w:rPr>
        <w:t>-</w:t>
      </w:r>
      <w:r>
        <w:rPr>
          <w:b/>
          <w:i/>
        </w:rPr>
        <w:t>18</w:t>
      </w:r>
      <w:r w:rsidRPr="00930C67">
        <w:rPr>
          <w:b/>
          <w:i/>
        </w:rPr>
        <w:t>: Article 5 MIT-</w:t>
      </w:r>
      <w:r>
        <w:rPr>
          <w:b/>
          <w:i/>
        </w:rPr>
        <w:t>3</w:t>
      </w:r>
      <w:r w:rsidRPr="00930C67">
        <w:rPr>
          <w:b/>
          <w:i/>
        </w:rPr>
        <w:t xml:space="preserve"> </w:t>
      </w:r>
      <w:r>
        <w:rPr>
          <w:b/>
          <w:i/>
        </w:rPr>
        <w:t xml:space="preserve">total demand </w:t>
      </w:r>
      <w:r w:rsidRPr="00930C67">
        <w:rPr>
          <w:b/>
          <w:i/>
        </w:rPr>
        <w:t>scenario</w:t>
      </w:r>
      <w:r w:rsidR="008859ED">
        <w:rPr>
          <w:b/>
          <w:i/>
        </w:rPr>
        <w:t>s</w:t>
      </w:r>
      <w:r w:rsidRPr="00930C67">
        <w:rPr>
          <w:b/>
          <w:i/>
        </w:rPr>
        <w:t xml:space="preserve"> </w:t>
      </w:r>
      <w:r>
        <w:rPr>
          <w:b/>
          <w:i/>
        </w:rPr>
        <w:t>for 6</w:t>
      </w:r>
      <w:r w:rsidR="00887BEE">
        <w:rPr>
          <w:b/>
          <w:i/>
        </w:rPr>
        <w:t xml:space="preserve">, 12 </w:t>
      </w:r>
      <w:r>
        <w:rPr>
          <w:b/>
          <w:i/>
        </w:rPr>
        <w:t>and 18 years manufacturing conversion period</w:t>
      </w:r>
      <w:r w:rsidR="008859ED">
        <w:rPr>
          <w:b/>
          <w:i/>
        </w:rPr>
        <w:t>s</w:t>
      </w:r>
      <w:r>
        <w:rPr>
          <w:b/>
          <w:i/>
        </w:rPr>
        <w:t xml:space="preserve"> (compare also Figure 6-14 </w:t>
      </w:r>
      <w:r w:rsidR="00887BEE">
        <w:rPr>
          <w:b/>
          <w:i/>
        </w:rPr>
        <w:t xml:space="preserve">and 6-17 </w:t>
      </w:r>
      <w:r>
        <w:rPr>
          <w:b/>
          <w:i/>
        </w:rPr>
        <w:t xml:space="preserve">for MIT-3, 6 years </w:t>
      </w:r>
      <w:r w:rsidR="00887BEE">
        <w:rPr>
          <w:b/>
          <w:i/>
        </w:rPr>
        <w:t xml:space="preserve">and 6-8-10-12 years </w:t>
      </w:r>
      <w:r>
        <w:rPr>
          <w:b/>
          <w:i/>
        </w:rPr>
        <w:t>conversion</w:t>
      </w:r>
      <w:r w:rsidR="008859ED">
        <w:rPr>
          <w:b/>
          <w:i/>
        </w:rPr>
        <w:t xml:space="preserve"> periods</w:t>
      </w:r>
      <w:r>
        <w:rPr>
          <w:b/>
          <w:i/>
        </w:rPr>
        <w:t>)</w:t>
      </w:r>
    </w:p>
    <w:p w:rsidR="008859ED" w:rsidRDefault="00887BEE" w:rsidP="008859ED">
      <w:pPr>
        <w:spacing w:after="240"/>
      </w:pPr>
      <w:r>
        <w:t>Whereas the 6 and 12 years conversion periods result in a demand decrease after 2020, the 18 years conversion period yields a</w:t>
      </w:r>
      <w:r w:rsidR="009C03C8">
        <w:t xml:space="preserve">n almost </w:t>
      </w:r>
      <w:r w:rsidR="002A477C">
        <w:t>10</w:t>
      </w:r>
      <w:r>
        <w:t>% increase in demand first, until the year 20</w:t>
      </w:r>
      <w:r w:rsidR="000D26B8">
        <w:t>30</w:t>
      </w:r>
      <w:r w:rsidR="008859ED">
        <w:t xml:space="preserve">, then starts to decrease and reaches the 2020 </w:t>
      </w:r>
      <w:r w:rsidR="000D26B8">
        <w:t xml:space="preserve">demand </w:t>
      </w:r>
      <w:r w:rsidR="009C03C8">
        <w:t xml:space="preserve">level </w:t>
      </w:r>
      <w:r w:rsidR="008859ED">
        <w:t>again in the year 2037</w:t>
      </w:r>
      <w:r>
        <w:t xml:space="preserve">. </w:t>
      </w:r>
    </w:p>
    <w:p w:rsidR="008859ED" w:rsidRDefault="00887BEE" w:rsidP="008859ED">
      <w:pPr>
        <w:spacing w:after="240"/>
      </w:pPr>
      <w:r>
        <w:t xml:space="preserve">This is due to the build-up of servicing demand </w:t>
      </w:r>
      <w:r w:rsidR="00BF7001">
        <w:t xml:space="preserve">from </w:t>
      </w:r>
      <w:r>
        <w:t xml:space="preserve">HFC products </w:t>
      </w:r>
      <w:r w:rsidR="00BF7001">
        <w:t xml:space="preserve">still being </w:t>
      </w:r>
      <w:r>
        <w:t xml:space="preserve">manufactured, while there is economic growth for the various R/AC sub-sectors. The 6 years conversion has </w:t>
      </w:r>
      <w:r>
        <w:lastRenderedPageBreak/>
        <w:t xml:space="preserve">no high GWP servicing demand after 2032-2034, the 12 years conversion has high GWP </w:t>
      </w:r>
      <w:r w:rsidR="002A477C">
        <w:t xml:space="preserve">HFC </w:t>
      </w:r>
      <w:r>
        <w:t xml:space="preserve">servicing demand until </w:t>
      </w:r>
      <w:r w:rsidR="00A80A8F">
        <w:t xml:space="preserve">2042-2044, </w:t>
      </w:r>
      <w:r w:rsidR="008859ED">
        <w:t xml:space="preserve">for the 18 years conversion period </w:t>
      </w:r>
      <w:r w:rsidR="00A80A8F">
        <w:t xml:space="preserve">there is still some high GWP servicing demand </w:t>
      </w:r>
      <w:r w:rsidR="002A477C">
        <w:t xml:space="preserve">until around </w:t>
      </w:r>
      <w:r w:rsidR="00A80A8F">
        <w:t>2050.</w:t>
      </w:r>
      <w:r w:rsidR="008859ED">
        <w:t xml:space="preserve"> </w:t>
      </w:r>
    </w:p>
    <w:p w:rsidR="00887BEE" w:rsidRPr="00887BEE" w:rsidRDefault="008859ED" w:rsidP="008859ED">
      <w:pPr>
        <w:spacing w:after="240"/>
      </w:pPr>
      <w:r>
        <w:t>The demand for the period 2020-2050 for a 6 years conversion period is about 15,800 Mt CO</w:t>
      </w:r>
      <w:r w:rsidRPr="008859ED">
        <w:rPr>
          <w:vertAlign w:val="subscript"/>
        </w:rPr>
        <w:t>2</w:t>
      </w:r>
      <w:r>
        <w:t>-eq., increases to 20,500 Mt CO</w:t>
      </w:r>
      <w:r w:rsidRPr="008859ED">
        <w:rPr>
          <w:vertAlign w:val="subscript"/>
        </w:rPr>
        <w:t>2</w:t>
      </w:r>
      <w:r>
        <w:t>-eq. for a 12 years, and to 2</w:t>
      </w:r>
      <w:r w:rsidR="002A477C">
        <w:t>7</w:t>
      </w:r>
      <w:r>
        <w:t>,000 Mt CO</w:t>
      </w:r>
      <w:r w:rsidRPr="008859ED">
        <w:rPr>
          <w:vertAlign w:val="subscript"/>
        </w:rPr>
        <w:t>2</w:t>
      </w:r>
      <w:r>
        <w:t xml:space="preserve">-eq. for a 18 years conversion period, a </w:t>
      </w:r>
      <w:r w:rsidR="002A477C">
        <w:t>7</w:t>
      </w:r>
      <w:r w:rsidR="000D26B8">
        <w:t>0</w:t>
      </w:r>
      <w:r>
        <w:t xml:space="preserve">% increase compared to the 6 years conversion period.    </w:t>
      </w:r>
      <w:r w:rsidR="00A80A8F">
        <w:t xml:space="preserve"> </w:t>
      </w:r>
      <w:r w:rsidR="00887BEE">
        <w:t xml:space="preserve">  </w:t>
      </w:r>
    </w:p>
    <w:p w:rsidR="00F23B5E" w:rsidRDefault="009D1167" w:rsidP="00F23B5E">
      <w:pPr>
        <w:pStyle w:val="Heading3"/>
        <w:spacing w:before="120"/>
      </w:pPr>
      <w:bookmarkStart w:id="113" w:name="_Toc452653402"/>
      <w:r>
        <w:t>6</w:t>
      </w:r>
      <w:r w:rsidR="00F23B5E" w:rsidRPr="0045590D">
        <w:t>.</w:t>
      </w:r>
      <w:r w:rsidR="00F23B5E">
        <w:t>5.4</w:t>
      </w:r>
      <w:r w:rsidR="00F23B5E" w:rsidRPr="0045590D">
        <w:tab/>
        <w:t>MIT-4 scenario</w:t>
      </w:r>
      <w:bookmarkEnd w:id="113"/>
      <w:r w:rsidR="00F23B5E" w:rsidRPr="0045590D">
        <w:t xml:space="preserve"> </w:t>
      </w:r>
    </w:p>
    <w:p w:rsidR="00F23B5E" w:rsidRDefault="00F712FD" w:rsidP="00F23B5E">
      <w:pPr>
        <w:spacing w:before="120"/>
      </w:pPr>
      <w:r>
        <w:rPr>
          <w:rFonts w:ascii="Tahoma" w:hAnsi="Tahoma" w:cs="Tahoma"/>
          <w:b/>
          <w:noProof/>
          <w:lang w:val="en-US" w:eastAsia="en-US"/>
        </w:rPr>
        <w:drawing>
          <wp:inline distT="0" distB="0" distL="0" distR="0" wp14:anchorId="5CFD6665" wp14:editId="004E17A6">
            <wp:extent cx="4000500" cy="27565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2756535"/>
                    </a:xfrm>
                    <a:prstGeom prst="rect">
                      <a:avLst/>
                    </a:prstGeom>
                    <a:noFill/>
                  </pic:spPr>
                </pic:pic>
              </a:graphicData>
            </a:graphic>
          </wp:inline>
        </w:drawing>
      </w:r>
    </w:p>
    <w:p w:rsidR="00F23B5E" w:rsidRDefault="00F23B5E" w:rsidP="00F23B5E">
      <w:pPr>
        <w:spacing w:before="120" w:after="120"/>
        <w:rPr>
          <w:b/>
          <w:i/>
        </w:rPr>
      </w:pPr>
      <w:r w:rsidRPr="00930C67">
        <w:rPr>
          <w:b/>
          <w:i/>
        </w:rPr>
        <w:t xml:space="preserve">Figure </w:t>
      </w:r>
      <w:r w:rsidR="00BA6AD6">
        <w:rPr>
          <w:b/>
          <w:i/>
        </w:rPr>
        <w:t>6</w:t>
      </w:r>
      <w:r w:rsidRPr="00930C67">
        <w:rPr>
          <w:b/>
          <w:i/>
        </w:rPr>
        <w:t>-</w:t>
      </w:r>
      <w:r>
        <w:rPr>
          <w:b/>
          <w:i/>
        </w:rPr>
        <w:t>1</w:t>
      </w:r>
      <w:r w:rsidR="00BA6AD6">
        <w:rPr>
          <w:b/>
          <w:i/>
        </w:rPr>
        <w:t>9</w:t>
      </w:r>
      <w:r w:rsidRPr="00930C67">
        <w:rPr>
          <w:b/>
          <w:i/>
        </w:rPr>
        <w:t>: Article 5 MIT-</w:t>
      </w:r>
      <w:r>
        <w:rPr>
          <w:b/>
          <w:i/>
        </w:rPr>
        <w:t>4</w:t>
      </w:r>
      <w:r w:rsidRPr="00930C67">
        <w:rPr>
          <w:b/>
          <w:i/>
        </w:rPr>
        <w:t xml:space="preserve"> </w:t>
      </w:r>
      <w:r>
        <w:rPr>
          <w:b/>
          <w:i/>
        </w:rPr>
        <w:t xml:space="preserve">total demand </w:t>
      </w:r>
      <w:r w:rsidRPr="00930C67">
        <w:rPr>
          <w:b/>
          <w:i/>
        </w:rPr>
        <w:t xml:space="preserve">scenario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 xml:space="preserve">-eq. (compare Figure </w:t>
      </w:r>
      <w:r w:rsidR="00BA6AD6">
        <w:rPr>
          <w:b/>
          <w:i/>
        </w:rPr>
        <w:t>6</w:t>
      </w:r>
      <w:r>
        <w:rPr>
          <w:b/>
          <w:i/>
        </w:rPr>
        <w:t>-1</w:t>
      </w:r>
      <w:r w:rsidR="00BA6AD6">
        <w:rPr>
          <w:b/>
          <w:i/>
        </w:rPr>
        <w:t>4</w:t>
      </w:r>
      <w:r>
        <w:rPr>
          <w:b/>
          <w:i/>
        </w:rPr>
        <w:t xml:space="preserve"> for MIT-3)</w:t>
      </w:r>
    </w:p>
    <w:p w:rsidR="00F23B5E" w:rsidRDefault="00F23B5E" w:rsidP="00F23B5E">
      <w:pPr>
        <w:spacing w:before="120" w:after="120"/>
      </w:pPr>
      <w:r>
        <w:t xml:space="preserve">Figure </w:t>
      </w:r>
      <w:r w:rsidR="00BA6AD6">
        <w:t>6</w:t>
      </w:r>
      <w:r>
        <w:t>-1</w:t>
      </w:r>
      <w:r w:rsidR="00BA6AD6">
        <w:t xml:space="preserve">9 </w:t>
      </w:r>
      <w:r>
        <w:t xml:space="preserve">includes both manufacturing and servicing, and is the same as Fig </w:t>
      </w:r>
      <w:r w:rsidR="00BA6AD6">
        <w:t>6</w:t>
      </w:r>
      <w:r>
        <w:t>-1</w:t>
      </w:r>
      <w:r w:rsidR="00BA6AD6">
        <w:t>4</w:t>
      </w:r>
      <w:r>
        <w:t xml:space="preserve"> for MIT-3, except for the stationary AC sub-sector graph (in green), which continues to increase until 2025, before declining. MIT-4 parameters are otherwise identical to MIT-3 (replacement refrigerant blends GWP 300; 6 year manufacturing conversion). </w:t>
      </w:r>
    </w:p>
    <w:p w:rsidR="00F23B5E" w:rsidRDefault="00F23B5E" w:rsidP="00F23B5E">
      <w:pPr>
        <w:spacing w:after="120"/>
      </w:pPr>
      <w:r>
        <w:t xml:space="preserve">Figure </w:t>
      </w:r>
      <w:r w:rsidR="00BA6AD6">
        <w:t>6</w:t>
      </w:r>
      <w:r>
        <w:t>-</w:t>
      </w:r>
      <w:r w:rsidR="00BA6AD6">
        <w:t>20</w:t>
      </w:r>
      <w:r>
        <w:t xml:space="preserve"> also shows the data for HFCs used in new manufacturing only. The various sub-sectors now decline to zero new manufacturing demand at different times. </w:t>
      </w:r>
    </w:p>
    <w:p w:rsidR="00F23B5E" w:rsidRDefault="00F23B5E" w:rsidP="00F23B5E">
      <w:pPr>
        <w:spacing w:after="120"/>
      </w:pPr>
      <w:r>
        <w:t>Demand in GWP weighted terms increases again after 2030-2032.</w:t>
      </w:r>
    </w:p>
    <w:p w:rsidR="00F23B5E" w:rsidRPr="001E33A7" w:rsidRDefault="00F712FD" w:rsidP="00F23B5E">
      <w:pPr>
        <w:spacing w:before="120" w:after="120"/>
        <w:rPr>
          <w:b/>
          <w:highlight w:val="yellow"/>
        </w:rPr>
      </w:pPr>
      <w:r w:rsidRPr="00B0643A">
        <w:rPr>
          <w:noProof/>
          <w:lang w:val="en-US" w:eastAsia="en-US"/>
        </w:rPr>
        <w:lastRenderedPageBreak/>
        <w:drawing>
          <wp:inline distT="0" distB="0" distL="0" distR="0" wp14:anchorId="4EEDDE72" wp14:editId="167B9C87">
            <wp:extent cx="4217670" cy="2799715"/>
            <wp:effectExtent l="0" t="0" r="0" b="635"/>
            <wp:docPr id="2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7670" cy="2799715"/>
                    </a:xfrm>
                    <a:prstGeom prst="rect">
                      <a:avLst/>
                    </a:prstGeom>
                    <a:noFill/>
                    <a:ln>
                      <a:noFill/>
                    </a:ln>
                  </pic:spPr>
                </pic:pic>
              </a:graphicData>
            </a:graphic>
          </wp:inline>
        </w:drawing>
      </w:r>
    </w:p>
    <w:p w:rsidR="00F23B5E" w:rsidRPr="00CD5837" w:rsidRDefault="00F23B5E" w:rsidP="00DE1885">
      <w:pPr>
        <w:spacing w:before="120" w:after="240"/>
        <w:rPr>
          <w:b/>
          <w:i/>
        </w:rPr>
      </w:pPr>
      <w:r>
        <w:rPr>
          <w:b/>
          <w:i/>
        </w:rPr>
        <w:t>Figure</w:t>
      </w:r>
      <w:r w:rsidRPr="00CD5837">
        <w:rPr>
          <w:b/>
          <w:i/>
        </w:rPr>
        <w:t xml:space="preserve"> </w:t>
      </w:r>
      <w:r w:rsidR="00BA6AD6">
        <w:rPr>
          <w:b/>
          <w:i/>
        </w:rPr>
        <w:t>6-20</w:t>
      </w:r>
      <w:r w:rsidRPr="00CD5837">
        <w:rPr>
          <w:b/>
          <w:i/>
        </w:rPr>
        <w:t>: Article 5 MIT-</w:t>
      </w:r>
      <w:r>
        <w:rPr>
          <w:b/>
          <w:i/>
        </w:rPr>
        <w:t>4</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(compare Fig. </w:t>
      </w:r>
      <w:r w:rsidR="00BA6AD6">
        <w:rPr>
          <w:b/>
          <w:i/>
        </w:rPr>
        <w:t>6-15</w:t>
      </w:r>
      <w:r>
        <w:rPr>
          <w:b/>
          <w:i/>
        </w:rPr>
        <w:t xml:space="preserve"> for MIT-3)</w:t>
      </w:r>
    </w:p>
    <w:p w:rsidR="00F23B5E" w:rsidRPr="00CD5837" w:rsidRDefault="00F712FD" w:rsidP="00F23B5E">
      <w:pPr>
        <w:spacing w:before="120" w:after="120"/>
      </w:pPr>
      <w:r>
        <w:rPr>
          <w:rFonts w:ascii="Tahoma" w:hAnsi="Tahoma" w:cs="Tahoma"/>
          <w:b/>
          <w:noProof/>
          <w:lang w:val="en-US" w:eastAsia="en-US"/>
        </w:rPr>
        <w:drawing>
          <wp:inline distT="0" distB="0" distL="0" distR="0" wp14:anchorId="1F309221" wp14:editId="2562C07A">
            <wp:extent cx="4229100" cy="27889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9100" cy="2788920"/>
                    </a:xfrm>
                    <a:prstGeom prst="rect">
                      <a:avLst/>
                    </a:prstGeom>
                    <a:noFill/>
                  </pic:spPr>
                </pic:pic>
              </a:graphicData>
            </a:graphic>
          </wp:inline>
        </w:drawing>
      </w:r>
    </w:p>
    <w:p w:rsidR="00F23B5E" w:rsidRDefault="00F23B5E" w:rsidP="00307755">
      <w:pPr>
        <w:spacing w:before="240" w:after="120"/>
        <w:rPr>
          <w:b/>
          <w:i/>
        </w:rPr>
      </w:pPr>
      <w:r w:rsidRPr="00CD5837">
        <w:rPr>
          <w:b/>
          <w:i/>
        </w:rPr>
        <w:t xml:space="preserve">Figure </w:t>
      </w:r>
      <w:r w:rsidR="00BA6AD6">
        <w:rPr>
          <w:b/>
          <w:i/>
        </w:rPr>
        <w:t>6-21</w:t>
      </w:r>
      <w:r w:rsidRPr="00CD5837">
        <w:rPr>
          <w:b/>
          <w:i/>
        </w:rPr>
        <w:t>: Article 5 MIT-</w:t>
      </w:r>
      <w:r>
        <w:rPr>
          <w:b/>
          <w:i/>
        </w:rPr>
        <w:t>4</w:t>
      </w:r>
      <w:r w:rsidRPr="00CD5837">
        <w:rPr>
          <w:b/>
          <w:i/>
        </w:rPr>
        <w:t xml:space="preserve"> scenario with </w:t>
      </w:r>
      <w:r>
        <w:rPr>
          <w:b/>
          <w:i/>
        </w:rPr>
        <w:t>the servicing demand for the various sub-sectors</w:t>
      </w:r>
      <w:r w:rsidR="0092165F">
        <w:rPr>
          <w:b/>
          <w:i/>
        </w:rPr>
        <w:t xml:space="preserve"> in</w:t>
      </w:r>
      <w:r>
        <w:rPr>
          <w:b/>
          <w:i/>
        </w:rPr>
        <w:t xml:space="preserve">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(stationary AC starting in 2025, and assuming a </w:t>
      </w:r>
      <w:r w:rsidRPr="00CD5837">
        <w:rPr>
          <w:b/>
          <w:i/>
        </w:rPr>
        <w:t xml:space="preserve">conversion </w:t>
      </w:r>
      <w:r>
        <w:rPr>
          <w:b/>
          <w:i/>
        </w:rPr>
        <w:t xml:space="preserve">of manufacturing over a period of </w:t>
      </w:r>
      <w:r w:rsidR="006C1D49">
        <w:rPr>
          <w:b/>
          <w:i/>
        </w:rPr>
        <w:t>six years</w:t>
      </w:r>
      <w:r w:rsidRPr="00CD5837">
        <w:rPr>
          <w:b/>
          <w:i/>
        </w:rPr>
        <w:t>)</w:t>
      </w:r>
      <w:r>
        <w:rPr>
          <w:b/>
          <w:i/>
        </w:rPr>
        <w:t xml:space="preserve"> (compare Fig. </w:t>
      </w:r>
      <w:r w:rsidR="00BA6AD6">
        <w:rPr>
          <w:b/>
          <w:i/>
        </w:rPr>
        <w:t>6-16</w:t>
      </w:r>
      <w:r>
        <w:rPr>
          <w:b/>
          <w:i/>
        </w:rPr>
        <w:t xml:space="preserve"> for MIT-3)</w:t>
      </w:r>
    </w:p>
    <w:p w:rsidR="00F23B5E" w:rsidRDefault="00F23B5E" w:rsidP="00F23B5E">
      <w:pPr>
        <w:spacing w:before="120" w:after="120"/>
      </w:pPr>
      <w:r>
        <w:t xml:space="preserve">In 2020-2025, demand for new manufacturing peaks at about 550 Mt </w:t>
      </w:r>
      <w:r w:rsidRPr="00CD5837">
        <w:t>CO</w:t>
      </w:r>
      <w:r w:rsidRPr="00CD5837">
        <w:rPr>
          <w:vertAlign w:val="subscript"/>
        </w:rPr>
        <w:t>2</w:t>
      </w:r>
      <w:r w:rsidRPr="00CD5837">
        <w:t>-eq</w:t>
      </w:r>
      <w:r>
        <w:t xml:space="preserve">, and demand for servicing is about 300 Mt </w:t>
      </w:r>
      <w:r w:rsidRPr="00CD5837">
        <w:t>CO</w:t>
      </w:r>
      <w:r w:rsidRPr="00CD5837">
        <w:rPr>
          <w:vertAlign w:val="subscript"/>
        </w:rPr>
        <w:t>2</w:t>
      </w:r>
      <w:r w:rsidRPr="00CD5837">
        <w:t>-eq</w:t>
      </w:r>
      <w:r>
        <w:t>, but by 2026, these values are reversed</w:t>
      </w:r>
      <w:r w:rsidRPr="00CD5837">
        <w:t>.</w:t>
      </w:r>
      <w:r>
        <w:t xml:space="preserve"> Servicing demand peaks around 2027, at a high level of about 560 Mt </w:t>
      </w:r>
      <w:r w:rsidRPr="00CD5837">
        <w:t>CO</w:t>
      </w:r>
      <w:r w:rsidRPr="00CD5837">
        <w:rPr>
          <w:vertAlign w:val="subscript"/>
        </w:rPr>
        <w:t>2</w:t>
      </w:r>
      <w:r w:rsidRPr="00CD5837">
        <w:t>-eq.</w:t>
      </w:r>
      <w:r>
        <w:t>, due to the late conversion of the stationary AC sector (assumed to rely on the refrigerants R-410A and R-407C).</w:t>
      </w:r>
    </w:p>
    <w:p w:rsidR="00F23B5E" w:rsidRPr="00CD5837" w:rsidRDefault="00F23B5E" w:rsidP="00F23B5E">
      <w:r>
        <w:t xml:space="preserve">The above graphs give a good impression of the impact of the stationary AC sector. </w:t>
      </w:r>
    </w:p>
    <w:p w:rsidR="00F23B5E" w:rsidRDefault="00F23B5E" w:rsidP="00F23B5E">
      <w:pPr>
        <w:pStyle w:val="NormalBold"/>
        <w:tabs>
          <w:tab w:val="clear" w:pos="1080"/>
        </w:tabs>
        <w:spacing w:after="0"/>
        <w:jc w:val="left"/>
        <w:rPr>
          <w:b w:val="0"/>
          <w:i w:val="0"/>
        </w:rPr>
      </w:pPr>
    </w:p>
    <w:p w:rsidR="00F23B5E" w:rsidRDefault="00BA6AD6" w:rsidP="00F23B5E">
      <w:pPr>
        <w:pStyle w:val="Heading3"/>
        <w:spacing w:before="120"/>
      </w:pPr>
      <w:bookmarkStart w:id="114" w:name="_Toc452653403"/>
      <w:r>
        <w:lastRenderedPageBreak/>
        <w:t>6</w:t>
      </w:r>
      <w:r w:rsidR="00F23B5E">
        <w:t>.5.5</w:t>
      </w:r>
      <w:r w:rsidR="00F23B5E">
        <w:tab/>
        <w:t>Impact of manufacturing conversion periods in the MIT-4 scenario</w:t>
      </w:r>
      <w:bookmarkEnd w:id="114"/>
    </w:p>
    <w:p w:rsidR="00F23B5E" w:rsidRDefault="00F712FD" w:rsidP="00F23B5E">
      <w:pPr>
        <w:spacing w:before="240"/>
        <w:rPr>
          <w:b/>
          <w:noProof/>
          <w:lang w:val="en-US" w:eastAsia="en-US"/>
        </w:rPr>
      </w:pPr>
      <w:r w:rsidRPr="001A26A7">
        <w:rPr>
          <w:noProof/>
          <w:lang w:val="en-US" w:eastAsia="en-US"/>
        </w:rPr>
        <w:drawing>
          <wp:inline distT="0" distB="0" distL="0" distR="0" wp14:anchorId="587EBC8B" wp14:editId="1114117E">
            <wp:extent cx="3790315" cy="2313940"/>
            <wp:effectExtent l="0" t="0" r="635" b="1016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23B5E" w:rsidRDefault="00F23B5E" w:rsidP="00F23B5E">
      <w:pPr>
        <w:spacing w:before="120" w:after="120"/>
        <w:rPr>
          <w:b/>
          <w:i/>
        </w:rPr>
      </w:pPr>
      <w:r w:rsidRPr="00D440B6">
        <w:rPr>
          <w:b/>
          <w:i/>
        </w:rPr>
        <w:t xml:space="preserve">Figure </w:t>
      </w:r>
      <w:r w:rsidR="00BA6AD6">
        <w:rPr>
          <w:b/>
          <w:i/>
        </w:rPr>
        <w:t>6</w:t>
      </w:r>
      <w:r w:rsidRPr="00D440B6">
        <w:rPr>
          <w:b/>
          <w:i/>
        </w:rPr>
        <w:t>-</w:t>
      </w:r>
      <w:r>
        <w:rPr>
          <w:b/>
          <w:i/>
        </w:rPr>
        <w:t>2</w:t>
      </w:r>
      <w:r w:rsidR="00BA6AD6">
        <w:rPr>
          <w:b/>
          <w:i/>
        </w:rPr>
        <w:t>2</w:t>
      </w:r>
      <w:r w:rsidRPr="00D440B6">
        <w:rPr>
          <w:b/>
          <w:i/>
        </w:rPr>
        <w:t>: Article 5 MIT-</w:t>
      </w:r>
      <w:r>
        <w:rPr>
          <w:b/>
          <w:i/>
        </w:rPr>
        <w:t>4</w:t>
      </w:r>
      <w:r w:rsidRPr="00D440B6">
        <w:rPr>
          <w:b/>
          <w:i/>
        </w:rPr>
        <w:t xml:space="preserve"> demand scenario for all R/AC sectors </w:t>
      </w:r>
      <w:r>
        <w:rPr>
          <w:b/>
          <w:i/>
        </w:rPr>
        <w:t xml:space="preserve">combined </w:t>
      </w:r>
      <w:r w:rsidRPr="00D440B6">
        <w:rPr>
          <w:b/>
          <w:i/>
        </w:rPr>
        <w:t xml:space="preserve">for </w:t>
      </w:r>
      <w:r>
        <w:rPr>
          <w:b/>
          <w:i/>
        </w:rPr>
        <w:t xml:space="preserve">new </w:t>
      </w:r>
      <w:r w:rsidRPr="00D440B6">
        <w:rPr>
          <w:b/>
          <w:i/>
        </w:rPr>
        <w:t xml:space="preserve">manufacturing conversion periods of 6-8-10-12 </w:t>
      </w:r>
      <w:r w:rsidRPr="0092165F">
        <w:rPr>
          <w:b/>
          <w:i/>
        </w:rPr>
        <w:t xml:space="preserve">years </w:t>
      </w:r>
      <w:r w:rsidR="0092165F" w:rsidRPr="0092165F">
        <w:rPr>
          <w:b/>
          <w:i/>
        </w:rPr>
        <w:t>in Mt CO</w:t>
      </w:r>
      <w:r w:rsidR="0092165F" w:rsidRPr="0092165F">
        <w:rPr>
          <w:b/>
          <w:i/>
          <w:vertAlign w:val="subscript"/>
        </w:rPr>
        <w:t>2</w:t>
      </w:r>
      <w:r w:rsidR="0092165F" w:rsidRPr="0092165F">
        <w:rPr>
          <w:b/>
          <w:i/>
        </w:rPr>
        <w:t xml:space="preserve">-eq. </w:t>
      </w:r>
      <w:r>
        <w:rPr>
          <w:b/>
          <w:i/>
        </w:rPr>
        <w:t xml:space="preserve">(compare Figure </w:t>
      </w:r>
      <w:r w:rsidR="00BA6AD6">
        <w:rPr>
          <w:b/>
          <w:i/>
        </w:rPr>
        <w:t>6</w:t>
      </w:r>
      <w:r>
        <w:rPr>
          <w:b/>
          <w:i/>
        </w:rPr>
        <w:t>-1</w:t>
      </w:r>
      <w:r w:rsidR="00BA6AD6">
        <w:rPr>
          <w:b/>
          <w:i/>
        </w:rPr>
        <w:t>7</w:t>
      </w:r>
      <w:r>
        <w:rPr>
          <w:b/>
          <w:i/>
        </w:rPr>
        <w:t xml:space="preserve"> for the MIT-3 scenario) (UNEP, 2015)</w:t>
      </w:r>
    </w:p>
    <w:p w:rsidR="00F23B5E" w:rsidRDefault="00F23B5E" w:rsidP="00F23B5E">
      <w:pPr>
        <w:pStyle w:val="NormalBold"/>
        <w:tabs>
          <w:tab w:val="clear" w:pos="1080"/>
        </w:tabs>
        <w:spacing w:before="120" w:after="0"/>
        <w:jc w:val="left"/>
        <w:rPr>
          <w:b w:val="0"/>
          <w:i w:val="0"/>
        </w:rPr>
      </w:pPr>
      <w:r>
        <w:rPr>
          <w:b w:val="0"/>
          <w:i w:val="0"/>
        </w:rPr>
        <w:t>Impact of the rate of manufacturing conversion: a</w:t>
      </w:r>
      <w:r w:rsidRPr="00D440B6">
        <w:rPr>
          <w:b w:val="0"/>
          <w:i w:val="0"/>
        </w:rPr>
        <w:t xml:space="preserve"> </w:t>
      </w:r>
      <w:r>
        <w:rPr>
          <w:b w:val="0"/>
          <w:i w:val="0"/>
        </w:rPr>
        <w:t>long period of</w:t>
      </w:r>
      <w:r w:rsidRPr="00D440B6">
        <w:rPr>
          <w:b w:val="0"/>
          <w:i w:val="0"/>
        </w:rPr>
        <w:t xml:space="preserve"> </w:t>
      </w:r>
      <w:r>
        <w:rPr>
          <w:b w:val="0"/>
          <w:i w:val="0"/>
        </w:rPr>
        <w:t xml:space="preserve">manufacturing </w:t>
      </w:r>
      <w:r w:rsidRPr="00D440B6">
        <w:rPr>
          <w:b w:val="0"/>
          <w:i w:val="0"/>
        </w:rPr>
        <w:t xml:space="preserve">conversion will </w:t>
      </w:r>
      <w:r>
        <w:rPr>
          <w:b w:val="0"/>
          <w:i w:val="0"/>
        </w:rPr>
        <w:t>result in</w:t>
      </w:r>
      <w:r w:rsidRPr="00D440B6">
        <w:rPr>
          <w:b w:val="0"/>
          <w:i w:val="0"/>
        </w:rPr>
        <w:t xml:space="preserve"> a</w:t>
      </w:r>
      <w:r>
        <w:rPr>
          <w:b w:val="0"/>
          <w:i w:val="0"/>
        </w:rPr>
        <w:t>n enhanced and long-lasting</w:t>
      </w:r>
      <w:r w:rsidRPr="00D440B6">
        <w:rPr>
          <w:b w:val="0"/>
          <w:i w:val="0"/>
        </w:rPr>
        <w:t xml:space="preserve"> demand for </w:t>
      </w:r>
      <w:r>
        <w:rPr>
          <w:b w:val="0"/>
          <w:i w:val="0"/>
        </w:rPr>
        <w:t xml:space="preserve">high-GWP HFCs for </w:t>
      </w:r>
      <w:r w:rsidRPr="00D440B6">
        <w:rPr>
          <w:b w:val="0"/>
          <w:i w:val="0"/>
        </w:rPr>
        <w:t>servicing</w:t>
      </w:r>
      <w:r>
        <w:rPr>
          <w:b w:val="0"/>
          <w:i w:val="0"/>
        </w:rPr>
        <w:t xml:space="preserve">. </w:t>
      </w:r>
    </w:p>
    <w:p w:rsidR="00F23B5E" w:rsidRDefault="00F23B5E" w:rsidP="00F23B5E">
      <w:pPr>
        <w:pStyle w:val="NormalBold"/>
        <w:tabs>
          <w:tab w:val="clear" w:pos="1080"/>
        </w:tabs>
        <w:spacing w:after="0"/>
        <w:jc w:val="left"/>
        <w:rPr>
          <w:b w:val="0"/>
          <w:i w:val="0"/>
        </w:rPr>
      </w:pPr>
    </w:p>
    <w:p w:rsidR="00F23B5E" w:rsidRDefault="00F23B5E" w:rsidP="00F23B5E">
      <w:r w:rsidRPr="00D440B6">
        <w:t xml:space="preserve">Fig. </w:t>
      </w:r>
      <w:r w:rsidR="0033511F">
        <w:t>6</w:t>
      </w:r>
      <w:r w:rsidRPr="00D440B6">
        <w:t>-</w:t>
      </w:r>
      <w:r>
        <w:t>2</w:t>
      </w:r>
      <w:r w:rsidR="0033511F">
        <w:t>2</w:t>
      </w:r>
      <w:r w:rsidRPr="00D440B6">
        <w:t xml:space="preserve"> gives the </w:t>
      </w:r>
      <w:r w:rsidR="00C371AF">
        <w:t xml:space="preserve">four </w:t>
      </w:r>
      <w:r w:rsidRPr="00D440B6">
        <w:t xml:space="preserve">curves for the </w:t>
      </w:r>
      <w:r w:rsidR="00C371AF">
        <w:t xml:space="preserve">six, eight, ten </w:t>
      </w:r>
      <w:r w:rsidRPr="00D440B6">
        <w:t xml:space="preserve">and 12 years manufacturing </w:t>
      </w:r>
      <w:r w:rsidR="00C371AF">
        <w:t>c</w:t>
      </w:r>
      <w:r w:rsidRPr="00D440B6">
        <w:t xml:space="preserve">onversion periods for all refrigeration and AC </w:t>
      </w:r>
      <w:r>
        <w:t>sub-sectors</w:t>
      </w:r>
      <w:r w:rsidRPr="00D440B6">
        <w:t xml:space="preserve"> together</w:t>
      </w:r>
      <w:r>
        <w:t xml:space="preserve"> (as in (UNEP, 2015))</w:t>
      </w:r>
      <w:r w:rsidRPr="00D440B6">
        <w:t>.</w:t>
      </w:r>
      <w:r>
        <w:t xml:space="preserve"> The delayed manufacturing conversion for stationary AC from 2020 to 2025 makes a large difference in the high-GWP demand.</w:t>
      </w:r>
      <w:r w:rsidRPr="00D440B6">
        <w:t xml:space="preserve"> </w:t>
      </w:r>
    </w:p>
    <w:p w:rsidR="00F23B5E" w:rsidRDefault="00F23B5E" w:rsidP="00F23B5E"/>
    <w:p w:rsidR="00F23B5E" w:rsidRPr="00F96722" w:rsidRDefault="00F23B5E" w:rsidP="00F23B5E">
      <w:pPr>
        <w:spacing w:after="120"/>
      </w:pPr>
      <w:r w:rsidRPr="00F96722">
        <w:t xml:space="preserve">For a </w:t>
      </w:r>
      <w:r w:rsidR="00C371AF">
        <w:t>six</w:t>
      </w:r>
      <w:r w:rsidRPr="00F96722">
        <w:t xml:space="preserve"> year conversion period</w:t>
      </w:r>
      <w:r>
        <w:t xml:space="preserve">, the </w:t>
      </w:r>
      <w:r w:rsidRPr="00F96722">
        <w:t xml:space="preserve">HFC demand </w:t>
      </w:r>
      <w:r>
        <w:t xml:space="preserve">for MIT-3 and MIT-4 </w:t>
      </w:r>
      <w:r w:rsidRPr="00F96722">
        <w:t>is projected for 2030 as</w:t>
      </w:r>
      <w:r>
        <w:t xml:space="preserve"> (compare Figs. </w:t>
      </w:r>
      <w:r w:rsidR="00BA6AD6">
        <w:t>6</w:t>
      </w:r>
      <w:r>
        <w:t>-1</w:t>
      </w:r>
      <w:r w:rsidR="00BA6AD6">
        <w:t>7</w:t>
      </w:r>
      <w:r>
        <w:t xml:space="preserve"> and </w:t>
      </w:r>
      <w:r w:rsidR="00BA6AD6">
        <w:t>6</w:t>
      </w:r>
      <w:r>
        <w:t>-2</w:t>
      </w:r>
      <w:r w:rsidR="00BA6AD6">
        <w:t>2</w:t>
      </w:r>
      <w:r>
        <w:t>)</w:t>
      </w:r>
      <w:r w:rsidRPr="00F96722">
        <w:t>:</w:t>
      </w:r>
    </w:p>
    <w:p w:rsidR="00F23B5E" w:rsidRDefault="00F23B5E" w:rsidP="004A4E5F">
      <w:pPr>
        <w:numPr>
          <w:ilvl w:val="0"/>
          <w:numId w:val="19"/>
        </w:numPr>
      </w:pPr>
      <w:r>
        <w:t xml:space="preserve">MIT-3 (stationary AC conversion starting at 2020)  -  410 Mt </w:t>
      </w:r>
      <w:r>
        <w:rPr>
          <w:lang w:eastAsia="ja-JP"/>
        </w:rPr>
        <w:t>CO</w:t>
      </w:r>
      <w:r w:rsidRPr="005202D4">
        <w:rPr>
          <w:vertAlign w:val="subscript"/>
          <w:lang w:eastAsia="ja-JP"/>
        </w:rPr>
        <w:t>2</w:t>
      </w:r>
      <w:r>
        <w:t>-eq</w:t>
      </w:r>
    </w:p>
    <w:p w:rsidR="00F23B5E" w:rsidRDefault="00F23B5E" w:rsidP="004A4E5F">
      <w:pPr>
        <w:numPr>
          <w:ilvl w:val="0"/>
          <w:numId w:val="19"/>
        </w:numPr>
      </w:pPr>
      <w:r>
        <w:t>MIT-4</w:t>
      </w:r>
      <w:r w:rsidRPr="005202D4">
        <w:t xml:space="preserve"> </w:t>
      </w:r>
      <w:r>
        <w:t xml:space="preserve">(stationary AC conversion starting at 2025)  -  640 Mt </w:t>
      </w:r>
      <w:r>
        <w:rPr>
          <w:lang w:eastAsia="ja-JP"/>
        </w:rPr>
        <w:t>CO</w:t>
      </w:r>
      <w:r w:rsidRPr="005202D4">
        <w:rPr>
          <w:vertAlign w:val="subscript"/>
          <w:lang w:eastAsia="ja-JP"/>
        </w:rPr>
        <w:t>2</w:t>
      </w:r>
      <w:r>
        <w:t xml:space="preserve">-eq </w:t>
      </w:r>
    </w:p>
    <w:p w:rsidR="00F23B5E" w:rsidRDefault="00F23B5E" w:rsidP="00F23B5E"/>
    <w:p w:rsidR="00F23B5E" w:rsidRPr="009E0F0A" w:rsidRDefault="00F23B5E" w:rsidP="00F23B5E">
      <w:r>
        <w:t xml:space="preserve">The delay of </w:t>
      </w:r>
      <w:r w:rsidR="00C371AF">
        <w:t xml:space="preserve">five </w:t>
      </w:r>
      <w:r>
        <w:t>years for stationary AC conversion to 2025 results in a more than 50% increase in annual HFC climate impact by the year 2030.</w:t>
      </w:r>
      <w:r w:rsidRPr="009E0F0A">
        <w:t xml:space="preserve"> </w:t>
      </w:r>
    </w:p>
    <w:p w:rsidR="00F23B5E" w:rsidRPr="009E0F0A" w:rsidRDefault="00F23B5E" w:rsidP="00F23B5E"/>
    <w:p w:rsidR="002D66E3" w:rsidRDefault="00F23B5E" w:rsidP="00F23B5E">
      <w:r>
        <w:t xml:space="preserve">The MIT-4 scenario has a major adverse climate impact compared to MIT-3. There are cost implications of the MIT-4 scenario. </w:t>
      </w:r>
    </w:p>
    <w:p w:rsidR="002D66E3" w:rsidRDefault="002D66E3" w:rsidP="00F23B5E"/>
    <w:p w:rsidR="00F23B5E" w:rsidRDefault="00F23B5E" w:rsidP="00F23B5E">
      <w:r>
        <w:t xml:space="preserve">A delay of </w:t>
      </w:r>
      <w:r w:rsidR="00C371AF">
        <w:t xml:space="preserve">five </w:t>
      </w:r>
      <w:r>
        <w:t xml:space="preserve">years for starting SAC conversion, and a </w:t>
      </w:r>
      <w:r w:rsidR="00C371AF">
        <w:t xml:space="preserve">six </w:t>
      </w:r>
      <w:r>
        <w:t xml:space="preserve">year manufacturing conversion period, means that the overall costs have to be considered over a longer period than </w:t>
      </w:r>
      <w:r w:rsidR="00C371AF">
        <w:t>six</w:t>
      </w:r>
      <w:r>
        <w:t xml:space="preserve"> years (i.e., over 12 years (rather than </w:t>
      </w:r>
      <w:r w:rsidR="00C371AF">
        <w:t>six</w:t>
      </w:r>
      <w:r>
        <w:t xml:space="preserve"> years)). </w:t>
      </w:r>
    </w:p>
    <w:p w:rsidR="00F23B5E" w:rsidRDefault="008859ED" w:rsidP="00F23B5E">
      <w:pPr>
        <w:pStyle w:val="Heading3"/>
        <w:spacing w:before="120"/>
      </w:pPr>
      <w:r>
        <w:br w:type="page"/>
      </w:r>
      <w:bookmarkStart w:id="115" w:name="_Toc452653404"/>
      <w:r w:rsidR="00BA6AD6">
        <w:lastRenderedPageBreak/>
        <w:t>6</w:t>
      </w:r>
      <w:r w:rsidR="00F23B5E">
        <w:t>.5.6</w:t>
      </w:r>
      <w:r w:rsidR="00F23B5E">
        <w:tab/>
        <w:t>MIT-5 scenario</w:t>
      </w:r>
      <w:bookmarkEnd w:id="115"/>
      <w:r w:rsidR="00F23B5E">
        <w:t xml:space="preserve"> </w:t>
      </w:r>
    </w:p>
    <w:p w:rsidR="00F23B5E" w:rsidRPr="00CA4B4E" w:rsidRDefault="00F23B5E" w:rsidP="00F23B5E"/>
    <w:p w:rsidR="00F23B5E" w:rsidRPr="009E2E34" w:rsidRDefault="00F712FD" w:rsidP="00F23B5E">
      <w:pPr>
        <w:rPr>
          <w:noProof/>
          <w:lang w:val="nl-NL"/>
        </w:rPr>
      </w:pPr>
      <w:r>
        <w:rPr>
          <w:rFonts w:ascii="Tahoma" w:hAnsi="Tahoma" w:cs="Tahoma"/>
          <w:noProof/>
          <w:lang w:val="en-US" w:eastAsia="en-US"/>
        </w:rPr>
        <w:drawing>
          <wp:inline distT="0" distB="0" distL="0" distR="0" wp14:anchorId="49EFBEF4" wp14:editId="0D7D689E">
            <wp:extent cx="4514850" cy="2725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2725420"/>
                    </a:xfrm>
                    <a:prstGeom prst="rect">
                      <a:avLst/>
                    </a:prstGeom>
                    <a:noFill/>
                  </pic:spPr>
                </pic:pic>
              </a:graphicData>
            </a:graphic>
          </wp:inline>
        </w:drawing>
      </w:r>
    </w:p>
    <w:p w:rsidR="00F23B5E" w:rsidRDefault="00F23B5E" w:rsidP="00F23B5E">
      <w:pPr>
        <w:spacing w:before="120"/>
        <w:rPr>
          <w:b/>
          <w:i/>
        </w:rPr>
      </w:pPr>
      <w:r w:rsidRPr="00930C67">
        <w:rPr>
          <w:b/>
          <w:i/>
        </w:rPr>
        <w:t xml:space="preserve">Figure </w:t>
      </w:r>
      <w:r w:rsidR="00BA6AD6">
        <w:rPr>
          <w:b/>
          <w:i/>
        </w:rPr>
        <w:t>6</w:t>
      </w:r>
      <w:r w:rsidRPr="00930C67">
        <w:rPr>
          <w:b/>
          <w:i/>
        </w:rPr>
        <w:t>-</w:t>
      </w:r>
      <w:r>
        <w:rPr>
          <w:b/>
          <w:i/>
        </w:rPr>
        <w:t>2</w:t>
      </w:r>
      <w:r w:rsidR="00BA6AD6">
        <w:rPr>
          <w:b/>
          <w:i/>
        </w:rPr>
        <w:t>3</w:t>
      </w:r>
      <w:r w:rsidRPr="00930C67">
        <w:rPr>
          <w:b/>
          <w:i/>
        </w:rPr>
        <w:t>: Article 5 MIT-</w:t>
      </w:r>
      <w:r>
        <w:rPr>
          <w:b/>
          <w:i/>
        </w:rPr>
        <w:t>5</w:t>
      </w:r>
      <w:r w:rsidRPr="00930C67">
        <w:rPr>
          <w:b/>
          <w:i/>
        </w:rPr>
        <w:t xml:space="preserve"> scenario </w:t>
      </w:r>
      <w:r>
        <w:rPr>
          <w:b/>
          <w:i/>
        </w:rPr>
        <w:t xml:space="preserve">by R/AC sub-sectors in </w:t>
      </w:r>
      <w:r w:rsidR="00AD5DD6">
        <w:rPr>
          <w:b/>
          <w:i/>
        </w:rPr>
        <w:t xml:space="preserve">ktonnes </w:t>
      </w:r>
      <w:r>
        <w:rPr>
          <w:b/>
          <w:i/>
        </w:rPr>
        <w:t>CO</w:t>
      </w:r>
      <w:r w:rsidRPr="00F96722">
        <w:rPr>
          <w:rFonts w:ascii="Times New Roman Bold" w:hAnsi="Times New Roman Bold"/>
          <w:b/>
          <w:i/>
          <w:vertAlign w:val="subscript"/>
        </w:rPr>
        <w:t>2</w:t>
      </w:r>
      <w:r>
        <w:rPr>
          <w:b/>
          <w:i/>
        </w:rPr>
        <w:t xml:space="preserve">-eq. (compare Figure </w:t>
      </w:r>
      <w:r w:rsidR="00BA6AD6">
        <w:rPr>
          <w:b/>
          <w:i/>
        </w:rPr>
        <w:t>6</w:t>
      </w:r>
      <w:r>
        <w:rPr>
          <w:b/>
          <w:i/>
        </w:rPr>
        <w:t>-1</w:t>
      </w:r>
      <w:r w:rsidR="00BA6AD6">
        <w:rPr>
          <w:b/>
          <w:i/>
        </w:rPr>
        <w:t>4</w:t>
      </w:r>
      <w:r>
        <w:rPr>
          <w:b/>
          <w:i/>
        </w:rPr>
        <w:t xml:space="preserve"> and </w:t>
      </w:r>
      <w:r w:rsidR="00BA6AD6">
        <w:rPr>
          <w:b/>
          <w:i/>
        </w:rPr>
        <w:t>6</w:t>
      </w:r>
      <w:r>
        <w:rPr>
          <w:b/>
          <w:i/>
        </w:rPr>
        <w:t>-1</w:t>
      </w:r>
      <w:r w:rsidR="00BA6AD6">
        <w:rPr>
          <w:b/>
          <w:i/>
        </w:rPr>
        <w:t>9</w:t>
      </w:r>
      <w:r>
        <w:rPr>
          <w:b/>
          <w:i/>
        </w:rPr>
        <w:t xml:space="preserve"> for MIT-3 and MIT-4)</w:t>
      </w:r>
    </w:p>
    <w:p w:rsidR="00F23B5E" w:rsidRDefault="00F23B5E" w:rsidP="002D66E3">
      <w:pPr>
        <w:spacing w:before="240" w:after="120"/>
      </w:pPr>
      <w:r>
        <w:t xml:space="preserve">Figure </w:t>
      </w:r>
      <w:r w:rsidR="00BA6AD6">
        <w:t>6</w:t>
      </w:r>
      <w:r>
        <w:t>-2</w:t>
      </w:r>
      <w:r w:rsidR="00BA6AD6">
        <w:t>3</w:t>
      </w:r>
      <w:r>
        <w:t xml:space="preserve"> includes both manufacturing and servicing, and is similar to Figs </w:t>
      </w:r>
      <w:r w:rsidR="00BA6AD6">
        <w:t>6</w:t>
      </w:r>
      <w:r>
        <w:t>-1</w:t>
      </w:r>
      <w:r w:rsidR="00BA6AD6">
        <w:t>4</w:t>
      </w:r>
      <w:r>
        <w:t xml:space="preserve"> and </w:t>
      </w:r>
      <w:r w:rsidR="00BA6AD6">
        <w:t xml:space="preserve">6-19 </w:t>
      </w:r>
      <w:r>
        <w:t xml:space="preserve">for MIT-3 and MIT-4 (replacement refrigerant blends at a GWP of 300; </w:t>
      </w:r>
      <w:r w:rsidR="00C371AF">
        <w:t>six</w:t>
      </w:r>
      <w:r>
        <w:t xml:space="preserve"> year manufacturing conversion). </w:t>
      </w:r>
    </w:p>
    <w:p w:rsidR="00F23B5E" w:rsidRDefault="00F23B5E" w:rsidP="00F23B5E">
      <w:pPr>
        <w:spacing w:after="240"/>
      </w:pPr>
      <w:r>
        <w:t xml:space="preserve">Figure </w:t>
      </w:r>
      <w:r w:rsidR="00BA6AD6">
        <w:t>6</w:t>
      </w:r>
      <w:r>
        <w:t>-2</w:t>
      </w:r>
      <w:r w:rsidR="00BA6AD6">
        <w:t>4</w:t>
      </w:r>
      <w:r>
        <w:t xml:space="preserve"> also shows the same data just for HFCs used in new manufacturing. All sub-sectors decline to zero new manufacturing demand at the same time (as in MIT-3). </w:t>
      </w:r>
    </w:p>
    <w:p w:rsidR="00F23B5E" w:rsidRPr="001E33A7" w:rsidRDefault="00F712FD" w:rsidP="00F23B5E">
      <w:pPr>
        <w:spacing w:after="120"/>
        <w:rPr>
          <w:b/>
          <w:highlight w:val="yellow"/>
        </w:rPr>
      </w:pPr>
      <w:r w:rsidRPr="00B0643A">
        <w:rPr>
          <w:noProof/>
          <w:lang w:val="en-US" w:eastAsia="en-US"/>
        </w:rPr>
        <w:drawing>
          <wp:inline distT="0" distB="0" distL="0" distR="0" wp14:anchorId="1F231DF0" wp14:editId="21403DEE">
            <wp:extent cx="4585970" cy="2785745"/>
            <wp:effectExtent l="0" t="0" r="5080" b="0"/>
            <wp:docPr id="3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5970" cy="2785745"/>
                    </a:xfrm>
                    <a:prstGeom prst="rect">
                      <a:avLst/>
                    </a:prstGeom>
                    <a:noFill/>
                    <a:ln>
                      <a:noFill/>
                    </a:ln>
                  </pic:spPr>
                </pic:pic>
              </a:graphicData>
            </a:graphic>
          </wp:inline>
        </w:drawing>
      </w:r>
    </w:p>
    <w:p w:rsidR="00F23B5E" w:rsidRDefault="00F23B5E" w:rsidP="00F23B5E">
      <w:pPr>
        <w:spacing w:before="120" w:after="120"/>
        <w:rPr>
          <w:b/>
          <w:i/>
        </w:rPr>
      </w:pPr>
      <w:r>
        <w:rPr>
          <w:b/>
          <w:i/>
        </w:rPr>
        <w:t>Figure</w:t>
      </w:r>
      <w:r w:rsidRPr="00CD5837">
        <w:rPr>
          <w:b/>
          <w:i/>
        </w:rPr>
        <w:t xml:space="preserve"> </w:t>
      </w:r>
      <w:r w:rsidR="00BA6AD6">
        <w:rPr>
          <w:b/>
          <w:i/>
        </w:rPr>
        <w:t>6-24</w:t>
      </w:r>
      <w:r w:rsidRPr="00CD5837">
        <w:rPr>
          <w:b/>
          <w:i/>
        </w:rPr>
        <w:t>: Article 5 MIT-</w:t>
      </w:r>
      <w:r>
        <w:rPr>
          <w:b/>
          <w:i/>
        </w:rPr>
        <w:t>5</w:t>
      </w:r>
      <w:r w:rsidRPr="00CD5837">
        <w:rPr>
          <w:b/>
          <w:i/>
        </w:rPr>
        <w:t xml:space="preserve"> scenario </w:t>
      </w:r>
      <w:r>
        <w:rPr>
          <w:b/>
          <w:i/>
        </w:rPr>
        <w:t xml:space="preserve">for new manufacturing demand for </w:t>
      </w:r>
      <w:r w:rsidRPr="00CD5837">
        <w:rPr>
          <w:b/>
          <w:i/>
        </w:rPr>
        <w:t>the various R</w:t>
      </w:r>
      <w:r>
        <w:rPr>
          <w:b/>
          <w:i/>
        </w:rPr>
        <w:t>/</w:t>
      </w:r>
      <w:r w:rsidRPr="00CD5837">
        <w:rPr>
          <w:b/>
          <w:i/>
        </w:rPr>
        <w:t xml:space="preserve">AC </w:t>
      </w:r>
      <w:r>
        <w:rPr>
          <w:b/>
          <w:i/>
        </w:rPr>
        <w:t xml:space="preserve">sub-sectors 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w:t>
      </w:r>
      <w:r w:rsidRPr="00CD5837">
        <w:rPr>
          <w:b/>
          <w:i/>
        </w:rPr>
        <w:t xml:space="preserve">manufacturing conversion </w:t>
      </w:r>
      <w:r>
        <w:rPr>
          <w:b/>
          <w:i/>
        </w:rPr>
        <w:t xml:space="preserve">over a period of </w:t>
      </w:r>
      <w:r w:rsidR="006C1D49">
        <w:rPr>
          <w:b/>
          <w:i/>
        </w:rPr>
        <w:t>six years</w:t>
      </w:r>
      <w:r w:rsidRPr="00CD5837">
        <w:rPr>
          <w:b/>
          <w:i/>
        </w:rPr>
        <w:t>)</w:t>
      </w:r>
      <w:r>
        <w:rPr>
          <w:b/>
          <w:i/>
        </w:rPr>
        <w:t xml:space="preserve"> (compare Figure </w:t>
      </w:r>
      <w:r w:rsidR="00BA6AD6">
        <w:rPr>
          <w:b/>
          <w:i/>
        </w:rPr>
        <w:t>6-15</w:t>
      </w:r>
      <w:r>
        <w:rPr>
          <w:b/>
          <w:i/>
        </w:rPr>
        <w:t xml:space="preserve"> and </w:t>
      </w:r>
      <w:r w:rsidR="00BA6AD6">
        <w:rPr>
          <w:b/>
          <w:i/>
        </w:rPr>
        <w:t xml:space="preserve">6-21 </w:t>
      </w:r>
      <w:r>
        <w:rPr>
          <w:b/>
          <w:i/>
        </w:rPr>
        <w:t>for MIT-3 and MIT-4)</w:t>
      </w:r>
    </w:p>
    <w:p w:rsidR="00F23B5E" w:rsidRPr="00CD5837" w:rsidRDefault="00F712FD" w:rsidP="00F23B5E">
      <w:pPr>
        <w:spacing w:before="120"/>
      </w:pPr>
      <w:r>
        <w:rPr>
          <w:rFonts w:ascii="Tahoma" w:hAnsi="Tahoma" w:cs="Tahoma"/>
          <w:noProof/>
          <w:lang w:val="en-US" w:eastAsia="en-US"/>
        </w:rPr>
        <w:lastRenderedPageBreak/>
        <w:drawing>
          <wp:inline distT="0" distB="0" distL="0" distR="0" wp14:anchorId="3894A0B6" wp14:editId="38E64A5F">
            <wp:extent cx="3943350" cy="2628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pic:spPr>
                </pic:pic>
              </a:graphicData>
            </a:graphic>
          </wp:inline>
        </w:drawing>
      </w:r>
    </w:p>
    <w:p w:rsidR="00F23B5E" w:rsidRDefault="00F23B5E" w:rsidP="00F23B5E">
      <w:pPr>
        <w:spacing w:before="120" w:after="120"/>
        <w:rPr>
          <w:b/>
          <w:i/>
        </w:rPr>
      </w:pPr>
    </w:p>
    <w:p w:rsidR="00F23B5E" w:rsidRDefault="00F23B5E" w:rsidP="005158E2">
      <w:pPr>
        <w:spacing w:after="120"/>
        <w:rPr>
          <w:b/>
          <w:i/>
        </w:rPr>
      </w:pPr>
      <w:r w:rsidRPr="00CD5837">
        <w:rPr>
          <w:b/>
          <w:i/>
        </w:rPr>
        <w:t xml:space="preserve">Figure </w:t>
      </w:r>
      <w:r w:rsidR="00AE184E">
        <w:rPr>
          <w:b/>
          <w:i/>
        </w:rPr>
        <w:t>6</w:t>
      </w:r>
      <w:r w:rsidRPr="00CD5837">
        <w:rPr>
          <w:b/>
          <w:i/>
        </w:rPr>
        <w:t>-</w:t>
      </w:r>
      <w:r>
        <w:rPr>
          <w:b/>
          <w:i/>
        </w:rPr>
        <w:t>2</w:t>
      </w:r>
      <w:r w:rsidR="00AE184E">
        <w:rPr>
          <w:b/>
          <w:i/>
        </w:rPr>
        <w:t>5</w:t>
      </w:r>
      <w:r w:rsidRPr="00CD5837">
        <w:rPr>
          <w:b/>
          <w:i/>
        </w:rPr>
        <w:t>: Article 5 MIT-</w:t>
      </w:r>
      <w:r>
        <w:rPr>
          <w:b/>
          <w:i/>
        </w:rPr>
        <w:t>5</w:t>
      </w:r>
      <w:r w:rsidRPr="00CD5837">
        <w:rPr>
          <w:b/>
          <w:i/>
        </w:rPr>
        <w:t xml:space="preserve"> scenario with </w:t>
      </w:r>
      <w:r>
        <w:rPr>
          <w:b/>
          <w:i/>
        </w:rPr>
        <w:t xml:space="preserve">the servicing demand for the various sub-sectors </w:t>
      </w:r>
      <w:r w:rsidR="0092165F">
        <w:rPr>
          <w:b/>
          <w:i/>
        </w:rPr>
        <w:t xml:space="preserve">in </w:t>
      </w:r>
      <w:r w:rsidR="00AD5DD6">
        <w:rPr>
          <w:b/>
          <w:i/>
        </w:rPr>
        <w:t xml:space="preserve">ktonnes </w:t>
      </w:r>
      <w:r w:rsidR="0092165F" w:rsidRPr="0092165F">
        <w:rPr>
          <w:b/>
          <w:i/>
        </w:rPr>
        <w:t>CO</w:t>
      </w:r>
      <w:r w:rsidR="0092165F" w:rsidRPr="0092165F">
        <w:rPr>
          <w:b/>
          <w:i/>
          <w:vertAlign w:val="subscript"/>
        </w:rPr>
        <w:t>2</w:t>
      </w:r>
      <w:r w:rsidR="0092165F" w:rsidRPr="0092165F">
        <w:rPr>
          <w:b/>
          <w:i/>
        </w:rPr>
        <w:t>-eq.</w:t>
      </w:r>
      <w:r w:rsidR="0092165F">
        <w:rPr>
          <w:b/>
          <w:i/>
        </w:rPr>
        <w:t xml:space="preserve"> </w:t>
      </w:r>
      <w:r>
        <w:rPr>
          <w:b/>
          <w:i/>
        </w:rPr>
        <w:t xml:space="preserve">(assuming a </w:t>
      </w:r>
      <w:r w:rsidRPr="00CD5837">
        <w:rPr>
          <w:b/>
          <w:i/>
        </w:rPr>
        <w:t xml:space="preserve">conversion </w:t>
      </w:r>
      <w:r>
        <w:rPr>
          <w:b/>
          <w:i/>
        </w:rPr>
        <w:t xml:space="preserve">of manufacturing over a period of </w:t>
      </w:r>
      <w:r w:rsidR="006C1D49">
        <w:rPr>
          <w:b/>
          <w:i/>
        </w:rPr>
        <w:t>six years</w:t>
      </w:r>
      <w:r w:rsidRPr="00CD5837">
        <w:rPr>
          <w:b/>
          <w:i/>
        </w:rPr>
        <w:t>)</w:t>
      </w:r>
      <w:r>
        <w:rPr>
          <w:b/>
          <w:i/>
        </w:rPr>
        <w:t xml:space="preserve"> (compare Figure </w:t>
      </w:r>
      <w:r w:rsidR="00AE184E">
        <w:rPr>
          <w:b/>
          <w:i/>
        </w:rPr>
        <w:t>6</w:t>
      </w:r>
      <w:r>
        <w:rPr>
          <w:b/>
          <w:i/>
        </w:rPr>
        <w:t>-1</w:t>
      </w:r>
      <w:r w:rsidR="00AE184E">
        <w:rPr>
          <w:b/>
          <w:i/>
        </w:rPr>
        <w:t>6</w:t>
      </w:r>
      <w:r>
        <w:rPr>
          <w:b/>
          <w:i/>
        </w:rPr>
        <w:t xml:space="preserve"> and </w:t>
      </w:r>
      <w:r w:rsidR="00AE184E">
        <w:rPr>
          <w:b/>
          <w:i/>
        </w:rPr>
        <w:t>6-21</w:t>
      </w:r>
      <w:r>
        <w:rPr>
          <w:b/>
          <w:i/>
        </w:rPr>
        <w:t xml:space="preserve"> for MIT-3 and MIT-4)</w:t>
      </w:r>
    </w:p>
    <w:p w:rsidR="00F23B5E" w:rsidRDefault="00F23B5E" w:rsidP="00F23B5E">
      <w:pPr>
        <w:spacing w:before="120"/>
      </w:pPr>
      <w:r>
        <w:t xml:space="preserve">In 2025, demand for new manufacturing peaks at about 760 Mt </w:t>
      </w:r>
      <w:r w:rsidRPr="00CD5837">
        <w:t>CO</w:t>
      </w:r>
      <w:r w:rsidRPr="00CD5837">
        <w:rPr>
          <w:vertAlign w:val="subscript"/>
        </w:rPr>
        <w:t>2</w:t>
      </w:r>
      <w:r w:rsidRPr="00CD5837">
        <w:t>-eq</w:t>
      </w:r>
      <w:r>
        <w:t xml:space="preserve">, and demand for servicing is about 650 Mt </w:t>
      </w:r>
      <w:r w:rsidRPr="00CD5837">
        <w:t>CO</w:t>
      </w:r>
      <w:r w:rsidRPr="00CD5837">
        <w:rPr>
          <w:vertAlign w:val="subscript"/>
        </w:rPr>
        <w:t>2</w:t>
      </w:r>
      <w:r w:rsidRPr="00CD5837">
        <w:t>-eq</w:t>
      </w:r>
      <w:r>
        <w:t>. After 2030, the manufacturing demand has gone down to a little more than 100 M</w:t>
      </w:r>
      <w:r w:rsidRPr="005A41E9">
        <w:t>t CO</w:t>
      </w:r>
      <w:r w:rsidRPr="005A41E9">
        <w:rPr>
          <w:vertAlign w:val="subscript"/>
        </w:rPr>
        <w:t>2</w:t>
      </w:r>
      <w:r w:rsidRPr="005A41E9">
        <w:t>-eq.</w:t>
      </w:r>
      <w:r>
        <w:t>, then increases again due to assumed economic growth to more than 200 M</w:t>
      </w:r>
      <w:r w:rsidRPr="005A41E9">
        <w:t>t CO</w:t>
      </w:r>
      <w:r w:rsidRPr="005A41E9">
        <w:rPr>
          <w:vertAlign w:val="subscript"/>
        </w:rPr>
        <w:t>2</w:t>
      </w:r>
      <w:r w:rsidRPr="005A41E9">
        <w:t>-eq.</w:t>
      </w:r>
    </w:p>
    <w:p w:rsidR="00F23B5E" w:rsidRDefault="00F23B5E" w:rsidP="00F23B5E"/>
    <w:p w:rsidR="00F23B5E" w:rsidRPr="00CD5837" w:rsidRDefault="00F23B5E" w:rsidP="00F23B5E">
      <w:r>
        <w:t xml:space="preserve">Servicing demand peaks at about 660 Mt </w:t>
      </w:r>
      <w:r w:rsidRPr="00CD5837">
        <w:t>CO</w:t>
      </w:r>
      <w:r w:rsidRPr="00CD5837">
        <w:rPr>
          <w:vertAlign w:val="subscript"/>
        </w:rPr>
        <w:t>2</w:t>
      </w:r>
      <w:r w:rsidRPr="00CD5837">
        <w:t>-eq.</w:t>
      </w:r>
      <w:r>
        <w:t xml:space="preserve">, due to the late conversions of all sub-sectors, then decreases until around 2045 to about 330 Mt </w:t>
      </w:r>
      <w:r w:rsidRPr="00CD5837">
        <w:t>CO</w:t>
      </w:r>
      <w:r w:rsidRPr="00CD5837">
        <w:rPr>
          <w:vertAlign w:val="subscript"/>
        </w:rPr>
        <w:t>2</w:t>
      </w:r>
      <w:r w:rsidRPr="00CD5837">
        <w:t>-eq.</w:t>
      </w:r>
      <w:r>
        <w:t>, after which year it starts to increase again (economic growth assumed).</w:t>
      </w:r>
    </w:p>
    <w:p w:rsidR="00F23B5E" w:rsidRDefault="00AE184E" w:rsidP="00F23B5E">
      <w:pPr>
        <w:pStyle w:val="Heading3"/>
        <w:spacing w:before="120"/>
      </w:pPr>
      <w:bookmarkStart w:id="116" w:name="_Toc452653405"/>
      <w:r>
        <w:t>6</w:t>
      </w:r>
      <w:r w:rsidR="00F23B5E">
        <w:t>.5.7</w:t>
      </w:r>
      <w:r w:rsidR="00F23B5E">
        <w:tab/>
        <w:t>Impact of manufacturing conversion periods in the MIT-5 scenario</w:t>
      </w:r>
      <w:bookmarkEnd w:id="116"/>
    </w:p>
    <w:p w:rsidR="00F23B5E" w:rsidRDefault="00F712FD" w:rsidP="00F23B5E">
      <w:pPr>
        <w:spacing w:before="240"/>
        <w:rPr>
          <w:b/>
          <w:noProof/>
          <w:lang w:val="en-US" w:eastAsia="en-US"/>
        </w:rPr>
      </w:pPr>
      <w:r w:rsidRPr="001A26A7">
        <w:rPr>
          <w:noProof/>
          <w:lang w:val="en-US" w:eastAsia="en-US"/>
        </w:rPr>
        <w:drawing>
          <wp:inline distT="0" distB="0" distL="0" distR="0" wp14:anchorId="75BFF9B2" wp14:editId="60DB240A">
            <wp:extent cx="3613785" cy="2272030"/>
            <wp:effectExtent l="0" t="0" r="5715" b="13970"/>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23B5E" w:rsidRDefault="00F23B5E" w:rsidP="00F23B5E">
      <w:pPr>
        <w:spacing w:before="120" w:after="120"/>
        <w:rPr>
          <w:b/>
          <w:i/>
        </w:rPr>
      </w:pPr>
      <w:r w:rsidRPr="00D440B6">
        <w:rPr>
          <w:b/>
          <w:i/>
        </w:rPr>
        <w:t xml:space="preserve">Figure </w:t>
      </w:r>
      <w:r w:rsidR="00AE184E">
        <w:rPr>
          <w:b/>
          <w:i/>
        </w:rPr>
        <w:t>6</w:t>
      </w:r>
      <w:r w:rsidRPr="00D440B6">
        <w:rPr>
          <w:b/>
          <w:i/>
        </w:rPr>
        <w:t>-</w:t>
      </w:r>
      <w:r>
        <w:rPr>
          <w:b/>
          <w:i/>
        </w:rPr>
        <w:t>2</w:t>
      </w:r>
      <w:r w:rsidR="00AE184E">
        <w:rPr>
          <w:b/>
          <w:i/>
        </w:rPr>
        <w:t>6</w:t>
      </w:r>
      <w:r w:rsidRPr="00D440B6">
        <w:rPr>
          <w:b/>
          <w:i/>
        </w:rPr>
        <w:t>: Article 5 MIT-</w:t>
      </w:r>
      <w:r>
        <w:rPr>
          <w:b/>
          <w:i/>
        </w:rPr>
        <w:t>5</w:t>
      </w:r>
      <w:r w:rsidRPr="00D440B6">
        <w:rPr>
          <w:b/>
          <w:i/>
        </w:rPr>
        <w:t xml:space="preserve"> demand scenario for all R/AC sectors </w:t>
      </w:r>
      <w:r>
        <w:rPr>
          <w:b/>
          <w:i/>
        </w:rPr>
        <w:t xml:space="preserve">combined </w:t>
      </w:r>
      <w:r w:rsidRPr="00D440B6">
        <w:rPr>
          <w:b/>
          <w:i/>
        </w:rPr>
        <w:t xml:space="preserve">for </w:t>
      </w:r>
      <w:r>
        <w:rPr>
          <w:b/>
          <w:i/>
        </w:rPr>
        <w:t xml:space="preserve">new </w:t>
      </w:r>
      <w:r w:rsidRPr="00D440B6">
        <w:rPr>
          <w:b/>
          <w:i/>
        </w:rPr>
        <w:t xml:space="preserve">manufacturing conversion periods of 6-8-10-12 years </w:t>
      </w:r>
      <w:r>
        <w:rPr>
          <w:b/>
          <w:i/>
        </w:rPr>
        <w:t xml:space="preserve">(compare Figures </w:t>
      </w:r>
      <w:r w:rsidR="00AE184E">
        <w:rPr>
          <w:b/>
          <w:i/>
        </w:rPr>
        <w:t>6</w:t>
      </w:r>
      <w:r>
        <w:rPr>
          <w:b/>
          <w:i/>
        </w:rPr>
        <w:t>-1</w:t>
      </w:r>
      <w:r w:rsidR="00AE184E">
        <w:rPr>
          <w:b/>
          <w:i/>
        </w:rPr>
        <w:t>7</w:t>
      </w:r>
      <w:r>
        <w:rPr>
          <w:b/>
          <w:i/>
        </w:rPr>
        <w:t xml:space="preserve"> and </w:t>
      </w:r>
      <w:r w:rsidR="00AE184E">
        <w:rPr>
          <w:b/>
          <w:i/>
        </w:rPr>
        <w:t>6</w:t>
      </w:r>
      <w:r>
        <w:rPr>
          <w:b/>
          <w:i/>
        </w:rPr>
        <w:t>-2</w:t>
      </w:r>
      <w:r w:rsidR="00AE184E">
        <w:rPr>
          <w:b/>
          <w:i/>
        </w:rPr>
        <w:t>3</w:t>
      </w:r>
      <w:r>
        <w:rPr>
          <w:b/>
          <w:i/>
        </w:rPr>
        <w:t xml:space="preserve"> for the MIT-3 and MIT-4 scenarios) (UNEP, 2015)</w:t>
      </w:r>
    </w:p>
    <w:p w:rsidR="00F23B5E" w:rsidRDefault="00F23B5E" w:rsidP="00F23B5E">
      <w:pPr>
        <w:pStyle w:val="NormalBold"/>
        <w:tabs>
          <w:tab w:val="clear" w:pos="1080"/>
        </w:tabs>
        <w:spacing w:after="0"/>
        <w:jc w:val="left"/>
        <w:rPr>
          <w:b w:val="0"/>
          <w:i w:val="0"/>
        </w:rPr>
      </w:pPr>
      <w:r>
        <w:rPr>
          <w:b w:val="0"/>
          <w:i w:val="0"/>
        </w:rPr>
        <w:t>The impact of the rate of manufacturing conversion is</w:t>
      </w:r>
      <w:r w:rsidR="00C371AF">
        <w:rPr>
          <w:b w:val="0"/>
          <w:i w:val="0"/>
        </w:rPr>
        <w:t xml:space="preserve"> that </w:t>
      </w:r>
      <w:r>
        <w:rPr>
          <w:b w:val="0"/>
          <w:i w:val="0"/>
        </w:rPr>
        <w:t>a</w:t>
      </w:r>
      <w:r w:rsidRPr="00D440B6">
        <w:rPr>
          <w:b w:val="0"/>
          <w:i w:val="0"/>
        </w:rPr>
        <w:t xml:space="preserve"> </w:t>
      </w:r>
      <w:r>
        <w:rPr>
          <w:b w:val="0"/>
          <w:i w:val="0"/>
        </w:rPr>
        <w:t>long period of</w:t>
      </w:r>
      <w:r w:rsidRPr="00D440B6">
        <w:rPr>
          <w:b w:val="0"/>
          <w:i w:val="0"/>
        </w:rPr>
        <w:t xml:space="preserve"> </w:t>
      </w:r>
      <w:r>
        <w:rPr>
          <w:b w:val="0"/>
          <w:i w:val="0"/>
        </w:rPr>
        <w:t xml:space="preserve">manufacturing </w:t>
      </w:r>
      <w:r w:rsidRPr="00D440B6">
        <w:rPr>
          <w:b w:val="0"/>
          <w:i w:val="0"/>
        </w:rPr>
        <w:t xml:space="preserve">conversion will </w:t>
      </w:r>
      <w:r>
        <w:rPr>
          <w:b w:val="0"/>
          <w:i w:val="0"/>
        </w:rPr>
        <w:t>result in</w:t>
      </w:r>
      <w:r w:rsidRPr="00D440B6">
        <w:rPr>
          <w:b w:val="0"/>
          <w:i w:val="0"/>
        </w:rPr>
        <w:t xml:space="preserve"> a</w:t>
      </w:r>
      <w:r>
        <w:rPr>
          <w:b w:val="0"/>
          <w:i w:val="0"/>
        </w:rPr>
        <w:t>n enhanced and long-lasting</w:t>
      </w:r>
      <w:r w:rsidRPr="00D440B6">
        <w:rPr>
          <w:b w:val="0"/>
          <w:i w:val="0"/>
        </w:rPr>
        <w:t xml:space="preserve"> demand for </w:t>
      </w:r>
      <w:r>
        <w:rPr>
          <w:b w:val="0"/>
          <w:i w:val="0"/>
        </w:rPr>
        <w:t xml:space="preserve">high-GWP HFCs for </w:t>
      </w:r>
      <w:r w:rsidRPr="00D440B6">
        <w:rPr>
          <w:b w:val="0"/>
          <w:i w:val="0"/>
        </w:rPr>
        <w:t>servicing</w:t>
      </w:r>
      <w:r>
        <w:rPr>
          <w:b w:val="0"/>
          <w:i w:val="0"/>
        </w:rPr>
        <w:t xml:space="preserve">. </w:t>
      </w:r>
    </w:p>
    <w:p w:rsidR="00F23B5E" w:rsidRDefault="00F23B5E" w:rsidP="00F23B5E">
      <w:pPr>
        <w:pStyle w:val="NormalBold"/>
        <w:tabs>
          <w:tab w:val="clear" w:pos="1080"/>
        </w:tabs>
        <w:spacing w:after="0"/>
        <w:jc w:val="left"/>
        <w:rPr>
          <w:b w:val="0"/>
          <w:i w:val="0"/>
        </w:rPr>
      </w:pPr>
    </w:p>
    <w:p w:rsidR="00F23B5E" w:rsidRDefault="00F23B5E" w:rsidP="00F23B5E">
      <w:r w:rsidRPr="00D440B6">
        <w:lastRenderedPageBreak/>
        <w:t xml:space="preserve">Fig. </w:t>
      </w:r>
      <w:r w:rsidR="00AE184E">
        <w:t>6</w:t>
      </w:r>
      <w:r w:rsidRPr="00D440B6">
        <w:t>-</w:t>
      </w:r>
      <w:r>
        <w:t>2</w:t>
      </w:r>
      <w:r w:rsidR="00AE184E">
        <w:t>6</w:t>
      </w:r>
      <w:r w:rsidRPr="00D440B6">
        <w:t xml:space="preserve"> gives the 4 curves for the </w:t>
      </w:r>
      <w:r w:rsidR="00C371AF">
        <w:t>six, eight, ten</w:t>
      </w:r>
      <w:r w:rsidRPr="00D440B6">
        <w:t xml:space="preserve"> and 12 years manufacturing conversion periods for all refrigeration and AC </w:t>
      </w:r>
      <w:r>
        <w:t>sub-sectors</w:t>
      </w:r>
      <w:r w:rsidRPr="00D440B6">
        <w:t xml:space="preserve"> together</w:t>
      </w:r>
      <w:r w:rsidR="006F3BE0">
        <w:t xml:space="preserve"> (</w:t>
      </w:r>
      <w:r w:rsidR="008B1EC3">
        <w:t xml:space="preserve">again </w:t>
      </w:r>
      <w:r w:rsidR="006F3BE0">
        <w:t>unchanged from what was given in (UNEP, 2015)).</w:t>
      </w:r>
      <w:r>
        <w:t xml:space="preserve"> The delayed manufacturing conversion for all sub-sectors as of 2025 makes a large difference.</w:t>
      </w:r>
      <w:r w:rsidRPr="00D440B6">
        <w:t xml:space="preserve"> </w:t>
      </w:r>
      <w:r>
        <w:t xml:space="preserve">While demand for a </w:t>
      </w:r>
      <w:r w:rsidR="00C371AF">
        <w:t>six</w:t>
      </w:r>
      <w:r>
        <w:t xml:space="preserve"> year conversion period decreases substantially between 2025 and 2030, a 12 year conversion period only results in a small decrease between 2025 and 2030 (about 100 Mt CO2-eq.).</w:t>
      </w:r>
    </w:p>
    <w:p w:rsidR="00F23B5E" w:rsidRDefault="00F23B5E" w:rsidP="00F23B5E"/>
    <w:p w:rsidR="00F23B5E" w:rsidRPr="00F96722" w:rsidRDefault="00F23B5E" w:rsidP="00F23B5E">
      <w:pPr>
        <w:spacing w:after="120"/>
      </w:pPr>
      <w:r w:rsidRPr="00F96722">
        <w:t xml:space="preserve">For a </w:t>
      </w:r>
      <w:r w:rsidR="00C371AF">
        <w:t>six</w:t>
      </w:r>
      <w:r w:rsidRPr="00F96722">
        <w:t xml:space="preserve"> year conversion period HFC demand is projected for 2030 </w:t>
      </w:r>
      <w:r>
        <w:t xml:space="preserve">for MIT-3 and MIT-5 </w:t>
      </w:r>
      <w:r w:rsidRPr="00F96722">
        <w:t>as:</w:t>
      </w:r>
    </w:p>
    <w:p w:rsidR="00F23B5E" w:rsidRDefault="00F23B5E" w:rsidP="004A4E5F">
      <w:pPr>
        <w:numPr>
          <w:ilvl w:val="0"/>
          <w:numId w:val="19"/>
        </w:numPr>
      </w:pPr>
      <w:r>
        <w:t xml:space="preserve">MIT-3 (all conversions starting at 2020)  -  410 Mt </w:t>
      </w:r>
      <w:r>
        <w:rPr>
          <w:lang w:eastAsia="ja-JP"/>
        </w:rPr>
        <w:t>CO</w:t>
      </w:r>
      <w:r w:rsidRPr="005202D4">
        <w:rPr>
          <w:vertAlign w:val="subscript"/>
          <w:lang w:eastAsia="ja-JP"/>
        </w:rPr>
        <w:t>2</w:t>
      </w:r>
      <w:r>
        <w:t>-eq</w:t>
      </w:r>
      <w:r w:rsidR="006F2C1A">
        <w:t>.</w:t>
      </w:r>
    </w:p>
    <w:p w:rsidR="00F23B5E" w:rsidRDefault="00F23B5E" w:rsidP="004A4E5F">
      <w:pPr>
        <w:numPr>
          <w:ilvl w:val="0"/>
          <w:numId w:val="19"/>
        </w:numPr>
      </w:pPr>
      <w:r>
        <w:t>MIT-5</w:t>
      </w:r>
      <w:r w:rsidRPr="005202D4">
        <w:t xml:space="preserve"> </w:t>
      </w:r>
      <w:r>
        <w:t xml:space="preserve">(all conversions starting at 2025)  -  810 Mt </w:t>
      </w:r>
      <w:r>
        <w:rPr>
          <w:lang w:eastAsia="ja-JP"/>
        </w:rPr>
        <w:t>CO</w:t>
      </w:r>
      <w:r w:rsidRPr="005202D4">
        <w:rPr>
          <w:vertAlign w:val="subscript"/>
          <w:lang w:eastAsia="ja-JP"/>
        </w:rPr>
        <w:t>2</w:t>
      </w:r>
      <w:r>
        <w:t>-eq</w:t>
      </w:r>
      <w:r w:rsidR="006F2C1A">
        <w:t>.</w:t>
      </w:r>
      <w:r>
        <w:t xml:space="preserve"> </w:t>
      </w:r>
    </w:p>
    <w:p w:rsidR="00F23B5E" w:rsidRPr="009E0F0A" w:rsidRDefault="00F23B5E" w:rsidP="00F23B5E">
      <w:pPr>
        <w:spacing w:before="120"/>
      </w:pPr>
      <w:r>
        <w:t xml:space="preserve">The delay of </w:t>
      </w:r>
      <w:r w:rsidR="00C371AF">
        <w:t>five</w:t>
      </w:r>
      <w:r>
        <w:t xml:space="preserve"> years for all sub-sector conversions to 2025 results in roughly a 100% increase in annual weighted climate impact by the year 2030.</w:t>
      </w:r>
      <w:r w:rsidRPr="009E0F0A">
        <w:t xml:space="preserve"> </w:t>
      </w:r>
    </w:p>
    <w:p w:rsidR="00F23B5E" w:rsidRPr="009E0F0A" w:rsidRDefault="00F23B5E" w:rsidP="00F23B5E"/>
    <w:p w:rsidR="00F23B5E" w:rsidRDefault="00F23B5E" w:rsidP="00305D00">
      <w:pPr>
        <w:spacing w:after="120"/>
      </w:pPr>
      <w:r>
        <w:t xml:space="preserve">The MIT-5 scenario has a major adverse climate impact compared to MIT-3 (and also to some degree to MIT-4). Furthermore, cost implications of the MIT-5 scenario will therefore be larger than for MIT-3 and MIT-4. In the case of a </w:t>
      </w:r>
      <w:r w:rsidR="00C371AF">
        <w:t>six</w:t>
      </w:r>
      <w:r>
        <w:t xml:space="preserve"> year manufacturing conversion period, overall costs will have to be covered over </w:t>
      </w:r>
      <w:r w:rsidR="00C371AF">
        <w:t>six</w:t>
      </w:r>
      <w:r>
        <w:t xml:space="preserve"> years (expansion to 12 years does not seem desirable given the climate impact numbers).</w:t>
      </w:r>
    </w:p>
    <w:p w:rsidR="00F23B5E" w:rsidRPr="00520ABC" w:rsidRDefault="00F23B5E" w:rsidP="00F23B5E">
      <w:pPr>
        <w:jc w:val="center"/>
        <w:rPr>
          <w:sz w:val="8"/>
          <w:highlight w:val="yellow"/>
        </w:rPr>
      </w:pPr>
    </w:p>
    <w:p w:rsidR="00F23B5E" w:rsidRDefault="00AE184E" w:rsidP="00723652">
      <w:pPr>
        <w:pStyle w:val="Heading2"/>
        <w:tabs>
          <w:tab w:val="clear" w:pos="578"/>
        </w:tabs>
        <w:ind w:left="1080" w:hanging="1080"/>
      </w:pPr>
      <w:bookmarkStart w:id="117" w:name="_Toc431250318"/>
      <w:bookmarkStart w:id="118" w:name="_Toc452653406"/>
      <w:r>
        <w:t>6</w:t>
      </w:r>
      <w:r w:rsidR="00F23B5E">
        <w:t>.6</w:t>
      </w:r>
      <w:r w:rsidR="00F23B5E" w:rsidRPr="00BA381D">
        <w:t xml:space="preserve"> </w:t>
      </w:r>
      <w:r w:rsidR="00F23B5E">
        <w:tab/>
      </w:r>
      <w:r w:rsidR="00F23B5E" w:rsidRPr="00BA381D">
        <w:t>Refrigerant</w:t>
      </w:r>
      <w:r w:rsidR="00F23B5E">
        <w:t xml:space="preserve"> </w:t>
      </w:r>
      <w:r w:rsidR="00F23B5E" w:rsidRPr="00BA381D">
        <w:t xml:space="preserve">demand </w:t>
      </w:r>
      <w:r w:rsidR="00F23B5E">
        <w:t xml:space="preserve">and mitigation benefit </w:t>
      </w:r>
      <w:bookmarkEnd w:id="117"/>
      <w:r w:rsidR="00F23B5E">
        <w:t>numbers</w:t>
      </w:r>
      <w:bookmarkEnd w:id="118"/>
    </w:p>
    <w:p w:rsidR="00F23B5E" w:rsidRPr="005F13BA" w:rsidRDefault="00F23B5E" w:rsidP="00F23B5E">
      <w:r w:rsidRPr="002C3AE4">
        <w:t xml:space="preserve">On the basis of the development of the demand for the various </w:t>
      </w:r>
      <w:r>
        <w:t xml:space="preserve">refrigerants and their </w:t>
      </w:r>
      <w:r w:rsidRPr="002C3AE4">
        <w:t>replacements for the various sub-sectors (high</w:t>
      </w:r>
      <w:r>
        <w:t>-GWP</w:t>
      </w:r>
      <w:r w:rsidRPr="002C3AE4">
        <w:t xml:space="preserve"> and low</w:t>
      </w:r>
      <w:r>
        <w:t>-GWP</w:t>
      </w:r>
      <w:r w:rsidRPr="002C3AE4">
        <w:t xml:space="preserve"> alternatives), total demand in tonnes</w:t>
      </w:r>
      <w:r>
        <w:t>, as well as in G</w:t>
      </w:r>
      <w:r w:rsidRPr="002C3AE4">
        <w:t>WP based CO</w:t>
      </w:r>
      <w:r w:rsidRPr="002C3AE4">
        <w:rPr>
          <w:vertAlign w:val="subscript"/>
        </w:rPr>
        <w:t>2</w:t>
      </w:r>
      <w:r w:rsidRPr="002C3AE4">
        <w:t>-eq. tonnes can be calculated.</w:t>
      </w:r>
      <w:r>
        <w:t xml:space="preserve"> The t</w:t>
      </w:r>
      <w:r w:rsidRPr="002C3AE4">
        <w:t xml:space="preserve">ables </w:t>
      </w:r>
      <w:r>
        <w:t xml:space="preserve">below </w:t>
      </w:r>
      <w:r w:rsidR="00FD0AF6">
        <w:t xml:space="preserve">extend to 2050 </w:t>
      </w:r>
      <w:r w:rsidRPr="002C3AE4">
        <w:t xml:space="preserve">the non-Article 5 and Article 5 </w:t>
      </w:r>
      <w:r>
        <w:t>d</w:t>
      </w:r>
      <w:r w:rsidRPr="002C3AE4">
        <w:t>emand in tonnes and Mt</w:t>
      </w:r>
      <w:r w:rsidR="0033511F">
        <w:t xml:space="preserve"> </w:t>
      </w:r>
      <w:r w:rsidRPr="002C3AE4">
        <w:t>CO</w:t>
      </w:r>
      <w:r w:rsidRPr="002C3AE4">
        <w:rPr>
          <w:vertAlign w:val="subscript"/>
        </w:rPr>
        <w:t>2</w:t>
      </w:r>
      <w:r w:rsidR="0033511F">
        <w:t>-</w:t>
      </w:r>
      <w:r w:rsidRPr="002C3AE4">
        <w:t>eq</w:t>
      </w:r>
      <w:r>
        <w:t xml:space="preserve">. </w:t>
      </w:r>
      <w:r w:rsidRPr="002C3AE4">
        <w:t>for BAU</w:t>
      </w:r>
      <w:r>
        <w:t xml:space="preserve">, </w:t>
      </w:r>
      <w:r w:rsidRPr="002C3AE4">
        <w:t>MIT-3</w:t>
      </w:r>
      <w:r>
        <w:t xml:space="preserve"> and MIT-5 scenarios.</w:t>
      </w:r>
    </w:p>
    <w:p w:rsidR="00F23B5E" w:rsidRDefault="00F23B5E" w:rsidP="00F23B5E">
      <w:pPr>
        <w:pStyle w:val="BodyText"/>
        <w:spacing w:before="240" w:after="120"/>
        <w:rPr>
          <w:b/>
          <w:i/>
        </w:rPr>
      </w:pPr>
      <w:r w:rsidRPr="005F13BA">
        <w:rPr>
          <w:b/>
          <w:i/>
        </w:rPr>
        <w:t xml:space="preserve">Table </w:t>
      </w:r>
      <w:r w:rsidR="00AE184E">
        <w:rPr>
          <w:b/>
          <w:i/>
        </w:rPr>
        <w:t>6</w:t>
      </w:r>
      <w:r w:rsidRPr="005F13BA">
        <w:rPr>
          <w:b/>
          <w:i/>
        </w:rPr>
        <w:t>-</w:t>
      </w:r>
      <w:r>
        <w:rPr>
          <w:b/>
          <w:i/>
        </w:rPr>
        <w:t>3:</w:t>
      </w:r>
      <w:r w:rsidRPr="005F13BA">
        <w:rPr>
          <w:b/>
          <w:i/>
        </w:rPr>
        <w:t xml:space="preserve"> Current and future refrigerant demand for (refrigerant) ODS alternatives (BAU</w:t>
      </w:r>
      <w:r>
        <w:rPr>
          <w:b/>
          <w:i/>
        </w:rPr>
        <w:t xml:space="preserve"> </w:t>
      </w:r>
      <w:r w:rsidRPr="005F13BA">
        <w:rPr>
          <w:b/>
          <w:i/>
        </w:rPr>
        <w:t>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(tonnes)</w:t>
      </w:r>
    </w:p>
    <w:tbl>
      <w:tblPr>
        <w:tblW w:w="5001" w:type="pct"/>
        <w:tblInd w:w="-72" w:type="dxa"/>
        <w:tblCellMar>
          <w:left w:w="70" w:type="dxa"/>
          <w:right w:w="70" w:type="dxa"/>
        </w:tblCellMar>
        <w:tblLook w:val="04A0" w:firstRow="1" w:lastRow="0" w:firstColumn="1" w:lastColumn="0" w:noHBand="0" w:noVBand="1"/>
      </w:tblPr>
      <w:tblGrid>
        <w:gridCol w:w="1178"/>
        <w:gridCol w:w="25"/>
        <w:gridCol w:w="1705"/>
        <w:gridCol w:w="1108"/>
        <w:gridCol w:w="27"/>
        <w:gridCol w:w="1079"/>
        <w:gridCol w:w="52"/>
        <w:gridCol w:w="1055"/>
        <w:gridCol w:w="79"/>
        <w:gridCol w:w="993"/>
        <w:gridCol w:w="37"/>
        <w:gridCol w:w="1104"/>
      </w:tblGrid>
      <w:tr w:rsidR="00F23B5E" w:rsidRPr="00784FA6" w:rsidTr="00BF7331">
        <w:trPr>
          <w:trHeight w:val="315"/>
        </w:trPr>
        <w:tc>
          <w:tcPr>
            <w:tcW w:w="697" w:type="pct"/>
            <w:tcBorders>
              <w:top w:val="nil"/>
              <w:left w:val="nil"/>
              <w:bottom w:val="nil"/>
              <w:right w:val="nil"/>
            </w:tcBorders>
            <w:shd w:val="clear" w:color="000000" w:fill="4F81BD"/>
            <w:noWrap/>
            <w:vAlign w:val="center"/>
            <w:hideMark/>
          </w:tcPr>
          <w:p w:rsidR="00F23B5E" w:rsidRPr="00C0134C" w:rsidRDefault="00F23B5E" w:rsidP="004A4E5F">
            <w:pPr>
              <w:spacing w:after="40"/>
              <w:rPr>
                <w:rFonts w:ascii="Calibri" w:hAnsi="Calibri"/>
                <w:color w:val="FFFFFF"/>
                <w:szCs w:val="22"/>
              </w:rPr>
            </w:pPr>
            <w:r>
              <w:rPr>
                <w:rFonts w:ascii="Calibri" w:hAnsi="Calibri"/>
                <w:color w:val="FFFFFF"/>
                <w:szCs w:val="22"/>
              </w:rPr>
              <w:t> </w:t>
            </w:r>
          </w:p>
        </w:tc>
        <w:tc>
          <w:tcPr>
            <w:tcW w:w="1025"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40"/>
              <w:rPr>
                <w:rFonts w:ascii="Calibri" w:hAnsi="Calibri"/>
                <w:color w:val="FFFFFF"/>
                <w:szCs w:val="22"/>
              </w:rPr>
            </w:pPr>
            <w:r>
              <w:rPr>
                <w:rFonts w:ascii="Calibri" w:hAnsi="Calibri"/>
                <w:color w:val="FFFFFF"/>
                <w:szCs w:val="22"/>
              </w:rPr>
              <w:t> </w:t>
            </w:r>
          </w:p>
        </w:tc>
        <w:tc>
          <w:tcPr>
            <w:tcW w:w="656" w:type="pct"/>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40"/>
              <w:jc w:val="center"/>
              <w:rPr>
                <w:rFonts w:ascii="Calibri" w:hAnsi="Calibri"/>
                <w:b/>
                <w:bCs/>
                <w:color w:val="FFFFFF"/>
                <w:szCs w:val="22"/>
              </w:rPr>
            </w:pPr>
            <w:r>
              <w:rPr>
                <w:rFonts w:ascii="Calibri" w:hAnsi="Calibri"/>
                <w:b/>
                <w:bCs/>
                <w:color w:val="FFFFFF"/>
                <w:szCs w:val="22"/>
              </w:rPr>
              <w:t>2010</w:t>
            </w:r>
          </w:p>
        </w:tc>
        <w:tc>
          <w:tcPr>
            <w:tcW w:w="655"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40"/>
              <w:jc w:val="center"/>
              <w:rPr>
                <w:rFonts w:ascii="Calibri" w:hAnsi="Calibri"/>
                <w:b/>
                <w:bCs/>
                <w:color w:val="FFFFFF"/>
                <w:szCs w:val="22"/>
              </w:rPr>
            </w:pPr>
            <w:r>
              <w:rPr>
                <w:rFonts w:ascii="Calibri" w:hAnsi="Calibri"/>
                <w:b/>
                <w:bCs/>
                <w:color w:val="FFFFFF"/>
                <w:szCs w:val="22"/>
              </w:rPr>
              <w:t>2015</w:t>
            </w:r>
          </w:p>
        </w:tc>
        <w:tc>
          <w:tcPr>
            <w:tcW w:w="656"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40"/>
              <w:jc w:val="center"/>
              <w:rPr>
                <w:rFonts w:ascii="Calibri" w:hAnsi="Calibri"/>
                <w:b/>
                <w:bCs/>
                <w:color w:val="FFFFFF"/>
                <w:szCs w:val="22"/>
              </w:rPr>
            </w:pPr>
            <w:r>
              <w:rPr>
                <w:rFonts w:ascii="Calibri" w:hAnsi="Calibri"/>
                <w:b/>
                <w:bCs/>
                <w:color w:val="FFFFFF"/>
                <w:szCs w:val="22"/>
              </w:rPr>
              <w:t>2020</w:t>
            </w:r>
          </w:p>
        </w:tc>
        <w:tc>
          <w:tcPr>
            <w:tcW w:w="657" w:type="pct"/>
            <w:gridSpan w:val="3"/>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40"/>
              <w:jc w:val="center"/>
              <w:rPr>
                <w:rFonts w:ascii="Calibri" w:hAnsi="Calibri"/>
                <w:b/>
                <w:bCs/>
                <w:color w:val="FFFFFF"/>
                <w:szCs w:val="22"/>
              </w:rPr>
            </w:pPr>
            <w:r>
              <w:rPr>
                <w:rFonts w:ascii="Calibri" w:hAnsi="Calibri"/>
                <w:b/>
                <w:bCs/>
                <w:color w:val="FFFFFF"/>
                <w:szCs w:val="22"/>
              </w:rPr>
              <w:t>2025</w:t>
            </w:r>
          </w:p>
        </w:tc>
        <w:tc>
          <w:tcPr>
            <w:tcW w:w="656" w:type="pct"/>
            <w:tcBorders>
              <w:top w:val="single" w:sz="8" w:space="0" w:color="FFFFFF"/>
              <w:left w:val="nil"/>
              <w:bottom w:val="single" w:sz="8" w:space="0" w:color="FFFFFF"/>
              <w:right w:val="single" w:sz="8" w:space="0" w:color="FFFFFF"/>
            </w:tcBorders>
            <w:shd w:val="clear" w:color="000000" w:fill="4F81BD"/>
            <w:vAlign w:val="center"/>
            <w:hideMark/>
          </w:tcPr>
          <w:p w:rsidR="00F23B5E" w:rsidRDefault="00F23B5E" w:rsidP="004A4E5F">
            <w:pPr>
              <w:spacing w:after="40"/>
              <w:jc w:val="center"/>
              <w:rPr>
                <w:rFonts w:ascii="Calibri" w:hAnsi="Calibri"/>
                <w:b/>
                <w:bCs/>
                <w:color w:val="FFFFFF"/>
                <w:szCs w:val="22"/>
              </w:rPr>
            </w:pPr>
            <w:r>
              <w:rPr>
                <w:rFonts w:ascii="Calibri" w:hAnsi="Calibri"/>
                <w:b/>
                <w:bCs/>
                <w:color w:val="FFFFFF"/>
                <w:szCs w:val="22"/>
              </w:rPr>
              <w:t>2030</w:t>
            </w:r>
          </w:p>
        </w:tc>
      </w:tr>
      <w:tr w:rsidR="00F23B5E" w:rsidRPr="00784FA6" w:rsidTr="00BF7331">
        <w:trPr>
          <w:trHeight w:val="315"/>
        </w:trPr>
        <w:tc>
          <w:tcPr>
            <w:tcW w:w="697" w:type="pct"/>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r>
              <w:rPr>
                <w:rFonts w:ascii="Calibri" w:hAnsi="Calibri"/>
                <w:b/>
                <w:bCs/>
                <w:color w:val="FFFFFF"/>
                <w:szCs w:val="22"/>
              </w:rPr>
              <w:t>nA5 BAU</w:t>
            </w:r>
          </w:p>
        </w:tc>
        <w:tc>
          <w:tcPr>
            <w:tcW w:w="1025"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656" w:type="pct"/>
            <w:tcBorders>
              <w:top w:val="nil"/>
              <w:left w:val="nil"/>
              <w:bottom w:val="single" w:sz="8" w:space="0" w:color="FFFFFF"/>
              <w:right w:val="single" w:sz="8" w:space="0" w:color="FFFFFF"/>
            </w:tcBorders>
            <w:shd w:val="clear" w:color="000000" w:fill="B4C6E7"/>
            <w:vAlign w:val="center"/>
          </w:tcPr>
          <w:p w:rsidR="00F23B5E" w:rsidRDefault="00F23B5E" w:rsidP="004A4E5F">
            <w:pPr>
              <w:jc w:val="right"/>
              <w:rPr>
                <w:rFonts w:ascii="Calibri" w:hAnsi="Calibri"/>
                <w:szCs w:val="22"/>
              </w:rPr>
            </w:pPr>
            <w:r>
              <w:rPr>
                <w:rFonts w:ascii="Calibri" w:hAnsi="Calibri"/>
                <w:szCs w:val="22"/>
              </w:rPr>
              <w:t>79,097</w:t>
            </w:r>
          </w:p>
        </w:tc>
        <w:tc>
          <w:tcPr>
            <w:tcW w:w="655" w:type="pct"/>
            <w:gridSpan w:val="2"/>
            <w:tcBorders>
              <w:top w:val="nil"/>
              <w:left w:val="nil"/>
              <w:bottom w:val="single" w:sz="8" w:space="0" w:color="FFFFFF"/>
              <w:right w:val="single" w:sz="8" w:space="0" w:color="FFFFFF"/>
            </w:tcBorders>
            <w:shd w:val="clear" w:color="000000" w:fill="B4C6E7"/>
            <w:vAlign w:val="center"/>
          </w:tcPr>
          <w:p w:rsidR="00F23B5E" w:rsidRDefault="00F23B5E" w:rsidP="004A4E5F">
            <w:pPr>
              <w:jc w:val="right"/>
              <w:rPr>
                <w:rFonts w:ascii="Calibri" w:hAnsi="Calibri"/>
                <w:szCs w:val="22"/>
              </w:rPr>
            </w:pPr>
            <w:r>
              <w:rPr>
                <w:rFonts w:ascii="Calibri" w:hAnsi="Calibri"/>
                <w:szCs w:val="22"/>
              </w:rPr>
              <w:t>77,977</w:t>
            </w:r>
          </w:p>
        </w:tc>
        <w:tc>
          <w:tcPr>
            <w:tcW w:w="656" w:type="pct"/>
            <w:gridSpan w:val="2"/>
            <w:tcBorders>
              <w:top w:val="nil"/>
              <w:left w:val="nil"/>
              <w:bottom w:val="single" w:sz="8" w:space="0" w:color="FFFFFF"/>
              <w:right w:val="single" w:sz="8" w:space="0" w:color="FFFFFF"/>
            </w:tcBorders>
            <w:shd w:val="clear" w:color="000000" w:fill="B4C6E7"/>
            <w:vAlign w:val="center"/>
          </w:tcPr>
          <w:p w:rsidR="00F23B5E" w:rsidRDefault="00F23B5E" w:rsidP="004A4E5F">
            <w:pPr>
              <w:jc w:val="right"/>
              <w:rPr>
                <w:rFonts w:ascii="Calibri" w:hAnsi="Calibri"/>
                <w:szCs w:val="22"/>
              </w:rPr>
            </w:pPr>
            <w:r>
              <w:rPr>
                <w:rFonts w:ascii="Calibri" w:hAnsi="Calibri"/>
                <w:szCs w:val="22"/>
              </w:rPr>
              <w:t>72,872</w:t>
            </w:r>
          </w:p>
        </w:tc>
        <w:tc>
          <w:tcPr>
            <w:tcW w:w="657" w:type="pct"/>
            <w:gridSpan w:val="3"/>
            <w:tcBorders>
              <w:top w:val="nil"/>
              <w:left w:val="nil"/>
              <w:bottom w:val="single" w:sz="8" w:space="0" w:color="FFFFFF"/>
              <w:right w:val="single" w:sz="8" w:space="0" w:color="FFFFFF"/>
            </w:tcBorders>
            <w:shd w:val="clear" w:color="000000" w:fill="B4C6E7"/>
            <w:vAlign w:val="center"/>
          </w:tcPr>
          <w:p w:rsidR="00F23B5E" w:rsidRDefault="00F23B5E" w:rsidP="004A4E5F">
            <w:pPr>
              <w:jc w:val="right"/>
              <w:rPr>
                <w:rFonts w:ascii="Calibri" w:hAnsi="Calibri"/>
                <w:szCs w:val="22"/>
              </w:rPr>
            </w:pPr>
            <w:r>
              <w:rPr>
                <w:rFonts w:ascii="Calibri" w:hAnsi="Calibri"/>
                <w:szCs w:val="22"/>
              </w:rPr>
              <w:t>76,869</w:t>
            </w:r>
          </w:p>
        </w:tc>
        <w:tc>
          <w:tcPr>
            <w:tcW w:w="656" w:type="pct"/>
            <w:tcBorders>
              <w:top w:val="nil"/>
              <w:left w:val="nil"/>
              <w:bottom w:val="single" w:sz="8" w:space="0" w:color="FFFFFF"/>
              <w:right w:val="single" w:sz="8" w:space="0" w:color="FFFFFF"/>
            </w:tcBorders>
            <w:shd w:val="clear" w:color="000000" w:fill="B4C6E7"/>
            <w:vAlign w:val="center"/>
          </w:tcPr>
          <w:p w:rsidR="00F23B5E" w:rsidRDefault="00F23B5E" w:rsidP="004A4E5F">
            <w:pPr>
              <w:jc w:val="right"/>
              <w:rPr>
                <w:rFonts w:ascii="Calibri" w:hAnsi="Calibri"/>
                <w:szCs w:val="22"/>
              </w:rPr>
            </w:pPr>
            <w:r>
              <w:rPr>
                <w:rFonts w:ascii="Calibri" w:hAnsi="Calibri"/>
                <w:szCs w:val="22"/>
              </w:rPr>
              <w:t>82,356</w:t>
            </w:r>
          </w:p>
        </w:tc>
      </w:tr>
      <w:tr w:rsidR="00F23B5E" w:rsidRPr="00784FA6"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17,084</w:t>
            </w:r>
          </w:p>
        </w:tc>
        <w:tc>
          <w:tcPr>
            <w:tcW w:w="655"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18,376</w:t>
            </w:r>
          </w:p>
        </w:tc>
        <w:tc>
          <w:tcPr>
            <w:tcW w:w="656"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18,584</w:t>
            </w:r>
          </w:p>
        </w:tc>
        <w:tc>
          <w:tcPr>
            <w:tcW w:w="657" w:type="pct"/>
            <w:gridSpan w:val="3"/>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19,357</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22,780</w:t>
            </w:r>
          </w:p>
        </w:tc>
      </w:tr>
      <w:tr w:rsidR="00F23B5E" w:rsidRPr="00784FA6"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56" w:type="pct"/>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11,195</w:t>
            </w:r>
          </w:p>
        </w:tc>
        <w:tc>
          <w:tcPr>
            <w:tcW w:w="655" w:type="pct"/>
            <w:gridSpan w:val="2"/>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26,802</w:t>
            </w:r>
          </w:p>
        </w:tc>
        <w:tc>
          <w:tcPr>
            <w:tcW w:w="656" w:type="pct"/>
            <w:gridSpan w:val="2"/>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34,942</w:t>
            </w:r>
          </w:p>
        </w:tc>
        <w:tc>
          <w:tcPr>
            <w:tcW w:w="657" w:type="pct"/>
            <w:gridSpan w:val="3"/>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43,946</w:t>
            </w:r>
          </w:p>
        </w:tc>
        <w:tc>
          <w:tcPr>
            <w:tcW w:w="656" w:type="pct"/>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50,402</w:t>
            </w:r>
          </w:p>
        </w:tc>
      </w:tr>
      <w:tr w:rsidR="00F23B5E" w:rsidRPr="00784FA6"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39,385</w:t>
            </w:r>
          </w:p>
        </w:tc>
        <w:tc>
          <w:tcPr>
            <w:tcW w:w="655"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77,354</w:t>
            </w:r>
          </w:p>
        </w:tc>
        <w:tc>
          <w:tcPr>
            <w:tcW w:w="656"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94,230</w:t>
            </w:r>
          </w:p>
        </w:tc>
        <w:tc>
          <w:tcPr>
            <w:tcW w:w="657" w:type="pct"/>
            <w:gridSpan w:val="3"/>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114,001</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131,319</w:t>
            </w:r>
          </w:p>
        </w:tc>
      </w:tr>
      <w:tr w:rsidR="00F23B5E" w:rsidRPr="00784FA6"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56" w:type="pct"/>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7,011</w:t>
            </w:r>
          </w:p>
        </w:tc>
        <w:tc>
          <w:tcPr>
            <w:tcW w:w="655" w:type="pct"/>
            <w:gridSpan w:val="2"/>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11,844</w:t>
            </w:r>
          </w:p>
        </w:tc>
        <w:tc>
          <w:tcPr>
            <w:tcW w:w="656" w:type="pct"/>
            <w:gridSpan w:val="2"/>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13,907</w:t>
            </w:r>
          </w:p>
        </w:tc>
        <w:tc>
          <w:tcPr>
            <w:tcW w:w="657" w:type="pct"/>
            <w:gridSpan w:val="3"/>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16,802</w:t>
            </w:r>
          </w:p>
        </w:tc>
        <w:tc>
          <w:tcPr>
            <w:tcW w:w="656" w:type="pct"/>
            <w:tcBorders>
              <w:top w:val="nil"/>
              <w:left w:val="nil"/>
              <w:bottom w:val="single" w:sz="8" w:space="0" w:color="FFFFFF"/>
              <w:right w:val="single" w:sz="8" w:space="0" w:color="FFFFFF"/>
            </w:tcBorders>
            <w:shd w:val="clear" w:color="000000" w:fill="B4C6E7"/>
            <w:vAlign w:val="center"/>
          </w:tcPr>
          <w:p w:rsidR="00F23B5E" w:rsidRPr="00784FA6" w:rsidRDefault="00F23B5E" w:rsidP="004A4E5F">
            <w:pPr>
              <w:jc w:val="right"/>
              <w:rPr>
                <w:rFonts w:ascii="Calibri" w:eastAsia="Times New Roman" w:hAnsi="Calibri"/>
                <w:szCs w:val="22"/>
                <w:lang w:val="nl-NL"/>
              </w:rPr>
            </w:pPr>
            <w:r>
              <w:rPr>
                <w:rFonts w:ascii="Calibri" w:hAnsi="Calibri"/>
                <w:szCs w:val="22"/>
              </w:rPr>
              <w:t>20,538</w:t>
            </w:r>
          </w:p>
        </w:tc>
      </w:tr>
      <w:tr w:rsidR="00F23B5E" w:rsidRPr="00784FA6" w:rsidTr="00BF7331">
        <w:trPr>
          <w:trHeight w:val="315"/>
        </w:trPr>
        <w:tc>
          <w:tcPr>
            <w:tcW w:w="697"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2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153,772</w:t>
            </w:r>
          </w:p>
        </w:tc>
        <w:tc>
          <w:tcPr>
            <w:tcW w:w="655"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212,353</w:t>
            </w:r>
          </w:p>
        </w:tc>
        <w:tc>
          <w:tcPr>
            <w:tcW w:w="656" w:type="pct"/>
            <w:gridSpan w:val="2"/>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234,535</w:t>
            </w:r>
          </w:p>
        </w:tc>
        <w:tc>
          <w:tcPr>
            <w:tcW w:w="657" w:type="pct"/>
            <w:gridSpan w:val="3"/>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270,975</w:t>
            </w:r>
          </w:p>
        </w:tc>
        <w:tc>
          <w:tcPr>
            <w:tcW w:w="656" w:type="pct"/>
            <w:tcBorders>
              <w:top w:val="nil"/>
              <w:left w:val="nil"/>
              <w:bottom w:val="single" w:sz="8" w:space="0" w:color="FFFFFF"/>
              <w:right w:val="single" w:sz="8" w:space="0" w:color="FFFFFF"/>
            </w:tcBorders>
            <w:shd w:val="clear" w:color="000000" w:fill="D9E2F3"/>
            <w:vAlign w:val="center"/>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307,395</w:t>
            </w:r>
          </w:p>
        </w:tc>
      </w:tr>
      <w:tr w:rsidR="00F23B5E" w:rsidRPr="004D6042" w:rsidTr="00BF7331">
        <w:tblPrEx>
          <w:tblCellMar>
            <w:left w:w="108" w:type="dxa"/>
            <w:right w:w="108" w:type="dxa"/>
          </w:tblCellMar>
        </w:tblPrEx>
        <w:trPr>
          <w:trHeight w:val="315"/>
        </w:trPr>
        <w:tc>
          <w:tcPr>
            <w:tcW w:w="712" w:type="pct"/>
            <w:gridSpan w:val="2"/>
            <w:tcBorders>
              <w:top w:val="single" w:sz="8" w:space="0" w:color="FFFFFF"/>
              <w:left w:val="single" w:sz="8" w:space="0" w:color="FFFFFF"/>
              <w:bottom w:val="single" w:sz="8" w:space="0" w:color="FFFFFF"/>
              <w:right w:val="nil"/>
            </w:tcBorders>
            <w:shd w:val="clear" w:color="000000" w:fill="4472C4"/>
            <w:vAlign w:val="center"/>
            <w:hideMark/>
          </w:tcPr>
          <w:p w:rsidR="00F23B5E" w:rsidRPr="004D6042" w:rsidRDefault="00F23B5E" w:rsidP="004A4E5F">
            <w:pPr>
              <w:rPr>
                <w:rFonts w:ascii="Calibri" w:eastAsia="Times New Roman" w:hAnsi="Calibri"/>
                <w:color w:val="FFFFFF"/>
                <w:szCs w:val="22"/>
                <w:lang w:eastAsia="en-GB"/>
              </w:rPr>
            </w:pPr>
            <w:r w:rsidRPr="004D6042">
              <w:rPr>
                <w:rFonts w:ascii="Calibri" w:eastAsia="Times New Roman" w:hAnsi="Calibri"/>
                <w:color w:val="FFFFFF"/>
                <w:szCs w:val="22"/>
                <w:lang w:eastAsia="en-GB"/>
              </w:rPr>
              <w:t> </w:t>
            </w:r>
          </w:p>
        </w:tc>
        <w:tc>
          <w:tcPr>
            <w:tcW w:w="1009" w:type="pct"/>
            <w:tcBorders>
              <w:top w:val="single" w:sz="8" w:space="0" w:color="FFFFFF"/>
              <w:left w:val="nil"/>
              <w:bottom w:val="single" w:sz="8" w:space="0" w:color="FFFFFF"/>
              <w:right w:val="nil"/>
            </w:tcBorders>
            <w:shd w:val="clear" w:color="000000" w:fill="4472C4"/>
            <w:vAlign w:val="center"/>
            <w:hideMark/>
          </w:tcPr>
          <w:p w:rsidR="00F23B5E" w:rsidRPr="004D6042" w:rsidRDefault="00F23B5E" w:rsidP="004A4E5F">
            <w:pPr>
              <w:rPr>
                <w:rFonts w:ascii="Calibri" w:eastAsia="Times New Roman" w:hAnsi="Calibri"/>
                <w:color w:val="FFFFFF"/>
                <w:szCs w:val="22"/>
                <w:lang w:eastAsia="en-GB"/>
              </w:rPr>
            </w:pPr>
            <w:r w:rsidRPr="004D6042">
              <w:rPr>
                <w:rFonts w:ascii="Calibri" w:eastAsia="Times New Roman" w:hAnsi="Calibri"/>
                <w:color w:val="FFFFFF"/>
                <w:szCs w:val="22"/>
                <w:lang w:eastAsia="en-GB"/>
              </w:rPr>
              <w:t> </w:t>
            </w:r>
          </w:p>
        </w:tc>
        <w:tc>
          <w:tcPr>
            <w:tcW w:w="672"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2030</w:t>
            </w:r>
          </w:p>
        </w:tc>
        <w:tc>
          <w:tcPr>
            <w:tcW w:w="670"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2035</w:t>
            </w:r>
          </w:p>
        </w:tc>
        <w:tc>
          <w:tcPr>
            <w:tcW w:w="672"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2040</w:t>
            </w:r>
          </w:p>
        </w:tc>
        <w:tc>
          <w:tcPr>
            <w:tcW w:w="588" w:type="pct"/>
            <w:tcBorders>
              <w:top w:val="single" w:sz="8" w:space="0" w:color="FFFFFF"/>
              <w:left w:val="nil"/>
              <w:bottom w:val="single" w:sz="8" w:space="0" w:color="FFFFFF"/>
              <w:right w:val="single" w:sz="8" w:space="0" w:color="FFFFFF"/>
            </w:tcBorders>
            <w:shd w:val="clear" w:color="000000" w:fill="4472C4"/>
            <w:vAlign w:val="center"/>
            <w:hideMark/>
          </w:tcPr>
          <w:p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2045</w:t>
            </w:r>
          </w:p>
        </w:tc>
        <w:tc>
          <w:tcPr>
            <w:tcW w:w="677"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4D6042" w:rsidRDefault="00F23B5E" w:rsidP="004A4E5F">
            <w:pPr>
              <w:jc w:val="cente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2050</w:t>
            </w:r>
          </w:p>
        </w:tc>
      </w:tr>
      <w:tr w:rsidR="00F23B5E" w:rsidRPr="004D6042" w:rsidTr="00BF7331">
        <w:tblPrEx>
          <w:tblCellMar>
            <w:left w:w="108" w:type="dxa"/>
            <w:right w:w="108" w:type="dxa"/>
          </w:tblCellMar>
        </w:tblPrEx>
        <w:trPr>
          <w:trHeight w:val="315"/>
        </w:trPr>
        <w:tc>
          <w:tcPr>
            <w:tcW w:w="712"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4D6042" w:rsidRDefault="00F23B5E" w:rsidP="004A4E5F">
            <w:pP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nA5 BAU</w:t>
            </w:r>
          </w:p>
        </w:tc>
        <w:tc>
          <w:tcPr>
            <w:tcW w:w="1009"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4D6042">
              <w:rPr>
                <w:rFonts w:ascii="Calibri" w:eastAsia="Times New Roman" w:hAnsi="Calibri"/>
                <w:b/>
                <w:bCs/>
                <w:szCs w:val="22"/>
                <w:lang w:eastAsia="en-GB"/>
              </w:rPr>
              <w:t>134a</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82,356</w:t>
            </w:r>
          </w:p>
        </w:tc>
        <w:tc>
          <w:tcPr>
            <w:tcW w:w="670"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93,316</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108,107</w:t>
            </w:r>
          </w:p>
        </w:tc>
        <w:tc>
          <w:tcPr>
            <w:tcW w:w="588"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125,265</w:t>
            </w:r>
          </w:p>
        </w:tc>
        <w:tc>
          <w:tcPr>
            <w:tcW w:w="677"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145,166</w:t>
            </w:r>
          </w:p>
        </w:tc>
      </w:tr>
      <w:tr w:rsidR="00F23B5E" w:rsidRPr="004D6042"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404A + R</w:t>
            </w:r>
            <w:r>
              <w:rPr>
                <w:rFonts w:ascii="Calibri" w:eastAsia="Times New Roman" w:hAnsi="Calibri"/>
                <w:b/>
                <w:bCs/>
                <w:szCs w:val="22"/>
                <w:lang w:eastAsia="en-GB"/>
              </w:rPr>
              <w:t>-</w:t>
            </w:r>
            <w:r w:rsidRPr="004D6042">
              <w:rPr>
                <w:rFonts w:ascii="Calibri" w:eastAsia="Times New Roman" w:hAnsi="Calibri"/>
                <w:b/>
                <w:bCs/>
                <w:szCs w:val="22"/>
                <w:lang w:eastAsia="en-GB"/>
              </w:rPr>
              <w:t>507</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w:t>
            </w:r>
            <w:r>
              <w:rPr>
                <w:rFonts w:ascii="Calibri" w:eastAsia="Times New Roman" w:hAnsi="Calibri"/>
                <w:szCs w:val="22"/>
                <w:lang w:eastAsia="en-GB"/>
              </w:rPr>
              <w:t>2</w:t>
            </w:r>
            <w:r w:rsidRPr="004D6042">
              <w:rPr>
                <w:rFonts w:ascii="Calibri" w:eastAsia="Times New Roman" w:hAnsi="Calibri"/>
                <w:szCs w:val="22"/>
                <w:lang w:eastAsia="en-GB"/>
              </w:rPr>
              <w:t>,</w:t>
            </w:r>
            <w:r>
              <w:rPr>
                <w:rFonts w:ascii="Calibri" w:eastAsia="Times New Roman" w:hAnsi="Calibri"/>
                <w:szCs w:val="22"/>
                <w:lang w:eastAsia="en-GB"/>
              </w:rPr>
              <w:t>780</w:t>
            </w:r>
          </w:p>
        </w:tc>
        <w:tc>
          <w:tcPr>
            <w:tcW w:w="670"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26,151</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30,221</w:t>
            </w:r>
          </w:p>
        </w:tc>
        <w:tc>
          <w:tcPr>
            <w:tcW w:w="588"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34,960</w:t>
            </w:r>
          </w:p>
        </w:tc>
        <w:tc>
          <w:tcPr>
            <w:tcW w:w="677"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40,470</w:t>
            </w:r>
          </w:p>
        </w:tc>
      </w:tr>
      <w:tr w:rsidR="00F23B5E" w:rsidRPr="004D6042"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407C</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50,402</w:t>
            </w:r>
          </w:p>
        </w:tc>
        <w:tc>
          <w:tcPr>
            <w:tcW w:w="670"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58,256</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67,534</w:t>
            </w:r>
          </w:p>
        </w:tc>
        <w:tc>
          <w:tcPr>
            <w:tcW w:w="588"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78,291</w:t>
            </w:r>
          </w:p>
        </w:tc>
        <w:tc>
          <w:tcPr>
            <w:tcW w:w="677"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90,760</w:t>
            </w:r>
          </w:p>
        </w:tc>
      </w:tr>
      <w:tr w:rsidR="00F23B5E" w:rsidRPr="004D6042"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410A</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131,319</w:t>
            </w:r>
          </w:p>
        </w:tc>
        <w:tc>
          <w:tcPr>
            <w:tcW w:w="670"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151,966</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176,170</w:t>
            </w:r>
          </w:p>
        </w:tc>
        <w:tc>
          <w:tcPr>
            <w:tcW w:w="588"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204,229</w:t>
            </w:r>
          </w:p>
        </w:tc>
        <w:tc>
          <w:tcPr>
            <w:tcW w:w="677"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236,758</w:t>
            </w:r>
          </w:p>
        </w:tc>
      </w:tr>
      <w:tr w:rsidR="00F23B5E" w:rsidRPr="004D6042"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Low GWP</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17,694</w:t>
            </w:r>
          </w:p>
        </w:tc>
        <w:tc>
          <w:tcPr>
            <w:tcW w:w="670"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21,170</w:t>
            </w:r>
          </w:p>
        </w:tc>
        <w:tc>
          <w:tcPr>
            <w:tcW w:w="672"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25,071</w:t>
            </w:r>
          </w:p>
        </w:tc>
        <w:tc>
          <w:tcPr>
            <w:tcW w:w="588" w:type="pct"/>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29,334</w:t>
            </w:r>
          </w:p>
        </w:tc>
        <w:tc>
          <w:tcPr>
            <w:tcW w:w="677" w:type="pct"/>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34,188</w:t>
            </w:r>
          </w:p>
        </w:tc>
      </w:tr>
      <w:tr w:rsidR="00F23B5E" w:rsidRPr="004D6042" w:rsidTr="00BF7331">
        <w:tblPrEx>
          <w:tblCellMar>
            <w:left w:w="108" w:type="dxa"/>
            <w:right w:w="108" w:type="dxa"/>
          </w:tblCellMar>
        </w:tblPrEx>
        <w:trPr>
          <w:trHeight w:val="315"/>
        </w:trPr>
        <w:tc>
          <w:tcPr>
            <w:tcW w:w="712" w:type="pct"/>
            <w:gridSpan w:val="2"/>
            <w:vMerge/>
            <w:tcBorders>
              <w:top w:val="nil"/>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009"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Total</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30</w:t>
            </w:r>
            <w:r>
              <w:rPr>
                <w:rFonts w:ascii="Calibri" w:eastAsia="Times New Roman" w:hAnsi="Calibri"/>
                <w:b/>
                <w:bCs/>
                <w:szCs w:val="22"/>
                <w:lang w:eastAsia="en-GB"/>
              </w:rPr>
              <w:t>7,395</w:t>
            </w:r>
          </w:p>
        </w:tc>
        <w:tc>
          <w:tcPr>
            <w:tcW w:w="670"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350,859</w:t>
            </w:r>
          </w:p>
        </w:tc>
        <w:tc>
          <w:tcPr>
            <w:tcW w:w="672"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407,103</w:t>
            </w:r>
          </w:p>
        </w:tc>
        <w:tc>
          <w:tcPr>
            <w:tcW w:w="588" w:type="pct"/>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472,079</w:t>
            </w:r>
          </w:p>
        </w:tc>
        <w:tc>
          <w:tcPr>
            <w:tcW w:w="677" w:type="pct"/>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547,342</w:t>
            </w:r>
          </w:p>
        </w:tc>
      </w:tr>
    </w:tbl>
    <w:p w:rsidR="00BF7001" w:rsidRDefault="00BF7001" w:rsidP="00F23B5E">
      <w:pPr>
        <w:pStyle w:val="BodyText"/>
        <w:spacing w:before="120" w:after="120"/>
        <w:rPr>
          <w:b/>
          <w:i/>
        </w:rPr>
      </w:pPr>
    </w:p>
    <w:p w:rsidR="00BF7001" w:rsidRDefault="00BF7001" w:rsidP="00F23B5E">
      <w:pPr>
        <w:pStyle w:val="BodyText"/>
        <w:spacing w:before="120" w:after="120"/>
        <w:rPr>
          <w:b/>
          <w:i/>
        </w:rPr>
      </w:pPr>
    </w:p>
    <w:p w:rsidR="00F23B5E" w:rsidRDefault="00F23B5E" w:rsidP="006718A1">
      <w:pPr>
        <w:pStyle w:val="BodyText"/>
        <w:keepNext/>
        <w:keepLines/>
        <w:spacing w:before="120" w:after="120"/>
        <w:rPr>
          <w:b/>
          <w:i/>
        </w:rPr>
      </w:pPr>
      <w:r>
        <w:rPr>
          <w:b/>
          <w:i/>
        </w:rPr>
        <w:lastRenderedPageBreak/>
        <w:t xml:space="preserve">Table </w:t>
      </w:r>
      <w:r w:rsidR="00AE184E">
        <w:rPr>
          <w:b/>
          <w:i/>
        </w:rPr>
        <w:t>6</w:t>
      </w:r>
      <w:r>
        <w:rPr>
          <w:b/>
          <w:i/>
        </w:rPr>
        <w:t>-4:</w:t>
      </w:r>
      <w:r w:rsidRPr="005F13BA">
        <w:rPr>
          <w:b/>
          <w:i/>
        </w:rPr>
        <w:t xml:space="preserve"> Current and future refrigerant demand for (refrigerant) ODS alternatives (BAU 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p>
    <w:tbl>
      <w:tblPr>
        <w:tblW w:w="8354" w:type="dxa"/>
        <w:tblInd w:w="80" w:type="dxa"/>
        <w:tblCellMar>
          <w:left w:w="70" w:type="dxa"/>
          <w:right w:w="70" w:type="dxa"/>
        </w:tblCellMar>
        <w:tblLook w:val="04A0" w:firstRow="1" w:lastRow="0" w:firstColumn="1" w:lastColumn="0" w:noHBand="0" w:noVBand="1"/>
      </w:tblPr>
      <w:tblGrid>
        <w:gridCol w:w="1124"/>
        <w:gridCol w:w="1701"/>
        <w:gridCol w:w="1105"/>
        <w:gridCol w:w="29"/>
        <w:gridCol w:w="1077"/>
        <w:gridCol w:w="57"/>
        <w:gridCol w:w="993"/>
        <w:gridCol w:w="56"/>
        <w:gridCol w:w="1078"/>
        <w:gridCol w:w="28"/>
        <w:gridCol w:w="1106"/>
      </w:tblGrid>
      <w:tr w:rsidR="00F23B5E" w:rsidRPr="00627D61" w:rsidTr="004A4E5F">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C0134C" w:rsidRDefault="00F23B5E" w:rsidP="004A4E5F">
            <w:pPr>
              <w:rPr>
                <w:rFonts w:ascii="Calibri" w:eastAsia="Times New Roman" w:hAnsi="Calibri"/>
                <w:color w:val="FFFFFF"/>
                <w:szCs w:val="22"/>
              </w:rPr>
            </w:pPr>
            <w:r w:rsidRPr="00C0134C">
              <w:rPr>
                <w:rFonts w:ascii="Calibri" w:eastAsia="Times New Roman" w:hAnsi="Calibri"/>
                <w:color w:val="FFFFFF"/>
                <w:szCs w:val="22"/>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C0134C" w:rsidRDefault="00F23B5E" w:rsidP="004A4E5F">
            <w:pPr>
              <w:rPr>
                <w:rFonts w:ascii="Calibri" w:eastAsia="Times New Roman" w:hAnsi="Calibri"/>
                <w:color w:val="FFFFFF"/>
                <w:szCs w:val="22"/>
              </w:rPr>
            </w:pPr>
            <w:r w:rsidRPr="00C0134C">
              <w:rPr>
                <w:rFonts w:ascii="Calibri" w:eastAsia="Times New Roman" w:hAnsi="Calibri"/>
                <w:color w:val="FFFFFF"/>
                <w:szCs w:val="22"/>
              </w:rPr>
              <w:t> </w:t>
            </w:r>
          </w:p>
        </w:tc>
        <w:tc>
          <w:tcPr>
            <w:tcW w:w="1105" w:type="dxa"/>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2010</w:t>
            </w:r>
          </w:p>
        </w:tc>
        <w:tc>
          <w:tcPr>
            <w:tcW w:w="1106" w:type="dxa"/>
            <w:gridSpan w:val="2"/>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2015</w:t>
            </w:r>
          </w:p>
        </w:tc>
        <w:tc>
          <w:tcPr>
            <w:tcW w:w="1106" w:type="dxa"/>
            <w:gridSpan w:val="3"/>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2020</w:t>
            </w:r>
          </w:p>
        </w:tc>
        <w:tc>
          <w:tcPr>
            <w:tcW w:w="1106" w:type="dxa"/>
            <w:gridSpan w:val="2"/>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2025</w:t>
            </w:r>
          </w:p>
        </w:tc>
        <w:tc>
          <w:tcPr>
            <w:tcW w:w="1106"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627D61" w:rsidRDefault="00F23B5E" w:rsidP="004A4E5F">
            <w:pPr>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2030</w:t>
            </w:r>
          </w:p>
        </w:tc>
      </w:tr>
      <w:tr w:rsidR="00F23B5E" w:rsidRPr="00627D61" w:rsidTr="004A4E5F">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627D61" w:rsidRDefault="00F23B5E" w:rsidP="004A4E5F">
            <w:pPr>
              <w:rPr>
                <w:rFonts w:ascii="Calibri" w:eastAsia="Times New Roman" w:hAnsi="Calibri"/>
                <w:b/>
                <w:bCs/>
                <w:color w:val="FFFFFF"/>
                <w:szCs w:val="22"/>
                <w:lang w:val="nl-NL"/>
              </w:rPr>
            </w:pPr>
            <w:r w:rsidRPr="00627D61">
              <w:rPr>
                <w:rFonts w:ascii="Calibri" w:eastAsia="Times New Roman" w:hAnsi="Calibri"/>
                <w:b/>
                <w:bCs/>
                <w:color w:val="FFFFFF"/>
                <w:szCs w:val="22"/>
                <w:lang w:val="nl-NL"/>
              </w:rPr>
              <w:t>nA5 BAU</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2,</w:t>
            </w:r>
            <w:r w:rsidRPr="00627D61">
              <w:rPr>
                <w:rFonts w:ascii="Calibri" w:eastAsia="Times New Roman" w:hAnsi="Calibri"/>
                <w:szCs w:val="22"/>
                <w:lang w:val="nl-NL"/>
              </w:rPr>
              <w:t>825</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1,</w:t>
            </w:r>
            <w:r w:rsidRPr="00627D61">
              <w:rPr>
                <w:rFonts w:ascii="Calibri" w:eastAsia="Times New Roman" w:hAnsi="Calibri"/>
                <w:szCs w:val="22"/>
                <w:lang w:val="nl-NL"/>
              </w:rPr>
              <w:t>370</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4,</w:t>
            </w:r>
            <w:r w:rsidRPr="00627D61">
              <w:rPr>
                <w:rFonts w:ascii="Calibri" w:eastAsia="Times New Roman" w:hAnsi="Calibri"/>
                <w:szCs w:val="22"/>
                <w:lang w:val="nl-NL"/>
              </w:rPr>
              <w:t>733</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9,</w:t>
            </w:r>
            <w:r w:rsidRPr="00627D61">
              <w:rPr>
                <w:rFonts w:ascii="Calibri" w:eastAsia="Times New Roman" w:hAnsi="Calibri"/>
                <w:szCs w:val="22"/>
                <w:lang w:val="nl-NL"/>
              </w:rPr>
              <w:t>930</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r>
              <w:rPr>
                <w:rFonts w:ascii="Calibri" w:eastAsia="Times New Roman" w:hAnsi="Calibri"/>
                <w:szCs w:val="22"/>
                <w:lang w:val="nl-NL"/>
              </w:rPr>
              <w:t>7,</w:t>
            </w:r>
            <w:r w:rsidRPr="00627D61">
              <w:rPr>
                <w:rFonts w:ascii="Calibri" w:eastAsia="Times New Roman" w:hAnsi="Calibri"/>
                <w:szCs w:val="22"/>
                <w:lang w:val="nl-NL"/>
              </w:rPr>
              <w:t>064</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w:t>
            </w:r>
            <w:r>
              <w:rPr>
                <w:rFonts w:ascii="Calibri" w:eastAsia="Times New Roman" w:hAnsi="Calibri"/>
                <w:szCs w:val="22"/>
                <w:lang w:val="nl-NL"/>
              </w:rPr>
              <w:t>7,</w:t>
            </w:r>
            <w:r w:rsidRPr="00627D61">
              <w:rPr>
                <w:rFonts w:ascii="Calibri" w:eastAsia="Times New Roman" w:hAnsi="Calibri"/>
                <w:szCs w:val="22"/>
                <w:lang w:val="nl-NL"/>
              </w:rPr>
              <w:t>397</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2,</w:t>
            </w:r>
            <w:r w:rsidRPr="00627D61">
              <w:rPr>
                <w:rFonts w:ascii="Calibri" w:eastAsia="Times New Roman" w:hAnsi="Calibri"/>
                <w:szCs w:val="22"/>
                <w:lang w:val="nl-NL"/>
              </w:rPr>
              <w:t>490</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3,</w:t>
            </w:r>
            <w:r w:rsidRPr="00627D61">
              <w:rPr>
                <w:rFonts w:ascii="Calibri" w:eastAsia="Times New Roman" w:hAnsi="Calibri"/>
                <w:szCs w:val="22"/>
                <w:lang w:val="nl-NL"/>
              </w:rPr>
              <w:t>312</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6,</w:t>
            </w:r>
            <w:r w:rsidRPr="00627D61">
              <w:rPr>
                <w:rFonts w:ascii="Calibri" w:eastAsia="Times New Roman" w:hAnsi="Calibri"/>
                <w:szCs w:val="22"/>
                <w:lang w:val="nl-NL"/>
              </w:rPr>
              <w:t>367</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9,</w:t>
            </w:r>
            <w:r w:rsidRPr="00627D61">
              <w:rPr>
                <w:rFonts w:ascii="Calibri" w:eastAsia="Times New Roman" w:hAnsi="Calibri"/>
                <w:szCs w:val="22"/>
                <w:lang w:val="nl-NL"/>
              </w:rPr>
              <w:t>875</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w:t>
            </w:r>
            <w:r>
              <w:rPr>
                <w:rFonts w:ascii="Calibri" w:eastAsia="Times New Roman" w:hAnsi="Calibri"/>
                <w:szCs w:val="22"/>
                <w:lang w:val="nl-NL"/>
              </w:rPr>
              <w:t>8,</w:t>
            </w:r>
            <w:r w:rsidRPr="00627D61">
              <w:rPr>
                <w:rFonts w:ascii="Calibri" w:eastAsia="Times New Roman" w:hAnsi="Calibri"/>
                <w:szCs w:val="22"/>
                <w:lang w:val="nl-NL"/>
              </w:rPr>
              <w:t>135</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w:t>
            </w:r>
            <w:r>
              <w:rPr>
                <w:rFonts w:ascii="Calibri" w:eastAsia="Times New Roman" w:hAnsi="Calibri"/>
                <w:szCs w:val="22"/>
                <w:lang w:val="nl-NL"/>
              </w:rPr>
              <w:t>3,</w:t>
            </w:r>
            <w:r w:rsidRPr="00627D61">
              <w:rPr>
                <w:rFonts w:ascii="Calibri" w:eastAsia="Times New Roman" w:hAnsi="Calibri"/>
                <w:szCs w:val="22"/>
                <w:lang w:val="nl-NL"/>
              </w:rPr>
              <w:t>419</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w:t>
            </w:r>
            <w:r>
              <w:rPr>
                <w:rFonts w:ascii="Calibri" w:eastAsia="Times New Roman" w:hAnsi="Calibri"/>
                <w:szCs w:val="22"/>
                <w:lang w:val="nl-NL"/>
              </w:rPr>
              <w:t>6,</w:t>
            </w:r>
            <w:r w:rsidRPr="00627D61">
              <w:rPr>
                <w:rFonts w:ascii="Calibri" w:eastAsia="Times New Roman" w:hAnsi="Calibri"/>
                <w:szCs w:val="22"/>
                <w:lang w:val="nl-NL"/>
              </w:rPr>
              <w:t>606</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1,</w:t>
            </w:r>
            <w:r w:rsidRPr="00627D61">
              <w:rPr>
                <w:rFonts w:ascii="Calibri" w:eastAsia="Times New Roman" w:hAnsi="Calibri"/>
                <w:szCs w:val="22"/>
                <w:lang w:val="nl-NL"/>
              </w:rPr>
              <w:t>193</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1,</w:t>
            </w:r>
            <w:r w:rsidRPr="00627D61">
              <w:rPr>
                <w:rFonts w:ascii="Calibri" w:eastAsia="Times New Roman" w:hAnsi="Calibri"/>
                <w:szCs w:val="22"/>
                <w:lang w:val="nl-NL"/>
              </w:rPr>
              <w:t>652</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5,</w:t>
            </w:r>
            <w:r w:rsidRPr="00627D61">
              <w:rPr>
                <w:rFonts w:ascii="Calibri" w:eastAsia="Times New Roman" w:hAnsi="Calibri"/>
                <w:szCs w:val="22"/>
                <w:lang w:val="nl-NL"/>
              </w:rPr>
              <w:t>619</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14</w:t>
            </w:r>
            <w:r>
              <w:rPr>
                <w:rFonts w:ascii="Calibri" w:eastAsia="Times New Roman" w:hAnsi="Calibri"/>
                <w:szCs w:val="22"/>
                <w:lang w:val="nl-NL"/>
              </w:rPr>
              <w:t>8,</w:t>
            </w:r>
            <w:r w:rsidRPr="00627D61">
              <w:rPr>
                <w:rFonts w:ascii="Calibri" w:eastAsia="Times New Roman" w:hAnsi="Calibri"/>
                <w:szCs w:val="22"/>
                <w:lang w:val="nl-NL"/>
              </w:rPr>
              <w:t>520</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18</w:t>
            </w:r>
            <w:r>
              <w:rPr>
                <w:rFonts w:ascii="Calibri" w:eastAsia="Times New Roman" w:hAnsi="Calibri"/>
                <w:szCs w:val="22"/>
                <w:lang w:val="nl-NL"/>
              </w:rPr>
              <w:t>0,</w:t>
            </w:r>
            <w:r w:rsidRPr="00627D61">
              <w:rPr>
                <w:rFonts w:ascii="Calibri" w:eastAsia="Times New Roman" w:hAnsi="Calibri"/>
                <w:szCs w:val="22"/>
                <w:lang w:val="nl-NL"/>
              </w:rPr>
              <w:t>922</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21</w:t>
            </w:r>
            <w:r>
              <w:rPr>
                <w:rFonts w:ascii="Calibri" w:eastAsia="Times New Roman" w:hAnsi="Calibri"/>
                <w:szCs w:val="22"/>
                <w:lang w:val="nl-NL"/>
              </w:rPr>
              <w:t>8,</w:t>
            </w:r>
            <w:r w:rsidRPr="00627D61">
              <w:rPr>
                <w:rFonts w:ascii="Calibri" w:eastAsia="Times New Roman" w:hAnsi="Calibri"/>
                <w:szCs w:val="22"/>
                <w:lang w:val="nl-NL"/>
              </w:rPr>
              <w:t>882</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25</w:t>
            </w:r>
            <w:r>
              <w:rPr>
                <w:rFonts w:ascii="Calibri" w:eastAsia="Times New Roman" w:hAnsi="Calibri"/>
                <w:szCs w:val="22"/>
                <w:lang w:val="nl-NL"/>
              </w:rPr>
              <w:t>2,</w:t>
            </w:r>
            <w:r w:rsidRPr="00627D61">
              <w:rPr>
                <w:rFonts w:ascii="Calibri" w:eastAsia="Times New Roman" w:hAnsi="Calibri"/>
                <w:szCs w:val="22"/>
                <w:lang w:val="nl-NL"/>
              </w:rPr>
              <w:t>133</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10</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13</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19</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27</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26</w:t>
            </w:r>
            <w:r>
              <w:rPr>
                <w:rFonts w:ascii="Calibri" w:eastAsia="Times New Roman" w:hAnsi="Calibri"/>
                <w:b/>
                <w:bCs/>
                <w:szCs w:val="22"/>
                <w:lang w:val="nl-NL"/>
              </w:rPr>
              <w:t>3,</w:t>
            </w:r>
            <w:r w:rsidRPr="00627D61">
              <w:rPr>
                <w:rFonts w:ascii="Calibri" w:eastAsia="Times New Roman" w:hAnsi="Calibri"/>
                <w:b/>
                <w:bCs/>
                <w:szCs w:val="22"/>
                <w:lang w:val="nl-NL"/>
              </w:rPr>
              <w:t>984</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36</w:t>
            </w:r>
            <w:r>
              <w:rPr>
                <w:rFonts w:ascii="Calibri" w:eastAsia="Times New Roman" w:hAnsi="Calibri"/>
                <w:b/>
                <w:bCs/>
                <w:szCs w:val="22"/>
                <w:lang w:val="nl-NL"/>
              </w:rPr>
              <w:t>5,</w:t>
            </w:r>
            <w:r w:rsidRPr="00627D61">
              <w:rPr>
                <w:rFonts w:ascii="Calibri" w:eastAsia="Times New Roman" w:hAnsi="Calibri"/>
                <w:b/>
                <w:bCs/>
                <w:szCs w:val="22"/>
                <w:lang w:val="nl-NL"/>
              </w:rPr>
              <w:t>809</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40</w:t>
            </w:r>
            <w:r>
              <w:rPr>
                <w:rFonts w:ascii="Calibri" w:eastAsia="Times New Roman" w:hAnsi="Calibri"/>
                <w:b/>
                <w:bCs/>
                <w:szCs w:val="22"/>
                <w:lang w:val="nl-NL"/>
              </w:rPr>
              <w:t>5,</w:t>
            </w:r>
            <w:r w:rsidRPr="00627D61">
              <w:rPr>
                <w:rFonts w:ascii="Calibri" w:eastAsia="Times New Roman" w:hAnsi="Calibri"/>
                <w:b/>
                <w:bCs/>
                <w:szCs w:val="22"/>
                <w:lang w:val="nl-NL"/>
              </w:rPr>
              <w:t>586</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46</w:t>
            </w:r>
            <w:r>
              <w:rPr>
                <w:rFonts w:ascii="Calibri" w:eastAsia="Times New Roman" w:hAnsi="Calibri"/>
                <w:b/>
                <w:bCs/>
                <w:szCs w:val="22"/>
                <w:lang w:val="nl-NL"/>
              </w:rPr>
              <w:t>6,</w:t>
            </w:r>
            <w:r w:rsidRPr="00627D61">
              <w:rPr>
                <w:rFonts w:ascii="Calibri" w:eastAsia="Times New Roman" w:hAnsi="Calibri"/>
                <w:b/>
                <w:bCs/>
                <w:szCs w:val="22"/>
                <w:lang w:val="nl-NL"/>
              </w:rPr>
              <w:t>391</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53</w:t>
            </w:r>
            <w:r>
              <w:rPr>
                <w:rFonts w:ascii="Calibri" w:eastAsia="Times New Roman" w:hAnsi="Calibri"/>
                <w:b/>
                <w:bCs/>
                <w:szCs w:val="22"/>
                <w:lang w:val="nl-NL"/>
              </w:rPr>
              <w:t>0,</w:t>
            </w:r>
            <w:r w:rsidRPr="00627D61">
              <w:rPr>
                <w:rFonts w:ascii="Calibri" w:eastAsia="Times New Roman" w:hAnsi="Calibri"/>
                <w:b/>
                <w:bCs/>
                <w:szCs w:val="22"/>
                <w:lang w:val="nl-NL"/>
              </w:rPr>
              <w:t>751</w:t>
            </w:r>
          </w:p>
        </w:tc>
      </w:tr>
      <w:tr w:rsidR="00F23B5E" w:rsidRPr="004D6042" w:rsidTr="004A4E5F">
        <w:tblPrEx>
          <w:tblCellMar>
            <w:left w:w="108" w:type="dxa"/>
            <w:right w:w="108" w:type="dxa"/>
          </w:tblCellMar>
        </w:tblPrEx>
        <w:trPr>
          <w:trHeight w:val="315"/>
        </w:trPr>
        <w:tc>
          <w:tcPr>
            <w:tcW w:w="1124" w:type="dxa"/>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4D6042" w:rsidRDefault="00F23B5E" w:rsidP="004A4E5F">
            <w:pPr>
              <w:rPr>
                <w:rFonts w:ascii="Calibri" w:eastAsia="Times New Roman" w:hAnsi="Calibri"/>
                <w:b/>
                <w:bCs/>
                <w:color w:val="FFFFFF"/>
                <w:szCs w:val="22"/>
                <w:lang w:eastAsia="en-GB"/>
              </w:rPr>
            </w:pPr>
            <w:r w:rsidRPr="004D6042">
              <w:rPr>
                <w:rFonts w:ascii="Calibri" w:eastAsia="Times New Roman" w:hAnsi="Calibri"/>
                <w:b/>
                <w:bCs/>
                <w:color w:val="FFFFFF"/>
                <w:szCs w:val="22"/>
                <w:lang w:eastAsia="en-GB"/>
              </w:rPr>
              <w:t>nA5 BAU</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4D6042">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107,064</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121,311</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140,539</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162,845</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188,716</w:t>
            </w:r>
          </w:p>
        </w:tc>
      </w:tr>
      <w:tr w:rsidR="00F23B5E" w:rsidRPr="004D6042"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404A + R</w:t>
            </w:r>
            <w:r>
              <w:rPr>
                <w:rFonts w:ascii="Calibri" w:eastAsia="Times New Roman" w:hAnsi="Calibri"/>
                <w:b/>
                <w:bCs/>
                <w:szCs w:val="22"/>
                <w:lang w:eastAsia="en-GB"/>
              </w:rPr>
              <w:t>-</w:t>
            </w:r>
            <w:r w:rsidRPr="004D6042">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w:t>
            </w:r>
            <w:r>
              <w:rPr>
                <w:rFonts w:ascii="Calibri" w:eastAsia="Times New Roman" w:hAnsi="Calibri"/>
                <w:szCs w:val="22"/>
                <w:lang w:eastAsia="en-GB"/>
              </w:rPr>
              <w:t>9</w:t>
            </w:r>
            <w:r w:rsidRPr="004D6042">
              <w:rPr>
                <w:rFonts w:ascii="Calibri" w:eastAsia="Times New Roman" w:hAnsi="Calibri"/>
                <w:szCs w:val="22"/>
                <w:lang w:eastAsia="en-GB"/>
              </w:rPr>
              <w:t>,</w:t>
            </w:r>
            <w:r>
              <w:rPr>
                <w:rFonts w:ascii="Calibri" w:eastAsia="Times New Roman" w:hAnsi="Calibri"/>
                <w:szCs w:val="22"/>
                <w:lang w:eastAsia="en-GB"/>
              </w:rPr>
              <w:t>875</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103,180</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119,238</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137,936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159,679</w:t>
            </w:r>
          </w:p>
        </w:tc>
      </w:tr>
      <w:tr w:rsidR="00F23B5E" w:rsidRPr="004D6042"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81,652</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94,374</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109,405</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126,831</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147,032</w:t>
            </w:r>
          </w:p>
        </w:tc>
      </w:tr>
      <w:tr w:rsidR="00F23B5E" w:rsidRPr="004D6042"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R</w:t>
            </w:r>
            <w:r>
              <w:rPr>
                <w:rFonts w:ascii="Calibri" w:eastAsia="Times New Roman" w:hAnsi="Calibri"/>
                <w:b/>
                <w:bCs/>
                <w:szCs w:val="22"/>
                <w:lang w:eastAsia="en-GB"/>
              </w:rPr>
              <w:t>-</w:t>
            </w:r>
            <w:r w:rsidRPr="004D6042">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252,133</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291,774</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338,246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392,120</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454,575</w:t>
            </w:r>
          </w:p>
        </w:tc>
      </w:tr>
      <w:tr w:rsidR="00F23B5E" w:rsidRPr="004D6042"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27</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32</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38</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44</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4D6042" w:rsidRDefault="00F23B5E" w:rsidP="004A4E5F">
            <w:pPr>
              <w:jc w:val="right"/>
              <w:rPr>
                <w:rFonts w:ascii="Calibri" w:eastAsia="Times New Roman" w:hAnsi="Calibri"/>
                <w:szCs w:val="22"/>
                <w:lang w:eastAsia="en-GB"/>
              </w:rPr>
            </w:pPr>
            <w:r w:rsidRPr="004D6042">
              <w:rPr>
                <w:rFonts w:ascii="Calibri" w:eastAsia="Times New Roman" w:hAnsi="Calibri"/>
                <w:szCs w:val="22"/>
                <w:lang w:eastAsia="en-GB"/>
              </w:rPr>
              <w:t>51</w:t>
            </w:r>
          </w:p>
        </w:tc>
      </w:tr>
      <w:tr w:rsidR="00F23B5E" w:rsidRPr="004D6042" w:rsidTr="004A4E5F">
        <w:tblPrEx>
          <w:tblCellMar>
            <w:left w:w="108" w:type="dxa"/>
            <w:right w:w="108" w:type="dxa"/>
          </w:tblCellMar>
        </w:tblPrEx>
        <w:trPr>
          <w:trHeight w:val="315"/>
        </w:trPr>
        <w:tc>
          <w:tcPr>
            <w:tcW w:w="1124" w:type="dxa"/>
            <w:vMerge/>
            <w:tcBorders>
              <w:top w:val="single" w:sz="8" w:space="0" w:color="FFFFFF"/>
              <w:left w:val="single" w:sz="8" w:space="0" w:color="FFFFFF"/>
              <w:bottom w:val="single" w:sz="8" w:space="0" w:color="FFFFFF"/>
              <w:right w:val="single" w:sz="8" w:space="0" w:color="FFFFFF"/>
            </w:tcBorders>
            <w:vAlign w:val="center"/>
            <w:hideMark/>
          </w:tcPr>
          <w:p w:rsidR="00F23B5E" w:rsidRPr="004D6042"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rPr>
                <w:rFonts w:ascii="Calibri" w:eastAsia="Times New Roman" w:hAnsi="Calibri"/>
                <w:b/>
                <w:bCs/>
                <w:szCs w:val="22"/>
                <w:lang w:eastAsia="en-GB"/>
              </w:rPr>
            </w:pPr>
            <w:r w:rsidRPr="004D6042">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5</w:t>
            </w:r>
            <w:r>
              <w:rPr>
                <w:rFonts w:ascii="Calibri" w:eastAsia="Times New Roman" w:hAnsi="Calibri"/>
                <w:b/>
                <w:bCs/>
                <w:szCs w:val="22"/>
                <w:lang w:eastAsia="en-GB"/>
              </w:rPr>
              <w:t>30</w:t>
            </w:r>
            <w:r w:rsidRPr="004D6042">
              <w:rPr>
                <w:rFonts w:ascii="Calibri" w:eastAsia="Times New Roman" w:hAnsi="Calibri"/>
                <w:b/>
                <w:bCs/>
                <w:szCs w:val="22"/>
                <w:lang w:eastAsia="en-GB"/>
              </w:rPr>
              <w:t>,</w:t>
            </w:r>
            <w:r>
              <w:rPr>
                <w:rFonts w:ascii="Calibri" w:eastAsia="Times New Roman" w:hAnsi="Calibri"/>
                <w:b/>
                <w:bCs/>
                <w:szCs w:val="22"/>
                <w:lang w:eastAsia="en-GB"/>
              </w:rPr>
              <w:t>751</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610,671</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707,466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819,776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4D6042" w:rsidRDefault="00F23B5E" w:rsidP="004A4E5F">
            <w:pPr>
              <w:jc w:val="right"/>
              <w:rPr>
                <w:rFonts w:ascii="Calibri" w:eastAsia="Times New Roman" w:hAnsi="Calibri"/>
                <w:b/>
                <w:bCs/>
                <w:szCs w:val="22"/>
                <w:lang w:eastAsia="en-GB"/>
              </w:rPr>
            </w:pPr>
            <w:r w:rsidRPr="004D6042">
              <w:rPr>
                <w:rFonts w:ascii="Calibri" w:eastAsia="Times New Roman" w:hAnsi="Calibri"/>
                <w:b/>
                <w:bCs/>
                <w:szCs w:val="22"/>
                <w:lang w:eastAsia="en-GB"/>
              </w:rPr>
              <w:t>950,053</w:t>
            </w:r>
          </w:p>
        </w:tc>
      </w:tr>
    </w:tbl>
    <w:p w:rsidR="00F23B5E" w:rsidRDefault="00F23B5E" w:rsidP="00F23B5E">
      <w:pPr>
        <w:pStyle w:val="BodyText"/>
        <w:spacing w:before="240" w:after="120"/>
        <w:rPr>
          <w:b/>
          <w:i/>
        </w:rPr>
      </w:pPr>
      <w:r w:rsidRPr="005F13BA">
        <w:rPr>
          <w:b/>
          <w:i/>
        </w:rPr>
        <w:t xml:space="preserve">Table </w:t>
      </w:r>
      <w:r w:rsidR="00AE184E">
        <w:rPr>
          <w:b/>
          <w:i/>
        </w:rPr>
        <w:t>6</w:t>
      </w:r>
      <w:r w:rsidRPr="005F13BA">
        <w:rPr>
          <w:b/>
          <w:i/>
        </w:rPr>
        <w:t>-</w:t>
      </w:r>
      <w:r>
        <w:rPr>
          <w:b/>
          <w:i/>
        </w:rPr>
        <w:t>5:</w:t>
      </w:r>
      <w:r w:rsidRPr="005F13BA">
        <w:rPr>
          <w:b/>
          <w:i/>
        </w:rPr>
        <w:t xml:space="preserve"> Current and future refrigerant demand for (refrigerant) ODS alternatives (</w:t>
      </w:r>
      <w:r>
        <w:rPr>
          <w:b/>
          <w:i/>
        </w:rPr>
        <w:t xml:space="preserve">MIT-3 </w:t>
      </w:r>
      <w:r w:rsidRPr="005F13BA">
        <w:rPr>
          <w:b/>
          <w:i/>
        </w:rPr>
        <w:t>scenario) for the period 2010-20</w:t>
      </w:r>
      <w:r>
        <w:rPr>
          <w:b/>
          <w:i/>
        </w:rPr>
        <w:t>50</w:t>
      </w:r>
      <w:r w:rsidRPr="005F13BA">
        <w:rPr>
          <w:b/>
          <w:i/>
        </w:rPr>
        <w:t xml:space="preserve"> in </w:t>
      </w:r>
      <w:r>
        <w:rPr>
          <w:b/>
          <w:i/>
        </w:rPr>
        <w:t>non-</w:t>
      </w:r>
      <w:r w:rsidRPr="005F13BA">
        <w:rPr>
          <w:b/>
          <w:i/>
        </w:rPr>
        <w:t xml:space="preserve">Article </w:t>
      </w:r>
      <w:r>
        <w:rPr>
          <w:b/>
          <w:i/>
        </w:rPr>
        <w:t>5 Parties</w:t>
      </w:r>
      <w:r w:rsidRPr="005F13BA">
        <w:rPr>
          <w:b/>
          <w:i/>
        </w:rPr>
        <w:t xml:space="preserve"> (tonnes)</w:t>
      </w:r>
    </w:p>
    <w:tbl>
      <w:tblPr>
        <w:tblW w:w="8354" w:type="dxa"/>
        <w:tblInd w:w="80" w:type="dxa"/>
        <w:tblLayout w:type="fixed"/>
        <w:tblCellMar>
          <w:left w:w="70" w:type="dxa"/>
          <w:right w:w="70" w:type="dxa"/>
        </w:tblCellMar>
        <w:tblLook w:val="04A0" w:firstRow="1" w:lastRow="0" w:firstColumn="1" w:lastColumn="0" w:noHBand="0" w:noVBand="1"/>
      </w:tblPr>
      <w:tblGrid>
        <w:gridCol w:w="1266"/>
        <w:gridCol w:w="1701"/>
        <w:gridCol w:w="971"/>
        <w:gridCol w:w="21"/>
        <w:gridCol w:w="1083"/>
        <w:gridCol w:w="51"/>
        <w:gridCol w:w="1053"/>
        <w:gridCol w:w="81"/>
        <w:gridCol w:w="993"/>
        <w:gridCol w:w="30"/>
        <w:gridCol w:w="1104"/>
      </w:tblGrid>
      <w:tr w:rsidR="00F23B5E" w:rsidRPr="00B423A2" w:rsidTr="004A4E5F">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B423A2" w:rsidRDefault="00F23B5E" w:rsidP="004A4E5F">
            <w:pPr>
              <w:spacing w:after="40"/>
              <w:rPr>
                <w:rFonts w:ascii="Calibri" w:eastAsia="Times New Roman" w:hAnsi="Calibri"/>
                <w:b/>
                <w:bCs/>
                <w:color w:val="FFFFFF"/>
                <w:szCs w:val="22"/>
                <w:lang w:val="nl-NL"/>
              </w:rPr>
            </w:pPr>
            <w:r w:rsidRPr="00B423A2">
              <w:rPr>
                <w:rFonts w:ascii="Calibri" w:eastAsia="Times New Roman" w:hAnsi="Calibri"/>
                <w:b/>
                <w:bCs/>
                <w:color w:val="FFFFFF"/>
                <w:szCs w:val="22"/>
                <w:lang w:val="nl-NL"/>
              </w:rPr>
              <w:t>MIT-3</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spacing w:after="40"/>
              <w:rPr>
                <w:rFonts w:ascii="Calibri" w:eastAsia="Times New Roman" w:hAnsi="Calibri"/>
                <w:color w:val="FFFFFF"/>
                <w:szCs w:val="22"/>
                <w:lang w:val="nl-NL"/>
              </w:rPr>
            </w:pPr>
            <w:r w:rsidRPr="00B423A2">
              <w:rPr>
                <w:rFonts w:ascii="Calibri" w:eastAsia="Times New Roman" w:hAnsi="Calibri"/>
                <w:color w:val="FFFFFF"/>
                <w:szCs w:val="22"/>
                <w:lang w:val="nl-NL"/>
              </w:rPr>
              <w:t> </w:t>
            </w:r>
          </w:p>
        </w:tc>
        <w:tc>
          <w:tcPr>
            <w:tcW w:w="971" w:type="dxa"/>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2010</w:t>
            </w:r>
          </w:p>
        </w:tc>
        <w:tc>
          <w:tcPr>
            <w:tcW w:w="1104" w:type="dxa"/>
            <w:gridSpan w:val="2"/>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2015</w:t>
            </w:r>
          </w:p>
        </w:tc>
        <w:tc>
          <w:tcPr>
            <w:tcW w:w="1104" w:type="dxa"/>
            <w:gridSpan w:val="2"/>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2020</w:t>
            </w:r>
          </w:p>
        </w:tc>
        <w:tc>
          <w:tcPr>
            <w:tcW w:w="1104" w:type="dxa"/>
            <w:gridSpan w:val="3"/>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2025</w:t>
            </w:r>
          </w:p>
        </w:tc>
        <w:tc>
          <w:tcPr>
            <w:tcW w:w="110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B423A2" w:rsidRDefault="00F23B5E" w:rsidP="004A4E5F">
            <w:pPr>
              <w:spacing w:after="40"/>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2030</w:t>
            </w:r>
          </w:p>
        </w:tc>
      </w:tr>
      <w:tr w:rsidR="00F23B5E" w:rsidRPr="00B423A2" w:rsidTr="004A4E5F">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nA5 3-year conversion 20</w:t>
            </w:r>
            <w:r>
              <w:rPr>
                <w:rFonts w:ascii="Calibri" w:eastAsia="Times New Roman" w:hAnsi="Calibri"/>
                <w:b/>
                <w:bCs/>
                <w:color w:val="FFFFFF"/>
                <w:szCs w:val="22"/>
                <w:lang w:val="nl-NL"/>
              </w:rPr>
              <w:t>20</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971" w:type="dxa"/>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79,097</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77,977</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8,</w:t>
            </w:r>
            <w:r w:rsidRPr="00B423A2">
              <w:rPr>
                <w:rFonts w:ascii="Calibri" w:eastAsia="Times New Roman" w:hAnsi="Calibri"/>
                <w:szCs w:val="22"/>
                <w:lang w:val="nl-NL"/>
              </w:rPr>
              <w:t>758</w:t>
            </w:r>
          </w:p>
        </w:tc>
        <w:tc>
          <w:tcPr>
            <w:tcW w:w="1104" w:type="dxa"/>
            <w:gridSpan w:val="3"/>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3,</w:t>
            </w:r>
            <w:r w:rsidRPr="00B423A2">
              <w:rPr>
                <w:rFonts w:ascii="Calibri" w:eastAsia="Times New Roman" w:hAnsi="Calibri"/>
                <w:szCs w:val="22"/>
                <w:lang w:val="nl-NL"/>
              </w:rPr>
              <w:t>415</w:t>
            </w:r>
          </w:p>
        </w:tc>
        <w:tc>
          <w:tcPr>
            <w:tcW w:w="1104"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7,</w:t>
            </w:r>
            <w:r w:rsidRPr="00B423A2">
              <w:rPr>
                <w:rFonts w:ascii="Calibri" w:eastAsia="Times New Roman" w:hAnsi="Calibri"/>
                <w:szCs w:val="22"/>
                <w:lang w:val="nl-NL"/>
              </w:rPr>
              <w:t>154</w:t>
            </w:r>
          </w:p>
        </w:tc>
      </w:tr>
      <w:tr w:rsidR="00F23B5E" w:rsidRPr="00B423A2" w:rsidTr="004A4E5F">
        <w:trPr>
          <w:trHeight w:val="300"/>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971"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7,</w:t>
            </w:r>
            <w:r w:rsidRPr="00B423A2">
              <w:rPr>
                <w:rFonts w:ascii="Calibri" w:eastAsia="Times New Roman" w:hAnsi="Calibri"/>
                <w:szCs w:val="22"/>
                <w:lang w:val="nl-NL"/>
              </w:rPr>
              <w:t>084</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8,</w:t>
            </w:r>
            <w:r w:rsidRPr="00B423A2">
              <w:rPr>
                <w:rFonts w:ascii="Calibri" w:eastAsia="Times New Roman" w:hAnsi="Calibri"/>
                <w:szCs w:val="22"/>
                <w:lang w:val="nl-NL"/>
              </w:rPr>
              <w:t>376</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2,</w:t>
            </w:r>
            <w:r w:rsidRPr="00B423A2">
              <w:rPr>
                <w:rFonts w:ascii="Calibri" w:eastAsia="Times New Roman" w:hAnsi="Calibri"/>
                <w:szCs w:val="22"/>
                <w:lang w:val="nl-NL"/>
              </w:rPr>
              <w:t>882</w:t>
            </w:r>
          </w:p>
        </w:tc>
        <w:tc>
          <w:tcPr>
            <w:tcW w:w="1104" w:type="dxa"/>
            <w:gridSpan w:val="3"/>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5,</w:t>
            </w:r>
            <w:r w:rsidRPr="00B423A2">
              <w:rPr>
                <w:rFonts w:ascii="Calibri" w:eastAsia="Times New Roman" w:hAnsi="Calibri"/>
                <w:szCs w:val="22"/>
                <w:lang w:val="nl-NL"/>
              </w:rPr>
              <w:t>531</w:t>
            </w:r>
          </w:p>
        </w:tc>
        <w:tc>
          <w:tcPr>
            <w:tcW w:w="1104"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2,</w:t>
            </w:r>
            <w:r w:rsidRPr="00B423A2">
              <w:rPr>
                <w:rFonts w:ascii="Calibri" w:eastAsia="Times New Roman" w:hAnsi="Calibri"/>
                <w:szCs w:val="22"/>
                <w:lang w:val="nl-NL"/>
              </w:rPr>
              <w:t>046</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971"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1,</w:t>
            </w:r>
            <w:r w:rsidRPr="00B423A2">
              <w:rPr>
                <w:rFonts w:ascii="Calibri" w:eastAsia="Times New Roman" w:hAnsi="Calibri"/>
                <w:szCs w:val="22"/>
                <w:lang w:val="nl-NL"/>
              </w:rPr>
              <w:t>195</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6,</w:t>
            </w:r>
            <w:r w:rsidRPr="00B423A2">
              <w:rPr>
                <w:rFonts w:ascii="Calibri" w:eastAsia="Times New Roman" w:hAnsi="Calibri"/>
                <w:szCs w:val="22"/>
                <w:lang w:val="nl-NL"/>
              </w:rPr>
              <w:t>802</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3,</w:t>
            </w:r>
            <w:r w:rsidRPr="00B423A2">
              <w:rPr>
                <w:rFonts w:ascii="Calibri" w:eastAsia="Times New Roman" w:hAnsi="Calibri"/>
                <w:szCs w:val="22"/>
                <w:lang w:val="nl-NL"/>
              </w:rPr>
              <w:t>987</w:t>
            </w:r>
          </w:p>
        </w:tc>
        <w:tc>
          <w:tcPr>
            <w:tcW w:w="1104" w:type="dxa"/>
            <w:gridSpan w:val="3"/>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0,</w:t>
            </w:r>
            <w:r w:rsidRPr="00B423A2">
              <w:rPr>
                <w:rFonts w:ascii="Calibri" w:eastAsia="Times New Roman" w:hAnsi="Calibri"/>
                <w:szCs w:val="22"/>
                <w:lang w:val="nl-NL"/>
              </w:rPr>
              <w:t>417</w:t>
            </w:r>
          </w:p>
        </w:tc>
        <w:tc>
          <w:tcPr>
            <w:tcW w:w="1104"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2,</w:t>
            </w:r>
            <w:r w:rsidRPr="00B423A2">
              <w:rPr>
                <w:rFonts w:ascii="Calibri" w:eastAsia="Times New Roman" w:hAnsi="Calibri"/>
                <w:szCs w:val="22"/>
                <w:lang w:val="nl-NL"/>
              </w:rPr>
              <w:t>716</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971"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3</w:t>
            </w:r>
            <w:r>
              <w:rPr>
                <w:rFonts w:ascii="Calibri" w:eastAsia="Times New Roman" w:hAnsi="Calibri"/>
                <w:szCs w:val="22"/>
                <w:lang w:val="nl-NL"/>
              </w:rPr>
              <w:t>9,</w:t>
            </w:r>
            <w:r w:rsidRPr="00B423A2">
              <w:rPr>
                <w:rFonts w:ascii="Calibri" w:eastAsia="Times New Roman" w:hAnsi="Calibri"/>
                <w:szCs w:val="22"/>
                <w:lang w:val="nl-NL"/>
              </w:rPr>
              <w:t>385</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w:t>
            </w:r>
            <w:r>
              <w:rPr>
                <w:rFonts w:ascii="Calibri" w:eastAsia="Times New Roman" w:hAnsi="Calibri"/>
                <w:szCs w:val="22"/>
                <w:lang w:val="nl-NL"/>
              </w:rPr>
              <w:t>7,</w:t>
            </w:r>
            <w:r w:rsidRPr="00B423A2">
              <w:rPr>
                <w:rFonts w:ascii="Calibri" w:eastAsia="Times New Roman" w:hAnsi="Calibri"/>
                <w:szCs w:val="22"/>
                <w:lang w:val="nl-NL"/>
              </w:rPr>
              <w:t>354</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2,</w:t>
            </w:r>
            <w:r w:rsidRPr="00B423A2">
              <w:rPr>
                <w:rFonts w:ascii="Calibri" w:eastAsia="Times New Roman" w:hAnsi="Calibri"/>
                <w:szCs w:val="22"/>
                <w:lang w:val="nl-NL"/>
              </w:rPr>
              <w:t>337</w:t>
            </w:r>
          </w:p>
        </w:tc>
        <w:tc>
          <w:tcPr>
            <w:tcW w:w="1104" w:type="dxa"/>
            <w:gridSpan w:val="3"/>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5,</w:t>
            </w:r>
            <w:r w:rsidRPr="00B423A2">
              <w:rPr>
                <w:rFonts w:ascii="Calibri" w:eastAsia="Times New Roman" w:hAnsi="Calibri"/>
                <w:szCs w:val="22"/>
                <w:lang w:val="nl-NL"/>
              </w:rPr>
              <w:t>831</w:t>
            </w:r>
          </w:p>
        </w:tc>
        <w:tc>
          <w:tcPr>
            <w:tcW w:w="1104"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4,</w:t>
            </w:r>
            <w:r w:rsidRPr="00B423A2">
              <w:rPr>
                <w:rFonts w:ascii="Calibri" w:eastAsia="Times New Roman" w:hAnsi="Calibri"/>
                <w:szCs w:val="22"/>
                <w:lang w:val="nl-NL"/>
              </w:rPr>
              <w:t>127</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971"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Pr>
                <w:rFonts w:ascii="Calibri" w:hAnsi="Calibri"/>
                <w:szCs w:val="22"/>
              </w:rPr>
              <w:t>7,011</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1,</w:t>
            </w:r>
            <w:r w:rsidRPr="00B423A2">
              <w:rPr>
                <w:rFonts w:ascii="Calibri" w:eastAsia="Times New Roman" w:hAnsi="Calibri"/>
                <w:szCs w:val="22"/>
                <w:lang w:val="nl-NL"/>
              </w:rPr>
              <w:t>844</w:t>
            </w:r>
          </w:p>
        </w:tc>
        <w:tc>
          <w:tcPr>
            <w:tcW w:w="1104"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13</w:t>
            </w:r>
            <w:r>
              <w:rPr>
                <w:rFonts w:ascii="Calibri" w:eastAsia="Times New Roman" w:hAnsi="Calibri"/>
                <w:szCs w:val="22"/>
                <w:lang w:val="nl-NL"/>
              </w:rPr>
              <w:t>3,</w:t>
            </w:r>
            <w:r w:rsidRPr="00B423A2">
              <w:rPr>
                <w:rFonts w:ascii="Calibri" w:eastAsia="Times New Roman" w:hAnsi="Calibri"/>
                <w:szCs w:val="22"/>
                <w:lang w:val="nl-NL"/>
              </w:rPr>
              <w:t>007</w:t>
            </w:r>
          </w:p>
        </w:tc>
        <w:tc>
          <w:tcPr>
            <w:tcW w:w="1104" w:type="dxa"/>
            <w:gridSpan w:val="3"/>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18</w:t>
            </w:r>
            <w:r>
              <w:rPr>
                <w:rFonts w:ascii="Calibri" w:eastAsia="Times New Roman" w:hAnsi="Calibri"/>
                <w:szCs w:val="22"/>
                <w:lang w:val="nl-NL"/>
              </w:rPr>
              <w:t>9,</w:t>
            </w:r>
            <w:r w:rsidRPr="00B423A2">
              <w:rPr>
                <w:rFonts w:ascii="Calibri" w:eastAsia="Times New Roman" w:hAnsi="Calibri"/>
                <w:szCs w:val="22"/>
                <w:lang w:val="nl-NL"/>
              </w:rPr>
              <w:t>570</w:t>
            </w:r>
          </w:p>
        </w:tc>
        <w:tc>
          <w:tcPr>
            <w:tcW w:w="1104"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25</w:t>
            </w:r>
            <w:r>
              <w:rPr>
                <w:rFonts w:ascii="Calibri" w:eastAsia="Times New Roman" w:hAnsi="Calibri"/>
                <w:szCs w:val="22"/>
                <w:lang w:val="nl-NL"/>
              </w:rPr>
              <w:t>2,</w:t>
            </w:r>
            <w:r w:rsidRPr="00B423A2">
              <w:rPr>
                <w:rFonts w:ascii="Calibri" w:eastAsia="Times New Roman" w:hAnsi="Calibri"/>
                <w:szCs w:val="22"/>
                <w:lang w:val="nl-NL"/>
              </w:rPr>
              <w:t>410</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97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153,772</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212,353</w:t>
            </w:r>
          </w:p>
        </w:tc>
        <w:tc>
          <w:tcPr>
            <w:tcW w:w="1104"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20</w:t>
            </w:r>
            <w:r>
              <w:rPr>
                <w:rFonts w:ascii="Calibri" w:eastAsia="Times New Roman" w:hAnsi="Calibri"/>
                <w:b/>
                <w:bCs/>
                <w:szCs w:val="22"/>
                <w:lang w:val="nl-NL"/>
              </w:rPr>
              <w:t>0,</w:t>
            </w:r>
            <w:r w:rsidRPr="00B423A2">
              <w:rPr>
                <w:rFonts w:ascii="Calibri" w:eastAsia="Times New Roman" w:hAnsi="Calibri"/>
                <w:b/>
                <w:bCs/>
                <w:szCs w:val="22"/>
                <w:lang w:val="nl-NL"/>
              </w:rPr>
              <w:t>971</w:t>
            </w:r>
          </w:p>
        </w:tc>
        <w:tc>
          <w:tcPr>
            <w:tcW w:w="1104" w:type="dxa"/>
            <w:gridSpan w:val="3"/>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23</w:t>
            </w:r>
            <w:r>
              <w:rPr>
                <w:rFonts w:ascii="Calibri" w:eastAsia="Times New Roman" w:hAnsi="Calibri"/>
                <w:b/>
                <w:bCs/>
                <w:szCs w:val="22"/>
                <w:lang w:val="nl-NL"/>
              </w:rPr>
              <w:t>4,</w:t>
            </w:r>
            <w:r w:rsidRPr="00B423A2">
              <w:rPr>
                <w:rFonts w:ascii="Calibri" w:eastAsia="Times New Roman" w:hAnsi="Calibri"/>
                <w:b/>
                <w:bCs/>
                <w:szCs w:val="22"/>
                <w:lang w:val="nl-NL"/>
              </w:rPr>
              <w:t>764</w:t>
            </w:r>
          </w:p>
        </w:tc>
        <w:tc>
          <w:tcPr>
            <w:tcW w:w="1104"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26</w:t>
            </w:r>
            <w:r>
              <w:rPr>
                <w:rFonts w:ascii="Calibri" w:eastAsia="Times New Roman" w:hAnsi="Calibri"/>
                <w:b/>
                <w:bCs/>
                <w:szCs w:val="22"/>
                <w:lang w:val="nl-NL"/>
              </w:rPr>
              <w:t>8,</w:t>
            </w:r>
            <w:r w:rsidRPr="00B423A2">
              <w:rPr>
                <w:rFonts w:ascii="Calibri" w:eastAsia="Times New Roman" w:hAnsi="Calibri"/>
                <w:b/>
                <w:bCs/>
                <w:szCs w:val="22"/>
                <w:lang w:val="nl-NL"/>
              </w:rPr>
              <w:t>453</w:t>
            </w:r>
          </w:p>
        </w:tc>
      </w:tr>
      <w:tr w:rsidR="00F23B5E" w:rsidRPr="008611ED" w:rsidTr="004A4E5F">
        <w:tblPrEx>
          <w:tblCellMar>
            <w:left w:w="108" w:type="dxa"/>
            <w:right w:w="108" w:type="dxa"/>
          </w:tblCellMar>
        </w:tblPrEx>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992"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993"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rsidTr="004A4E5F">
        <w:tblPrEx>
          <w:tblCellMar>
            <w:left w:w="108" w:type="dxa"/>
            <w:right w:w="108" w:type="dxa"/>
          </w:tblCellMar>
        </w:tblPrEx>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nA5 3-year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8611ED">
              <w:rPr>
                <w:rFonts w:ascii="Calibri" w:eastAsia="Times New Roman" w:hAnsi="Calibri"/>
                <w:b/>
                <w:bCs/>
                <w:szCs w:val="22"/>
                <w:lang w:eastAsia="en-GB"/>
              </w:rPr>
              <w:t>134a</w:t>
            </w:r>
          </w:p>
        </w:tc>
        <w:tc>
          <w:tcPr>
            <w:tcW w:w="992"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14,013</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3,941</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4,497</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5,153</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5,923</w:t>
            </w:r>
          </w:p>
        </w:tc>
      </w:tr>
      <w:tr w:rsidR="00F23B5E" w:rsidRPr="008611ED" w:rsidTr="004A4E5F">
        <w:tblPrEx>
          <w:tblCellMar>
            <w:left w:w="108" w:type="dxa"/>
            <w:right w:w="108" w:type="dxa"/>
          </w:tblCellMar>
        </w:tblPrEx>
        <w:trPr>
          <w:trHeight w:val="300"/>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404A + R</w:t>
            </w:r>
            <w:r>
              <w:rPr>
                <w:rFonts w:ascii="Calibri" w:eastAsia="Times New Roman" w:hAnsi="Calibri"/>
                <w:b/>
                <w:bCs/>
                <w:szCs w:val="22"/>
                <w:lang w:eastAsia="en-GB"/>
              </w:rPr>
              <w:t>-</w:t>
            </w:r>
            <w:r w:rsidRPr="008611ED">
              <w:rPr>
                <w:rFonts w:ascii="Calibri" w:eastAsia="Times New Roman" w:hAnsi="Calibri"/>
                <w:b/>
                <w:bCs/>
                <w:szCs w:val="22"/>
                <w:lang w:eastAsia="en-GB"/>
              </w:rPr>
              <w:t>507</w:t>
            </w:r>
          </w:p>
        </w:tc>
        <w:tc>
          <w:tcPr>
            <w:tcW w:w="992"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2,046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155</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121</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94</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73</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407C</w:t>
            </w:r>
          </w:p>
        </w:tc>
        <w:tc>
          <w:tcPr>
            <w:tcW w:w="992"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2,716</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410A</w:t>
            </w:r>
          </w:p>
        </w:tc>
        <w:tc>
          <w:tcPr>
            <w:tcW w:w="992"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4,127</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992"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w:t>
            </w:r>
            <w:r>
              <w:rPr>
                <w:rFonts w:ascii="Calibri" w:eastAsia="Times New Roman" w:hAnsi="Calibri"/>
                <w:szCs w:val="22"/>
                <w:lang w:eastAsia="en-GB"/>
              </w:rPr>
              <w:t>52,410</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353,069</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409,796</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475,307</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551,172</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992"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268,453</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357,165</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414,414</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480,554</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557,168</w:t>
            </w:r>
          </w:p>
        </w:tc>
      </w:tr>
    </w:tbl>
    <w:p w:rsidR="005158E2" w:rsidRDefault="005158E2" w:rsidP="00F23B5E">
      <w:pPr>
        <w:pStyle w:val="BodyText"/>
        <w:spacing w:before="120" w:after="120"/>
        <w:rPr>
          <w:b/>
          <w:i/>
        </w:rPr>
      </w:pPr>
    </w:p>
    <w:p w:rsidR="00F23B5E" w:rsidRDefault="005158E2" w:rsidP="006641D8">
      <w:pPr>
        <w:pStyle w:val="BodyText"/>
        <w:spacing w:after="40" w:line="240" w:lineRule="auto"/>
        <w:rPr>
          <w:b/>
          <w:i/>
        </w:rPr>
      </w:pPr>
      <w:r>
        <w:rPr>
          <w:b/>
          <w:i/>
        </w:rPr>
        <w:br w:type="page"/>
      </w:r>
      <w:r w:rsidR="00F23B5E">
        <w:rPr>
          <w:b/>
          <w:i/>
        </w:rPr>
        <w:lastRenderedPageBreak/>
        <w:t xml:space="preserve">Table </w:t>
      </w:r>
      <w:r w:rsidR="00AE184E">
        <w:rPr>
          <w:b/>
          <w:i/>
        </w:rPr>
        <w:t>6</w:t>
      </w:r>
      <w:r w:rsidR="00F23B5E">
        <w:rPr>
          <w:b/>
          <w:i/>
        </w:rPr>
        <w:t>-6:</w:t>
      </w:r>
      <w:r w:rsidR="00F23B5E" w:rsidRPr="005F13BA">
        <w:rPr>
          <w:b/>
          <w:i/>
        </w:rPr>
        <w:t xml:space="preserve"> Current and future refrigerant demand for (refrigerant) ODS alternatives (</w:t>
      </w:r>
      <w:r w:rsidR="00F23B5E">
        <w:rPr>
          <w:b/>
          <w:i/>
        </w:rPr>
        <w:t>MIT-3</w:t>
      </w:r>
      <w:r w:rsidR="00F23B5E" w:rsidRPr="005F13BA">
        <w:rPr>
          <w:b/>
          <w:i/>
        </w:rPr>
        <w:t xml:space="preserve"> scenario) for the period 2010-20</w:t>
      </w:r>
      <w:r w:rsidR="00F23B5E">
        <w:rPr>
          <w:b/>
          <w:i/>
        </w:rPr>
        <w:t>50</w:t>
      </w:r>
      <w:r w:rsidR="00F23B5E" w:rsidRPr="005F13BA">
        <w:rPr>
          <w:b/>
          <w:i/>
        </w:rPr>
        <w:t xml:space="preserve"> in </w:t>
      </w:r>
      <w:r w:rsidR="00F23B5E">
        <w:rPr>
          <w:b/>
          <w:i/>
        </w:rPr>
        <w:t>non-</w:t>
      </w:r>
      <w:r w:rsidR="00F23B5E" w:rsidRPr="005F13BA">
        <w:rPr>
          <w:b/>
          <w:i/>
        </w:rPr>
        <w:t xml:space="preserve">Article </w:t>
      </w:r>
      <w:r w:rsidR="00F23B5E">
        <w:rPr>
          <w:b/>
          <w:i/>
        </w:rPr>
        <w:t>5 Parties</w:t>
      </w:r>
      <w:r w:rsidR="00F23B5E" w:rsidRPr="005F13BA">
        <w:rPr>
          <w:b/>
          <w:i/>
        </w:rPr>
        <w:t xml:space="preserve"> (</w:t>
      </w:r>
      <w:r w:rsidR="00AD5DD6">
        <w:rPr>
          <w:b/>
          <w:i/>
        </w:rPr>
        <w:t xml:space="preserve">ktonnes </w:t>
      </w:r>
      <w:r w:rsidR="00F23B5E" w:rsidRPr="005F13BA">
        <w:rPr>
          <w:b/>
          <w:i/>
        </w:rPr>
        <w:t>CO</w:t>
      </w:r>
      <w:r w:rsidR="00F23B5E" w:rsidRPr="005F13BA">
        <w:rPr>
          <w:b/>
          <w:i/>
          <w:vertAlign w:val="subscript"/>
        </w:rPr>
        <w:t>2</w:t>
      </w:r>
      <w:r w:rsidR="00AD5DD6">
        <w:rPr>
          <w:b/>
          <w:i/>
        </w:rPr>
        <w:t>-eq.</w:t>
      </w:r>
      <w:r w:rsidR="00F23B5E" w:rsidRPr="005F13BA">
        <w:rPr>
          <w:b/>
          <w:i/>
        </w:rPr>
        <w:t>)</w:t>
      </w:r>
    </w:p>
    <w:tbl>
      <w:tblPr>
        <w:tblW w:w="8354" w:type="dxa"/>
        <w:tblInd w:w="80" w:type="dxa"/>
        <w:tblCellMar>
          <w:left w:w="70" w:type="dxa"/>
          <w:right w:w="70" w:type="dxa"/>
        </w:tblCellMar>
        <w:tblLook w:val="04A0" w:firstRow="1" w:lastRow="0" w:firstColumn="1" w:lastColumn="0" w:noHBand="0" w:noVBand="1"/>
      </w:tblPr>
      <w:tblGrid>
        <w:gridCol w:w="1266"/>
        <w:gridCol w:w="1685"/>
        <w:gridCol w:w="16"/>
        <w:gridCol w:w="1064"/>
        <w:gridCol w:w="70"/>
        <w:gridCol w:w="992"/>
        <w:gridCol w:w="19"/>
        <w:gridCol w:w="1080"/>
        <w:gridCol w:w="35"/>
        <w:gridCol w:w="1046"/>
        <w:gridCol w:w="88"/>
        <w:gridCol w:w="993"/>
      </w:tblGrid>
      <w:tr w:rsidR="00F23B5E" w:rsidRPr="00B423A2" w:rsidTr="004A4E5F">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MIT-3</w:t>
            </w:r>
          </w:p>
        </w:tc>
        <w:tc>
          <w:tcPr>
            <w:tcW w:w="1685" w:type="dxa"/>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rPr>
                <w:rFonts w:ascii="Calibri" w:eastAsia="Times New Roman" w:hAnsi="Calibri"/>
                <w:color w:val="FFFFFF"/>
                <w:szCs w:val="22"/>
                <w:lang w:val="nl-NL"/>
              </w:rPr>
            </w:pPr>
            <w:r w:rsidRPr="00B423A2">
              <w:rPr>
                <w:rFonts w:ascii="Calibri" w:eastAsia="Times New Roman" w:hAnsi="Calibri"/>
                <w:color w:val="FFFFFF"/>
                <w:szCs w:val="22"/>
                <w:lang w:val="nl-NL"/>
              </w:rPr>
              <w:t> </w:t>
            </w:r>
          </w:p>
        </w:tc>
        <w:tc>
          <w:tcPr>
            <w:tcW w:w="1080" w:type="dxa"/>
            <w:gridSpan w:val="2"/>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2010</w:t>
            </w:r>
          </w:p>
        </w:tc>
        <w:tc>
          <w:tcPr>
            <w:tcW w:w="1081" w:type="dxa"/>
            <w:gridSpan w:val="3"/>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2015</w:t>
            </w:r>
          </w:p>
        </w:tc>
        <w:tc>
          <w:tcPr>
            <w:tcW w:w="1080" w:type="dxa"/>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2020</w:t>
            </w:r>
          </w:p>
        </w:tc>
        <w:tc>
          <w:tcPr>
            <w:tcW w:w="1081" w:type="dxa"/>
            <w:gridSpan w:val="2"/>
            <w:tcBorders>
              <w:top w:val="single" w:sz="8" w:space="0" w:color="FFFFFF"/>
              <w:left w:val="nil"/>
              <w:bottom w:val="single" w:sz="8" w:space="0" w:color="FFFFFF"/>
              <w:right w:val="nil"/>
            </w:tcBorders>
            <w:shd w:val="clear" w:color="000000" w:fill="4472C4"/>
            <w:vAlign w:val="center"/>
            <w:hideMark/>
          </w:tcPr>
          <w:p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2025</w:t>
            </w:r>
          </w:p>
        </w:tc>
        <w:tc>
          <w:tcPr>
            <w:tcW w:w="1081"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B423A2" w:rsidRDefault="00F23B5E" w:rsidP="004A4E5F">
            <w:pPr>
              <w:jc w:val="center"/>
              <w:rPr>
                <w:rFonts w:ascii="Calibri" w:eastAsia="Times New Roman" w:hAnsi="Calibri"/>
                <w:b/>
                <w:bCs/>
                <w:color w:val="FFFFFF"/>
                <w:szCs w:val="22"/>
                <w:lang w:val="nl-NL"/>
              </w:rPr>
            </w:pPr>
            <w:r w:rsidRPr="00B423A2">
              <w:rPr>
                <w:rFonts w:ascii="Calibri" w:eastAsia="Times New Roman" w:hAnsi="Calibri"/>
                <w:b/>
                <w:bCs/>
                <w:color w:val="FFFFFF"/>
                <w:szCs w:val="22"/>
                <w:lang w:val="nl-NL"/>
              </w:rPr>
              <w:t>2030</w:t>
            </w:r>
          </w:p>
        </w:tc>
      </w:tr>
      <w:tr w:rsidR="00F23B5E" w:rsidRPr="00B423A2" w:rsidTr="004A4E5F">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B423A2" w:rsidRDefault="00F23B5E" w:rsidP="004A4E5F">
            <w:pPr>
              <w:rPr>
                <w:rFonts w:ascii="Calibri" w:eastAsia="Times New Roman" w:hAnsi="Calibri"/>
                <w:b/>
                <w:bCs/>
                <w:color w:val="FFFFFF"/>
                <w:szCs w:val="22"/>
                <w:lang w:val="nl-NL"/>
              </w:rPr>
            </w:pPr>
            <w:r w:rsidRPr="00B423A2">
              <w:rPr>
                <w:rFonts w:ascii="Calibri" w:eastAsia="Times New Roman" w:hAnsi="Calibri"/>
                <w:b/>
                <w:bCs/>
                <w:color w:val="FFFFFF"/>
                <w:szCs w:val="22"/>
                <w:lang w:val="nl-NL"/>
              </w:rPr>
              <w:t>nA5 3-year conversion 2020</w:t>
            </w:r>
          </w:p>
        </w:tc>
        <w:tc>
          <w:tcPr>
            <w:tcW w:w="1685" w:type="dxa"/>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1080" w:type="dxa"/>
            <w:gridSpan w:val="2"/>
            <w:tcBorders>
              <w:top w:val="nil"/>
              <w:left w:val="nil"/>
              <w:bottom w:val="single" w:sz="8" w:space="0" w:color="FFFFFF"/>
              <w:right w:val="single" w:sz="8" w:space="0" w:color="FFFFFF"/>
            </w:tcBorders>
            <w:shd w:val="clear" w:color="000000" w:fill="B4C6E7"/>
            <w:vAlign w:val="center"/>
            <w:hideMark/>
          </w:tcPr>
          <w:p w:rsidR="00F23B5E" w:rsidRPr="002650BC" w:rsidRDefault="00F23B5E" w:rsidP="004A4E5F">
            <w:pPr>
              <w:jc w:val="right"/>
              <w:rPr>
                <w:rFonts w:ascii="Calibri" w:eastAsia="Times New Roman" w:hAnsi="Calibri"/>
                <w:szCs w:val="22"/>
                <w:highlight w:val="yellow"/>
                <w:lang w:val="nl-NL"/>
              </w:rPr>
            </w:pPr>
            <w:r>
              <w:rPr>
                <w:rFonts w:ascii="Calibri" w:eastAsia="Times New Roman" w:hAnsi="Calibri"/>
                <w:szCs w:val="22"/>
                <w:lang w:val="nl-NL"/>
              </w:rPr>
              <w:t>102,825</w:t>
            </w:r>
          </w:p>
        </w:tc>
        <w:tc>
          <w:tcPr>
            <w:tcW w:w="1081" w:type="dxa"/>
            <w:gridSpan w:val="3"/>
            <w:tcBorders>
              <w:top w:val="nil"/>
              <w:left w:val="nil"/>
              <w:bottom w:val="single" w:sz="8" w:space="0" w:color="FFFFFF"/>
              <w:right w:val="single" w:sz="8" w:space="0" w:color="FFFFFF"/>
            </w:tcBorders>
            <w:shd w:val="clear" w:color="000000" w:fill="B4C6E7"/>
            <w:vAlign w:val="center"/>
            <w:hideMark/>
          </w:tcPr>
          <w:p w:rsidR="00F23B5E" w:rsidRPr="002650BC" w:rsidRDefault="00F23B5E" w:rsidP="004A4E5F">
            <w:pPr>
              <w:jc w:val="right"/>
              <w:rPr>
                <w:rFonts w:ascii="Calibri" w:eastAsia="Times New Roman" w:hAnsi="Calibri"/>
                <w:szCs w:val="22"/>
                <w:highlight w:val="yellow"/>
                <w:lang w:val="nl-NL"/>
              </w:rPr>
            </w:pPr>
            <w:r>
              <w:rPr>
                <w:rFonts w:ascii="Calibri" w:eastAsia="Times New Roman" w:hAnsi="Calibri"/>
                <w:szCs w:val="22"/>
                <w:lang w:val="nl-NL"/>
              </w:rPr>
              <w:t>101,370</w:t>
            </w:r>
          </w:p>
        </w:tc>
        <w:tc>
          <w:tcPr>
            <w:tcW w:w="1080"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4,</w:t>
            </w:r>
            <w:r w:rsidRPr="00B423A2">
              <w:rPr>
                <w:rFonts w:ascii="Calibri" w:eastAsia="Times New Roman" w:hAnsi="Calibri"/>
                <w:szCs w:val="22"/>
                <w:lang w:val="nl-NL"/>
              </w:rPr>
              <w:t>384</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7,</w:t>
            </w:r>
            <w:r w:rsidRPr="00B423A2">
              <w:rPr>
                <w:rFonts w:ascii="Calibri" w:eastAsia="Times New Roman" w:hAnsi="Calibri"/>
                <w:szCs w:val="22"/>
                <w:lang w:val="nl-NL"/>
              </w:rPr>
              <w:t>441</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9,</w:t>
            </w:r>
            <w:r w:rsidRPr="00B423A2">
              <w:rPr>
                <w:rFonts w:ascii="Calibri" w:eastAsia="Times New Roman" w:hAnsi="Calibri"/>
                <w:szCs w:val="22"/>
                <w:lang w:val="nl-NL"/>
              </w:rPr>
              <w:t>301</w:t>
            </w:r>
          </w:p>
        </w:tc>
      </w:tr>
      <w:tr w:rsidR="00F23B5E" w:rsidRPr="00B423A2" w:rsidTr="004A4E5F">
        <w:trPr>
          <w:trHeight w:val="300"/>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080"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67</w:t>
            </w:r>
            <w:r>
              <w:rPr>
                <w:rFonts w:ascii="Calibri" w:eastAsia="Times New Roman" w:hAnsi="Calibri"/>
                <w:szCs w:val="22"/>
                <w:lang w:val="nl-NL"/>
              </w:rPr>
              <w:t>,</w:t>
            </w:r>
            <w:r w:rsidRPr="00B423A2">
              <w:rPr>
                <w:rFonts w:ascii="Calibri" w:eastAsia="Times New Roman" w:hAnsi="Calibri"/>
                <w:szCs w:val="22"/>
                <w:lang w:val="nl-NL"/>
              </w:rPr>
              <w:t>397</w:t>
            </w:r>
          </w:p>
        </w:tc>
        <w:tc>
          <w:tcPr>
            <w:tcW w:w="1081" w:type="dxa"/>
            <w:gridSpan w:val="3"/>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72</w:t>
            </w:r>
            <w:r>
              <w:rPr>
                <w:rFonts w:ascii="Calibri" w:eastAsia="Times New Roman" w:hAnsi="Calibri"/>
                <w:szCs w:val="22"/>
                <w:lang w:val="nl-NL"/>
              </w:rPr>
              <w:t>,</w:t>
            </w:r>
            <w:r w:rsidRPr="00B423A2">
              <w:rPr>
                <w:rFonts w:ascii="Calibri" w:eastAsia="Times New Roman" w:hAnsi="Calibri"/>
                <w:szCs w:val="22"/>
                <w:lang w:val="nl-NL"/>
              </w:rPr>
              <w:t>490</w:t>
            </w:r>
          </w:p>
        </w:tc>
        <w:tc>
          <w:tcPr>
            <w:tcW w:w="1080"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5</w:t>
            </w:r>
            <w:r>
              <w:rPr>
                <w:rFonts w:ascii="Calibri" w:eastAsia="Times New Roman" w:hAnsi="Calibri"/>
                <w:szCs w:val="22"/>
                <w:lang w:val="nl-NL"/>
              </w:rPr>
              <w:t>0,</w:t>
            </w:r>
            <w:r w:rsidRPr="00B423A2">
              <w:rPr>
                <w:rFonts w:ascii="Calibri" w:eastAsia="Times New Roman" w:hAnsi="Calibri"/>
                <w:szCs w:val="22"/>
                <w:lang w:val="nl-NL"/>
              </w:rPr>
              <w:t>811</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1,</w:t>
            </w:r>
            <w:r w:rsidRPr="00B423A2">
              <w:rPr>
                <w:rFonts w:ascii="Calibri" w:eastAsia="Times New Roman" w:hAnsi="Calibri"/>
                <w:szCs w:val="22"/>
                <w:lang w:val="nl-NL"/>
              </w:rPr>
              <w:t>816</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8,</w:t>
            </w:r>
            <w:r w:rsidRPr="00B423A2">
              <w:rPr>
                <w:rFonts w:ascii="Calibri" w:eastAsia="Times New Roman" w:hAnsi="Calibri"/>
                <w:szCs w:val="22"/>
                <w:lang w:val="nl-NL"/>
              </w:rPr>
              <w:t>072</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080"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18</w:t>
            </w:r>
            <w:r>
              <w:rPr>
                <w:rFonts w:ascii="Calibri" w:eastAsia="Times New Roman" w:hAnsi="Calibri"/>
                <w:szCs w:val="22"/>
                <w:lang w:val="nl-NL"/>
              </w:rPr>
              <w:t>,</w:t>
            </w:r>
            <w:r w:rsidRPr="00B423A2">
              <w:rPr>
                <w:rFonts w:ascii="Calibri" w:eastAsia="Times New Roman" w:hAnsi="Calibri"/>
                <w:szCs w:val="22"/>
                <w:lang w:val="nl-NL"/>
              </w:rPr>
              <w:t>135</w:t>
            </w:r>
          </w:p>
        </w:tc>
        <w:tc>
          <w:tcPr>
            <w:tcW w:w="1081" w:type="dxa"/>
            <w:gridSpan w:val="3"/>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43</w:t>
            </w:r>
            <w:r>
              <w:rPr>
                <w:rFonts w:ascii="Calibri" w:eastAsia="Times New Roman" w:hAnsi="Calibri"/>
                <w:szCs w:val="22"/>
                <w:lang w:val="nl-NL"/>
              </w:rPr>
              <w:t>,</w:t>
            </w:r>
            <w:r w:rsidRPr="00B423A2">
              <w:rPr>
                <w:rFonts w:ascii="Calibri" w:eastAsia="Times New Roman" w:hAnsi="Calibri"/>
                <w:szCs w:val="22"/>
                <w:lang w:val="nl-NL"/>
              </w:rPr>
              <w:t>419</w:t>
            </w:r>
          </w:p>
        </w:tc>
        <w:tc>
          <w:tcPr>
            <w:tcW w:w="1080"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2,</w:t>
            </w:r>
            <w:r w:rsidRPr="00B423A2">
              <w:rPr>
                <w:rFonts w:ascii="Calibri" w:eastAsia="Times New Roman" w:hAnsi="Calibri"/>
                <w:szCs w:val="22"/>
                <w:lang w:val="nl-NL"/>
              </w:rPr>
              <w:t>660</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w:t>
            </w:r>
            <w:r>
              <w:rPr>
                <w:rFonts w:ascii="Calibri" w:eastAsia="Times New Roman" w:hAnsi="Calibri"/>
                <w:szCs w:val="22"/>
                <w:lang w:val="nl-NL"/>
              </w:rPr>
              <w:t>6,</w:t>
            </w:r>
            <w:r w:rsidRPr="00B423A2">
              <w:rPr>
                <w:rFonts w:ascii="Calibri" w:eastAsia="Times New Roman" w:hAnsi="Calibri"/>
                <w:szCs w:val="22"/>
                <w:lang w:val="nl-NL"/>
              </w:rPr>
              <w:t>876</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4,</w:t>
            </w:r>
            <w:r w:rsidRPr="00B423A2">
              <w:rPr>
                <w:rFonts w:ascii="Calibri" w:eastAsia="Times New Roman" w:hAnsi="Calibri"/>
                <w:szCs w:val="22"/>
                <w:lang w:val="nl-NL"/>
              </w:rPr>
              <w:t>401</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080"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75</w:t>
            </w:r>
            <w:r>
              <w:rPr>
                <w:rFonts w:ascii="Calibri" w:eastAsia="Times New Roman" w:hAnsi="Calibri"/>
                <w:szCs w:val="22"/>
                <w:lang w:val="nl-NL"/>
              </w:rPr>
              <w:t>,</w:t>
            </w:r>
            <w:r w:rsidRPr="00B423A2">
              <w:rPr>
                <w:rFonts w:ascii="Calibri" w:eastAsia="Times New Roman" w:hAnsi="Calibri"/>
                <w:szCs w:val="22"/>
                <w:lang w:val="nl-NL"/>
              </w:rPr>
              <w:t>619</w:t>
            </w:r>
          </w:p>
        </w:tc>
        <w:tc>
          <w:tcPr>
            <w:tcW w:w="1081" w:type="dxa"/>
            <w:gridSpan w:val="3"/>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148</w:t>
            </w:r>
            <w:r>
              <w:rPr>
                <w:rFonts w:ascii="Calibri" w:eastAsia="Times New Roman" w:hAnsi="Calibri"/>
                <w:szCs w:val="22"/>
                <w:lang w:val="nl-NL"/>
              </w:rPr>
              <w:t>,</w:t>
            </w:r>
            <w:r w:rsidRPr="00B423A2">
              <w:rPr>
                <w:rFonts w:ascii="Calibri" w:eastAsia="Times New Roman" w:hAnsi="Calibri"/>
                <w:szCs w:val="22"/>
                <w:lang w:val="nl-NL"/>
              </w:rPr>
              <w:t>520</w:t>
            </w:r>
          </w:p>
        </w:tc>
        <w:tc>
          <w:tcPr>
            <w:tcW w:w="1080" w:type="dxa"/>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w:t>
            </w:r>
            <w:r>
              <w:rPr>
                <w:rFonts w:ascii="Calibri" w:eastAsia="Times New Roman" w:hAnsi="Calibri"/>
                <w:szCs w:val="22"/>
                <w:lang w:val="nl-NL"/>
              </w:rPr>
              <w:t>2,</w:t>
            </w:r>
            <w:r w:rsidRPr="00B423A2">
              <w:rPr>
                <w:rFonts w:ascii="Calibri" w:eastAsia="Times New Roman" w:hAnsi="Calibri"/>
                <w:szCs w:val="22"/>
                <w:lang w:val="nl-NL"/>
              </w:rPr>
              <w:t>886</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3</w:t>
            </w:r>
            <w:r>
              <w:rPr>
                <w:rFonts w:ascii="Calibri" w:eastAsia="Times New Roman" w:hAnsi="Calibri"/>
                <w:szCs w:val="22"/>
                <w:lang w:val="nl-NL"/>
              </w:rPr>
              <w:t>0,</w:t>
            </w:r>
            <w:r w:rsidRPr="00B423A2">
              <w:rPr>
                <w:rFonts w:ascii="Calibri" w:eastAsia="Times New Roman" w:hAnsi="Calibri"/>
                <w:szCs w:val="22"/>
                <w:lang w:val="nl-NL"/>
              </w:rPr>
              <w:t>396</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szCs w:val="22"/>
                <w:lang w:val="nl-NL"/>
              </w:rPr>
            </w:pPr>
            <w:r>
              <w:rPr>
                <w:rFonts w:ascii="Calibri" w:eastAsia="Times New Roman" w:hAnsi="Calibri"/>
                <w:szCs w:val="22"/>
                <w:lang w:val="nl-NL"/>
              </w:rPr>
              <w:t>7,</w:t>
            </w:r>
            <w:r w:rsidRPr="00B423A2">
              <w:rPr>
                <w:rFonts w:ascii="Calibri" w:eastAsia="Times New Roman" w:hAnsi="Calibri"/>
                <w:szCs w:val="22"/>
                <w:lang w:val="nl-NL"/>
              </w:rPr>
              <w:t>923</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080"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8</w:t>
            </w:r>
          </w:p>
        </w:tc>
        <w:tc>
          <w:tcPr>
            <w:tcW w:w="1081" w:type="dxa"/>
            <w:gridSpan w:val="3"/>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10</w:t>
            </w:r>
          </w:p>
        </w:tc>
        <w:tc>
          <w:tcPr>
            <w:tcW w:w="1080" w:type="dxa"/>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2</w:t>
            </w:r>
            <w:r>
              <w:rPr>
                <w:rFonts w:ascii="Calibri" w:eastAsia="Times New Roman" w:hAnsi="Calibri"/>
                <w:szCs w:val="22"/>
                <w:lang w:val="nl-NL"/>
              </w:rPr>
              <w:t>9,</w:t>
            </w:r>
            <w:r w:rsidRPr="00B423A2">
              <w:rPr>
                <w:rFonts w:ascii="Calibri" w:eastAsia="Times New Roman" w:hAnsi="Calibri"/>
                <w:szCs w:val="22"/>
                <w:lang w:val="nl-NL"/>
              </w:rPr>
              <w:t>826</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4</w:t>
            </w:r>
            <w:r>
              <w:rPr>
                <w:rFonts w:ascii="Calibri" w:eastAsia="Times New Roman" w:hAnsi="Calibri"/>
                <w:szCs w:val="22"/>
                <w:lang w:val="nl-NL"/>
              </w:rPr>
              <w:t>3,</w:t>
            </w:r>
            <w:r w:rsidRPr="00B423A2">
              <w:rPr>
                <w:rFonts w:ascii="Calibri" w:eastAsia="Times New Roman" w:hAnsi="Calibri"/>
                <w:szCs w:val="22"/>
                <w:lang w:val="nl-NL"/>
              </w:rPr>
              <w:t>478</w:t>
            </w:r>
          </w:p>
        </w:tc>
        <w:tc>
          <w:tcPr>
            <w:tcW w:w="1081" w:type="dxa"/>
            <w:gridSpan w:val="2"/>
            <w:tcBorders>
              <w:top w:val="nil"/>
              <w:left w:val="nil"/>
              <w:bottom w:val="single" w:sz="8" w:space="0" w:color="FFFFFF"/>
              <w:right w:val="single" w:sz="8" w:space="0" w:color="FFFFFF"/>
            </w:tcBorders>
            <w:shd w:val="clear" w:color="000000" w:fill="B4C6E7"/>
            <w:vAlign w:val="center"/>
            <w:hideMark/>
          </w:tcPr>
          <w:p w:rsidR="00F23B5E" w:rsidRPr="00B423A2" w:rsidRDefault="00F23B5E" w:rsidP="004A4E5F">
            <w:pPr>
              <w:jc w:val="right"/>
              <w:rPr>
                <w:rFonts w:ascii="Calibri" w:eastAsia="Times New Roman" w:hAnsi="Calibri"/>
                <w:szCs w:val="22"/>
                <w:lang w:val="nl-NL"/>
              </w:rPr>
            </w:pPr>
            <w:r w:rsidRPr="00B423A2">
              <w:rPr>
                <w:rFonts w:ascii="Calibri" w:eastAsia="Times New Roman" w:hAnsi="Calibri"/>
                <w:szCs w:val="22"/>
                <w:lang w:val="nl-NL"/>
              </w:rPr>
              <w:t>5</w:t>
            </w:r>
            <w:r>
              <w:rPr>
                <w:rFonts w:ascii="Calibri" w:eastAsia="Times New Roman" w:hAnsi="Calibri"/>
                <w:szCs w:val="22"/>
                <w:lang w:val="nl-NL"/>
              </w:rPr>
              <w:t>8,</w:t>
            </w:r>
            <w:r w:rsidRPr="00B423A2">
              <w:rPr>
                <w:rFonts w:ascii="Calibri" w:eastAsia="Times New Roman" w:hAnsi="Calibri"/>
                <w:szCs w:val="22"/>
                <w:lang w:val="nl-NL"/>
              </w:rPr>
              <w:t>396</w:t>
            </w:r>
          </w:p>
        </w:tc>
      </w:tr>
      <w:tr w:rsidR="00F23B5E" w:rsidRPr="00B423A2" w:rsidTr="004A4E5F">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B423A2" w:rsidRDefault="00F23B5E" w:rsidP="004A4E5F">
            <w:pPr>
              <w:rPr>
                <w:rFonts w:ascii="Calibri" w:eastAsia="Times New Roman" w:hAnsi="Calibri"/>
                <w:b/>
                <w:bCs/>
                <w:color w:val="FFFFFF"/>
                <w:szCs w:val="22"/>
                <w:lang w:val="nl-NL"/>
              </w:rPr>
            </w:pPr>
          </w:p>
        </w:tc>
        <w:tc>
          <w:tcPr>
            <w:tcW w:w="1685"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080" w:type="dxa"/>
            <w:gridSpan w:val="2"/>
            <w:tcBorders>
              <w:top w:val="nil"/>
              <w:left w:val="nil"/>
              <w:bottom w:val="single" w:sz="8" w:space="0" w:color="FFFFFF"/>
              <w:right w:val="single" w:sz="8" w:space="0" w:color="FFFFFF"/>
            </w:tcBorders>
            <w:shd w:val="clear" w:color="000000" w:fill="D9E2F3"/>
            <w:vAlign w:val="center"/>
            <w:hideMark/>
          </w:tcPr>
          <w:p w:rsidR="00F23B5E" w:rsidRPr="006A38C2" w:rsidRDefault="00F23B5E" w:rsidP="004A4E5F">
            <w:pPr>
              <w:jc w:val="right"/>
              <w:rPr>
                <w:rFonts w:ascii="Calibri" w:eastAsia="Times New Roman" w:hAnsi="Calibri"/>
                <w:b/>
                <w:bCs/>
                <w:szCs w:val="22"/>
                <w:highlight w:val="yellow"/>
                <w:lang w:val="nl-NL"/>
              </w:rPr>
            </w:pPr>
            <w:r w:rsidRPr="006A38C2">
              <w:rPr>
                <w:rFonts w:ascii="Calibri" w:eastAsia="Times New Roman" w:hAnsi="Calibri"/>
                <w:b/>
                <w:szCs w:val="22"/>
                <w:lang w:val="nl-NL"/>
              </w:rPr>
              <w:t>263</w:t>
            </w:r>
            <w:r>
              <w:rPr>
                <w:rFonts w:ascii="Calibri" w:eastAsia="Times New Roman" w:hAnsi="Calibri"/>
                <w:b/>
                <w:szCs w:val="22"/>
                <w:lang w:val="nl-NL"/>
              </w:rPr>
              <w:t>,</w:t>
            </w:r>
            <w:r w:rsidRPr="006A38C2">
              <w:rPr>
                <w:rFonts w:ascii="Calibri" w:eastAsia="Times New Roman" w:hAnsi="Calibri"/>
                <w:b/>
                <w:szCs w:val="22"/>
                <w:lang w:val="nl-NL"/>
              </w:rPr>
              <w:t>984</w:t>
            </w:r>
          </w:p>
        </w:tc>
        <w:tc>
          <w:tcPr>
            <w:tcW w:w="1081" w:type="dxa"/>
            <w:gridSpan w:val="3"/>
            <w:tcBorders>
              <w:top w:val="nil"/>
              <w:left w:val="nil"/>
              <w:bottom w:val="single" w:sz="8" w:space="0" w:color="FFFFFF"/>
              <w:right w:val="single" w:sz="8" w:space="0" w:color="FFFFFF"/>
            </w:tcBorders>
            <w:shd w:val="clear" w:color="000000" w:fill="D9E2F3"/>
            <w:vAlign w:val="center"/>
            <w:hideMark/>
          </w:tcPr>
          <w:p w:rsidR="00F23B5E" w:rsidRPr="006A38C2" w:rsidRDefault="00F23B5E" w:rsidP="004A4E5F">
            <w:pPr>
              <w:jc w:val="right"/>
              <w:rPr>
                <w:rFonts w:ascii="Calibri" w:eastAsia="Times New Roman" w:hAnsi="Calibri"/>
                <w:b/>
                <w:bCs/>
                <w:szCs w:val="22"/>
                <w:highlight w:val="yellow"/>
                <w:lang w:val="nl-NL"/>
              </w:rPr>
            </w:pPr>
            <w:r w:rsidRPr="006A38C2">
              <w:rPr>
                <w:rFonts w:ascii="Calibri" w:eastAsia="Times New Roman" w:hAnsi="Calibri"/>
                <w:b/>
                <w:szCs w:val="22"/>
                <w:lang w:val="nl-NL"/>
              </w:rPr>
              <w:t>365</w:t>
            </w:r>
            <w:r>
              <w:rPr>
                <w:rFonts w:ascii="Calibri" w:eastAsia="Times New Roman" w:hAnsi="Calibri"/>
                <w:b/>
                <w:szCs w:val="22"/>
                <w:lang w:val="nl-NL"/>
              </w:rPr>
              <w:t>,</w:t>
            </w:r>
            <w:r w:rsidRPr="006A38C2">
              <w:rPr>
                <w:rFonts w:ascii="Calibri" w:eastAsia="Times New Roman" w:hAnsi="Calibri"/>
                <w:b/>
                <w:szCs w:val="22"/>
                <w:lang w:val="nl-NL"/>
              </w:rPr>
              <w:t>809</w:t>
            </w:r>
          </w:p>
        </w:tc>
        <w:tc>
          <w:tcPr>
            <w:tcW w:w="1080" w:type="dxa"/>
            <w:tcBorders>
              <w:top w:val="nil"/>
              <w:left w:val="nil"/>
              <w:bottom w:val="single" w:sz="8" w:space="0" w:color="FFFFFF"/>
              <w:right w:val="single" w:sz="8" w:space="0" w:color="FFFFFF"/>
            </w:tcBorders>
            <w:shd w:val="clear" w:color="000000" w:fill="D9E2F3"/>
            <w:vAlign w:val="center"/>
            <w:hideMark/>
          </w:tcPr>
          <w:p w:rsidR="00F23B5E" w:rsidRPr="006A38C2" w:rsidRDefault="00F23B5E" w:rsidP="004A4E5F">
            <w:pPr>
              <w:jc w:val="right"/>
              <w:rPr>
                <w:rFonts w:ascii="Calibri" w:eastAsia="Times New Roman" w:hAnsi="Calibri"/>
                <w:b/>
                <w:bCs/>
                <w:szCs w:val="22"/>
                <w:lang w:val="nl-NL"/>
              </w:rPr>
            </w:pPr>
            <w:r w:rsidRPr="006A38C2">
              <w:rPr>
                <w:rFonts w:ascii="Calibri" w:eastAsia="Times New Roman" w:hAnsi="Calibri"/>
                <w:b/>
                <w:bCs/>
                <w:szCs w:val="22"/>
                <w:lang w:val="nl-NL"/>
              </w:rPr>
              <w:t>170</w:t>
            </w:r>
            <w:r>
              <w:rPr>
                <w:rFonts w:ascii="Calibri" w:eastAsia="Times New Roman" w:hAnsi="Calibri"/>
                <w:b/>
                <w:bCs/>
                <w:szCs w:val="22"/>
                <w:lang w:val="nl-NL"/>
              </w:rPr>
              <w:t>,</w:t>
            </w:r>
            <w:r w:rsidRPr="006A38C2">
              <w:rPr>
                <w:rFonts w:ascii="Calibri" w:eastAsia="Times New Roman" w:hAnsi="Calibri"/>
                <w:b/>
                <w:bCs/>
                <w:szCs w:val="22"/>
                <w:lang w:val="nl-NL"/>
              </w:rPr>
              <w:t>568</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6A38C2" w:rsidRDefault="00F23B5E" w:rsidP="004A4E5F">
            <w:pPr>
              <w:jc w:val="right"/>
              <w:rPr>
                <w:rFonts w:ascii="Calibri" w:eastAsia="Times New Roman" w:hAnsi="Calibri"/>
                <w:b/>
                <w:bCs/>
                <w:szCs w:val="22"/>
                <w:lang w:val="nl-NL"/>
              </w:rPr>
            </w:pPr>
            <w:r w:rsidRPr="006A38C2">
              <w:rPr>
                <w:rFonts w:ascii="Calibri" w:eastAsia="Times New Roman" w:hAnsi="Calibri"/>
                <w:b/>
                <w:bCs/>
                <w:szCs w:val="22"/>
                <w:lang w:val="nl-NL"/>
              </w:rPr>
              <w:t>130</w:t>
            </w:r>
            <w:r>
              <w:rPr>
                <w:rFonts w:ascii="Calibri" w:eastAsia="Times New Roman" w:hAnsi="Calibri"/>
                <w:b/>
                <w:bCs/>
                <w:szCs w:val="22"/>
                <w:lang w:val="nl-NL"/>
              </w:rPr>
              <w:t>,</w:t>
            </w:r>
            <w:r w:rsidRPr="006A38C2">
              <w:rPr>
                <w:rFonts w:ascii="Calibri" w:eastAsia="Times New Roman" w:hAnsi="Calibri"/>
                <w:b/>
                <w:bCs/>
                <w:szCs w:val="22"/>
                <w:lang w:val="nl-NL"/>
              </w:rPr>
              <w:t>007</w:t>
            </w:r>
          </w:p>
        </w:tc>
        <w:tc>
          <w:tcPr>
            <w:tcW w:w="1081" w:type="dxa"/>
            <w:gridSpan w:val="2"/>
            <w:tcBorders>
              <w:top w:val="nil"/>
              <w:left w:val="nil"/>
              <w:bottom w:val="single" w:sz="8" w:space="0" w:color="FFFFFF"/>
              <w:right w:val="single" w:sz="8" w:space="0" w:color="FFFFFF"/>
            </w:tcBorders>
            <w:shd w:val="clear" w:color="000000" w:fill="D9E2F3"/>
            <w:vAlign w:val="center"/>
            <w:hideMark/>
          </w:tcPr>
          <w:p w:rsidR="00F23B5E" w:rsidRPr="00B423A2" w:rsidRDefault="00F23B5E" w:rsidP="004A4E5F">
            <w:pPr>
              <w:jc w:val="right"/>
              <w:rPr>
                <w:rFonts w:ascii="Calibri" w:eastAsia="Times New Roman" w:hAnsi="Calibri"/>
                <w:b/>
                <w:bCs/>
                <w:szCs w:val="22"/>
                <w:lang w:val="nl-NL"/>
              </w:rPr>
            </w:pPr>
            <w:r w:rsidRPr="00B423A2">
              <w:rPr>
                <w:rFonts w:ascii="Calibri" w:eastAsia="Times New Roman" w:hAnsi="Calibri"/>
                <w:b/>
                <w:bCs/>
                <w:szCs w:val="22"/>
                <w:lang w:val="nl-NL"/>
              </w:rPr>
              <w:t>8</w:t>
            </w:r>
            <w:r>
              <w:rPr>
                <w:rFonts w:ascii="Calibri" w:eastAsia="Times New Roman" w:hAnsi="Calibri"/>
                <w:b/>
                <w:bCs/>
                <w:szCs w:val="22"/>
                <w:lang w:val="nl-NL"/>
              </w:rPr>
              <w:t>8,</w:t>
            </w:r>
            <w:r w:rsidRPr="00B423A2">
              <w:rPr>
                <w:rFonts w:ascii="Calibri" w:eastAsia="Times New Roman" w:hAnsi="Calibri"/>
                <w:b/>
                <w:bCs/>
                <w:szCs w:val="22"/>
                <w:lang w:val="nl-NL"/>
              </w:rPr>
              <w:t>093</w:t>
            </w:r>
          </w:p>
        </w:tc>
      </w:tr>
      <w:tr w:rsidR="00F23B5E" w:rsidRPr="008611ED" w:rsidTr="004A4E5F">
        <w:tblPrEx>
          <w:tblCellMar>
            <w:left w:w="108" w:type="dxa"/>
            <w:right w:w="108" w:type="dxa"/>
          </w:tblCellMar>
        </w:tblPrEx>
        <w:trPr>
          <w:trHeight w:val="315"/>
        </w:trPr>
        <w:tc>
          <w:tcPr>
            <w:tcW w:w="126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b/>
                <w:color w:val="FFFFFF"/>
                <w:szCs w:val="22"/>
                <w:lang w:eastAsia="en-GB"/>
              </w:rPr>
            </w:pPr>
            <w:r w:rsidRPr="008611ED">
              <w:rPr>
                <w:rFonts w:ascii="Calibri" w:eastAsia="Times New Roman" w:hAnsi="Calibri"/>
                <w:color w:val="FFFFFF"/>
                <w:szCs w:val="22"/>
                <w:lang w:eastAsia="en-GB"/>
              </w:rPr>
              <w:t> </w:t>
            </w:r>
            <w:r w:rsidRPr="008611ED">
              <w:rPr>
                <w:rFonts w:ascii="Calibri" w:eastAsia="Times New Roman" w:hAnsi="Calibri"/>
                <w:b/>
                <w:color w:val="FFFFFF"/>
                <w:szCs w:val="22"/>
                <w:lang w:eastAsia="en-GB"/>
              </w:rPr>
              <w:t>MIT-3</w:t>
            </w:r>
          </w:p>
        </w:tc>
        <w:tc>
          <w:tcPr>
            <w:tcW w:w="1701" w:type="dxa"/>
            <w:gridSpan w:val="2"/>
            <w:tcBorders>
              <w:top w:val="single" w:sz="8" w:space="0" w:color="FFFFFF"/>
              <w:left w:val="nil"/>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134"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1134" w:type="dxa"/>
            <w:gridSpan w:val="3"/>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993"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rsidTr="004A4E5F">
        <w:tblPrEx>
          <w:tblCellMar>
            <w:left w:w="108" w:type="dxa"/>
            <w:right w:w="108" w:type="dxa"/>
          </w:tblCellMar>
        </w:tblPrEx>
        <w:trPr>
          <w:trHeight w:val="315"/>
        </w:trPr>
        <w:tc>
          <w:tcPr>
            <w:tcW w:w="126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nA5 3-year conversion 2020</w:t>
            </w:r>
          </w:p>
        </w:tc>
        <w:tc>
          <w:tcPr>
            <w:tcW w:w="1701"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8611ED">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Pr>
                <w:rFonts w:ascii="Calibri" w:eastAsia="Times New Roman" w:hAnsi="Calibri"/>
                <w:szCs w:val="22"/>
                <w:lang w:eastAsia="en-GB"/>
              </w:rPr>
              <w:t>9,301</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5,124</w:t>
            </w:r>
          </w:p>
        </w:tc>
        <w:tc>
          <w:tcPr>
            <w:tcW w:w="1134" w:type="dxa"/>
            <w:gridSpan w:val="3"/>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5,846</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6,699</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7,700</w:t>
            </w:r>
          </w:p>
        </w:tc>
      </w:tr>
      <w:tr w:rsidR="00F23B5E" w:rsidRPr="008611ED" w:rsidTr="004A4E5F">
        <w:tblPrEx>
          <w:tblCellMar>
            <w:left w:w="108" w:type="dxa"/>
            <w:right w:w="108" w:type="dxa"/>
          </w:tblCellMar>
        </w:tblPrEx>
        <w:trPr>
          <w:trHeight w:val="300"/>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404A + R</w:t>
            </w:r>
            <w:r>
              <w:rPr>
                <w:rFonts w:ascii="Calibri" w:eastAsia="Times New Roman" w:hAnsi="Calibri"/>
                <w:b/>
                <w:bCs/>
                <w:szCs w:val="22"/>
                <w:lang w:eastAsia="en-GB"/>
              </w:rPr>
              <w:t>-</w:t>
            </w:r>
            <w:r w:rsidRPr="008611ED">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8,072</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611</w:t>
            </w:r>
          </w:p>
        </w:tc>
        <w:tc>
          <w:tcPr>
            <w:tcW w:w="1134" w:type="dxa"/>
            <w:gridSpan w:val="3"/>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475</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370</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288</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4,401</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3"/>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w:t>
            </w:r>
            <w:r>
              <w:rPr>
                <w:rFonts w:ascii="Calibri" w:eastAsia="Times New Roman" w:hAnsi="Calibri"/>
                <w:b/>
                <w:bCs/>
                <w:szCs w:val="22"/>
                <w:lang w:eastAsia="en-GB"/>
              </w:rPr>
              <w:t>-</w:t>
            </w:r>
            <w:r w:rsidRPr="008611ED">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7,923</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3"/>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0</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58,</w:t>
            </w:r>
            <w:r>
              <w:rPr>
                <w:rFonts w:ascii="Calibri" w:eastAsia="Times New Roman" w:hAnsi="Calibri"/>
                <w:szCs w:val="22"/>
                <w:lang w:eastAsia="en-GB"/>
              </w:rPr>
              <w:t>396</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72,898</w:t>
            </w:r>
          </w:p>
        </w:tc>
        <w:tc>
          <w:tcPr>
            <w:tcW w:w="1134" w:type="dxa"/>
            <w:gridSpan w:val="3"/>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84,498</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97,948</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113,542</w:t>
            </w:r>
          </w:p>
        </w:tc>
      </w:tr>
      <w:tr w:rsidR="00F23B5E" w:rsidRPr="008611ED" w:rsidTr="004A4E5F">
        <w:tblPrEx>
          <w:tblCellMar>
            <w:left w:w="108" w:type="dxa"/>
            <w:right w:w="108" w:type="dxa"/>
          </w:tblCellMar>
        </w:tblPrEx>
        <w:trPr>
          <w:trHeight w:val="315"/>
        </w:trPr>
        <w:tc>
          <w:tcPr>
            <w:tcW w:w="1266" w:type="dxa"/>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701"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88</w:t>
            </w:r>
            <w:r w:rsidRPr="008611ED">
              <w:rPr>
                <w:rFonts w:ascii="Calibri" w:eastAsia="Times New Roman" w:hAnsi="Calibri"/>
                <w:b/>
                <w:bCs/>
                <w:szCs w:val="22"/>
                <w:lang w:eastAsia="en-GB"/>
              </w:rPr>
              <w:t>,</w:t>
            </w:r>
            <w:r>
              <w:rPr>
                <w:rFonts w:ascii="Calibri" w:eastAsia="Times New Roman" w:hAnsi="Calibri"/>
                <w:b/>
                <w:bCs/>
                <w:szCs w:val="22"/>
                <w:lang w:eastAsia="en-GB"/>
              </w:rPr>
              <w:t>093</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78,633</w:t>
            </w:r>
          </w:p>
        </w:tc>
        <w:tc>
          <w:tcPr>
            <w:tcW w:w="1134" w:type="dxa"/>
            <w:gridSpan w:val="3"/>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90,819</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105,017</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121,530</w:t>
            </w:r>
          </w:p>
        </w:tc>
      </w:tr>
    </w:tbl>
    <w:p w:rsidR="00F23B5E" w:rsidRDefault="00F23B5E" w:rsidP="005158E2">
      <w:pPr>
        <w:pStyle w:val="BodyText"/>
        <w:spacing w:before="60"/>
      </w:pPr>
      <w:r w:rsidRPr="00576FF9">
        <w:t xml:space="preserve">The following can </w:t>
      </w:r>
      <w:r>
        <w:t>b</w:t>
      </w:r>
      <w:r w:rsidRPr="00576FF9">
        <w:t xml:space="preserve">e observed for </w:t>
      </w:r>
      <w:r>
        <w:t>non-</w:t>
      </w:r>
      <w:r w:rsidRPr="00576FF9">
        <w:t xml:space="preserve">Article </w:t>
      </w:r>
      <w:r>
        <w:t>5 Parties and the MIT-3 scenario, which results in the conversion of manufacturing by the year 2020</w:t>
      </w:r>
      <w:r w:rsidR="00C371AF">
        <w:t>:</w:t>
      </w:r>
      <w:r w:rsidRPr="00576FF9">
        <w:t xml:space="preserve"> </w:t>
      </w:r>
    </w:p>
    <w:p w:rsidR="00F23B5E" w:rsidRPr="00083C89" w:rsidRDefault="00F23B5E" w:rsidP="009840D4">
      <w:pPr>
        <w:pStyle w:val="BodyText"/>
        <w:numPr>
          <w:ilvl w:val="0"/>
          <w:numId w:val="34"/>
        </w:numPr>
        <w:spacing w:before="60" w:line="120" w:lineRule="atLeast"/>
      </w:pPr>
      <w:r w:rsidRPr="00083C89">
        <w:t xml:space="preserve">The demand for various HFCs in non-Article </w:t>
      </w:r>
      <w:r>
        <w:t>5 Parties</w:t>
      </w:r>
      <w:r w:rsidRPr="00083C89">
        <w:t xml:space="preserve"> is assumed to </w:t>
      </w:r>
      <w:r>
        <w:t xml:space="preserve">decrease substantially </w:t>
      </w:r>
      <w:r w:rsidRPr="00083C89">
        <w:t>between 2015 and 2030</w:t>
      </w:r>
      <w:r>
        <w:t>, by more than 70% in climate weighted terms, thereafter the decrease will be much slower (values are already very low)</w:t>
      </w:r>
      <w:r w:rsidRPr="00083C89">
        <w:t>;</w:t>
      </w:r>
    </w:p>
    <w:p w:rsidR="00F23B5E" w:rsidRDefault="00F23B5E" w:rsidP="009840D4">
      <w:pPr>
        <w:pStyle w:val="BodyText"/>
        <w:numPr>
          <w:ilvl w:val="0"/>
          <w:numId w:val="34"/>
        </w:numPr>
        <w:spacing w:after="120" w:line="120" w:lineRule="atLeast"/>
      </w:pPr>
      <w:r>
        <w:t xml:space="preserve">The demand for the </w:t>
      </w:r>
      <w:r w:rsidRPr="00083C89">
        <w:t xml:space="preserve">stationary AC </w:t>
      </w:r>
      <w:r>
        <w:t>sub-sector decreases enormously between 2025 and 2030, because virtually all requirements for high-GWP refrigerants disappear. The amount of low-GWP refrigerants in climate terms now becomes very relevant (due to the remaining GWP of 300 assumed for low-GWP refrigerant blends).</w:t>
      </w:r>
    </w:p>
    <w:p w:rsidR="00F23B5E" w:rsidRDefault="00F23B5E" w:rsidP="00F23B5E">
      <w:pPr>
        <w:pStyle w:val="BodyText"/>
        <w:spacing w:line="120" w:lineRule="atLeast"/>
      </w:pPr>
      <w:r>
        <w:t>A number of tables containing the demand data in tonnes and ktonnes CO</w:t>
      </w:r>
      <w:r w:rsidRPr="009A3184">
        <w:rPr>
          <w:vertAlign w:val="subscript"/>
        </w:rPr>
        <w:t>2</w:t>
      </w:r>
      <w:r>
        <w:t xml:space="preserve">-eq. </w:t>
      </w:r>
      <w:r w:rsidR="00FD0AF6">
        <w:t xml:space="preserve">extended to 2050 </w:t>
      </w:r>
      <w:r>
        <w:t>for the BAU, MIT-3 and MIT-5 scenarios in Article 5 Parties</w:t>
      </w:r>
      <w:r w:rsidR="00DB3F06">
        <w:t xml:space="preserve"> are </w:t>
      </w:r>
      <w:r>
        <w:t>given below.</w:t>
      </w:r>
    </w:p>
    <w:p w:rsidR="006718A1" w:rsidRDefault="006718A1" w:rsidP="00F23B5E">
      <w:pPr>
        <w:pStyle w:val="BodyText"/>
        <w:spacing w:line="120" w:lineRule="atLeast"/>
      </w:pPr>
    </w:p>
    <w:p w:rsidR="00F23B5E" w:rsidRPr="00096C93" w:rsidRDefault="00F23B5E" w:rsidP="006641D8">
      <w:pPr>
        <w:pStyle w:val="BodyText"/>
        <w:spacing w:before="60" w:after="60" w:line="220" w:lineRule="atLeast"/>
        <w:rPr>
          <w:sz w:val="8"/>
        </w:rPr>
      </w:pPr>
      <w:r w:rsidRPr="00096C93">
        <w:rPr>
          <w:b/>
          <w:i/>
        </w:rPr>
        <w:t xml:space="preserve">Table </w:t>
      </w:r>
      <w:r w:rsidR="00AE184E">
        <w:rPr>
          <w:b/>
          <w:i/>
        </w:rPr>
        <w:t>6</w:t>
      </w:r>
      <w:r>
        <w:rPr>
          <w:b/>
          <w:i/>
        </w:rPr>
        <w:t>-7</w:t>
      </w:r>
      <w:r w:rsidRPr="00096C93">
        <w:rPr>
          <w:b/>
          <w:i/>
        </w:rPr>
        <w:t>: Current and future refrigerant demand for (refrigerant) ODS alternatives (BAU scenario) for the period 2010-20</w:t>
      </w:r>
      <w:r>
        <w:rPr>
          <w:b/>
          <w:i/>
        </w:rPr>
        <w:t>50</w:t>
      </w:r>
      <w:r w:rsidRPr="00096C93">
        <w:rPr>
          <w:b/>
          <w:i/>
        </w:rPr>
        <w:t xml:space="preserve"> in Article </w:t>
      </w:r>
      <w:r>
        <w:rPr>
          <w:b/>
          <w:i/>
        </w:rPr>
        <w:t>5 Parties</w:t>
      </w:r>
      <w:r w:rsidRPr="00096C93">
        <w:rPr>
          <w:b/>
          <w:i/>
        </w:rPr>
        <w:t xml:space="preserve"> (tonnes)</w:t>
      </w:r>
    </w:p>
    <w:tbl>
      <w:tblPr>
        <w:tblW w:w="5009" w:type="pct"/>
        <w:tblInd w:w="-72" w:type="dxa"/>
        <w:tblCellMar>
          <w:left w:w="70" w:type="dxa"/>
          <w:right w:w="70" w:type="dxa"/>
        </w:tblCellMar>
        <w:tblLook w:val="04A0" w:firstRow="1" w:lastRow="0" w:firstColumn="1" w:lastColumn="0" w:noHBand="0" w:noVBand="1"/>
      </w:tblPr>
      <w:tblGrid>
        <w:gridCol w:w="1168"/>
        <w:gridCol w:w="15"/>
        <w:gridCol w:w="1694"/>
        <w:gridCol w:w="1097"/>
        <w:gridCol w:w="25"/>
        <w:gridCol w:w="1067"/>
        <w:gridCol w:w="51"/>
        <w:gridCol w:w="1042"/>
        <w:gridCol w:w="76"/>
        <w:gridCol w:w="1067"/>
        <w:gridCol w:w="42"/>
        <w:gridCol w:w="1099"/>
        <w:gridCol w:w="12"/>
      </w:tblGrid>
      <w:tr w:rsidR="00F23B5E" w:rsidRPr="00784FA6" w:rsidTr="00D856C3">
        <w:trPr>
          <w:gridAfter w:val="1"/>
          <w:wAfter w:w="7" w:type="pct"/>
          <w:trHeight w:val="315"/>
        </w:trPr>
        <w:tc>
          <w:tcPr>
            <w:tcW w:w="690" w:type="pct"/>
            <w:tcBorders>
              <w:top w:val="nil"/>
              <w:left w:val="nil"/>
              <w:bottom w:val="nil"/>
              <w:right w:val="nil"/>
            </w:tcBorders>
            <w:shd w:val="clear" w:color="000000" w:fill="4F81BD"/>
            <w:noWrap/>
            <w:vAlign w:val="center"/>
            <w:hideMark/>
          </w:tcPr>
          <w:p w:rsidR="00F23B5E" w:rsidRPr="009973DD" w:rsidRDefault="00F23B5E" w:rsidP="004A4E5F">
            <w:pPr>
              <w:spacing w:after="60"/>
              <w:rPr>
                <w:rFonts w:ascii="Calibri" w:hAnsi="Calibri"/>
                <w:color w:val="FFFFFF"/>
                <w:szCs w:val="22"/>
              </w:rPr>
            </w:pPr>
            <w:r>
              <w:rPr>
                <w:rFonts w:ascii="Calibri" w:hAnsi="Calibri"/>
                <w:color w:val="FFFFFF"/>
                <w:szCs w:val="22"/>
              </w:rPr>
              <w:t> </w:t>
            </w:r>
          </w:p>
        </w:tc>
        <w:tc>
          <w:tcPr>
            <w:tcW w:w="1011"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60"/>
              <w:rPr>
                <w:rFonts w:ascii="Calibri" w:hAnsi="Calibri"/>
                <w:color w:val="FFFFFF"/>
                <w:szCs w:val="22"/>
              </w:rPr>
            </w:pPr>
            <w:r>
              <w:rPr>
                <w:rFonts w:ascii="Calibri" w:hAnsi="Calibri"/>
                <w:color w:val="FFFFFF"/>
                <w:szCs w:val="22"/>
              </w:rPr>
              <w:t> </w:t>
            </w:r>
          </w:p>
        </w:tc>
        <w:tc>
          <w:tcPr>
            <w:tcW w:w="649" w:type="pct"/>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60"/>
              <w:jc w:val="center"/>
              <w:rPr>
                <w:rFonts w:ascii="Calibri" w:hAnsi="Calibri"/>
                <w:b/>
                <w:bCs/>
                <w:color w:val="FFFFFF"/>
                <w:szCs w:val="22"/>
              </w:rPr>
            </w:pPr>
            <w:r>
              <w:rPr>
                <w:rFonts w:ascii="Calibri" w:hAnsi="Calibri"/>
                <w:b/>
                <w:bCs/>
                <w:color w:val="FFFFFF"/>
                <w:szCs w:val="22"/>
              </w:rPr>
              <w:t>2010</w:t>
            </w:r>
          </w:p>
        </w:tc>
        <w:tc>
          <w:tcPr>
            <w:tcW w:w="646"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60"/>
              <w:jc w:val="center"/>
              <w:rPr>
                <w:rFonts w:ascii="Calibri" w:hAnsi="Calibri"/>
                <w:b/>
                <w:bCs/>
                <w:color w:val="FFFFFF"/>
                <w:szCs w:val="22"/>
              </w:rPr>
            </w:pPr>
            <w:r>
              <w:rPr>
                <w:rFonts w:ascii="Calibri" w:hAnsi="Calibri"/>
                <w:b/>
                <w:bCs/>
                <w:color w:val="FFFFFF"/>
                <w:szCs w:val="22"/>
              </w:rPr>
              <w:t>2015</w:t>
            </w:r>
          </w:p>
        </w:tc>
        <w:tc>
          <w:tcPr>
            <w:tcW w:w="646"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60"/>
              <w:jc w:val="center"/>
              <w:rPr>
                <w:rFonts w:ascii="Calibri" w:hAnsi="Calibri"/>
                <w:b/>
                <w:bCs/>
                <w:color w:val="FFFFFF"/>
                <w:szCs w:val="22"/>
              </w:rPr>
            </w:pPr>
            <w:r>
              <w:rPr>
                <w:rFonts w:ascii="Calibri" w:hAnsi="Calibri"/>
                <w:b/>
                <w:bCs/>
                <w:color w:val="FFFFFF"/>
                <w:szCs w:val="22"/>
              </w:rPr>
              <w:t>2020</w:t>
            </w:r>
          </w:p>
        </w:tc>
        <w:tc>
          <w:tcPr>
            <w:tcW w:w="676"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spacing w:after="60"/>
              <w:jc w:val="center"/>
              <w:rPr>
                <w:rFonts w:ascii="Calibri" w:hAnsi="Calibri"/>
                <w:b/>
                <w:bCs/>
                <w:color w:val="FFFFFF"/>
                <w:szCs w:val="22"/>
              </w:rPr>
            </w:pPr>
            <w:r>
              <w:rPr>
                <w:rFonts w:ascii="Calibri" w:hAnsi="Calibri"/>
                <w:b/>
                <w:bCs/>
                <w:color w:val="FFFFFF"/>
                <w:szCs w:val="22"/>
              </w:rPr>
              <w:t>2025</w:t>
            </w:r>
          </w:p>
        </w:tc>
        <w:tc>
          <w:tcPr>
            <w:tcW w:w="675" w:type="pct"/>
            <w:gridSpan w:val="2"/>
            <w:tcBorders>
              <w:top w:val="single" w:sz="8" w:space="0" w:color="FFFFFF"/>
              <w:left w:val="nil"/>
              <w:bottom w:val="single" w:sz="8" w:space="0" w:color="FFFFFF"/>
              <w:right w:val="single" w:sz="8" w:space="0" w:color="FFFFFF"/>
            </w:tcBorders>
            <w:shd w:val="clear" w:color="000000" w:fill="4F81BD"/>
            <w:vAlign w:val="center"/>
            <w:hideMark/>
          </w:tcPr>
          <w:p w:rsidR="00F23B5E" w:rsidRDefault="00F23B5E" w:rsidP="004A4E5F">
            <w:pPr>
              <w:spacing w:after="60"/>
              <w:jc w:val="center"/>
              <w:rPr>
                <w:rFonts w:ascii="Calibri" w:hAnsi="Calibri"/>
                <w:b/>
                <w:bCs/>
                <w:color w:val="FFFFFF"/>
                <w:szCs w:val="22"/>
              </w:rPr>
            </w:pPr>
            <w:r>
              <w:rPr>
                <w:rFonts w:ascii="Calibri" w:hAnsi="Calibri"/>
                <w:b/>
                <w:bCs/>
                <w:color w:val="FFFFFF"/>
                <w:szCs w:val="22"/>
              </w:rPr>
              <w:t>2030</w:t>
            </w:r>
          </w:p>
        </w:tc>
      </w:tr>
      <w:tr w:rsidR="00F23B5E" w:rsidRPr="00784FA6" w:rsidTr="00D856C3">
        <w:trPr>
          <w:gridAfter w:val="1"/>
          <w:wAfter w:w="7" w:type="pct"/>
          <w:trHeight w:val="315"/>
        </w:trPr>
        <w:tc>
          <w:tcPr>
            <w:tcW w:w="690" w:type="pct"/>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r>
              <w:rPr>
                <w:rFonts w:ascii="Calibri" w:hAnsi="Calibri"/>
                <w:b/>
                <w:bCs/>
                <w:color w:val="FFFFFF"/>
                <w:szCs w:val="22"/>
              </w:rPr>
              <w:t>A5 BAU</w:t>
            </w:r>
          </w:p>
        </w:tc>
        <w:tc>
          <w:tcPr>
            <w:tcW w:w="1011"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649"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54,393</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74,524</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100,162</w:t>
            </w:r>
          </w:p>
        </w:tc>
        <w:tc>
          <w:tcPr>
            <w:tcW w:w="676"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127,267</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161,107</w:t>
            </w:r>
          </w:p>
        </w:tc>
      </w:tr>
      <w:tr w:rsidR="00F23B5E" w:rsidRPr="00784FA6"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49" w:type="pct"/>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13,085</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36,404</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63,963</w:t>
            </w:r>
          </w:p>
        </w:tc>
        <w:tc>
          <w:tcPr>
            <w:tcW w:w="67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111,927</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167,690</w:t>
            </w:r>
          </w:p>
        </w:tc>
      </w:tr>
      <w:tr w:rsidR="00F23B5E" w:rsidRPr="00784FA6"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49" w:type="pct"/>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16,543</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55,278</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101,216</w:t>
            </w:r>
          </w:p>
        </w:tc>
        <w:tc>
          <w:tcPr>
            <w:tcW w:w="67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174,433</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285,500</w:t>
            </w:r>
          </w:p>
        </w:tc>
      </w:tr>
      <w:tr w:rsidR="00F23B5E" w:rsidRPr="00784FA6"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49" w:type="pct"/>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40,975</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106,661</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192,770</w:t>
            </w:r>
          </w:p>
        </w:tc>
        <w:tc>
          <w:tcPr>
            <w:tcW w:w="67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284,682</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364,845</w:t>
            </w:r>
          </w:p>
        </w:tc>
      </w:tr>
      <w:tr w:rsidR="00F23B5E" w:rsidRPr="00784FA6"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49" w:type="pct"/>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22,430</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29,318</w:t>
            </w:r>
          </w:p>
        </w:tc>
        <w:tc>
          <w:tcPr>
            <w:tcW w:w="64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39,132</w:t>
            </w:r>
          </w:p>
        </w:tc>
        <w:tc>
          <w:tcPr>
            <w:tcW w:w="67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51,975</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jc w:val="right"/>
              <w:rPr>
                <w:rFonts w:ascii="Calibri" w:eastAsia="Times New Roman" w:hAnsi="Calibri"/>
                <w:szCs w:val="22"/>
                <w:lang w:val="nl-NL"/>
              </w:rPr>
            </w:pPr>
            <w:r>
              <w:rPr>
                <w:rFonts w:ascii="Calibri" w:hAnsi="Calibri"/>
                <w:szCs w:val="22"/>
              </w:rPr>
              <w:t>69,915</w:t>
            </w:r>
          </w:p>
        </w:tc>
      </w:tr>
      <w:tr w:rsidR="00F23B5E" w:rsidRPr="00784FA6" w:rsidTr="00D856C3">
        <w:trPr>
          <w:gridAfter w:val="1"/>
          <w:wAfter w:w="7" w:type="pct"/>
          <w:trHeight w:val="315"/>
        </w:trPr>
        <w:tc>
          <w:tcPr>
            <w:tcW w:w="690" w:type="pct"/>
            <w:vMerge/>
            <w:tcBorders>
              <w:top w:val="single" w:sz="8" w:space="0" w:color="FFFFFF"/>
              <w:left w:val="single" w:sz="8" w:space="0" w:color="FFFFFF"/>
              <w:bottom w:val="single" w:sz="8" w:space="0" w:color="FFFFFF"/>
              <w:right w:val="single" w:sz="8" w:space="0" w:color="FFFFFF"/>
            </w:tcBorders>
            <w:vAlign w:val="center"/>
            <w:hideMark/>
          </w:tcPr>
          <w:p w:rsidR="00F23B5E" w:rsidRPr="00784FA6" w:rsidRDefault="00F23B5E" w:rsidP="004A4E5F">
            <w:pPr>
              <w:rPr>
                <w:rFonts w:ascii="Calibri" w:eastAsia="Times New Roman" w:hAnsi="Calibri"/>
                <w:b/>
                <w:bCs/>
                <w:color w:val="FFFFFF"/>
                <w:szCs w:val="22"/>
                <w:lang w:val="nl-NL"/>
              </w:rPr>
            </w:pPr>
          </w:p>
        </w:tc>
        <w:tc>
          <w:tcPr>
            <w:tcW w:w="1011"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49" w:type="pct"/>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147,426</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302,185</w:t>
            </w:r>
          </w:p>
        </w:tc>
        <w:tc>
          <w:tcPr>
            <w:tcW w:w="64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497,243</w:t>
            </w:r>
          </w:p>
        </w:tc>
        <w:tc>
          <w:tcPr>
            <w:tcW w:w="67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750,284</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jc w:val="right"/>
              <w:rPr>
                <w:rFonts w:ascii="Calibri" w:eastAsia="Times New Roman" w:hAnsi="Calibri"/>
                <w:b/>
                <w:bCs/>
                <w:szCs w:val="22"/>
                <w:lang w:val="nl-NL"/>
              </w:rPr>
            </w:pPr>
            <w:r>
              <w:rPr>
                <w:rFonts w:ascii="Calibri" w:hAnsi="Calibri"/>
                <w:b/>
                <w:bCs/>
                <w:szCs w:val="22"/>
              </w:rPr>
              <w:t>1,049,057</w:t>
            </w:r>
          </w:p>
        </w:tc>
      </w:tr>
      <w:tr w:rsidR="00F23B5E" w:rsidRPr="008611ED" w:rsidTr="00D856C3">
        <w:tblPrEx>
          <w:tblCellMar>
            <w:left w:w="108" w:type="dxa"/>
            <w:right w:w="108" w:type="dxa"/>
          </w:tblCellMar>
        </w:tblPrEx>
        <w:trPr>
          <w:trHeight w:val="315"/>
        </w:trPr>
        <w:tc>
          <w:tcPr>
            <w:tcW w:w="699" w:type="pct"/>
            <w:gridSpan w:val="2"/>
            <w:tcBorders>
              <w:top w:val="single" w:sz="8" w:space="0" w:color="FFFFFF"/>
              <w:left w:val="single" w:sz="8" w:space="0" w:color="FFFFFF"/>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1002" w:type="pct"/>
            <w:tcBorders>
              <w:top w:val="single" w:sz="8" w:space="0" w:color="FFFFFF"/>
              <w:left w:val="nil"/>
              <w:bottom w:val="single" w:sz="8" w:space="0" w:color="FFFFFF"/>
              <w:right w:val="nil"/>
            </w:tcBorders>
            <w:shd w:val="clear" w:color="000000" w:fill="4472C4"/>
            <w:vAlign w:val="center"/>
            <w:hideMark/>
          </w:tcPr>
          <w:p w:rsidR="00F23B5E" w:rsidRPr="008611ED" w:rsidRDefault="00F23B5E" w:rsidP="004A4E5F">
            <w:pPr>
              <w:rPr>
                <w:rFonts w:ascii="Calibri" w:eastAsia="Times New Roman" w:hAnsi="Calibri"/>
                <w:color w:val="FFFFFF"/>
                <w:szCs w:val="22"/>
                <w:lang w:eastAsia="en-GB"/>
              </w:rPr>
            </w:pPr>
            <w:r w:rsidRPr="008611ED">
              <w:rPr>
                <w:rFonts w:ascii="Calibri" w:eastAsia="Times New Roman" w:hAnsi="Calibri"/>
                <w:color w:val="FFFFFF"/>
                <w:szCs w:val="22"/>
                <w:lang w:eastAsia="en-GB"/>
              </w:rPr>
              <w:t> </w:t>
            </w:r>
          </w:p>
        </w:tc>
        <w:tc>
          <w:tcPr>
            <w:tcW w:w="664"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2030</w:t>
            </w:r>
          </w:p>
        </w:tc>
        <w:tc>
          <w:tcPr>
            <w:tcW w:w="661"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2035</w:t>
            </w:r>
          </w:p>
        </w:tc>
        <w:tc>
          <w:tcPr>
            <w:tcW w:w="661"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2040</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2045</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8611ED" w:rsidRDefault="00F23B5E" w:rsidP="006641D8">
            <w:pPr>
              <w:jc w:val="cente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2050</w:t>
            </w:r>
          </w:p>
        </w:tc>
      </w:tr>
      <w:tr w:rsidR="00F23B5E" w:rsidRPr="008611ED" w:rsidTr="00D856C3">
        <w:tblPrEx>
          <w:tblCellMar>
            <w:left w:w="108" w:type="dxa"/>
            <w:right w:w="108" w:type="dxa"/>
          </w:tblCellMar>
        </w:tblPrEx>
        <w:trPr>
          <w:trHeight w:val="315"/>
        </w:trPr>
        <w:tc>
          <w:tcPr>
            <w:tcW w:w="699"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8611ED" w:rsidRDefault="00F23B5E" w:rsidP="004A4E5F">
            <w:pPr>
              <w:rPr>
                <w:rFonts w:ascii="Calibri" w:eastAsia="Times New Roman" w:hAnsi="Calibri"/>
                <w:b/>
                <w:bCs/>
                <w:color w:val="FFFFFF"/>
                <w:szCs w:val="22"/>
                <w:lang w:eastAsia="en-GB"/>
              </w:rPr>
            </w:pPr>
            <w:r w:rsidRPr="008611ED">
              <w:rPr>
                <w:rFonts w:ascii="Calibri" w:eastAsia="Times New Roman" w:hAnsi="Calibri"/>
                <w:b/>
                <w:bCs/>
                <w:color w:val="FFFFFF"/>
                <w:szCs w:val="22"/>
                <w:lang w:eastAsia="en-GB"/>
              </w:rPr>
              <w:t>A5 BAU</w:t>
            </w:r>
          </w:p>
        </w:tc>
        <w:tc>
          <w:tcPr>
            <w:tcW w:w="1002" w:type="pct"/>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R134a</w:t>
            </w:r>
          </w:p>
        </w:tc>
        <w:tc>
          <w:tcPr>
            <w:tcW w:w="664"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161,107</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204,027</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257,413</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324,537</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409,494</w:t>
            </w:r>
          </w:p>
        </w:tc>
      </w:tr>
      <w:tr w:rsidR="00F23B5E" w:rsidRPr="008611ED"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R404A + R507</w:t>
            </w:r>
          </w:p>
        </w:tc>
        <w:tc>
          <w:tcPr>
            <w:tcW w:w="664"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167,690</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223,579</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287,745</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361,077</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449,614</w:t>
            </w:r>
          </w:p>
        </w:tc>
      </w:tr>
      <w:tr w:rsidR="00F23B5E" w:rsidRPr="008611ED"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R407C</w:t>
            </w:r>
          </w:p>
        </w:tc>
        <w:tc>
          <w:tcPr>
            <w:tcW w:w="664"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285,500</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372,998</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457,406</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532,391</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587,361</w:t>
            </w:r>
          </w:p>
        </w:tc>
      </w:tr>
      <w:tr w:rsidR="00F23B5E" w:rsidRPr="008611ED"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R410A</w:t>
            </w:r>
          </w:p>
        </w:tc>
        <w:tc>
          <w:tcPr>
            <w:tcW w:w="664"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364,845</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427,266</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479,588</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524,488</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566,180</w:t>
            </w:r>
          </w:p>
        </w:tc>
      </w:tr>
      <w:tr w:rsidR="00F23B5E" w:rsidRPr="008611ED"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Low GWP</w:t>
            </w:r>
          </w:p>
        </w:tc>
        <w:tc>
          <w:tcPr>
            <w:tcW w:w="664"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4A4E5F">
            <w:pPr>
              <w:jc w:val="right"/>
              <w:rPr>
                <w:rFonts w:ascii="Calibri" w:eastAsia="Times New Roman" w:hAnsi="Calibri"/>
                <w:szCs w:val="22"/>
                <w:lang w:eastAsia="en-GB"/>
              </w:rPr>
            </w:pPr>
            <w:r w:rsidRPr="008611ED">
              <w:rPr>
                <w:rFonts w:ascii="Calibri" w:eastAsia="Times New Roman" w:hAnsi="Calibri"/>
                <w:szCs w:val="22"/>
                <w:lang w:eastAsia="en-GB"/>
              </w:rPr>
              <w:t>69,915</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85,957</w:t>
            </w:r>
          </w:p>
        </w:tc>
        <w:tc>
          <w:tcPr>
            <w:tcW w:w="661"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104,807</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127,577</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8611ED" w:rsidRDefault="00F23B5E" w:rsidP="006641D8">
            <w:pPr>
              <w:jc w:val="right"/>
              <w:rPr>
                <w:rFonts w:ascii="Calibri" w:eastAsia="Times New Roman" w:hAnsi="Calibri"/>
                <w:szCs w:val="22"/>
                <w:lang w:eastAsia="en-GB"/>
              </w:rPr>
            </w:pPr>
            <w:r w:rsidRPr="008611ED">
              <w:rPr>
                <w:rFonts w:ascii="Calibri" w:eastAsia="Times New Roman" w:hAnsi="Calibri"/>
                <w:szCs w:val="22"/>
                <w:lang w:eastAsia="en-GB"/>
              </w:rPr>
              <w:t>155,209</w:t>
            </w:r>
          </w:p>
        </w:tc>
      </w:tr>
      <w:tr w:rsidR="00F23B5E" w:rsidRPr="008611ED" w:rsidTr="00D856C3">
        <w:tblPrEx>
          <w:tblCellMar>
            <w:left w:w="108" w:type="dxa"/>
            <w:right w:w="108" w:type="dxa"/>
          </w:tblCellMar>
        </w:tblPrEx>
        <w:trPr>
          <w:trHeight w:val="315"/>
        </w:trPr>
        <w:tc>
          <w:tcPr>
            <w:tcW w:w="699" w:type="pct"/>
            <w:gridSpan w:val="2"/>
            <w:vMerge/>
            <w:tcBorders>
              <w:top w:val="nil"/>
              <w:left w:val="single" w:sz="8" w:space="0" w:color="FFFFFF"/>
              <w:bottom w:val="single" w:sz="8" w:space="0" w:color="FFFFFF"/>
              <w:right w:val="single" w:sz="8" w:space="0" w:color="FFFFFF"/>
            </w:tcBorders>
            <w:vAlign w:val="center"/>
            <w:hideMark/>
          </w:tcPr>
          <w:p w:rsidR="00F23B5E" w:rsidRPr="008611ED" w:rsidRDefault="00F23B5E" w:rsidP="004A4E5F">
            <w:pPr>
              <w:rPr>
                <w:rFonts w:ascii="Calibri" w:eastAsia="Times New Roman" w:hAnsi="Calibri"/>
                <w:b/>
                <w:bCs/>
                <w:color w:val="FFFFFF"/>
                <w:szCs w:val="22"/>
                <w:lang w:eastAsia="en-GB"/>
              </w:rPr>
            </w:pPr>
          </w:p>
        </w:tc>
        <w:tc>
          <w:tcPr>
            <w:tcW w:w="1002" w:type="pct"/>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rPr>
                <w:rFonts w:ascii="Calibri" w:eastAsia="Times New Roman" w:hAnsi="Calibri"/>
                <w:b/>
                <w:bCs/>
                <w:szCs w:val="22"/>
                <w:lang w:eastAsia="en-GB"/>
              </w:rPr>
            </w:pPr>
            <w:r w:rsidRPr="008611ED">
              <w:rPr>
                <w:rFonts w:ascii="Calibri" w:eastAsia="Times New Roman" w:hAnsi="Calibri"/>
                <w:b/>
                <w:bCs/>
                <w:szCs w:val="22"/>
                <w:lang w:eastAsia="en-GB"/>
              </w:rPr>
              <w:t>Total</w:t>
            </w:r>
          </w:p>
        </w:tc>
        <w:tc>
          <w:tcPr>
            <w:tcW w:w="664"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4A4E5F">
            <w:pPr>
              <w:jc w:val="right"/>
              <w:rPr>
                <w:rFonts w:ascii="Calibri" w:eastAsia="Times New Roman" w:hAnsi="Calibri"/>
                <w:b/>
                <w:bCs/>
                <w:szCs w:val="22"/>
                <w:lang w:eastAsia="en-GB"/>
              </w:rPr>
            </w:pPr>
            <w:r w:rsidRPr="008611ED">
              <w:rPr>
                <w:rFonts w:ascii="Calibri" w:eastAsia="Times New Roman" w:hAnsi="Calibri"/>
                <w:b/>
                <w:bCs/>
                <w:szCs w:val="22"/>
                <w:lang w:eastAsia="en-GB"/>
              </w:rPr>
              <w:t>1,049,057</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ind w:left="-4"/>
              <w:jc w:val="right"/>
              <w:rPr>
                <w:rFonts w:ascii="Calibri" w:eastAsia="Times New Roman" w:hAnsi="Calibri"/>
                <w:b/>
                <w:bCs/>
                <w:szCs w:val="22"/>
                <w:lang w:eastAsia="en-GB"/>
              </w:rPr>
            </w:pPr>
            <w:r w:rsidRPr="008611ED">
              <w:rPr>
                <w:rFonts w:ascii="Calibri" w:eastAsia="Times New Roman" w:hAnsi="Calibri"/>
                <w:b/>
                <w:bCs/>
                <w:szCs w:val="22"/>
                <w:lang w:eastAsia="en-GB"/>
              </w:rPr>
              <w:t>1,313,827</w:t>
            </w:r>
          </w:p>
        </w:tc>
        <w:tc>
          <w:tcPr>
            <w:tcW w:w="661"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ind w:left="-4"/>
              <w:jc w:val="right"/>
              <w:rPr>
                <w:rFonts w:ascii="Calibri" w:eastAsia="Times New Roman" w:hAnsi="Calibri"/>
                <w:b/>
                <w:bCs/>
                <w:szCs w:val="22"/>
                <w:lang w:eastAsia="en-GB"/>
              </w:rPr>
            </w:pPr>
            <w:r w:rsidRPr="008611ED">
              <w:rPr>
                <w:rFonts w:ascii="Calibri" w:eastAsia="Times New Roman" w:hAnsi="Calibri"/>
                <w:b/>
                <w:bCs/>
                <w:szCs w:val="22"/>
                <w:lang w:eastAsia="en-GB"/>
              </w:rPr>
              <w:t>1,586,959</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ind w:left="-72"/>
              <w:jc w:val="right"/>
              <w:rPr>
                <w:rFonts w:ascii="Calibri" w:eastAsia="Times New Roman" w:hAnsi="Calibri"/>
                <w:b/>
                <w:bCs/>
                <w:szCs w:val="22"/>
                <w:lang w:eastAsia="en-GB"/>
              </w:rPr>
            </w:pPr>
            <w:r w:rsidRPr="008611ED">
              <w:rPr>
                <w:rFonts w:ascii="Calibri" w:eastAsia="Times New Roman" w:hAnsi="Calibri"/>
                <w:b/>
                <w:bCs/>
                <w:szCs w:val="22"/>
                <w:lang w:eastAsia="en-GB"/>
              </w:rPr>
              <w:t>1,870,070</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8611ED" w:rsidRDefault="00F23B5E" w:rsidP="006641D8">
            <w:pPr>
              <w:ind w:left="-72"/>
              <w:jc w:val="right"/>
              <w:rPr>
                <w:rFonts w:ascii="Calibri" w:eastAsia="Times New Roman" w:hAnsi="Calibri"/>
                <w:b/>
                <w:bCs/>
                <w:szCs w:val="22"/>
                <w:lang w:eastAsia="en-GB"/>
              </w:rPr>
            </w:pPr>
            <w:r w:rsidRPr="008611ED">
              <w:rPr>
                <w:rFonts w:ascii="Calibri" w:eastAsia="Times New Roman" w:hAnsi="Calibri"/>
                <w:b/>
                <w:bCs/>
                <w:szCs w:val="22"/>
                <w:lang w:eastAsia="en-GB"/>
              </w:rPr>
              <w:t>2,167,858</w:t>
            </w:r>
          </w:p>
        </w:tc>
      </w:tr>
    </w:tbl>
    <w:p w:rsidR="00F23B5E" w:rsidRPr="005F13BA" w:rsidRDefault="00F23B5E" w:rsidP="00F23B5E">
      <w:pPr>
        <w:pStyle w:val="BodyText"/>
        <w:spacing w:before="120" w:after="120" w:line="120" w:lineRule="atLeast"/>
        <w:rPr>
          <w:sz w:val="8"/>
        </w:rPr>
      </w:pPr>
      <w:r>
        <w:rPr>
          <w:b/>
          <w:i/>
        </w:rPr>
        <w:lastRenderedPageBreak/>
        <w:t xml:space="preserve">Table </w:t>
      </w:r>
      <w:r w:rsidR="00AE184E">
        <w:rPr>
          <w:b/>
          <w:i/>
        </w:rPr>
        <w:t>6</w:t>
      </w:r>
      <w:r>
        <w:rPr>
          <w:b/>
          <w:i/>
        </w:rPr>
        <w:t>-8:</w:t>
      </w:r>
      <w:r w:rsidRPr="005F13BA">
        <w:rPr>
          <w:b/>
          <w:i/>
        </w:rPr>
        <w:t xml:space="preserve"> Current and future refrigerant demand for (refrigerant) ODS </w:t>
      </w:r>
      <w:r>
        <w:rPr>
          <w:b/>
          <w:i/>
        </w:rPr>
        <w:t>a</w:t>
      </w:r>
      <w:r w:rsidRPr="005F13BA">
        <w:rPr>
          <w:b/>
          <w:i/>
        </w:rPr>
        <w:t>lternatives (BAU scenario) for the period 2010-20</w:t>
      </w:r>
      <w:r>
        <w:rPr>
          <w:b/>
          <w:i/>
        </w:rPr>
        <w:t>50</w:t>
      </w:r>
      <w:r w:rsidRPr="005F13BA">
        <w:rPr>
          <w:b/>
          <w:i/>
        </w:rPr>
        <w:t xml:space="preserve"> in 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r w:rsidRPr="005F13BA">
        <w:rPr>
          <w:sz w:val="8"/>
        </w:rPr>
        <w:t xml:space="preserve"> </w:t>
      </w:r>
    </w:p>
    <w:tbl>
      <w:tblPr>
        <w:tblW w:w="8354" w:type="dxa"/>
        <w:tblInd w:w="80" w:type="dxa"/>
        <w:tblCellMar>
          <w:left w:w="70" w:type="dxa"/>
          <w:right w:w="70" w:type="dxa"/>
        </w:tblCellMar>
        <w:tblLook w:val="04A0" w:firstRow="1" w:lastRow="0" w:firstColumn="1" w:lastColumn="0" w:noHBand="0" w:noVBand="1"/>
      </w:tblPr>
      <w:tblGrid>
        <w:gridCol w:w="1124"/>
        <w:gridCol w:w="1701"/>
        <w:gridCol w:w="1105"/>
        <w:gridCol w:w="29"/>
        <w:gridCol w:w="1077"/>
        <w:gridCol w:w="57"/>
        <w:gridCol w:w="1049"/>
        <w:gridCol w:w="22"/>
        <w:gridCol w:w="1071"/>
        <w:gridCol w:w="13"/>
        <w:gridCol w:w="1106"/>
      </w:tblGrid>
      <w:tr w:rsidR="00F23B5E" w:rsidRPr="00627D61" w:rsidTr="004A4E5F">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627D61" w:rsidRDefault="00F23B5E" w:rsidP="004A4E5F">
            <w:pPr>
              <w:spacing w:after="60"/>
              <w:rPr>
                <w:rFonts w:ascii="Calibri" w:eastAsia="Times New Roman" w:hAnsi="Calibri"/>
                <w:color w:val="FFFFFF"/>
                <w:szCs w:val="22"/>
              </w:rPr>
            </w:pPr>
            <w:r w:rsidRPr="00627D61">
              <w:rPr>
                <w:rFonts w:ascii="Calibri" w:eastAsia="Times New Roman" w:hAnsi="Calibri"/>
                <w:color w:val="FFFFFF"/>
                <w:szCs w:val="22"/>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spacing w:after="60"/>
              <w:rPr>
                <w:rFonts w:ascii="Calibri" w:eastAsia="Times New Roman" w:hAnsi="Calibri"/>
                <w:color w:val="FFFFFF"/>
                <w:szCs w:val="22"/>
              </w:rPr>
            </w:pPr>
            <w:r w:rsidRPr="00627D61">
              <w:rPr>
                <w:rFonts w:ascii="Calibri" w:eastAsia="Times New Roman" w:hAnsi="Calibri"/>
                <w:color w:val="FFFFFF"/>
                <w:szCs w:val="22"/>
              </w:rPr>
              <w:t> </w:t>
            </w:r>
          </w:p>
        </w:tc>
        <w:tc>
          <w:tcPr>
            <w:tcW w:w="1105" w:type="dxa"/>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2010</w:t>
            </w:r>
          </w:p>
        </w:tc>
        <w:tc>
          <w:tcPr>
            <w:tcW w:w="1106" w:type="dxa"/>
            <w:gridSpan w:val="2"/>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2015</w:t>
            </w:r>
          </w:p>
        </w:tc>
        <w:tc>
          <w:tcPr>
            <w:tcW w:w="1106" w:type="dxa"/>
            <w:gridSpan w:val="2"/>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2020</w:t>
            </w:r>
          </w:p>
        </w:tc>
        <w:tc>
          <w:tcPr>
            <w:tcW w:w="1106" w:type="dxa"/>
            <w:gridSpan w:val="3"/>
            <w:tcBorders>
              <w:top w:val="single" w:sz="8" w:space="0" w:color="FFFFFF"/>
              <w:left w:val="nil"/>
              <w:bottom w:val="single" w:sz="8" w:space="0" w:color="FFFFFF"/>
              <w:right w:val="nil"/>
            </w:tcBorders>
            <w:shd w:val="clear" w:color="000000" w:fill="4472C4"/>
            <w:vAlign w:val="center"/>
            <w:hideMark/>
          </w:tcPr>
          <w:p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2025</w:t>
            </w:r>
          </w:p>
        </w:tc>
        <w:tc>
          <w:tcPr>
            <w:tcW w:w="1106"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627D61" w:rsidRDefault="00F23B5E" w:rsidP="004A4E5F">
            <w:pPr>
              <w:spacing w:after="60"/>
              <w:jc w:val="center"/>
              <w:rPr>
                <w:rFonts w:ascii="Calibri" w:eastAsia="Times New Roman" w:hAnsi="Calibri"/>
                <w:b/>
                <w:bCs/>
                <w:color w:val="FFFFFF"/>
                <w:szCs w:val="22"/>
                <w:lang w:val="nl-NL"/>
              </w:rPr>
            </w:pPr>
            <w:r w:rsidRPr="00627D61">
              <w:rPr>
                <w:rFonts w:ascii="Calibri" w:eastAsia="Times New Roman" w:hAnsi="Calibri"/>
                <w:b/>
                <w:bCs/>
                <w:color w:val="FFFFFF"/>
                <w:szCs w:val="22"/>
                <w:lang w:val="nl-NL"/>
              </w:rPr>
              <w:t>2030</w:t>
            </w:r>
          </w:p>
        </w:tc>
      </w:tr>
      <w:tr w:rsidR="00F23B5E" w:rsidRPr="00627D61" w:rsidTr="004A4E5F">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627D61" w:rsidRDefault="00F23B5E" w:rsidP="004A4E5F">
            <w:pPr>
              <w:rPr>
                <w:rFonts w:ascii="Calibri" w:eastAsia="Times New Roman" w:hAnsi="Calibri"/>
                <w:b/>
                <w:bCs/>
                <w:color w:val="FFFFFF"/>
                <w:szCs w:val="22"/>
                <w:lang w:val="nl-NL"/>
              </w:rPr>
            </w:pPr>
            <w:r w:rsidRPr="00627D61">
              <w:rPr>
                <w:rFonts w:ascii="Calibri" w:eastAsia="Times New Roman" w:hAnsi="Calibri"/>
                <w:b/>
                <w:bCs/>
                <w:color w:val="FFFFFF"/>
                <w:szCs w:val="22"/>
                <w:lang w:val="nl-NL"/>
              </w:rPr>
              <w:t>A5 BAU</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0,</w:t>
            </w:r>
            <w:r w:rsidRPr="00627D61">
              <w:rPr>
                <w:rFonts w:ascii="Calibri" w:eastAsia="Times New Roman" w:hAnsi="Calibri"/>
                <w:szCs w:val="22"/>
                <w:lang w:val="nl-NL"/>
              </w:rPr>
              <w:t>712</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9</w:t>
            </w:r>
            <w:r>
              <w:rPr>
                <w:rFonts w:ascii="Calibri" w:eastAsia="Times New Roman" w:hAnsi="Calibri"/>
                <w:szCs w:val="22"/>
                <w:lang w:val="nl-NL"/>
              </w:rPr>
              <w:t>6,</w:t>
            </w:r>
            <w:r w:rsidRPr="00627D61">
              <w:rPr>
                <w:rFonts w:ascii="Calibri" w:eastAsia="Times New Roman" w:hAnsi="Calibri"/>
                <w:szCs w:val="22"/>
                <w:lang w:val="nl-NL"/>
              </w:rPr>
              <w:t>880</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13</w:t>
            </w:r>
            <w:r>
              <w:rPr>
                <w:rFonts w:ascii="Calibri" w:eastAsia="Times New Roman" w:hAnsi="Calibri"/>
                <w:szCs w:val="22"/>
                <w:lang w:val="nl-NL"/>
              </w:rPr>
              <w:t>0,</w:t>
            </w:r>
            <w:r w:rsidRPr="00627D61">
              <w:rPr>
                <w:rFonts w:ascii="Calibri" w:eastAsia="Times New Roman" w:hAnsi="Calibri"/>
                <w:szCs w:val="22"/>
                <w:lang w:val="nl-NL"/>
              </w:rPr>
              <w:t>210</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16</w:t>
            </w:r>
            <w:r>
              <w:rPr>
                <w:rFonts w:ascii="Calibri" w:eastAsia="Times New Roman" w:hAnsi="Calibri"/>
                <w:szCs w:val="22"/>
                <w:lang w:val="nl-NL"/>
              </w:rPr>
              <w:t>5,</w:t>
            </w:r>
            <w:r w:rsidRPr="00627D61">
              <w:rPr>
                <w:rFonts w:ascii="Calibri" w:eastAsia="Times New Roman" w:hAnsi="Calibri"/>
                <w:szCs w:val="22"/>
                <w:lang w:val="nl-NL"/>
              </w:rPr>
              <w:t>447</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w:t>
            </w:r>
            <w:r>
              <w:rPr>
                <w:rFonts w:ascii="Calibri" w:eastAsia="Times New Roman" w:hAnsi="Calibri"/>
                <w:szCs w:val="22"/>
                <w:lang w:val="nl-NL"/>
              </w:rPr>
              <w:t>9,</w:t>
            </w:r>
            <w:r w:rsidRPr="00627D61">
              <w:rPr>
                <w:rFonts w:ascii="Calibri" w:eastAsia="Times New Roman" w:hAnsi="Calibri"/>
                <w:szCs w:val="22"/>
                <w:lang w:val="nl-NL"/>
              </w:rPr>
              <w:t>440</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w:t>
            </w:r>
            <w:r>
              <w:rPr>
                <w:rFonts w:ascii="Calibri" w:eastAsia="Times New Roman" w:hAnsi="Calibri"/>
                <w:szCs w:val="22"/>
                <w:lang w:val="nl-NL"/>
              </w:rPr>
              <w:t>1,</w:t>
            </w:r>
            <w:r w:rsidRPr="00627D61">
              <w:rPr>
                <w:rFonts w:ascii="Calibri" w:eastAsia="Times New Roman" w:hAnsi="Calibri"/>
                <w:szCs w:val="22"/>
                <w:lang w:val="nl-NL"/>
              </w:rPr>
              <w:t>584</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14</w:t>
            </w:r>
            <w:r>
              <w:rPr>
                <w:rFonts w:ascii="Calibri" w:eastAsia="Times New Roman" w:hAnsi="Calibri"/>
                <w:szCs w:val="22"/>
                <w:lang w:val="nl-NL"/>
              </w:rPr>
              <w:t>3,</w:t>
            </w:r>
            <w:r w:rsidRPr="00627D61">
              <w:rPr>
                <w:rFonts w:ascii="Calibri" w:eastAsia="Times New Roman" w:hAnsi="Calibri"/>
                <w:szCs w:val="22"/>
                <w:lang w:val="nl-NL"/>
              </w:rPr>
              <w:t>511</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25</w:t>
            </w:r>
            <w:r>
              <w:rPr>
                <w:rFonts w:ascii="Calibri" w:eastAsia="Times New Roman" w:hAnsi="Calibri"/>
                <w:szCs w:val="22"/>
                <w:lang w:val="nl-NL"/>
              </w:rPr>
              <w:t>2,</w:t>
            </w:r>
            <w:r w:rsidRPr="00627D61">
              <w:rPr>
                <w:rFonts w:ascii="Calibri" w:eastAsia="Times New Roman" w:hAnsi="Calibri"/>
                <w:szCs w:val="22"/>
                <w:lang w:val="nl-NL"/>
              </w:rPr>
              <w:t>168</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44</w:t>
            </w:r>
            <w:r>
              <w:rPr>
                <w:rFonts w:ascii="Calibri" w:eastAsia="Times New Roman" w:hAnsi="Calibri"/>
                <w:szCs w:val="22"/>
                <w:lang w:val="nl-NL"/>
              </w:rPr>
              <w:t>1,</w:t>
            </w:r>
            <w:r w:rsidRPr="00627D61">
              <w:rPr>
                <w:rFonts w:ascii="Calibri" w:eastAsia="Times New Roman" w:hAnsi="Calibri"/>
                <w:szCs w:val="22"/>
                <w:lang w:val="nl-NL"/>
              </w:rPr>
              <w:t>229</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66</w:t>
            </w:r>
            <w:r>
              <w:rPr>
                <w:rFonts w:ascii="Calibri" w:eastAsia="Times New Roman" w:hAnsi="Calibri"/>
                <w:szCs w:val="22"/>
                <w:lang w:val="nl-NL"/>
              </w:rPr>
              <w:t>1,</w:t>
            </w:r>
            <w:r w:rsidRPr="00627D61">
              <w:rPr>
                <w:rFonts w:ascii="Calibri" w:eastAsia="Times New Roman" w:hAnsi="Calibri"/>
                <w:szCs w:val="22"/>
                <w:lang w:val="nl-NL"/>
              </w:rPr>
              <w:t>025</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w:t>
            </w:r>
            <w:r>
              <w:rPr>
                <w:rFonts w:ascii="Calibri" w:eastAsia="Times New Roman" w:hAnsi="Calibri"/>
                <w:szCs w:val="22"/>
                <w:lang w:val="nl-NL"/>
              </w:rPr>
              <w:t>6,</w:t>
            </w:r>
            <w:r w:rsidRPr="00627D61">
              <w:rPr>
                <w:rFonts w:ascii="Calibri" w:eastAsia="Times New Roman" w:hAnsi="Calibri"/>
                <w:szCs w:val="22"/>
                <w:lang w:val="nl-NL"/>
              </w:rPr>
              <w:t>799</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8</w:t>
            </w:r>
            <w:r>
              <w:rPr>
                <w:rFonts w:ascii="Calibri" w:eastAsia="Times New Roman" w:hAnsi="Calibri"/>
                <w:szCs w:val="22"/>
                <w:lang w:val="nl-NL"/>
              </w:rPr>
              <w:t>9,</w:t>
            </w:r>
            <w:r w:rsidRPr="00627D61">
              <w:rPr>
                <w:rFonts w:ascii="Calibri" w:eastAsia="Times New Roman" w:hAnsi="Calibri"/>
                <w:szCs w:val="22"/>
                <w:lang w:val="nl-NL"/>
              </w:rPr>
              <w:t>550</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16</w:t>
            </w:r>
            <w:r>
              <w:rPr>
                <w:rFonts w:ascii="Calibri" w:eastAsia="Times New Roman" w:hAnsi="Calibri"/>
                <w:szCs w:val="22"/>
                <w:lang w:val="nl-NL"/>
              </w:rPr>
              <w:t>3,</w:t>
            </w:r>
            <w:r w:rsidRPr="00627D61">
              <w:rPr>
                <w:rFonts w:ascii="Calibri" w:eastAsia="Times New Roman" w:hAnsi="Calibri"/>
                <w:szCs w:val="22"/>
                <w:lang w:val="nl-NL"/>
              </w:rPr>
              <w:t>971</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28</w:t>
            </w:r>
            <w:r>
              <w:rPr>
                <w:rFonts w:ascii="Calibri" w:eastAsia="Times New Roman" w:hAnsi="Calibri"/>
                <w:szCs w:val="22"/>
                <w:lang w:val="nl-NL"/>
              </w:rPr>
              <w:t>2,</w:t>
            </w:r>
            <w:r w:rsidRPr="00627D61">
              <w:rPr>
                <w:rFonts w:ascii="Calibri" w:eastAsia="Times New Roman" w:hAnsi="Calibri"/>
                <w:szCs w:val="22"/>
                <w:lang w:val="nl-NL"/>
              </w:rPr>
              <w:t>581</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46</w:t>
            </w:r>
            <w:r>
              <w:rPr>
                <w:rFonts w:ascii="Calibri" w:eastAsia="Times New Roman" w:hAnsi="Calibri"/>
                <w:szCs w:val="22"/>
                <w:lang w:val="nl-NL"/>
              </w:rPr>
              <w:t>2,</w:t>
            </w:r>
            <w:r w:rsidRPr="00627D61">
              <w:rPr>
                <w:rFonts w:ascii="Calibri" w:eastAsia="Times New Roman" w:hAnsi="Calibri"/>
                <w:szCs w:val="22"/>
                <w:lang w:val="nl-NL"/>
              </w:rPr>
              <w:t>511</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w:t>
            </w:r>
            <w:r>
              <w:rPr>
                <w:rFonts w:ascii="Calibri" w:eastAsia="Times New Roman" w:hAnsi="Calibri"/>
                <w:szCs w:val="22"/>
                <w:lang w:val="nl-NL"/>
              </w:rPr>
              <w:t>8,</w:t>
            </w:r>
            <w:r w:rsidRPr="00627D61">
              <w:rPr>
                <w:rFonts w:ascii="Calibri" w:eastAsia="Times New Roman" w:hAnsi="Calibri"/>
                <w:szCs w:val="22"/>
                <w:lang w:val="nl-NL"/>
              </w:rPr>
              <w:t>671</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w:t>
            </w:r>
            <w:r>
              <w:rPr>
                <w:rFonts w:ascii="Calibri" w:eastAsia="Times New Roman" w:hAnsi="Calibri"/>
                <w:szCs w:val="22"/>
                <w:lang w:val="nl-NL"/>
              </w:rPr>
              <w:t>4,</w:t>
            </w:r>
            <w:r w:rsidRPr="00627D61">
              <w:rPr>
                <w:rFonts w:ascii="Calibri" w:eastAsia="Times New Roman" w:hAnsi="Calibri"/>
                <w:szCs w:val="22"/>
                <w:lang w:val="nl-NL"/>
              </w:rPr>
              <w:t>789</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37</w:t>
            </w:r>
            <w:r>
              <w:rPr>
                <w:rFonts w:ascii="Calibri" w:eastAsia="Times New Roman" w:hAnsi="Calibri"/>
                <w:szCs w:val="22"/>
                <w:lang w:val="nl-NL"/>
              </w:rPr>
              <w:t>0,</w:t>
            </w:r>
            <w:r w:rsidRPr="00627D61">
              <w:rPr>
                <w:rFonts w:ascii="Calibri" w:eastAsia="Times New Roman" w:hAnsi="Calibri"/>
                <w:szCs w:val="22"/>
                <w:lang w:val="nl-NL"/>
              </w:rPr>
              <w:t>118</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54</w:t>
            </w:r>
            <w:r>
              <w:rPr>
                <w:rFonts w:ascii="Calibri" w:eastAsia="Times New Roman" w:hAnsi="Calibri"/>
                <w:szCs w:val="22"/>
                <w:lang w:val="nl-NL"/>
              </w:rPr>
              <w:t>6,</w:t>
            </w:r>
            <w:r w:rsidRPr="00627D61">
              <w:rPr>
                <w:rFonts w:ascii="Calibri" w:eastAsia="Times New Roman" w:hAnsi="Calibri"/>
                <w:szCs w:val="22"/>
                <w:lang w:val="nl-NL"/>
              </w:rPr>
              <w:t>589</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70</w:t>
            </w:r>
            <w:r>
              <w:rPr>
                <w:rFonts w:ascii="Calibri" w:eastAsia="Times New Roman" w:hAnsi="Calibri"/>
                <w:szCs w:val="22"/>
                <w:lang w:val="nl-NL"/>
              </w:rPr>
              <w:t>0,</w:t>
            </w:r>
            <w:r w:rsidRPr="00627D61">
              <w:rPr>
                <w:rFonts w:ascii="Calibri" w:eastAsia="Times New Roman" w:hAnsi="Calibri"/>
                <w:szCs w:val="22"/>
                <w:lang w:val="nl-NL"/>
              </w:rPr>
              <w:t>502</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1105"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62</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115</w:t>
            </w:r>
          </w:p>
        </w:tc>
        <w:tc>
          <w:tcPr>
            <w:tcW w:w="1106" w:type="dxa"/>
            <w:gridSpan w:val="2"/>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203</w:t>
            </w:r>
          </w:p>
        </w:tc>
        <w:tc>
          <w:tcPr>
            <w:tcW w:w="1106" w:type="dxa"/>
            <w:gridSpan w:val="3"/>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314</w:t>
            </w:r>
          </w:p>
        </w:tc>
        <w:tc>
          <w:tcPr>
            <w:tcW w:w="1106" w:type="dxa"/>
            <w:tcBorders>
              <w:top w:val="nil"/>
              <w:left w:val="nil"/>
              <w:bottom w:val="single" w:sz="8" w:space="0" w:color="FFFFFF"/>
              <w:right w:val="single" w:sz="8" w:space="0" w:color="FFFFFF"/>
            </w:tcBorders>
            <w:shd w:val="clear" w:color="000000" w:fill="B4C6E7"/>
            <w:vAlign w:val="center"/>
            <w:hideMark/>
          </w:tcPr>
          <w:p w:rsidR="00F23B5E" w:rsidRPr="00627D61" w:rsidRDefault="00F23B5E" w:rsidP="004A4E5F">
            <w:pPr>
              <w:jc w:val="right"/>
              <w:rPr>
                <w:rFonts w:ascii="Calibri" w:eastAsia="Times New Roman" w:hAnsi="Calibri"/>
                <w:szCs w:val="22"/>
                <w:lang w:val="nl-NL"/>
              </w:rPr>
            </w:pPr>
            <w:r w:rsidRPr="00627D61">
              <w:rPr>
                <w:rFonts w:ascii="Calibri" w:eastAsia="Times New Roman" w:hAnsi="Calibri"/>
                <w:szCs w:val="22"/>
                <w:lang w:val="nl-NL"/>
              </w:rPr>
              <w:t>469</w:t>
            </w:r>
          </w:p>
        </w:tc>
      </w:tr>
      <w:tr w:rsidR="00F23B5E" w:rsidRPr="00627D61" w:rsidTr="004A4E5F">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627D61" w:rsidRDefault="00F23B5E" w:rsidP="004A4E5F">
            <w:pPr>
              <w:rPr>
                <w:rFonts w:ascii="Calibri" w:eastAsia="Times New Roman" w:hAnsi="Calibri"/>
                <w:b/>
                <w:bCs/>
                <w:color w:val="FFFFFF"/>
                <w:szCs w:val="22"/>
                <w:lang w:val="nl-NL"/>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1105"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22</w:t>
            </w:r>
            <w:r>
              <w:rPr>
                <w:rFonts w:ascii="Calibri" w:eastAsia="Times New Roman" w:hAnsi="Calibri"/>
                <w:b/>
                <w:bCs/>
                <w:szCs w:val="22"/>
                <w:lang w:val="nl-NL"/>
              </w:rPr>
              <w:t>7,</w:t>
            </w:r>
            <w:r w:rsidRPr="00627D61">
              <w:rPr>
                <w:rFonts w:ascii="Calibri" w:eastAsia="Times New Roman" w:hAnsi="Calibri"/>
                <w:b/>
                <w:bCs/>
                <w:szCs w:val="22"/>
                <w:lang w:val="nl-NL"/>
              </w:rPr>
              <w:t>828</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53</w:t>
            </w:r>
            <w:r>
              <w:rPr>
                <w:rFonts w:ascii="Calibri" w:eastAsia="Times New Roman" w:hAnsi="Calibri"/>
                <w:b/>
                <w:bCs/>
                <w:szCs w:val="22"/>
                <w:lang w:val="nl-NL"/>
              </w:rPr>
              <w:t>4,</w:t>
            </w:r>
            <w:r w:rsidRPr="00627D61">
              <w:rPr>
                <w:rFonts w:ascii="Calibri" w:eastAsia="Times New Roman" w:hAnsi="Calibri"/>
                <w:b/>
                <w:bCs/>
                <w:szCs w:val="22"/>
                <w:lang w:val="nl-NL"/>
              </w:rPr>
              <w:t>845</w:t>
            </w:r>
          </w:p>
        </w:tc>
        <w:tc>
          <w:tcPr>
            <w:tcW w:w="1106" w:type="dxa"/>
            <w:gridSpan w:val="2"/>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sidRPr="00627D61">
              <w:rPr>
                <w:rFonts w:ascii="Calibri" w:eastAsia="Times New Roman" w:hAnsi="Calibri"/>
                <w:b/>
                <w:bCs/>
                <w:szCs w:val="22"/>
                <w:lang w:val="nl-NL"/>
              </w:rPr>
              <w:t>91</w:t>
            </w:r>
            <w:r>
              <w:rPr>
                <w:rFonts w:ascii="Calibri" w:eastAsia="Times New Roman" w:hAnsi="Calibri"/>
                <w:b/>
                <w:bCs/>
                <w:szCs w:val="22"/>
                <w:lang w:val="nl-NL"/>
              </w:rPr>
              <w:t>6,</w:t>
            </w:r>
            <w:r w:rsidRPr="00627D61">
              <w:rPr>
                <w:rFonts w:ascii="Calibri" w:eastAsia="Times New Roman" w:hAnsi="Calibri"/>
                <w:b/>
                <w:bCs/>
                <w:szCs w:val="22"/>
                <w:lang w:val="nl-NL"/>
              </w:rPr>
              <w:t>670</w:t>
            </w:r>
          </w:p>
        </w:tc>
        <w:tc>
          <w:tcPr>
            <w:tcW w:w="1106" w:type="dxa"/>
            <w:gridSpan w:val="3"/>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Pr>
                <w:rFonts w:ascii="Calibri" w:eastAsia="Times New Roman" w:hAnsi="Calibri"/>
                <w:b/>
                <w:bCs/>
                <w:szCs w:val="22"/>
                <w:lang w:val="nl-NL"/>
              </w:rPr>
              <w:t>1,</w:t>
            </w:r>
            <w:r w:rsidRPr="00627D61">
              <w:rPr>
                <w:rFonts w:ascii="Calibri" w:eastAsia="Times New Roman" w:hAnsi="Calibri"/>
                <w:b/>
                <w:bCs/>
                <w:szCs w:val="22"/>
                <w:lang w:val="nl-NL"/>
              </w:rPr>
              <w:t>43</w:t>
            </w:r>
            <w:r>
              <w:rPr>
                <w:rFonts w:ascii="Calibri" w:eastAsia="Times New Roman" w:hAnsi="Calibri"/>
                <w:b/>
                <w:bCs/>
                <w:szCs w:val="22"/>
                <w:lang w:val="nl-NL"/>
              </w:rPr>
              <w:t>6,</w:t>
            </w:r>
            <w:r w:rsidRPr="00627D61">
              <w:rPr>
                <w:rFonts w:ascii="Calibri" w:eastAsia="Times New Roman" w:hAnsi="Calibri"/>
                <w:b/>
                <w:bCs/>
                <w:szCs w:val="22"/>
                <w:lang w:val="nl-NL"/>
              </w:rPr>
              <w:t>160</w:t>
            </w:r>
          </w:p>
        </w:tc>
        <w:tc>
          <w:tcPr>
            <w:tcW w:w="1106" w:type="dxa"/>
            <w:tcBorders>
              <w:top w:val="nil"/>
              <w:left w:val="nil"/>
              <w:bottom w:val="single" w:sz="8" w:space="0" w:color="FFFFFF"/>
              <w:right w:val="single" w:sz="8" w:space="0" w:color="FFFFFF"/>
            </w:tcBorders>
            <w:shd w:val="clear" w:color="000000" w:fill="D9E2F3"/>
            <w:vAlign w:val="center"/>
            <w:hideMark/>
          </w:tcPr>
          <w:p w:rsidR="00F23B5E" w:rsidRPr="00627D61" w:rsidRDefault="00F23B5E" w:rsidP="004A4E5F">
            <w:pPr>
              <w:jc w:val="right"/>
              <w:rPr>
                <w:rFonts w:ascii="Calibri" w:eastAsia="Times New Roman" w:hAnsi="Calibri"/>
                <w:b/>
                <w:bCs/>
                <w:szCs w:val="22"/>
                <w:lang w:val="nl-NL"/>
              </w:rPr>
            </w:pPr>
            <w:r>
              <w:rPr>
                <w:rFonts w:ascii="Calibri" w:eastAsia="Times New Roman" w:hAnsi="Calibri"/>
                <w:b/>
                <w:bCs/>
                <w:szCs w:val="22"/>
                <w:lang w:val="nl-NL"/>
              </w:rPr>
              <w:t>2,</w:t>
            </w:r>
            <w:r w:rsidRPr="00627D61">
              <w:rPr>
                <w:rFonts w:ascii="Calibri" w:eastAsia="Times New Roman" w:hAnsi="Calibri"/>
                <w:b/>
                <w:bCs/>
                <w:szCs w:val="22"/>
                <w:lang w:val="nl-NL"/>
              </w:rPr>
              <w:t>03</w:t>
            </w:r>
            <w:r>
              <w:rPr>
                <w:rFonts w:ascii="Calibri" w:eastAsia="Times New Roman" w:hAnsi="Calibri"/>
                <w:b/>
                <w:bCs/>
                <w:szCs w:val="22"/>
                <w:lang w:val="nl-NL"/>
              </w:rPr>
              <w:t>3,</w:t>
            </w:r>
            <w:r w:rsidRPr="00627D61">
              <w:rPr>
                <w:rFonts w:ascii="Calibri" w:eastAsia="Times New Roman" w:hAnsi="Calibri"/>
                <w:b/>
                <w:bCs/>
                <w:szCs w:val="22"/>
                <w:lang w:val="nl-NL"/>
              </w:rPr>
              <w:t>947</w:t>
            </w:r>
          </w:p>
        </w:tc>
      </w:tr>
      <w:tr w:rsidR="00F23B5E" w:rsidRPr="001F3E25" w:rsidTr="004A4E5F">
        <w:tblPrEx>
          <w:tblCellMar>
            <w:left w:w="108" w:type="dxa"/>
            <w:right w:w="108" w:type="dxa"/>
          </w:tblCellMar>
        </w:tblPrEx>
        <w:trPr>
          <w:trHeight w:val="315"/>
        </w:trPr>
        <w:tc>
          <w:tcPr>
            <w:tcW w:w="1124"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134" w:type="dxa"/>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1134"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1071"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1071"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1119" w:type="dxa"/>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F23B5E" w:rsidRPr="001F3E25" w:rsidTr="004A4E5F">
        <w:tblPrEx>
          <w:tblCellMar>
            <w:left w:w="108" w:type="dxa"/>
            <w:right w:w="108" w:type="dxa"/>
          </w:tblCellMar>
        </w:tblPrEx>
        <w:trPr>
          <w:trHeight w:val="315"/>
        </w:trPr>
        <w:tc>
          <w:tcPr>
            <w:tcW w:w="1124"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BAU</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209,440</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265,234</w:t>
            </w:r>
          </w:p>
        </w:tc>
        <w:tc>
          <w:tcPr>
            <w:tcW w:w="1071"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334,637</w:t>
            </w:r>
          </w:p>
        </w:tc>
        <w:tc>
          <w:tcPr>
            <w:tcW w:w="107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421,897</w:t>
            </w:r>
          </w:p>
        </w:tc>
        <w:tc>
          <w:tcPr>
            <w:tcW w:w="1119"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532,343</w:t>
            </w:r>
          </w:p>
        </w:tc>
      </w:tr>
      <w:tr w:rsidR="00F23B5E" w:rsidRPr="001F3E25"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661,025</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881,313</w:t>
            </w:r>
          </w:p>
        </w:tc>
        <w:tc>
          <w:tcPr>
            <w:tcW w:w="1071"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1,134,195</w:t>
            </w:r>
          </w:p>
        </w:tc>
        <w:tc>
          <w:tcPr>
            <w:tcW w:w="107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1,423,289</w:t>
            </w:r>
          </w:p>
        </w:tc>
        <w:tc>
          <w:tcPr>
            <w:tcW w:w="1119"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1,772,283</w:t>
            </w:r>
          </w:p>
        </w:tc>
      </w:tr>
      <w:tr w:rsidR="00F23B5E" w:rsidRPr="001F3E25"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462,511</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604,256</w:t>
            </w:r>
          </w:p>
        </w:tc>
        <w:tc>
          <w:tcPr>
            <w:tcW w:w="1071"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740,997</w:t>
            </w:r>
          </w:p>
        </w:tc>
        <w:tc>
          <w:tcPr>
            <w:tcW w:w="107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862,474</w:t>
            </w:r>
          </w:p>
        </w:tc>
        <w:tc>
          <w:tcPr>
            <w:tcW w:w="1119"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951,525</w:t>
            </w:r>
          </w:p>
        </w:tc>
      </w:tr>
      <w:tr w:rsidR="00F23B5E" w:rsidRPr="001F3E25"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700,502</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820,350</w:t>
            </w:r>
          </w:p>
        </w:tc>
        <w:tc>
          <w:tcPr>
            <w:tcW w:w="1071"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920,809</w:t>
            </w:r>
          </w:p>
        </w:tc>
        <w:tc>
          <w:tcPr>
            <w:tcW w:w="107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72"/>
              <w:jc w:val="right"/>
              <w:rPr>
                <w:rFonts w:ascii="Calibri" w:eastAsia="Times New Roman" w:hAnsi="Calibri"/>
                <w:szCs w:val="22"/>
                <w:lang w:eastAsia="en-GB"/>
              </w:rPr>
            </w:pPr>
            <w:r w:rsidRPr="001F3E25">
              <w:rPr>
                <w:rFonts w:ascii="Calibri" w:eastAsia="Times New Roman" w:hAnsi="Calibri"/>
                <w:szCs w:val="22"/>
                <w:lang w:eastAsia="en-GB"/>
              </w:rPr>
              <w:t>1,007,017</w:t>
            </w:r>
          </w:p>
        </w:tc>
        <w:tc>
          <w:tcPr>
            <w:tcW w:w="1119"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1,087,066</w:t>
            </w:r>
          </w:p>
        </w:tc>
      </w:tr>
      <w:tr w:rsidR="00F23B5E" w:rsidRPr="001F3E25"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478</w:t>
            </w:r>
          </w:p>
        </w:tc>
        <w:tc>
          <w:tcPr>
            <w:tcW w:w="1134"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601</w:t>
            </w:r>
          </w:p>
        </w:tc>
        <w:tc>
          <w:tcPr>
            <w:tcW w:w="1071"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752</w:t>
            </w:r>
          </w:p>
        </w:tc>
        <w:tc>
          <w:tcPr>
            <w:tcW w:w="107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940</w:t>
            </w:r>
          </w:p>
        </w:tc>
        <w:tc>
          <w:tcPr>
            <w:tcW w:w="1119" w:type="dxa"/>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6641D8">
            <w:pPr>
              <w:ind w:left="-37"/>
              <w:jc w:val="right"/>
              <w:rPr>
                <w:rFonts w:ascii="Calibri" w:eastAsia="Times New Roman" w:hAnsi="Calibri"/>
                <w:szCs w:val="22"/>
                <w:lang w:eastAsia="en-GB"/>
              </w:rPr>
            </w:pPr>
            <w:r w:rsidRPr="001F3E25">
              <w:rPr>
                <w:rFonts w:ascii="Calibri" w:eastAsia="Times New Roman" w:hAnsi="Calibri"/>
                <w:szCs w:val="22"/>
                <w:lang w:eastAsia="en-GB"/>
              </w:rPr>
              <w:t>1,171</w:t>
            </w:r>
          </w:p>
        </w:tc>
      </w:tr>
      <w:tr w:rsidR="00F23B5E" w:rsidRPr="001F3E25" w:rsidTr="004A4E5F">
        <w:tblPrEx>
          <w:tblCellMar>
            <w:left w:w="108" w:type="dxa"/>
            <w:right w:w="108" w:type="dxa"/>
          </w:tblCellMar>
        </w:tblPrEx>
        <w:trPr>
          <w:trHeight w:val="315"/>
        </w:trPr>
        <w:tc>
          <w:tcPr>
            <w:tcW w:w="1124"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2,033,956</w:t>
            </w:r>
          </w:p>
        </w:tc>
        <w:tc>
          <w:tcPr>
            <w:tcW w:w="1134"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b/>
                <w:bCs/>
                <w:szCs w:val="22"/>
                <w:lang w:eastAsia="en-GB"/>
              </w:rPr>
            </w:pPr>
            <w:r w:rsidRPr="001F3E25">
              <w:rPr>
                <w:rFonts w:ascii="Calibri" w:eastAsia="Times New Roman" w:hAnsi="Calibri"/>
                <w:b/>
                <w:bCs/>
                <w:szCs w:val="22"/>
                <w:lang w:eastAsia="en-GB"/>
              </w:rPr>
              <w:t>2,571,754</w:t>
            </w:r>
          </w:p>
        </w:tc>
        <w:tc>
          <w:tcPr>
            <w:tcW w:w="1071"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72"/>
              <w:jc w:val="right"/>
              <w:rPr>
                <w:rFonts w:ascii="Calibri" w:eastAsia="Times New Roman" w:hAnsi="Calibri"/>
                <w:b/>
                <w:bCs/>
                <w:szCs w:val="22"/>
                <w:lang w:eastAsia="en-GB"/>
              </w:rPr>
            </w:pPr>
            <w:r w:rsidRPr="001F3E25">
              <w:rPr>
                <w:rFonts w:ascii="Calibri" w:eastAsia="Times New Roman" w:hAnsi="Calibri"/>
                <w:b/>
                <w:bCs/>
                <w:szCs w:val="22"/>
                <w:lang w:eastAsia="en-GB"/>
              </w:rPr>
              <w:t>3,131,390</w:t>
            </w:r>
          </w:p>
        </w:tc>
        <w:tc>
          <w:tcPr>
            <w:tcW w:w="107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72"/>
              <w:jc w:val="right"/>
              <w:rPr>
                <w:rFonts w:ascii="Calibri" w:eastAsia="Times New Roman" w:hAnsi="Calibri"/>
                <w:b/>
                <w:bCs/>
                <w:szCs w:val="22"/>
                <w:lang w:eastAsia="en-GB"/>
              </w:rPr>
            </w:pPr>
            <w:r w:rsidRPr="001F3E25">
              <w:rPr>
                <w:rFonts w:ascii="Calibri" w:eastAsia="Times New Roman" w:hAnsi="Calibri"/>
                <w:b/>
                <w:bCs/>
                <w:szCs w:val="22"/>
                <w:lang w:eastAsia="en-GB"/>
              </w:rPr>
              <w:t>3,715,617</w:t>
            </w:r>
          </w:p>
        </w:tc>
        <w:tc>
          <w:tcPr>
            <w:tcW w:w="1119" w:type="dxa"/>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6641D8">
            <w:pPr>
              <w:ind w:left="-37"/>
              <w:jc w:val="right"/>
              <w:rPr>
                <w:rFonts w:ascii="Calibri" w:eastAsia="Times New Roman" w:hAnsi="Calibri"/>
                <w:b/>
                <w:bCs/>
                <w:szCs w:val="22"/>
                <w:lang w:eastAsia="en-GB"/>
              </w:rPr>
            </w:pPr>
            <w:r w:rsidRPr="001F3E25">
              <w:rPr>
                <w:rFonts w:ascii="Calibri" w:eastAsia="Times New Roman" w:hAnsi="Calibri"/>
                <w:b/>
                <w:bCs/>
                <w:szCs w:val="22"/>
                <w:lang w:eastAsia="en-GB"/>
              </w:rPr>
              <w:t>4,344,388</w:t>
            </w:r>
          </w:p>
        </w:tc>
      </w:tr>
    </w:tbl>
    <w:p w:rsidR="00F23B5E" w:rsidRPr="005158E2" w:rsidRDefault="00F23B5E" w:rsidP="00F23B5E">
      <w:pPr>
        <w:pStyle w:val="BodyText"/>
        <w:keepNext/>
        <w:keepLines/>
        <w:spacing w:after="120"/>
        <w:rPr>
          <w:sz w:val="8"/>
          <w:szCs w:val="8"/>
        </w:rPr>
      </w:pPr>
    </w:p>
    <w:p w:rsidR="00F23B5E" w:rsidRPr="007C4AC5" w:rsidRDefault="00F23B5E" w:rsidP="009840D4">
      <w:pPr>
        <w:pStyle w:val="BodyText"/>
        <w:numPr>
          <w:ilvl w:val="0"/>
          <w:numId w:val="35"/>
        </w:numPr>
        <w:spacing w:after="120" w:line="120" w:lineRule="atLeast"/>
      </w:pPr>
      <w:r w:rsidRPr="008F0B37">
        <w:t xml:space="preserve">The demand for various </w:t>
      </w:r>
      <w:r>
        <w:t xml:space="preserve">high-GWP </w:t>
      </w:r>
      <w:r w:rsidRPr="008F0B37">
        <w:t xml:space="preserve">HFCs in Article </w:t>
      </w:r>
      <w:r>
        <w:t>5 Parties</w:t>
      </w:r>
      <w:r w:rsidRPr="008F0B37">
        <w:t xml:space="preserve"> is </w:t>
      </w:r>
      <w:r>
        <w:t>(</w:t>
      </w:r>
      <w:r w:rsidRPr="008F0B37">
        <w:t>still</w:t>
      </w:r>
      <w:r>
        <w:t>)</w:t>
      </w:r>
      <w:r w:rsidRPr="008F0B37">
        <w:t xml:space="preserve"> </w:t>
      </w:r>
      <w:r>
        <w:t xml:space="preserve">calculated </w:t>
      </w:r>
      <w:r w:rsidRPr="008F0B37">
        <w:t xml:space="preserve">to increase by a factor 3-4 in the BAU scenario </w:t>
      </w:r>
      <w:r>
        <w:t xml:space="preserve">in climate </w:t>
      </w:r>
      <w:r w:rsidRPr="007C4AC5">
        <w:t xml:space="preserve">terms during 2015-2030 and by a factor of </w:t>
      </w:r>
      <w:r>
        <w:t>7-</w:t>
      </w:r>
      <w:r w:rsidRPr="007C4AC5">
        <w:t>8 during 2015-2050;</w:t>
      </w:r>
    </w:p>
    <w:p w:rsidR="00F23B5E" w:rsidRDefault="00F23B5E" w:rsidP="009840D4">
      <w:pPr>
        <w:pStyle w:val="BodyText"/>
        <w:numPr>
          <w:ilvl w:val="0"/>
          <w:numId w:val="35"/>
        </w:numPr>
        <w:spacing w:after="120" w:line="120" w:lineRule="atLeast"/>
      </w:pPr>
      <w:r w:rsidRPr="008F0B37">
        <w:t xml:space="preserve">The BAU scenario shows a large growth in demand for the </w:t>
      </w:r>
      <w:r>
        <w:t xml:space="preserve">high-GWP </w:t>
      </w:r>
      <w:r w:rsidRPr="008F0B37">
        <w:t xml:space="preserve">refrigerants </w:t>
      </w:r>
      <w:r>
        <w:t xml:space="preserve"> </w:t>
      </w:r>
      <w:r w:rsidRPr="008F0B37">
        <w:t>R-404A, R-407C and R-410A</w:t>
      </w:r>
      <w:r>
        <w:t>,</w:t>
      </w:r>
      <w:r w:rsidRPr="008F0B37">
        <w:t xml:space="preserve"> mainly due to the external (</w:t>
      </w:r>
      <w:r>
        <w:t xml:space="preserve">economic </w:t>
      </w:r>
      <w:r w:rsidRPr="008F0B37">
        <w:t>growth) factors</w:t>
      </w:r>
      <w:r>
        <w:t>.</w:t>
      </w:r>
    </w:p>
    <w:p w:rsidR="00F23B5E" w:rsidRPr="00096C93" w:rsidRDefault="00F23B5E" w:rsidP="00F23B5E">
      <w:pPr>
        <w:pStyle w:val="BodyText"/>
        <w:spacing w:before="120" w:after="120"/>
        <w:rPr>
          <w:b/>
          <w:i/>
        </w:rPr>
      </w:pPr>
      <w:r w:rsidRPr="00096C93">
        <w:rPr>
          <w:b/>
          <w:i/>
        </w:rPr>
        <w:t xml:space="preserve">Table </w:t>
      </w:r>
      <w:r w:rsidR="00AE184E">
        <w:rPr>
          <w:b/>
          <w:i/>
        </w:rPr>
        <w:t>6</w:t>
      </w:r>
      <w:r>
        <w:rPr>
          <w:b/>
          <w:i/>
        </w:rPr>
        <w:t>-9</w:t>
      </w:r>
      <w:r w:rsidRPr="00096C93">
        <w:rPr>
          <w:b/>
          <w:i/>
        </w:rPr>
        <w:t>: Current and future refrigerant demand for (refrigerant) ODS alternatives (MIT-3 scenario) for the period 2010-20</w:t>
      </w:r>
      <w:r>
        <w:rPr>
          <w:b/>
          <w:i/>
        </w:rPr>
        <w:t>50</w:t>
      </w:r>
      <w:r w:rsidRPr="00096C93">
        <w:rPr>
          <w:b/>
          <w:i/>
        </w:rPr>
        <w:t xml:space="preserve"> in Article </w:t>
      </w:r>
      <w:r>
        <w:rPr>
          <w:b/>
          <w:i/>
        </w:rPr>
        <w:t>5 Parties</w:t>
      </w:r>
      <w:r w:rsidRPr="00096C93">
        <w:rPr>
          <w:b/>
          <w:i/>
        </w:rPr>
        <w:t xml:space="preserve"> (</w:t>
      </w:r>
      <w:r w:rsidR="0092165F">
        <w:rPr>
          <w:b/>
          <w:i/>
        </w:rPr>
        <w:t>t</w:t>
      </w:r>
      <w:r w:rsidRPr="00096C93">
        <w:rPr>
          <w:b/>
          <w:i/>
        </w:rPr>
        <w:t>onnes)</w:t>
      </w:r>
    </w:p>
    <w:tbl>
      <w:tblPr>
        <w:tblW w:w="5012" w:type="pct"/>
        <w:tblInd w:w="-110" w:type="dxa"/>
        <w:tblLayout w:type="fixed"/>
        <w:tblCellMar>
          <w:left w:w="70" w:type="dxa"/>
          <w:right w:w="70" w:type="dxa"/>
        </w:tblCellMar>
        <w:tblLook w:val="04A0" w:firstRow="1" w:lastRow="0" w:firstColumn="1" w:lastColumn="0" w:noHBand="0" w:noVBand="1"/>
      </w:tblPr>
      <w:tblGrid>
        <w:gridCol w:w="1187"/>
        <w:gridCol w:w="37"/>
        <w:gridCol w:w="1662"/>
        <w:gridCol w:w="37"/>
        <w:gridCol w:w="1008"/>
        <w:gridCol w:w="10"/>
        <w:gridCol w:w="1095"/>
        <w:gridCol w:w="15"/>
        <w:gridCol w:w="1120"/>
        <w:gridCol w:w="20"/>
        <w:gridCol w:w="1100"/>
        <w:gridCol w:w="58"/>
        <w:gridCol w:w="1064"/>
        <w:gridCol w:w="47"/>
      </w:tblGrid>
      <w:tr w:rsidR="00F23B5E" w:rsidRPr="006C0A25" w:rsidTr="00A2698F">
        <w:trPr>
          <w:trHeight w:val="315"/>
        </w:trPr>
        <w:tc>
          <w:tcPr>
            <w:tcW w:w="723" w:type="pct"/>
            <w:gridSpan w:val="2"/>
            <w:tcBorders>
              <w:top w:val="nil"/>
              <w:left w:val="nil"/>
              <w:bottom w:val="nil"/>
              <w:right w:val="nil"/>
            </w:tcBorders>
            <w:shd w:val="clear" w:color="000000" w:fill="4F81BD"/>
            <w:noWrap/>
            <w:vAlign w:val="center"/>
            <w:hideMark/>
          </w:tcPr>
          <w:p w:rsidR="00F23B5E" w:rsidRDefault="00F23B5E" w:rsidP="004A4E5F">
            <w:pPr>
              <w:rPr>
                <w:rFonts w:ascii="Calibri" w:hAnsi="Calibri"/>
                <w:b/>
                <w:bCs/>
                <w:color w:val="FFFFFF"/>
                <w:szCs w:val="22"/>
                <w:lang w:val="nl-NL"/>
              </w:rPr>
            </w:pPr>
            <w:r>
              <w:rPr>
                <w:rFonts w:ascii="Calibri" w:hAnsi="Calibri"/>
                <w:b/>
                <w:bCs/>
                <w:color w:val="FFFFFF"/>
                <w:szCs w:val="22"/>
              </w:rPr>
              <w:t>MIT-3</w:t>
            </w:r>
          </w:p>
        </w:tc>
        <w:tc>
          <w:tcPr>
            <w:tcW w:w="1004"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rPr>
                <w:rFonts w:ascii="Calibri" w:hAnsi="Calibri"/>
                <w:color w:val="FFFFFF"/>
                <w:szCs w:val="22"/>
              </w:rPr>
            </w:pPr>
            <w:r>
              <w:rPr>
                <w:rFonts w:ascii="Calibri" w:hAnsi="Calibri"/>
                <w:color w:val="FFFFFF"/>
                <w:szCs w:val="22"/>
              </w:rPr>
              <w:t> </w:t>
            </w:r>
          </w:p>
        </w:tc>
        <w:tc>
          <w:tcPr>
            <w:tcW w:w="602"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2010</w:t>
            </w:r>
          </w:p>
        </w:tc>
        <w:tc>
          <w:tcPr>
            <w:tcW w:w="647" w:type="pct"/>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2015</w:t>
            </w:r>
          </w:p>
        </w:tc>
        <w:tc>
          <w:tcPr>
            <w:tcW w:w="683" w:type="pct"/>
            <w:gridSpan w:val="3"/>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2020</w:t>
            </w:r>
          </w:p>
        </w:tc>
        <w:tc>
          <w:tcPr>
            <w:tcW w:w="684"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2025</w:t>
            </w:r>
          </w:p>
        </w:tc>
        <w:tc>
          <w:tcPr>
            <w:tcW w:w="657" w:type="pct"/>
            <w:gridSpan w:val="2"/>
            <w:tcBorders>
              <w:top w:val="single" w:sz="8" w:space="0" w:color="FFFFFF"/>
              <w:left w:val="nil"/>
              <w:bottom w:val="single" w:sz="8" w:space="0" w:color="FFFFFF"/>
              <w:right w:val="single" w:sz="8" w:space="0" w:color="FFFFFF"/>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2030</w:t>
            </w:r>
          </w:p>
        </w:tc>
      </w:tr>
      <w:tr w:rsidR="00F23B5E" w:rsidRPr="006C0A25" w:rsidTr="00A2698F">
        <w:trPr>
          <w:trHeight w:val="315"/>
        </w:trPr>
        <w:tc>
          <w:tcPr>
            <w:tcW w:w="723" w:type="pct"/>
            <w:gridSpan w:val="2"/>
            <w:vMerge w:val="restart"/>
            <w:tcBorders>
              <w:top w:val="nil"/>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r>
              <w:rPr>
                <w:rFonts w:ascii="Calibri" w:hAnsi="Calibri"/>
                <w:b/>
                <w:bCs/>
                <w:color w:val="FFFFFF"/>
                <w:szCs w:val="22"/>
              </w:rPr>
              <w:t>A5 6-year conversion 2020</w:t>
            </w: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602"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54,393</w:t>
            </w:r>
          </w:p>
        </w:tc>
        <w:tc>
          <w:tcPr>
            <w:tcW w:w="647"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74,649</w:t>
            </w:r>
          </w:p>
        </w:tc>
        <w:tc>
          <w:tcPr>
            <w:tcW w:w="683"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91,265</w:t>
            </w:r>
          </w:p>
        </w:tc>
        <w:tc>
          <w:tcPr>
            <w:tcW w:w="68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48,357</w:t>
            </w:r>
          </w:p>
        </w:tc>
        <w:tc>
          <w:tcPr>
            <w:tcW w:w="657"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39,331</w:t>
            </w:r>
          </w:p>
        </w:tc>
      </w:tr>
      <w:tr w:rsidR="00F23B5E" w:rsidRPr="006C0A25"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02"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13,085</w:t>
            </w:r>
          </w:p>
        </w:tc>
        <w:tc>
          <w:tcPr>
            <w:tcW w:w="647"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36,679</w:t>
            </w:r>
          </w:p>
        </w:tc>
        <w:tc>
          <w:tcPr>
            <w:tcW w:w="683"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58,259</w:t>
            </w:r>
          </w:p>
        </w:tc>
        <w:tc>
          <w:tcPr>
            <w:tcW w:w="68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36,123</w:t>
            </w:r>
          </w:p>
        </w:tc>
        <w:tc>
          <w:tcPr>
            <w:tcW w:w="657"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12,751</w:t>
            </w:r>
          </w:p>
        </w:tc>
      </w:tr>
      <w:tr w:rsidR="00F23B5E" w:rsidRPr="006C0A25"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02"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16,543</w:t>
            </w:r>
          </w:p>
        </w:tc>
        <w:tc>
          <w:tcPr>
            <w:tcW w:w="647"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55,278</w:t>
            </w:r>
          </w:p>
        </w:tc>
        <w:tc>
          <w:tcPr>
            <w:tcW w:w="683"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92,804</w:t>
            </w:r>
          </w:p>
        </w:tc>
        <w:tc>
          <w:tcPr>
            <w:tcW w:w="68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58,029</w:t>
            </w:r>
          </w:p>
        </w:tc>
        <w:tc>
          <w:tcPr>
            <w:tcW w:w="657"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20,684</w:t>
            </w:r>
          </w:p>
        </w:tc>
      </w:tr>
      <w:tr w:rsidR="00F23B5E" w:rsidRPr="006C0A25"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02"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40,975</w:t>
            </w:r>
          </w:p>
        </w:tc>
        <w:tc>
          <w:tcPr>
            <w:tcW w:w="647"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106,661</w:t>
            </w:r>
          </w:p>
        </w:tc>
        <w:tc>
          <w:tcPr>
            <w:tcW w:w="683"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170,273</w:t>
            </w:r>
          </w:p>
        </w:tc>
        <w:tc>
          <w:tcPr>
            <w:tcW w:w="68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65,015</w:t>
            </w:r>
          </w:p>
        </w:tc>
        <w:tc>
          <w:tcPr>
            <w:tcW w:w="657"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18,972</w:t>
            </w:r>
          </w:p>
        </w:tc>
      </w:tr>
      <w:tr w:rsidR="00F23B5E" w:rsidRPr="006C0A25" w:rsidTr="00A2698F">
        <w:trPr>
          <w:trHeight w:val="315"/>
        </w:trPr>
        <w:tc>
          <w:tcPr>
            <w:tcW w:w="723" w:type="pct"/>
            <w:gridSpan w:val="2"/>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02"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22,430</w:t>
            </w:r>
          </w:p>
        </w:tc>
        <w:tc>
          <w:tcPr>
            <w:tcW w:w="647"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29,318</w:t>
            </w:r>
          </w:p>
        </w:tc>
        <w:tc>
          <w:tcPr>
            <w:tcW w:w="683"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87,522</w:t>
            </w:r>
          </w:p>
        </w:tc>
        <w:tc>
          <w:tcPr>
            <w:tcW w:w="68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562,500</w:t>
            </w:r>
          </w:p>
        </w:tc>
        <w:tc>
          <w:tcPr>
            <w:tcW w:w="657"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991,332</w:t>
            </w:r>
          </w:p>
        </w:tc>
      </w:tr>
      <w:tr w:rsidR="00F23B5E" w:rsidRPr="006C0A25" w:rsidTr="00A2698F">
        <w:trPr>
          <w:trHeight w:val="315"/>
        </w:trPr>
        <w:tc>
          <w:tcPr>
            <w:tcW w:w="723" w:type="pct"/>
            <w:gridSpan w:val="2"/>
            <w:vMerge/>
            <w:tcBorders>
              <w:left w:val="single" w:sz="8" w:space="0" w:color="FFFFFF"/>
              <w:bottom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02"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147,426</w:t>
            </w:r>
          </w:p>
        </w:tc>
        <w:tc>
          <w:tcPr>
            <w:tcW w:w="647"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302,585</w:t>
            </w:r>
          </w:p>
        </w:tc>
        <w:tc>
          <w:tcPr>
            <w:tcW w:w="683"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500,123</w:t>
            </w:r>
          </w:p>
        </w:tc>
        <w:tc>
          <w:tcPr>
            <w:tcW w:w="68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770,024</w:t>
            </w:r>
          </w:p>
        </w:tc>
        <w:tc>
          <w:tcPr>
            <w:tcW w:w="657"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1,083,070</w:t>
            </w:r>
          </w:p>
        </w:tc>
      </w:tr>
      <w:tr w:rsidR="00F23B5E" w:rsidRPr="001F3E25" w:rsidTr="00A2698F">
        <w:tblPrEx>
          <w:tblCellMar>
            <w:left w:w="108" w:type="dxa"/>
            <w:right w:w="108" w:type="dxa"/>
          </w:tblCellMar>
        </w:tblPrEx>
        <w:trPr>
          <w:gridAfter w:val="1"/>
          <w:wAfter w:w="29" w:type="pct"/>
          <w:trHeight w:val="315"/>
        </w:trPr>
        <w:tc>
          <w:tcPr>
            <w:tcW w:w="701" w:type="pct"/>
            <w:tcBorders>
              <w:top w:val="single" w:sz="8" w:space="0" w:color="FFFFFF"/>
              <w:left w:val="single" w:sz="8" w:space="0" w:color="FFFFFF"/>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b/>
                <w:color w:val="FFFFFF"/>
                <w:szCs w:val="22"/>
                <w:lang w:eastAsia="en-GB"/>
              </w:rPr>
            </w:pPr>
            <w:r w:rsidRPr="001F3E25">
              <w:rPr>
                <w:rFonts w:ascii="Calibri" w:eastAsia="Times New Roman" w:hAnsi="Calibri"/>
                <w:b/>
                <w:color w:val="FFFFFF"/>
                <w:szCs w:val="22"/>
                <w:lang w:eastAsia="en-GB"/>
              </w:rPr>
              <w:t>MIT-3 </w:t>
            </w:r>
          </w:p>
        </w:tc>
        <w:tc>
          <w:tcPr>
            <w:tcW w:w="1004" w:type="pct"/>
            <w:gridSpan w:val="2"/>
            <w:tcBorders>
              <w:top w:val="single" w:sz="8" w:space="0" w:color="FFFFFF"/>
              <w:left w:val="nil"/>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618"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662" w:type="pct"/>
            <w:gridSpan w:val="3"/>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662" w:type="pct"/>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662"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663"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F23B5E" w:rsidRPr="001F3E25" w:rsidTr="00A2698F">
        <w:tblPrEx>
          <w:tblCellMar>
            <w:left w:w="108" w:type="dxa"/>
            <w:right w:w="108" w:type="dxa"/>
          </w:tblCellMar>
        </w:tblPrEx>
        <w:trPr>
          <w:gridAfter w:val="1"/>
          <w:wAfter w:w="29" w:type="pct"/>
          <w:trHeight w:val="315"/>
        </w:trPr>
        <w:tc>
          <w:tcPr>
            <w:tcW w:w="701" w:type="pct"/>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618"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w:t>
            </w:r>
            <w:r>
              <w:rPr>
                <w:rFonts w:ascii="Calibri" w:eastAsia="Times New Roman" w:hAnsi="Calibri"/>
                <w:szCs w:val="22"/>
                <w:lang w:eastAsia="en-GB"/>
              </w:rPr>
              <w:t>9,331</w:t>
            </w:r>
          </w:p>
        </w:tc>
        <w:tc>
          <w:tcPr>
            <w:tcW w:w="662" w:type="pct"/>
            <w:gridSpan w:val="3"/>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39,386</w:t>
            </w:r>
          </w:p>
        </w:tc>
        <w:tc>
          <w:tcPr>
            <w:tcW w:w="662" w:type="pct"/>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47,809</w:t>
            </w:r>
          </w:p>
        </w:tc>
        <w:tc>
          <w:tcPr>
            <w:tcW w:w="662"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57,936</w:t>
            </w:r>
          </w:p>
        </w:tc>
        <w:tc>
          <w:tcPr>
            <w:tcW w:w="663"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70,499</w:t>
            </w:r>
          </w:p>
        </w:tc>
      </w:tr>
      <w:tr w:rsidR="00F23B5E" w:rsidRPr="001F3E25" w:rsidTr="00A2698F">
        <w:tblPrEx>
          <w:tblCellMar>
            <w:left w:w="108" w:type="dxa"/>
            <w:right w:w="108" w:type="dxa"/>
          </w:tblCellMar>
        </w:tblPrEx>
        <w:trPr>
          <w:gridAfter w:val="1"/>
          <w:wAfter w:w="29" w:type="pct"/>
          <w:trHeight w:val="300"/>
        </w:trPr>
        <w:tc>
          <w:tcPr>
            <w:tcW w:w="701" w:type="pct"/>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618"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w:t>
            </w:r>
            <w:r>
              <w:rPr>
                <w:rFonts w:ascii="Calibri" w:eastAsia="Times New Roman" w:hAnsi="Calibri"/>
                <w:szCs w:val="22"/>
                <w:lang w:eastAsia="en-GB"/>
              </w:rPr>
              <w:t>2,751</w:t>
            </w:r>
          </w:p>
        </w:tc>
        <w:tc>
          <w:tcPr>
            <w:tcW w:w="662" w:type="pct"/>
            <w:gridSpan w:val="3"/>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2,970</w:t>
            </w:r>
          </w:p>
        </w:tc>
        <w:tc>
          <w:tcPr>
            <w:tcW w:w="662" w:type="pct"/>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1,576</w:t>
            </w:r>
          </w:p>
        </w:tc>
        <w:tc>
          <w:tcPr>
            <w:tcW w:w="662"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3,306</w:t>
            </w:r>
          </w:p>
        </w:tc>
        <w:tc>
          <w:tcPr>
            <w:tcW w:w="663"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5,077</w:t>
            </w:r>
          </w:p>
        </w:tc>
      </w:tr>
      <w:tr w:rsidR="00F23B5E" w:rsidRPr="001F3E25"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618"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20,684</w:t>
            </w:r>
          </w:p>
        </w:tc>
        <w:tc>
          <w:tcPr>
            <w:tcW w:w="662" w:type="pct"/>
            <w:gridSpan w:val="3"/>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13,059</w:t>
            </w:r>
          </w:p>
        </w:tc>
        <w:tc>
          <w:tcPr>
            <w:tcW w:w="662" w:type="pct"/>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4,411</w:t>
            </w:r>
          </w:p>
        </w:tc>
        <w:tc>
          <w:tcPr>
            <w:tcW w:w="662"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663"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F23B5E" w:rsidRPr="001F3E25"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618"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18,972</w:t>
            </w:r>
          </w:p>
        </w:tc>
        <w:tc>
          <w:tcPr>
            <w:tcW w:w="662" w:type="pct"/>
            <w:gridSpan w:val="3"/>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13,467</w:t>
            </w:r>
          </w:p>
        </w:tc>
        <w:tc>
          <w:tcPr>
            <w:tcW w:w="662" w:type="pct"/>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4,267</w:t>
            </w:r>
          </w:p>
        </w:tc>
        <w:tc>
          <w:tcPr>
            <w:tcW w:w="662"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663"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F23B5E" w:rsidRPr="001F3E25"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618"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991,332</w:t>
            </w:r>
          </w:p>
        </w:tc>
        <w:tc>
          <w:tcPr>
            <w:tcW w:w="662" w:type="pct"/>
            <w:gridSpan w:val="3"/>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1,244,943</w:t>
            </w:r>
          </w:p>
        </w:tc>
        <w:tc>
          <w:tcPr>
            <w:tcW w:w="662" w:type="pct"/>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1,528,895</w:t>
            </w:r>
          </w:p>
        </w:tc>
        <w:tc>
          <w:tcPr>
            <w:tcW w:w="662"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1,808,828</w:t>
            </w:r>
          </w:p>
        </w:tc>
        <w:tc>
          <w:tcPr>
            <w:tcW w:w="663" w:type="pct"/>
            <w:gridSpan w:val="2"/>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2,092,281</w:t>
            </w:r>
          </w:p>
        </w:tc>
      </w:tr>
      <w:tr w:rsidR="00F23B5E" w:rsidRPr="001F3E25" w:rsidTr="00A2698F">
        <w:tblPrEx>
          <w:tblCellMar>
            <w:left w:w="108" w:type="dxa"/>
            <w:right w:w="108" w:type="dxa"/>
          </w:tblCellMar>
        </w:tblPrEx>
        <w:trPr>
          <w:gridAfter w:val="1"/>
          <w:wAfter w:w="29" w:type="pct"/>
          <w:trHeight w:val="315"/>
        </w:trPr>
        <w:tc>
          <w:tcPr>
            <w:tcW w:w="701" w:type="pct"/>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004"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618"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6641D8">
            <w:pPr>
              <w:ind w:left="-114"/>
              <w:jc w:val="right"/>
              <w:rPr>
                <w:rFonts w:ascii="Calibri" w:hAnsi="Calibri"/>
                <w:b/>
                <w:bCs/>
                <w:szCs w:val="22"/>
              </w:rPr>
            </w:pPr>
            <w:r>
              <w:rPr>
                <w:rFonts w:ascii="Calibri" w:hAnsi="Calibri"/>
                <w:b/>
                <w:bCs/>
                <w:szCs w:val="22"/>
              </w:rPr>
              <w:t>1,083,070</w:t>
            </w:r>
          </w:p>
        </w:tc>
        <w:tc>
          <w:tcPr>
            <w:tcW w:w="662" w:type="pct"/>
            <w:gridSpan w:val="3"/>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1,313,825</w:t>
            </w:r>
          </w:p>
        </w:tc>
        <w:tc>
          <w:tcPr>
            <w:tcW w:w="662" w:type="pct"/>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1,586,958</w:t>
            </w:r>
          </w:p>
        </w:tc>
        <w:tc>
          <w:tcPr>
            <w:tcW w:w="662"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1,870,070</w:t>
            </w:r>
          </w:p>
        </w:tc>
        <w:tc>
          <w:tcPr>
            <w:tcW w:w="663" w:type="pct"/>
            <w:gridSpan w:val="2"/>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2,167,857</w:t>
            </w:r>
          </w:p>
        </w:tc>
      </w:tr>
    </w:tbl>
    <w:p w:rsidR="009C03C8" w:rsidRDefault="009C03C8" w:rsidP="00F23B5E">
      <w:pPr>
        <w:pStyle w:val="BodyText"/>
        <w:keepNext/>
        <w:keepLines/>
        <w:spacing w:before="120" w:after="120"/>
        <w:rPr>
          <w:b/>
          <w:i/>
        </w:rPr>
      </w:pPr>
    </w:p>
    <w:p w:rsidR="00F23B5E" w:rsidRDefault="009C03C8" w:rsidP="00F23B5E">
      <w:pPr>
        <w:pStyle w:val="BodyText"/>
        <w:keepNext/>
        <w:keepLines/>
        <w:spacing w:before="120" w:after="120"/>
        <w:rPr>
          <w:b/>
          <w:i/>
        </w:rPr>
      </w:pPr>
      <w:r>
        <w:rPr>
          <w:b/>
          <w:i/>
        </w:rPr>
        <w:br w:type="page"/>
      </w:r>
      <w:r w:rsidR="00F23B5E" w:rsidRPr="00096C93">
        <w:rPr>
          <w:b/>
          <w:i/>
        </w:rPr>
        <w:lastRenderedPageBreak/>
        <w:t xml:space="preserve">Table </w:t>
      </w:r>
      <w:r w:rsidR="00AE184E">
        <w:rPr>
          <w:b/>
          <w:i/>
        </w:rPr>
        <w:t>6</w:t>
      </w:r>
      <w:r w:rsidR="00F23B5E">
        <w:rPr>
          <w:b/>
          <w:i/>
        </w:rPr>
        <w:t>-10</w:t>
      </w:r>
      <w:r w:rsidR="00F23B5E" w:rsidRPr="00096C93">
        <w:rPr>
          <w:b/>
          <w:i/>
        </w:rPr>
        <w:t>: Current and future refrigerant demand for (refrigerant) ODS alternatives (MIT-3 scenario) for the period 2010-20</w:t>
      </w:r>
      <w:r w:rsidR="00F23B5E">
        <w:rPr>
          <w:b/>
          <w:i/>
        </w:rPr>
        <w:t>50</w:t>
      </w:r>
      <w:r w:rsidR="00F23B5E" w:rsidRPr="00096C93">
        <w:rPr>
          <w:b/>
          <w:i/>
        </w:rPr>
        <w:t xml:space="preserve"> in Article </w:t>
      </w:r>
      <w:r w:rsidR="00F23B5E">
        <w:rPr>
          <w:b/>
          <w:i/>
        </w:rPr>
        <w:t>5 Parties</w:t>
      </w:r>
      <w:r w:rsidR="00F23B5E" w:rsidRPr="00096C93">
        <w:rPr>
          <w:b/>
          <w:i/>
        </w:rPr>
        <w:t xml:space="preserve"> (</w:t>
      </w:r>
      <w:r w:rsidR="00AD5DD6">
        <w:rPr>
          <w:b/>
          <w:i/>
        </w:rPr>
        <w:t xml:space="preserve">ktonnes </w:t>
      </w:r>
      <w:r w:rsidR="00F23B5E" w:rsidRPr="00096C93">
        <w:rPr>
          <w:b/>
          <w:i/>
        </w:rPr>
        <w:t>CO</w:t>
      </w:r>
      <w:r w:rsidR="00F23B5E" w:rsidRPr="00096C93">
        <w:rPr>
          <w:b/>
          <w:i/>
          <w:vertAlign w:val="subscript"/>
        </w:rPr>
        <w:t>2</w:t>
      </w:r>
      <w:r w:rsidR="00AD5DD6">
        <w:rPr>
          <w:b/>
          <w:i/>
        </w:rPr>
        <w:t>-eq.</w:t>
      </w:r>
      <w:r w:rsidR="00F23B5E" w:rsidRPr="00096C93">
        <w:rPr>
          <w:b/>
          <w:i/>
        </w:rPr>
        <w:t>)</w:t>
      </w:r>
    </w:p>
    <w:tbl>
      <w:tblPr>
        <w:tblW w:w="8506" w:type="dxa"/>
        <w:tblInd w:w="-34" w:type="dxa"/>
        <w:tblLook w:val="04A0" w:firstRow="1" w:lastRow="0" w:firstColumn="1" w:lastColumn="0" w:noHBand="0" w:noVBand="1"/>
      </w:tblPr>
      <w:tblGrid>
        <w:gridCol w:w="1276"/>
        <w:gridCol w:w="1701"/>
        <w:gridCol w:w="993"/>
        <w:gridCol w:w="1134"/>
        <w:gridCol w:w="1134"/>
        <w:gridCol w:w="1134"/>
        <w:gridCol w:w="1134"/>
      </w:tblGrid>
      <w:tr w:rsidR="002A6E27" w:rsidRPr="001F3E25" w:rsidTr="002A6E27">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rsidR="00305D00" w:rsidRPr="001F3E25" w:rsidRDefault="00305D00" w:rsidP="002A6E27">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305D00" w:rsidRPr="001F3E25" w:rsidRDefault="00305D00" w:rsidP="002A6E27">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993"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1</w:t>
            </w:r>
            <w:r w:rsidRPr="001F3E25">
              <w:rPr>
                <w:rFonts w:ascii="Calibri" w:eastAsia="Times New Roman" w:hAnsi="Calibri"/>
                <w:b/>
                <w:bCs/>
                <w:color w:val="FFFFFF"/>
                <w:szCs w:val="22"/>
                <w:lang w:eastAsia="en-GB"/>
              </w:rPr>
              <w:t>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15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305D00" w:rsidRPr="001F3E25" w:rsidRDefault="00305D00" w:rsidP="00305D00">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305D00" w:rsidRPr="001F3E25" w:rsidRDefault="00305D00" w:rsidP="00305D00">
            <w:pPr>
              <w:jc w:val="center"/>
              <w:rPr>
                <w:rFonts w:ascii="Calibri" w:eastAsia="Times New Roman" w:hAnsi="Calibri"/>
                <w:b/>
                <w:bCs/>
                <w:color w:val="FFFFFF"/>
                <w:szCs w:val="22"/>
                <w:lang w:eastAsia="en-GB"/>
              </w:rPr>
            </w:pPr>
            <w:r>
              <w:rPr>
                <w:rFonts w:ascii="Calibri" w:eastAsia="Times New Roman" w:hAnsi="Calibri"/>
                <w:b/>
                <w:bCs/>
                <w:color w:val="FFFFFF"/>
                <w:szCs w:val="22"/>
                <w:lang w:eastAsia="en-GB"/>
              </w:rPr>
              <w:t>2025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305D00" w:rsidRPr="001F3E25" w:rsidRDefault="00305D00" w:rsidP="00305D00">
            <w:pPr>
              <w:jc w:val="center"/>
              <w:rPr>
                <w:rFonts w:ascii="Calibri" w:eastAsia="Times New Roman" w:hAnsi="Calibri"/>
                <w:b/>
                <w:bCs/>
                <w:color w:val="FFFFFF"/>
                <w:szCs w:val="22"/>
                <w:lang w:eastAsia="en-GB"/>
              </w:rPr>
            </w:pPr>
            <w:r>
              <w:rPr>
                <w:rFonts w:ascii="Calibri" w:eastAsia="Times New Roman" w:hAnsi="Calibri"/>
                <w:b/>
                <w:bCs/>
                <w:color w:val="FFFFFF"/>
                <w:szCs w:val="22"/>
                <w:lang w:eastAsia="en-GB"/>
              </w:rPr>
              <w:t>2030</w:t>
            </w:r>
          </w:p>
        </w:tc>
      </w:tr>
      <w:tr w:rsidR="002A6E27" w:rsidRPr="001F3E25" w:rsidTr="002A6E27">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305D00" w:rsidRPr="001F3E25" w:rsidRDefault="00305D00" w:rsidP="002A6E27">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2A6E27">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993"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70,712</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96,880</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117,959</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61,810</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49,670</w:t>
            </w:r>
          </w:p>
        </w:tc>
      </w:tr>
      <w:tr w:rsidR="002A6E27" w:rsidRPr="001F3E25" w:rsidTr="002A6E27">
        <w:trPr>
          <w:trHeight w:val="300"/>
        </w:trPr>
        <w:tc>
          <w:tcPr>
            <w:tcW w:w="1276" w:type="dxa"/>
            <w:vMerge/>
            <w:tcBorders>
              <w:top w:val="nil"/>
              <w:left w:val="single" w:sz="8" w:space="0" w:color="FFFFFF"/>
              <w:bottom w:val="single" w:sz="8" w:space="0" w:color="FFFFFF"/>
              <w:right w:val="single" w:sz="8" w:space="0" w:color="FFFFFF"/>
            </w:tcBorders>
            <w:vAlign w:val="center"/>
            <w:hideMark/>
          </w:tcPr>
          <w:p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993"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51,584</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143,511</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227,693</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141,897</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50,899</w:t>
            </w:r>
          </w:p>
        </w:tc>
      </w:tr>
      <w:tr w:rsidR="002A6E27" w:rsidRPr="001F3E25"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993"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26,799</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89,550</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150,343</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94,007</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33,508</w:t>
            </w:r>
          </w:p>
        </w:tc>
      </w:tr>
      <w:tr w:rsidR="002A6E27" w:rsidRPr="001F3E25"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993"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78,671</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204,789</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326,924</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124,828</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36,425</w:t>
            </w:r>
          </w:p>
        </w:tc>
      </w:tr>
      <w:tr w:rsidR="002A6E27" w:rsidRPr="001F3E25"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993"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2A6E27">
            <w:pPr>
              <w:jc w:val="right"/>
              <w:rPr>
                <w:rFonts w:ascii="Calibri" w:eastAsia="Times New Roman" w:hAnsi="Calibri"/>
                <w:szCs w:val="22"/>
                <w:lang w:eastAsia="en-GB"/>
              </w:rPr>
            </w:pPr>
            <w:r>
              <w:rPr>
                <w:rFonts w:ascii="Calibri" w:eastAsia="Times New Roman" w:hAnsi="Calibri"/>
                <w:szCs w:val="22"/>
                <w:lang w:eastAsia="en-GB"/>
              </w:rPr>
              <w:t>62</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305D00" w:rsidP="00305D00">
            <w:pPr>
              <w:jc w:val="right"/>
              <w:rPr>
                <w:rFonts w:ascii="Calibri" w:eastAsia="Times New Roman" w:hAnsi="Calibri"/>
                <w:szCs w:val="22"/>
                <w:lang w:eastAsia="en-GB"/>
              </w:rPr>
            </w:pPr>
            <w:r>
              <w:rPr>
                <w:rFonts w:ascii="Calibri" w:eastAsia="Times New Roman" w:hAnsi="Calibri"/>
                <w:szCs w:val="22"/>
                <w:lang w:eastAsia="en-GB"/>
              </w:rPr>
              <w:t>115</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11,394</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123,925</w:t>
            </w:r>
          </w:p>
        </w:tc>
        <w:tc>
          <w:tcPr>
            <w:tcW w:w="1134" w:type="dxa"/>
            <w:tcBorders>
              <w:top w:val="nil"/>
              <w:left w:val="nil"/>
              <w:bottom w:val="single" w:sz="8" w:space="0" w:color="FFFFFF"/>
              <w:right w:val="single" w:sz="8" w:space="0" w:color="FFFFFF"/>
            </w:tcBorders>
            <w:shd w:val="clear" w:color="000000" w:fill="B4C6E7"/>
            <w:vAlign w:val="center"/>
            <w:hideMark/>
          </w:tcPr>
          <w:p w:rsidR="00305D00" w:rsidRPr="001F3E25" w:rsidRDefault="002A6E27" w:rsidP="002A6E27">
            <w:pPr>
              <w:jc w:val="right"/>
              <w:rPr>
                <w:rFonts w:ascii="Calibri" w:eastAsia="Times New Roman" w:hAnsi="Calibri"/>
                <w:szCs w:val="22"/>
                <w:lang w:eastAsia="en-GB"/>
              </w:rPr>
            </w:pPr>
            <w:r>
              <w:rPr>
                <w:rFonts w:ascii="Calibri" w:eastAsia="Times New Roman" w:hAnsi="Calibri"/>
                <w:szCs w:val="22"/>
                <w:lang w:eastAsia="en-GB"/>
              </w:rPr>
              <w:t>230,156</w:t>
            </w:r>
          </w:p>
        </w:tc>
      </w:tr>
      <w:tr w:rsidR="002A6E27" w:rsidRPr="001F3E25"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305D00" w:rsidRPr="001F3E25" w:rsidRDefault="00305D00"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305D00" w:rsidRPr="001F3E25" w:rsidRDefault="00305D00" w:rsidP="002A6E27">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993" w:type="dxa"/>
            <w:tcBorders>
              <w:top w:val="nil"/>
              <w:left w:val="nil"/>
              <w:bottom w:val="single" w:sz="8" w:space="0" w:color="FFFFFF"/>
              <w:right w:val="single" w:sz="8" w:space="0" w:color="FFFFFF"/>
            </w:tcBorders>
            <w:shd w:val="clear" w:color="000000" w:fill="D9E2F3"/>
            <w:vAlign w:val="center"/>
            <w:hideMark/>
          </w:tcPr>
          <w:p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227,828</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534,858</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834,313</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546,467</w:t>
            </w:r>
          </w:p>
        </w:tc>
        <w:tc>
          <w:tcPr>
            <w:tcW w:w="1134" w:type="dxa"/>
            <w:tcBorders>
              <w:top w:val="nil"/>
              <w:left w:val="nil"/>
              <w:bottom w:val="single" w:sz="8" w:space="0" w:color="FFFFFF"/>
              <w:right w:val="single" w:sz="8" w:space="0" w:color="FFFFFF"/>
            </w:tcBorders>
            <w:shd w:val="clear" w:color="000000" w:fill="D9E2F3"/>
            <w:vAlign w:val="center"/>
            <w:hideMark/>
          </w:tcPr>
          <w:p w:rsidR="00305D00" w:rsidRPr="001F3E25"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400,658</w:t>
            </w:r>
          </w:p>
        </w:tc>
      </w:tr>
      <w:tr w:rsidR="002A6E27" w:rsidRPr="001F3E25" w:rsidTr="004A4E5F">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1F3E25" w:rsidRDefault="00F23B5E" w:rsidP="004A4E5F">
            <w:pPr>
              <w:rPr>
                <w:rFonts w:ascii="Calibri" w:eastAsia="Times New Roman" w:hAnsi="Calibri"/>
                <w:color w:val="FFFFFF"/>
                <w:szCs w:val="22"/>
                <w:lang w:eastAsia="en-GB"/>
              </w:rPr>
            </w:pPr>
            <w:r w:rsidRPr="001F3E25">
              <w:rPr>
                <w:rFonts w:ascii="Calibri" w:eastAsia="Times New Roman" w:hAnsi="Calibri"/>
                <w:color w:val="FFFFFF"/>
                <w:szCs w:val="22"/>
                <w:lang w:eastAsia="en-GB"/>
              </w:rPr>
              <w:t> </w:t>
            </w:r>
          </w:p>
        </w:tc>
        <w:tc>
          <w:tcPr>
            <w:tcW w:w="993"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2035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2045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1F3E25" w:rsidRDefault="00F23B5E" w:rsidP="004A4E5F">
            <w:pPr>
              <w:jc w:val="cente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2050</w:t>
            </w:r>
          </w:p>
        </w:tc>
      </w:tr>
      <w:tr w:rsidR="002A6E27" w:rsidRPr="001F3E25" w:rsidTr="004A4E5F">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1F3E25" w:rsidRDefault="00F23B5E" w:rsidP="004A4E5F">
            <w:pPr>
              <w:rPr>
                <w:rFonts w:ascii="Calibri" w:eastAsia="Times New Roman" w:hAnsi="Calibri"/>
                <w:b/>
                <w:bCs/>
                <w:color w:val="FFFFFF"/>
                <w:szCs w:val="22"/>
                <w:lang w:eastAsia="en-GB"/>
              </w:rPr>
            </w:pPr>
            <w:r w:rsidRPr="001F3E25">
              <w:rPr>
                <w:rFonts w:ascii="Calibri" w:eastAsia="Times New Roman" w:hAnsi="Calibri"/>
                <w:b/>
                <w:bCs/>
                <w:color w:val="FFFFFF"/>
                <w:szCs w:val="22"/>
                <w:lang w:eastAsia="en-GB"/>
              </w:rPr>
              <w:t>A5 6-year conversion 2020</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1F3E25">
              <w:rPr>
                <w:rFonts w:ascii="Calibri" w:eastAsia="Times New Roman" w:hAnsi="Calibri"/>
                <w:b/>
                <w:bCs/>
                <w:szCs w:val="22"/>
                <w:lang w:eastAsia="en-GB"/>
              </w:rPr>
              <w:t>134a</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49,670</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51,201</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62,151</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75,316</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91,649</w:t>
            </w:r>
          </w:p>
        </w:tc>
      </w:tr>
      <w:tr w:rsidR="002A6E27" w:rsidRPr="001F3E25" w:rsidTr="004A4E5F">
        <w:trPr>
          <w:trHeight w:val="300"/>
        </w:trPr>
        <w:tc>
          <w:tcPr>
            <w:tcW w:w="1276"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404A + R</w:t>
            </w:r>
            <w:r>
              <w:rPr>
                <w:rFonts w:ascii="Calibri" w:eastAsia="Times New Roman" w:hAnsi="Calibri"/>
                <w:b/>
                <w:bCs/>
                <w:szCs w:val="22"/>
                <w:lang w:eastAsia="en-GB"/>
              </w:rPr>
              <w:t>-</w:t>
            </w:r>
            <w:r w:rsidRPr="001F3E25">
              <w:rPr>
                <w:rFonts w:ascii="Calibri" w:eastAsia="Times New Roman" w:hAnsi="Calibri"/>
                <w:b/>
                <w:bCs/>
                <w:szCs w:val="22"/>
                <w:lang w:eastAsia="en-GB"/>
              </w:rPr>
              <w:t>507</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Pr>
                <w:rFonts w:ascii="Calibri" w:eastAsia="Times New Roman" w:hAnsi="Calibri"/>
                <w:szCs w:val="22"/>
                <w:lang w:eastAsia="en-GB"/>
              </w:rPr>
              <w:t>50,899</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11,716</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6,210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13,024</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20,005</w:t>
            </w:r>
          </w:p>
        </w:tc>
      </w:tr>
      <w:tr w:rsidR="002A6E27" w:rsidRPr="001F3E25"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407C</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33,508</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21,156</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7,146</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2A6E27" w:rsidRPr="001F3E25"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R</w:t>
            </w:r>
            <w:r>
              <w:rPr>
                <w:rFonts w:ascii="Calibri" w:eastAsia="Times New Roman" w:hAnsi="Calibri"/>
                <w:b/>
                <w:bCs/>
                <w:szCs w:val="22"/>
                <w:lang w:eastAsia="en-GB"/>
              </w:rPr>
              <w:t>-</w:t>
            </w:r>
            <w:r w:rsidRPr="001F3E25">
              <w:rPr>
                <w:rFonts w:ascii="Calibri" w:eastAsia="Times New Roman" w:hAnsi="Calibri"/>
                <w:b/>
                <w:bCs/>
                <w:szCs w:val="22"/>
                <w:lang w:eastAsia="en-GB"/>
              </w:rPr>
              <w:t>410A</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36,425</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25,856</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8,192</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0</w:t>
            </w:r>
          </w:p>
        </w:tc>
      </w:tr>
      <w:tr w:rsidR="002A6E27" w:rsidRPr="001F3E25"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Low GWP</w:t>
            </w:r>
          </w:p>
        </w:tc>
        <w:tc>
          <w:tcPr>
            <w:tcW w:w="993"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230,</w:t>
            </w:r>
            <w:r>
              <w:rPr>
                <w:rFonts w:ascii="Calibri" w:eastAsia="Times New Roman" w:hAnsi="Calibri"/>
                <w:szCs w:val="22"/>
                <w:lang w:eastAsia="en-GB"/>
              </w:rPr>
              <w:t>156</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299,573</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365,941</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426,394</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1F3E25" w:rsidRDefault="00F23B5E" w:rsidP="004A4E5F">
            <w:pPr>
              <w:jc w:val="right"/>
              <w:rPr>
                <w:rFonts w:ascii="Calibri" w:eastAsia="Times New Roman" w:hAnsi="Calibri"/>
                <w:szCs w:val="22"/>
                <w:lang w:eastAsia="en-GB"/>
              </w:rPr>
            </w:pPr>
            <w:r w:rsidRPr="001F3E25">
              <w:rPr>
                <w:rFonts w:ascii="Calibri" w:eastAsia="Times New Roman" w:hAnsi="Calibri"/>
                <w:szCs w:val="22"/>
                <w:lang w:eastAsia="en-GB"/>
              </w:rPr>
              <w:t>481,920</w:t>
            </w:r>
          </w:p>
        </w:tc>
      </w:tr>
      <w:tr w:rsidR="002A6E27" w:rsidRPr="001F3E25"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1F3E25"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rPr>
                <w:rFonts w:ascii="Calibri" w:eastAsia="Times New Roman" w:hAnsi="Calibri"/>
                <w:b/>
                <w:bCs/>
                <w:szCs w:val="22"/>
                <w:lang w:eastAsia="en-GB"/>
              </w:rPr>
            </w:pPr>
            <w:r w:rsidRPr="001F3E25">
              <w:rPr>
                <w:rFonts w:ascii="Calibri" w:eastAsia="Times New Roman" w:hAnsi="Calibri"/>
                <w:b/>
                <w:bCs/>
                <w:szCs w:val="22"/>
                <w:lang w:eastAsia="en-GB"/>
              </w:rPr>
              <w:t>Total</w:t>
            </w:r>
          </w:p>
        </w:tc>
        <w:tc>
          <w:tcPr>
            <w:tcW w:w="993"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Pr>
                <w:rFonts w:ascii="Calibri" w:eastAsia="Times New Roman" w:hAnsi="Calibri"/>
                <w:b/>
                <w:bCs/>
                <w:szCs w:val="22"/>
                <w:lang w:eastAsia="en-GB"/>
              </w:rPr>
              <w:t>400</w:t>
            </w:r>
            <w:r w:rsidRPr="001F3E25">
              <w:rPr>
                <w:rFonts w:ascii="Calibri" w:eastAsia="Times New Roman" w:hAnsi="Calibri"/>
                <w:b/>
                <w:bCs/>
                <w:szCs w:val="22"/>
                <w:lang w:eastAsia="en-GB"/>
              </w:rPr>
              <w:t>,</w:t>
            </w:r>
            <w:r>
              <w:rPr>
                <w:rFonts w:ascii="Calibri" w:eastAsia="Times New Roman" w:hAnsi="Calibri"/>
                <w:b/>
                <w:bCs/>
                <w:szCs w:val="22"/>
                <w:lang w:eastAsia="en-GB"/>
              </w:rPr>
              <w:t>658</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409,502</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449,640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514,734</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1F3E25" w:rsidRDefault="00F23B5E" w:rsidP="004A4E5F">
            <w:pPr>
              <w:jc w:val="right"/>
              <w:rPr>
                <w:rFonts w:ascii="Calibri" w:eastAsia="Times New Roman" w:hAnsi="Calibri"/>
                <w:b/>
                <w:bCs/>
                <w:szCs w:val="22"/>
                <w:lang w:eastAsia="en-GB"/>
              </w:rPr>
            </w:pPr>
            <w:r w:rsidRPr="001F3E25">
              <w:rPr>
                <w:rFonts w:ascii="Calibri" w:eastAsia="Times New Roman" w:hAnsi="Calibri"/>
                <w:b/>
                <w:bCs/>
                <w:szCs w:val="22"/>
                <w:lang w:eastAsia="en-GB"/>
              </w:rPr>
              <w:t>593,574</w:t>
            </w:r>
          </w:p>
        </w:tc>
      </w:tr>
    </w:tbl>
    <w:p w:rsidR="00F23B5E" w:rsidRDefault="00F23B5E" w:rsidP="00F23B5E">
      <w:pPr>
        <w:spacing w:after="120"/>
      </w:pPr>
    </w:p>
    <w:p w:rsidR="00F23B5E" w:rsidRPr="00576FF9" w:rsidRDefault="00F23B5E" w:rsidP="00F23B5E">
      <w:pPr>
        <w:spacing w:after="120"/>
      </w:pPr>
      <w:r>
        <w:t xml:space="preserve">The following can </w:t>
      </w:r>
      <w:r w:rsidRPr="00576FF9">
        <w:t xml:space="preserve">be observed for </w:t>
      </w:r>
      <w:r>
        <w:t xml:space="preserve">the </w:t>
      </w:r>
      <w:r w:rsidRPr="00576FF9">
        <w:t xml:space="preserve">Article </w:t>
      </w:r>
      <w:r>
        <w:t>5 Parties, in the case of the MIT-3 scenario</w:t>
      </w:r>
      <w:r w:rsidRPr="00576FF9">
        <w:t xml:space="preserve">: </w:t>
      </w:r>
    </w:p>
    <w:p w:rsidR="00F23B5E" w:rsidRPr="008F0B37" w:rsidRDefault="00F23B5E" w:rsidP="009840D4">
      <w:pPr>
        <w:numPr>
          <w:ilvl w:val="0"/>
          <w:numId w:val="36"/>
        </w:numPr>
        <w:spacing w:after="160"/>
        <w:ind w:left="357" w:hanging="357"/>
      </w:pPr>
      <w:r w:rsidRPr="008F0B37">
        <w:t xml:space="preserve">The demand for various </w:t>
      </w:r>
      <w:r>
        <w:t xml:space="preserve">high-GWP </w:t>
      </w:r>
      <w:r w:rsidRPr="008F0B37">
        <w:t xml:space="preserve">HFCs in Article </w:t>
      </w:r>
      <w:r>
        <w:t>5 Parties</w:t>
      </w:r>
      <w:r w:rsidRPr="008F0B37">
        <w:t xml:space="preserve"> is </w:t>
      </w:r>
      <w:r>
        <w:t xml:space="preserve">estimated </w:t>
      </w:r>
      <w:r w:rsidRPr="008F0B37">
        <w:t xml:space="preserve">to increase by </w:t>
      </w:r>
      <w:r>
        <w:t xml:space="preserve">more than 50% </w:t>
      </w:r>
      <w:r w:rsidRPr="00CA4B4E">
        <w:t>between 2015 and 2020 in climate terms, however</w:t>
      </w:r>
      <w:r>
        <w:t xml:space="preserve">, </w:t>
      </w:r>
      <w:r w:rsidR="00DB3F06">
        <w:t xml:space="preserve">it </w:t>
      </w:r>
      <w:r>
        <w:t>decreases again to the 2015 level in the year 2025</w:t>
      </w:r>
      <w:r w:rsidRPr="008F0B37">
        <w:t>;</w:t>
      </w:r>
    </w:p>
    <w:p w:rsidR="00F23B5E" w:rsidRDefault="00F23B5E" w:rsidP="009840D4">
      <w:pPr>
        <w:numPr>
          <w:ilvl w:val="0"/>
          <w:numId w:val="36"/>
        </w:numPr>
        <w:spacing w:after="160"/>
        <w:ind w:left="357" w:hanging="357"/>
      </w:pPr>
      <w:r w:rsidRPr="008F0B37">
        <w:t xml:space="preserve">The </w:t>
      </w:r>
      <w:r>
        <w:t xml:space="preserve">most surprising result is that the demand in climate terms is reduced by only 20-25% in the year 2030, compared to 2015 (of course, </w:t>
      </w:r>
      <w:r w:rsidR="00DB3F06">
        <w:t xml:space="preserve">it is </w:t>
      </w:r>
      <w:r>
        <w:t>much higher in the year 2020). This is due to the high growth assumed</w:t>
      </w:r>
      <w:r w:rsidR="00DB3F06">
        <w:t>,</w:t>
      </w:r>
      <w:r>
        <w:t xml:space="preserve"> in particular</w:t>
      </w:r>
      <w:r w:rsidR="00DB3F06">
        <w:t>,</w:t>
      </w:r>
      <w:r>
        <w:t xml:space="preserve"> for stationary AC, where, for all sub-sectors together, the use of replacement refrigerant blends with a GWP of 300 (at one million tonnes) is calculated to represent a climate impact of 230 Mt CO</w:t>
      </w:r>
      <w:r w:rsidRPr="00B13DFE">
        <w:rPr>
          <w:vertAlign w:val="subscript"/>
        </w:rPr>
        <w:t>2</w:t>
      </w:r>
      <w:r>
        <w:t xml:space="preserve">-eq. in 2030;   </w:t>
      </w:r>
    </w:p>
    <w:p w:rsidR="00F23B5E" w:rsidRDefault="00F23B5E" w:rsidP="009840D4">
      <w:pPr>
        <w:numPr>
          <w:ilvl w:val="0"/>
          <w:numId w:val="36"/>
        </w:numPr>
        <w:spacing w:after="160"/>
        <w:ind w:left="357" w:hanging="357"/>
      </w:pPr>
      <w:r w:rsidRPr="00083C89">
        <w:t xml:space="preserve">It should be realised that the proposed MIT-3 manufacturing conversion will be </w:t>
      </w:r>
      <w:r w:rsidRPr="007957CD">
        <w:rPr>
          <w:i/>
        </w:rPr>
        <w:t xml:space="preserve">very </w:t>
      </w:r>
      <w:r w:rsidRPr="00083C89">
        <w:t>demanding and the assumptions used here are based on the fact that institutional and industrial capacities can completely deal with the conversion in this timeframe</w:t>
      </w:r>
      <w:r>
        <w:t>.</w:t>
      </w:r>
    </w:p>
    <w:p w:rsidR="00F23B5E" w:rsidRPr="005F13BA" w:rsidRDefault="00BF7001" w:rsidP="00F23B5E">
      <w:pPr>
        <w:pStyle w:val="BodyText"/>
        <w:ind w:left="992" w:hanging="992"/>
        <w:rPr>
          <w:b/>
          <w:i/>
        </w:rPr>
      </w:pPr>
      <w:r>
        <w:rPr>
          <w:b/>
          <w:i/>
        </w:rPr>
        <w:br w:type="page"/>
      </w:r>
      <w:r w:rsidR="00F23B5E">
        <w:rPr>
          <w:b/>
          <w:i/>
        </w:rPr>
        <w:lastRenderedPageBreak/>
        <w:t xml:space="preserve">Table </w:t>
      </w:r>
      <w:r w:rsidR="00AE184E">
        <w:rPr>
          <w:b/>
          <w:i/>
        </w:rPr>
        <w:t>6</w:t>
      </w:r>
      <w:r w:rsidR="00F23B5E">
        <w:rPr>
          <w:b/>
          <w:i/>
        </w:rPr>
        <w:t>-11:</w:t>
      </w:r>
      <w:r w:rsidR="00F23B5E" w:rsidRPr="005F13BA">
        <w:rPr>
          <w:b/>
          <w:i/>
        </w:rPr>
        <w:t xml:space="preserve"> Current and future refrigerant demand for (refrigerant) ODS alternatives </w:t>
      </w:r>
    </w:p>
    <w:p w:rsidR="00F23B5E" w:rsidRPr="005F13BA" w:rsidRDefault="00F23B5E" w:rsidP="00F23B5E">
      <w:pPr>
        <w:pStyle w:val="BodyText"/>
        <w:spacing w:after="120"/>
        <w:ind w:left="992" w:hanging="992"/>
        <w:rPr>
          <w:b/>
          <w:i/>
        </w:rPr>
      </w:pPr>
      <w:r w:rsidRPr="005F13BA">
        <w:rPr>
          <w:b/>
          <w:i/>
        </w:rPr>
        <w:t>(MIT-</w:t>
      </w:r>
      <w:r>
        <w:rPr>
          <w:b/>
          <w:i/>
        </w:rPr>
        <w:t>5</w:t>
      </w:r>
      <w:r w:rsidRPr="005F13BA">
        <w:rPr>
          <w:b/>
          <w:i/>
        </w:rPr>
        <w:t xml:space="preserve"> scenario) for the period 2010-20</w:t>
      </w:r>
      <w:r>
        <w:rPr>
          <w:b/>
          <w:i/>
        </w:rPr>
        <w:t>50</w:t>
      </w:r>
      <w:r w:rsidRPr="005F13BA">
        <w:rPr>
          <w:b/>
          <w:i/>
        </w:rPr>
        <w:t xml:space="preserve"> in Article </w:t>
      </w:r>
      <w:r>
        <w:rPr>
          <w:b/>
          <w:i/>
        </w:rPr>
        <w:t>5 Parties</w:t>
      </w:r>
      <w:r w:rsidRPr="005F13BA">
        <w:rPr>
          <w:b/>
          <w:i/>
        </w:rPr>
        <w:t xml:space="preserve"> (tonnes)</w:t>
      </w:r>
    </w:p>
    <w:tbl>
      <w:tblPr>
        <w:tblW w:w="5010" w:type="pct"/>
        <w:tblInd w:w="-72" w:type="dxa"/>
        <w:tblCellMar>
          <w:left w:w="70" w:type="dxa"/>
          <w:right w:w="70" w:type="dxa"/>
        </w:tblCellMar>
        <w:tblLook w:val="04A0" w:firstRow="1" w:lastRow="0" w:firstColumn="1" w:lastColumn="0" w:noHBand="0" w:noVBand="1"/>
      </w:tblPr>
      <w:tblGrid>
        <w:gridCol w:w="1283"/>
        <w:gridCol w:w="30"/>
        <w:gridCol w:w="1536"/>
        <w:gridCol w:w="1091"/>
        <w:gridCol w:w="25"/>
        <w:gridCol w:w="1110"/>
        <w:gridCol w:w="10"/>
        <w:gridCol w:w="1079"/>
        <w:gridCol w:w="71"/>
        <w:gridCol w:w="1069"/>
        <w:gridCol w:w="41"/>
        <w:gridCol w:w="1101"/>
        <w:gridCol w:w="11"/>
      </w:tblGrid>
      <w:tr w:rsidR="00F23B5E" w:rsidRPr="006C0A25" w:rsidTr="00A2698F">
        <w:trPr>
          <w:gridAfter w:val="1"/>
          <w:wAfter w:w="7" w:type="pct"/>
          <w:trHeight w:val="315"/>
        </w:trPr>
        <w:tc>
          <w:tcPr>
            <w:tcW w:w="759" w:type="pct"/>
            <w:tcBorders>
              <w:top w:val="nil"/>
              <w:left w:val="nil"/>
              <w:bottom w:val="nil"/>
              <w:right w:val="nil"/>
            </w:tcBorders>
            <w:shd w:val="clear" w:color="000000" w:fill="4F81BD"/>
            <w:noWrap/>
            <w:vAlign w:val="center"/>
            <w:hideMark/>
          </w:tcPr>
          <w:p w:rsidR="00F23B5E" w:rsidRDefault="00F23B5E" w:rsidP="004A4E5F">
            <w:pPr>
              <w:rPr>
                <w:rFonts w:ascii="Calibri" w:hAnsi="Calibri"/>
                <w:b/>
                <w:bCs/>
                <w:color w:val="FFFFFF"/>
                <w:szCs w:val="22"/>
                <w:lang w:val="nl-NL"/>
              </w:rPr>
            </w:pPr>
            <w:r>
              <w:rPr>
                <w:rFonts w:ascii="Calibri" w:hAnsi="Calibri"/>
                <w:b/>
                <w:bCs/>
                <w:color w:val="FFFFFF"/>
                <w:szCs w:val="22"/>
              </w:rPr>
              <w:t>MIT-5</w:t>
            </w:r>
          </w:p>
        </w:tc>
        <w:tc>
          <w:tcPr>
            <w:tcW w:w="926"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rPr>
                <w:rFonts w:ascii="Calibri" w:hAnsi="Calibri"/>
                <w:color w:val="FFFFFF"/>
                <w:szCs w:val="22"/>
              </w:rPr>
            </w:pPr>
            <w:r>
              <w:rPr>
                <w:rFonts w:ascii="Calibri" w:hAnsi="Calibri"/>
                <w:color w:val="FFFFFF"/>
                <w:szCs w:val="22"/>
              </w:rPr>
              <w:t> </w:t>
            </w:r>
          </w:p>
        </w:tc>
        <w:tc>
          <w:tcPr>
            <w:tcW w:w="645" w:type="pct"/>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2010</w:t>
            </w:r>
          </w:p>
        </w:tc>
        <w:tc>
          <w:tcPr>
            <w:tcW w:w="677" w:type="pct"/>
            <w:gridSpan w:val="3"/>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2015</w:t>
            </w:r>
          </w:p>
        </w:tc>
        <w:tc>
          <w:tcPr>
            <w:tcW w:w="638" w:type="pct"/>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2020</w:t>
            </w:r>
          </w:p>
        </w:tc>
        <w:tc>
          <w:tcPr>
            <w:tcW w:w="674" w:type="pct"/>
            <w:gridSpan w:val="2"/>
            <w:tcBorders>
              <w:top w:val="single" w:sz="8" w:space="0" w:color="FFFFFF"/>
              <w:left w:val="nil"/>
              <w:bottom w:val="single" w:sz="8" w:space="0" w:color="FFFFFF"/>
              <w:right w:val="nil"/>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2025</w:t>
            </w:r>
          </w:p>
        </w:tc>
        <w:tc>
          <w:tcPr>
            <w:tcW w:w="675" w:type="pct"/>
            <w:gridSpan w:val="2"/>
            <w:tcBorders>
              <w:top w:val="single" w:sz="8" w:space="0" w:color="FFFFFF"/>
              <w:left w:val="nil"/>
              <w:bottom w:val="single" w:sz="8" w:space="0" w:color="FFFFFF"/>
              <w:right w:val="single" w:sz="8" w:space="0" w:color="FFFFFF"/>
            </w:tcBorders>
            <w:shd w:val="clear" w:color="000000" w:fill="4F81BD"/>
            <w:vAlign w:val="center"/>
            <w:hideMark/>
          </w:tcPr>
          <w:p w:rsidR="00F23B5E" w:rsidRDefault="00F23B5E" w:rsidP="004A4E5F">
            <w:pPr>
              <w:jc w:val="center"/>
              <w:rPr>
                <w:rFonts w:ascii="Calibri" w:hAnsi="Calibri"/>
                <w:b/>
                <w:bCs/>
                <w:color w:val="FFFFFF"/>
                <w:szCs w:val="22"/>
              </w:rPr>
            </w:pPr>
            <w:r>
              <w:rPr>
                <w:rFonts w:ascii="Calibri" w:hAnsi="Calibri"/>
                <w:b/>
                <w:bCs/>
                <w:color w:val="FFFFFF"/>
                <w:szCs w:val="22"/>
              </w:rPr>
              <w:t>2030</w:t>
            </w:r>
          </w:p>
        </w:tc>
      </w:tr>
      <w:tr w:rsidR="00F23B5E" w:rsidRPr="006C0A25" w:rsidTr="00A2698F">
        <w:trPr>
          <w:gridAfter w:val="1"/>
          <w:wAfter w:w="7" w:type="pct"/>
          <w:trHeight w:val="315"/>
        </w:trPr>
        <w:tc>
          <w:tcPr>
            <w:tcW w:w="759" w:type="pct"/>
            <w:vMerge w:val="restart"/>
            <w:tcBorders>
              <w:top w:val="nil"/>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r>
              <w:rPr>
                <w:rFonts w:ascii="Calibri" w:hAnsi="Calibri"/>
                <w:b/>
                <w:bCs/>
                <w:color w:val="FFFFFF"/>
                <w:szCs w:val="22"/>
              </w:rPr>
              <w:t>A5 6-year conversion 2025</w:t>
            </w:r>
          </w:p>
        </w:tc>
        <w:tc>
          <w:tcPr>
            <w:tcW w:w="926"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rPr>
                <w:rFonts w:ascii="Calibri" w:hAnsi="Calibri"/>
                <w:b/>
                <w:bCs/>
                <w:szCs w:val="22"/>
              </w:rPr>
            </w:pPr>
            <w:r>
              <w:rPr>
                <w:rFonts w:ascii="Calibri" w:hAnsi="Calibri"/>
                <w:b/>
                <w:bCs/>
                <w:szCs w:val="22"/>
              </w:rPr>
              <w:t>HFC-134a</w:t>
            </w:r>
          </w:p>
        </w:tc>
        <w:tc>
          <w:tcPr>
            <w:tcW w:w="645"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54,393</w:t>
            </w:r>
          </w:p>
        </w:tc>
        <w:tc>
          <w:tcPr>
            <w:tcW w:w="677"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74,524</w:t>
            </w:r>
          </w:p>
        </w:tc>
        <w:tc>
          <w:tcPr>
            <w:tcW w:w="638"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100,162</w:t>
            </w:r>
          </w:p>
        </w:tc>
        <w:tc>
          <w:tcPr>
            <w:tcW w:w="67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115,545</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60,851</w:t>
            </w:r>
          </w:p>
        </w:tc>
      </w:tr>
      <w:tr w:rsidR="00F23B5E" w:rsidRPr="006C0A25"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R-404A + R-507</w:t>
            </w:r>
          </w:p>
        </w:tc>
        <w:tc>
          <w:tcPr>
            <w:tcW w:w="645"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13,085</w:t>
            </w:r>
          </w:p>
        </w:tc>
        <w:tc>
          <w:tcPr>
            <w:tcW w:w="677"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36,404</w:t>
            </w:r>
          </w:p>
        </w:tc>
        <w:tc>
          <w:tcPr>
            <w:tcW w:w="638"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63,963</w:t>
            </w:r>
          </w:p>
        </w:tc>
        <w:tc>
          <w:tcPr>
            <w:tcW w:w="67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101,843</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54,014</w:t>
            </w:r>
          </w:p>
        </w:tc>
      </w:tr>
      <w:tr w:rsidR="00F23B5E" w:rsidRPr="006C0A25"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R-407C</w:t>
            </w:r>
          </w:p>
        </w:tc>
        <w:tc>
          <w:tcPr>
            <w:tcW w:w="645"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16,543</w:t>
            </w:r>
          </w:p>
        </w:tc>
        <w:tc>
          <w:tcPr>
            <w:tcW w:w="677"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55,278</w:t>
            </w:r>
          </w:p>
        </w:tc>
        <w:tc>
          <w:tcPr>
            <w:tcW w:w="638"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101,216</w:t>
            </w:r>
          </w:p>
        </w:tc>
        <w:tc>
          <w:tcPr>
            <w:tcW w:w="67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160,942</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108,166</w:t>
            </w:r>
          </w:p>
        </w:tc>
      </w:tr>
      <w:tr w:rsidR="00F23B5E" w:rsidRPr="006C0A25"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R-410A</w:t>
            </w:r>
          </w:p>
        </w:tc>
        <w:tc>
          <w:tcPr>
            <w:tcW w:w="645"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40,975</w:t>
            </w:r>
          </w:p>
        </w:tc>
        <w:tc>
          <w:tcPr>
            <w:tcW w:w="677"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106,661</w:t>
            </w:r>
          </w:p>
        </w:tc>
        <w:tc>
          <w:tcPr>
            <w:tcW w:w="638"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192,770</w:t>
            </w:r>
          </w:p>
        </w:tc>
        <w:tc>
          <w:tcPr>
            <w:tcW w:w="67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254,067</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104,162</w:t>
            </w:r>
          </w:p>
        </w:tc>
      </w:tr>
      <w:tr w:rsidR="00F23B5E" w:rsidRPr="006C0A25" w:rsidTr="00A2698F">
        <w:trPr>
          <w:gridAfter w:val="1"/>
          <w:wAfter w:w="7" w:type="pct"/>
          <w:trHeight w:val="315"/>
        </w:trPr>
        <w:tc>
          <w:tcPr>
            <w:tcW w:w="759" w:type="pct"/>
            <w:vMerge/>
            <w:tcBorders>
              <w:left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B4C6E7"/>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Low GWP</w:t>
            </w:r>
          </w:p>
        </w:tc>
        <w:tc>
          <w:tcPr>
            <w:tcW w:w="645"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22,430</w:t>
            </w:r>
          </w:p>
        </w:tc>
        <w:tc>
          <w:tcPr>
            <w:tcW w:w="677" w:type="pct"/>
            <w:gridSpan w:val="3"/>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29,318</w:t>
            </w:r>
          </w:p>
        </w:tc>
        <w:tc>
          <w:tcPr>
            <w:tcW w:w="638" w:type="pct"/>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39,132</w:t>
            </w:r>
          </w:p>
        </w:tc>
        <w:tc>
          <w:tcPr>
            <w:tcW w:w="674"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117,161</w:t>
            </w:r>
          </w:p>
        </w:tc>
        <w:tc>
          <w:tcPr>
            <w:tcW w:w="675"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714,856</w:t>
            </w:r>
          </w:p>
        </w:tc>
      </w:tr>
      <w:tr w:rsidR="00F23B5E" w:rsidRPr="006C0A25" w:rsidTr="00A2698F">
        <w:trPr>
          <w:gridAfter w:val="1"/>
          <w:wAfter w:w="7" w:type="pct"/>
          <w:trHeight w:val="315"/>
        </w:trPr>
        <w:tc>
          <w:tcPr>
            <w:tcW w:w="759" w:type="pct"/>
            <w:vMerge/>
            <w:tcBorders>
              <w:left w:val="single" w:sz="8" w:space="0" w:color="FFFFFF"/>
              <w:bottom w:val="single" w:sz="8" w:space="0" w:color="FFFFFF"/>
              <w:right w:val="single" w:sz="8" w:space="0" w:color="FFFFFF"/>
            </w:tcBorders>
            <w:shd w:val="clear" w:color="000000" w:fill="4F81BD"/>
            <w:vAlign w:val="center"/>
            <w:hideMark/>
          </w:tcPr>
          <w:p w:rsidR="00F23B5E" w:rsidRDefault="00F23B5E" w:rsidP="004A4E5F">
            <w:pPr>
              <w:rPr>
                <w:rFonts w:ascii="Calibri" w:hAnsi="Calibri"/>
                <w:b/>
                <w:bCs/>
                <w:color w:val="FFFFFF"/>
                <w:szCs w:val="22"/>
              </w:rPr>
            </w:pPr>
          </w:p>
        </w:tc>
        <w:tc>
          <w:tcPr>
            <w:tcW w:w="926" w:type="pct"/>
            <w:gridSpan w:val="2"/>
            <w:tcBorders>
              <w:top w:val="nil"/>
              <w:left w:val="nil"/>
              <w:bottom w:val="single" w:sz="8" w:space="0" w:color="FFFFFF"/>
              <w:right w:val="single" w:sz="8" w:space="0" w:color="FFFFFF"/>
            </w:tcBorders>
            <w:shd w:val="clear" w:color="000000" w:fill="D9E2F3"/>
            <w:vAlign w:val="center"/>
            <w:hideMark/>
          </w:tcPr>
          <w:p w:rsidR="00F23B5E" w:rsidRPr="00784FA6" w:rsidRDefault="00F23B5E" w:rsidP="004A4E5F">
            <w:pPr>
              <w:rPr>
                <w:rFonts w:ascii="Calibri" w:eastAsia="Times New Roman" w:hAnsi="Calibri"/>
                <w:b/>
                <w:bCs/>
                <w:szCs w:val="22"/>
                <w:lang w:val="nl-NL"/>
              </w:rPr>
            </w:pPr>
            <w:r>
              <w:rPr>
                <w:rFonts w:ascii="Calibri" w:hAnsi="Calibri"/>
                <w:b/>
                <w:bCs/>
                <w:szCs w:val="22"/>
              </w:rPr>
              <w:t>Total</w:t>
            </w:r>
          </w:p>
        </w:tc>
        <w:tc>
          <w:tcPr>
            <w:tcW w:w="645"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147,426</w:t>
            </w:r>
          </w:p>
        </w:tc>
        <w:tc>
          <w:tcPr>
            <w:tcW w:w="677" w:type="pct"/>
            <w:gridSpan w:val="3"/>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302,185</w:t>
            </w:r>
          </w:p>
        </w:tc>
        <w:tc>
          <w:tcPr>
            <w:tcW w:w="638" w:type="pct"/>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497,243</w:t>
            </w:r>
          </w:p>
        </w:tc>
        <w:tc>
          <w:tcPr>
            <w:tcW w:w="674"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749,558</w:t>
            </w:r>
          </w:p>
        </w:tc>
        <w:tc>
          <w:tcPr>
            <w:tcW w:w="675"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b/>
                <w:bCs/>
                <w:szCs w:val="22"/>
              </w:rPr>
            </w:pPr>
            <w:r>
              <w:rPr>
                <w:rFonts w:ascii="Calibri" w:hAnsi="Calibri"/>
                <w:b/>
                <w:bCs/>
                <w:szCs w:val="22"/>
              </w:rPr>
              <w:t>1,042,049</w:t>
            </w:r>
          </w:p>
        </w:tc>
      </w:tr>
      <w:tr w:rsidR="00F23B5E" w:rsidRPr="009B37AA" w:rsidTr="00A2698F">
        <w:tblPrEx>
          <w:tblCellMar>
            <w:left w:w="108" w:type="dxa"/>
            <w:right w:w="108" w:type="dxa"/>
          </w:tblCellMar>
        </w:tblPrEx>
        <w:trPr>
          <w:trHeight w:val="315"/>
        </w:trPr>
        <w:tc>
          <w:tcPr>
            <w:tcW w:w="777" w:type="pct"/>
            <w:gridSpan w:val="2"/>
            <w:tcBorders>
              <w:top w:val="single" w:sz="8" w:space="0" w:color="FFFFFF"/>
              <w:left w:val="single" w:sz="8" w:space="0" w:color="FFFFFF"/>
              <w:bottom w:val="single" w:sz="8" w:space="0" w:color="FFFFFF"/>
              <w:right w:val="nil"/>
            </w:tcBorders>
            <w:shd w:val="clear" w:color="000000" w:fill="4472C4"/>
            <w:vAlign w:val="center"/>
            <w:hideMark/>
          </w:tcPr>
          <w:p w:rsidR="00F23B5E" w:rsidRPr="009B37AA" w:rsidRDefault="00F23B5E" w:rsidP="004A4E5F">
            <w:pPr>
              <w:rPr>
                <w:rFonts w:ascii="Calibri" w:eastAsia="Times New Roman" w:hAnsi="Calibri"/>
                <w:b/>
                <w:color w:val="FFFFFF"/>
                <w:szCs w:val="22"/>
                <w:lang w:eastAsia="en-GB"/>
              </w:rPr>
            </w:pPr>
            <w:r w:rsidRPr="009B37AA">
              <w:rPr>
                <w:rFonts w:ascii="Calibri" w:eastAsia="Times New Roman" w:hAnsi="Calibri"/>
                <w:color w:val="FFFFFF"/>
                <w:szCs w:val="22"/>
                <w:lang w:eastAsia="en-GB"/>
              </w:rPr>
              <w:t> </w:t>
            </w:r>
            <w:r w:rsidRPr="009B37AA">
              <w:rPr>
                <w:rFonts w:ascii="Calibri" w:eastAsia="Times New Roman" w:hAnsi="Calibri"/>
                <w:b/>
                <w:color w:val="FFFFFF"/>
                <w:szCs w:val="22"/>
                <w:lang w:eastAsia="en-GB"/>
              </w:rPr>
              <w:t>MIT-5</w:t>
            </w:r>
          </w:p>
        </w:tc>
        <w:tc>
          <w:tcPr>
            <w:tcW w:w="908" w:type="pct"/>
            <w:tcBorders>
              <w:top w:val="single" w:sz="8" w:space="0" w:color="FFFFFF"/>
              <w:left w:val="nil"/>
              <w:bottom w:val="single" w:sz="8" w:space="0" w:color="FFFFFF"/>
              <w:right w:val="nil"/>
            </w:tcBorders>
            <w:shd w:val="clear" w:color="000000" w:fill="4472C4"/>
            <w:vAlign w:val="center"/>
            <w:hideMark/>
          </w:tcPr>
          <w:p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660" w:type="pct"/>
            <w:gridSpan w:val="2"/>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2030</w:t>
            </w:r>
          </w:p>
        </w:tc>
        <w:tc>
          <w:tcPr>
            <w:tcW w:w="656" w:type="pct"/>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2035</w:t>
            </w:r>
          </w:p>
        </w:tc>
        <w:tc>
          <w:tcPr>
            <w:tcW w:w="686" w:type="pct"/>
            <w:gridSpan w:val="3"/>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2040</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2045</w:t>
            </w:r>
          </w:p>
        </w:tc>
        <w:tc>
          <w:tcPr>
            <w:tcW w:w="656" w:type="pct"/>
            <w:gridSpan w:val="2"/>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4A4E5F">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2050</w:t>
            </w:r>
          </w:p>
        </w:tc>
      </w:tr>
      <w:tr w:rsidR="00F23B5E" w:rsidRPr="009B37AA" w:rsidTr="00A2698F">
        <w:tblPrEx>
          <w:tblCellMar>
            <w:left w:w="108" w:type="dxa"/>
            <w:right w:w="108" w:type="dxa"/>
          </w:tblCellMar>
        </w:tblPrEx>
        <w:trPr>
          <w:trHeight w:val="315"/>
        </w:trPr>
        <w:tc>
          <w:tcPr>
            <w:tcW w:w="777" w:type="pct"/>
            <w:gridSpan w:val="2"/>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9B37AA" w:rsidRDefault="00F23B5E" w:rsidP="004A4E5F">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908"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660"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60,851</w:t>
            </w:r>
          </w:p>
        </w:tc>
        <w:tc>
          <w:tcPr>
            <w:tcW w:w="656"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44,532</w:t>
            </w:r>
          </w:p>
        </w:tc>
        <w:tc>
          <w:tcPr>
            <w:tcW w:w="686" w:type="pct"/>
            <w:gridSpan w:val="3"/>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48,104</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58,047</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70,499</w:t>
            </w:r>
          </w:p>
        </w:tc>
      </w:tr>
      <w:tr w:rsidR="00F23B5E" w:rsidRPr="009B37AA"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660"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54,014</w:t>
            </w:r>
          </w:p>
        </w:tc>
        <w:tc>
          <w:tcPr>
            <w:tcW w:w="656"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29,994</w:t>
            </w:r>
          </w:p>
        </w:tc>
        <w:tc>
          <w:tcPr>
            <w:tcW w:w="686" w:type="pct"/>
            <w:gridSpan w:val="3"/>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11,445</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3,515</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5,077</w:t>
            </w:r>
          </w:p>
        </w:tc>
      </w:tr>
      <w:tr w:rsidR="00F23B5E" w:rsidRPr="009B37AA"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660"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4A4E5F">
            <w:pPr>
              <w:jc w:val="right"/>
              <w:rPr>
                <w:rFonts w:ascii="Calibri" w:hAnsi="Calibri"/>
                <w:szCs w:val="22"/>
              </w:rPr>
            </w:pPr>
            <w:r>
              <w:rPr>
                <w:rFonts w:ascii="Calibri" w:hAnsi="Calibri"/>
                <w:szCs w:val="22"/>
              </w:rPr>
              <w:t>108,166</w:t>
            </w:r>
          </w:p>
        </w:tc>
        <w:tc>
          <w:tcPr>
            <w:tcW w:w="656"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30,160</w:t>
            </w:r>
          </w:p>
        </w:tc>
        <w:tc>
          <w:tcPr>
            <w:tcW w:w="686" w:type="pct"/>
            <w:gridSpan w:val="3"/>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21,180</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7,194</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F23B5E" w:rsidRPr="009B37AA"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660"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4A4E5F">
            <w:pPr>
              <w:jc w:val="right"/>
              <w:rPr>
                <w:rFonts w:ascii="Calibri" w:hAnsi="Calibri"/>
                <w:szCs w:val="22"/>
              </w:rPr>
            </w:pPr>
            <w:r>
              <w:rPr>
                <w:rFonts w:ascii="Calibri" w:hAnsi="Calibri"/>
                <w:szCs w:val="22"/>
              </w:rPr>
              <w:t>104,162</w:t>
            </w:r>
          </w:p>
        </w:tc>
        <w:tc>
          <w:tcPr>
            <w:tcW w:w="656"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83,830</w:t>
            </w:r>
          </w:p>
        </w:tc>
        <w:tc>
          <w:tcPr>
            <w:tcW w:w="686" w:type="pct"/>
            <w:gridSpan w:val="3"/>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55,193</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16,085</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F23B5E" w:rsidRPr="009B37AA"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660" w:type="pct"/>
            <w:gridSpan w:val="2"/>
            <w:tcBorders>
              <w:top w:val="nil"/>
              <w:left w:val="nil"/>
              <w:bottom w:val="single" w:sz="8" w:space="0" w:color="FFFFFF"/>
              <w:right w:val="single" w:sz="8" w:space="0" w:color="FFFFFF"/>
            </w:tcBorders>
            <w:shd w:val="clear" w:color="000000" w:fill="B4C6E7"/>
            <w:vAlign w:val="center"/>
            <w:hideMark/>
          </w:tcPr>
          <w:p w:rsidR="00F23B5E" w:rsidRDefault="00F23B5E" w:rsidP="006641D8">
            <w:pPr>
              <w:ind w:left="-24"/>
              <w:jc w:val="right"/>
              <w:rPr>
                <w:rFonts w:ascii="Calibri" w:hAnsi="Calibri"/>
                <w:szCs w:val="22"/>
              </w:rPr>
            </w:pPr>
            <w:r>
              <w:rPr>
                <w:rFonts w:ascii="Calibri" w:hAnsi="Calibri"/>
                <w:szCs w:val="22"/>
              </w:rPr>
              <w:t>714,856</w:t>
            </w:r>
          </w:p>
        </w:tc>
        <w:tc>
          <w:tcPr>
            <w:tcW w:w="656" w:type="pct"/>
            <w:tcBorders>
              <w:top w:val="nil"/>
              <w:left w:val="nil"/>
              <w:bottom w:val="single" w:sz="8" w:space="0" w:color="FFFFFF"/>
              <w:right w:val="single" w:sz="8" w:space="0" w:color="FFFFFF"/>
            </w:tcBorders>
            <w:shd w:val="clear" w:color="000000" w:fill="B4C6E7"/>
            <w:vAlign w:val="center"/>
            <w:hideMark/>
          </w:tcPr>
          <w:p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1,125,310</w:t>
            </w:r>
          </w:p>
        </w:tc>
        <w:tc>
          <w:tcPr>
            <w:tcW w:w="686" w:type="pct"/>
            <w:gridSpan w:val="3"/>
            <w:tcBorders>
              <w:top w:val="nil"/>
              <w:left w:val="nil"/>
              <w:bottom w:val="single" w:sz="8" w:space="0" w:color="FFFFFF"/>
              <w:right w:val="single" w:sz="8" w:space="0" w:color="FFFFFF"/>
            </w:tcBorders>
            <w:shd w:val="clear" w:color="000000" w:fill="B4C6E7"/>
            <w:vAlign w:val="center"/>
            <w:hideMark/>
          </w:tcPr>
          <w:p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1,451,035</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1,785,231</w:t>
            </w:r>
          </w:p>
        </w:tc>
        <w:tc>
          <w:tcPr>
            <w:tcW w:w="656" w:type="pct"/>
            <w:gridSpan w:val="2"/>
            <w:tcBorders>
              <w:top w:val="nil"/>
              <w:left w:val="nil"/>
              <w:bottom w:val="single" w:sz="8" w:space="0" w:color="FFFFFF"/>
              <w:right w:val="single" w:sz="8" w:space="0" w:color="FFFFFF"/>
            </w:tcBorders>
            <w:shd w:val="clear" w:color="000000" w:fill="B4C6E7"/>
            <w:vAlign w:val="center"/>
            <w:hideMark/>
          </w:tcPr>
          <w:p w:rsidR="00F23B5E" w:rsidRPr="009B37AA" w:rsidRDefault="00F23B5E" w:rsidP="006641D8">
            <w:pPr>
              <w:ind w:left="-24"/>
              <w:jc w:val="right"/>
              <w:rPr>
                <w:rFonts w:ascii="Calibri" w:eastAsia="Times New Roman" w:hAnsi="Calibri"/>
                <w:szCs w:val="22"/>
                <w:lang w:eastAsia="en-GB"/>
              </w:rPr>
            </w:pPr>
            <w:r w:rsidRPr="009B37AA">
              <w:rPr>
                <w:rFonts w:ascii="Calibri" w:eastAsia="Times New Roman" w:hAnsi="Calibri"/>
                <w:szCs w:val="22"/>
                <w:lang w:eastAsia="en-GB"/>
              </w:rPr>
              <w:t>2,092,281</w:t>
            </w:r>
          </w:p>
        </w:tc>
      </w:tr>
      <w:tr w:rsidR="00F23B5E" w:rsidRPr="009B37AA" w:rsidTr="00A2698F">
        <w:tblPrEx>
          <w:tblCellMar>
            <w:left w:w="108" w:type="dxa"/>
            <w:right w:w="108" w:type="dxa"/>
          </w:tblCellMar>
        </w:tblPrEx>
        <w:trPr>
          <w:trHeight w:val="315"/>
        </w:trPr>
        <w:tc>
          <w:tcPr>
            <w:tcW w:w="777" w:type="pct"/>
            <w:gridSpan w:val="2"/>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908"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660" w:type="pct"/>
            <w:gridSpan w:val="2"/>
            <w:tcBorders>
              <w:top w:val="nil"/>
              <w:left w:val="nil"/>
              <w:bottom w:val="single" w:sz="8" w:space="0" w:color="FFFFFF"/>
              <w:right w:val="single" w:sz="8" w:space="0" w:color="FFFFFF"/>
            </w:tcBorders>
            <w:shd w:val="clear" w:color="000000" w:fill="D9E2F3"/>
            <w:vAlign w:val="center"/>
            <w:hideMark/>
          </w:tcPr>
          <w:p w:rsidR="00F23B5E" w:rsidRDefault="00F23B5E" w:rsidP="006641D8">
            <w:pPr>
              <w:ind w:left="-24"/>
              <w:jc w:val="right"/>
              <w:rPr>
                <w:rFonts w:ascii="Calibri" w:hAnsi="Calibri"/>
                <w:b/>
                <w:bCs/>
                <w:szCs w:val="22"/>
              </w:rPr>
            </w:pPr>
            <w:r>
              <w:rPr>
                <w:rFonts w:ascii="Calibri" w:hAnsi="Calibri"/>
                <w:b/>
                <w:bCs/>
                <w:szCs w:val="22"/>
              </w:rPr>
              <w:t>1,042,049</w:t>
            </w:r>
          </w:p>
        </w:tc>
        <w:tc>
          <w:tcPr>
            <w:tcW w:w="656" w:type="pct"/>
            <w:tcBorders>
              <w:top w:val="nil"/>
              <w:left w:val="nil"/>
              <w:bottom w:val="single" w:sz="8" w:space="0" w:color="FFFFFF"/>
              <w:right w:val="single" w:sz="8" w:space="0" w:color="FFFFFF"/>
            </w:tcBorders>
            <w:shd w:val="clear" w:color="000000" w:fill="D9E2F3"/>
            <w:vAlign w:val="center"/>
            <w:hideMark/>
          </w:tcPr>
          <w:p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1,313,826</w:t>
            </w:r>
          </w:p>
        </w:tc>
        <w:tc>
          <w:tcPr>
            <w:tcW w:w="686" w:type="pct"/>
            <w:gridSpan w:val="3"/>
            <w:tcBorders>
              <w:top w:val="nil"/>
              <w:left w:val="nil"/>
              <w:bottom w:val="single" w:sz="8" w:space="0" w:color="FFFFFF"/>
              <w:right w:val="single" w:sz="8" w:space="0" w:color="FFFFFF"/>
            </w:tcBorders>
            <w:shd w:val="clear" w:color="000000" w:fill="D9E2F3"/>
            <w:vAlign w:val="center"/>
            <w:hideMark/>
          </w:tcPr>
          <w:p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1,586,957</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1,870,072</w:t>
            </w:r>
          </w:p>
        </w:tc>
        <w:tc>
          <w:tcPr>
            <w:tcW w:w="656" w:type="pct"/>
            <w:gridSpan w:val="2"/>
            <w:tcBorders>
              <w:top w:val="nil"/>
              <w:left w:val="nil"/>
              <w:bottom w:val="single" w:sz="8" w:space="0" w:color="FFFFFF"/>
              <w:right w:val="single" w:sz="8" w:space="0" w:color="FFFFFF"/>
            </w:tcBorders>
            <w:shd w:val="clear" w:color="000000" w:fill="D9E2F3"/>
            <w:vAlign w:val="center"/>
            <w:hideMark/>
          </w:tcPr>
          <w:p w:rsidR="00F23B5E" w:rsidRPr="009B37AA" w:rsidRDefault="00F23B5E" w:rsidP="006641D8">
            <w:pPr>
              <w:ind w:left="-24"/>
              <w:jc w:val="right"/>
              <w:rPr>
                <w:rFonts w:ascii="Calibri" w:eastAsia="Times New Roman" w:hAnsi="Calibri"/>
                <w:b/>
                <w:bCs/>
                <w:szCs w:val="22"/>
                <w:lang w:eastAsia="en-GB"/>
              </w:rPr>
            </w:pPr>
            <w:r w:rsidRPr="009B37AA">
              <w:rPr>
                <w:rFonts w:ascii="Calibri" w:eastAsia="Times New Roman" w:hAnsi="Calibri"/>
                <w:b/>
                <w:bCs/>
                <w:szCs w:val="22"/>
                <w:lang w:eastAsia="en-GB"/>
              </w:rPr>
              <w:t>2,167,857</w:t>
            </w:r>
          </w:p>
        </w:tc>
      </w:tr>
    </w:tbl>
    <w:p w:rsidR="00F23B5E" w:rsidRPr="005F13BA" w:rsidRDefault="00F23B5E" w:rsidP="00F23B5E">
      <w:pPr>
        <w:pStyle w:val="BodyText"/>
        <w:keepNext/>
        <w:keepLines/>
        <w:spacing w:before="120" w:line="240" w:lineRule="auto"/>
        <w:rPr>
          <w:b/>
          <w:i/>
        </w:rPr>
      </w:pPr>
      <w:r>
        <w:rPr>
          <w:b/>
          <w:i/>
        </w:rPr>
        <w:t xml:space="preserve">Table </w:t>
      </w:r>
      <w:r w:rsidR="00AE184E">
        <w:rPr>
          <w:b/>
          <w:i/>
        </w:rPr>
        <w:t>6</w:t>
      </w:r>
      <w:r w:rsidRPr="005F13BA">
        <w:rPr>
          <w:b/>
          <w:i/>
        </w:rPr>
        <w:t>-</w:t>
      </w:r>
      <w:r>
        <w:rPr>
          <w:b/>
          <w:i/>
        </w:rPr>
        <w:t>12:</w:t>
      </w:r>
      <w:r w:rsidRPr="005F13BA">
        <w:rPr>
          <w:b/>
          <w:i/>
        </w:rPr>
        <w:t xml:space="preserve"> Current and future refrigerant demand for (refrigerant) ODS alternatives</w:t>
      </w:r>
    </w:p>
    <w:p w:rsidR="00F23B5E" w:rsidRDefault="00F23B5E" w:rsidP="00F23B5E">
      <w:pPr>
        <w:pStyle w:val="BodyText"/>
        <w:keepNext/>
        <w:keepLines/>
        <w:spacing w:after="120"/>
        <w:rPr>
          <w:b/>
          <w:i/>
        </w:rPr>
      </w:pPr>
      <w:r w:rsidRPr="005F13BA">
        <w:rPr>
          <w:b/>
          <w:i/>
        </w:rPr>
        <w:t>(MIT-</w:t>
      </w:r>
      <w:r>
        <w:rPr>
          <w:b/>
          <w:i/>
        </w:rPr>
        <w:t>5</w:t>
      </w:r>
      <w:r w:rsidRPr="005F13BA">
        <w:rPr>
          <w:b/>
          <w:i/>
        </w:rPr>
        <w:t xml:space="preserve"> scenario) for the period 2010-20</w:t>
      </w:r>
      <w:r>
        <w:rPr>
          <w:b/>
          <w:i/>
        </w:rPr>
        <w:t>50</w:t>
      </w:r>
      <w:r w:rsidRPr="005F13BA">
        <w:rPr>
          <w:b/>
          <w:i/>
        </w:rPr>
        <w:t xml:space="preserve"> in Article </w:t>
      </w:r>
      <w:r>
        <w:rPr>
          <w:b/>
          <w:i/>
        </w:rPr>
        <w:t>5 Parties</w:t>
      </w:r>
      <w:r w:rsidRPr="005F13BA">
        <w:rPr>
          <w:b/>
          <w:i/>
        </w:rPr>
        <w:t xml:space="preserve"> (</w:t>
      </w:r>
      <w:r w:rsidR="00AD5DD6">
        <w:rPr>
          <w:b/>
          <w:i/>
        </w:rPr>
        <w:t xml:space="preserve">ktonnes </w:t>
      </w:r>
      <w:r w:rsidRPr="005F13BA">
        <w:rPr>
          <w:b/>
          <w:i/>
        </w:rPr>
        <w:t>CO</w:t>
      </w:r>
      <w:r w:rsidRPr="005F13BA">
        <w:rPr>
          <w:b/>
          <w:i/>
          <w:vertAlign w:val="subscript"/>
        </w:rPr>
        <w:t>2</w:t>
      </w:r>
      <w:r w:rsidR="00AD5DD6">
        <w:rPr>
          <w:b/>
          <w:i/>
        </w:rPr>
        <w:t>-eq.</w:t>
      </w:r>
      <w:r w:rsidRPr="005F13BA">
        <w:rPr>
          <w:b/>
          <w:i/>
        </w:rPr>
        <w:t>)</w:t>
      </w:r>
    </w:p>
    <w:tbl>
      <w:tblPr>
        <w:tblW w:w="8505" w:type="dxa"/>
        <w:tblInd w:w="108" w:type="dxa"/>
        <w:tblLayout w:type="fixed"/>
        <w:tblLook w:val="04A0" w:firstRow="1" w:lastRow="0" w:firstColumn="1" w:lastColumn="0" w:noHBand="0" w:noVBand="1"/>
      </w:tblPr>
      <w:tblGrid>
        <w:gridCol w:w="1276"/>
        <w:gridCol w:w="1701"/>
        <w:gridCol w:w="1134"/>
        <w:gridCol w:w="992"/>
        <w:gridCol w:w="1134"/>
        <w:gridCol w:w="1134"/>
        <w:gridCol w:w="1134"/>
      </w:tblGrid>
      <w:tr w:rsidR="00F23B5E" w:rsidRPr="009B37AA" w:rsidTr="004A4E5F">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F23B5E" w:rsidRPr="009B37AA" w:rsidRDefault="00F23B5E" w:rsidP="004A4E5F">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134"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10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15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20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2</w:t>
            </w:r>
            <w:r w:rsidRPr="009B37AA">
              <w:rPr>
                <w:rFonts w:ascii="Calibri" w:eastAsia="Times New Roman" w:hAnsi="Calibri"/>
                <w:b/>
                <w:bCs/>
                <w:color w:val="FFFFFF"/>
                <w:szCs w:val="22"/>
                <w:lang w:eastAsia="en-GB"/>
              </w:rPr>
              <w:t>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B37AA" w:rsidRDefault="00F23B5E"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w:t>
            </w:r>
            <w:r w:rsidR="002A6E27">
              <w:rPr>
                <w:rFonts w:ascii="Calibri" w:eastAsia="Times New Roman" w:hAnsi="Calibri"/>
                <w:b/>
                <w:bCs/>
                <w:color w:val="FFFFFF"/>
                <w:szCs w:val="22"/>
                <w:lang w:eastAsia="en-GB"/>
              </w:rPr>
              <w:t>30</w:t>
            </w:r>
          </w:p>
        </w:tc>
      </w:tr>
      <w:tr w:rsidR="00F23B5E" w:rsidRPr="009B37AA" w:rsidTr="004A4E5F">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9B37AA" w:rsidRDefault="00F23B5E" w:rsidP="004A4E5F">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70,712</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96,880</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130,210</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150,208</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79,106</w:t>
            </w:r>
          </w:p>
        </w:tc>
      </w:tr>
      <w:tr w:rsidR="00F23B5E" w:rsidRPr="009B37AA"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51,584</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143,511</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252,168</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401,490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213,054</w:t>
            </w:r>
          </w:p>
        </w:tc>
      </w:tr>
      <w:tr w:rsidR="00F23B5E" w:rsidRPr="009B37AA"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26,799</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89,550</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163,791</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260,727</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175,229</w:t>
            </w:r>
          </w:p>
        </w:tc>
      </w:tr>
      <w:tr w:rsidR="00F23B5E" w:rsidRPr="009B37AA"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78,761</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204,789</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370,118</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487,808</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199,992</w:t>
            </w:r>
          </w:p>
        </w:tc>
      </w:tr>
      <w:tr w:rsidR="00F23B5E" w:rsidRPr="009B37AA"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4A4E5F">
            <w:pPr>
              <w:jc w:val="right"/>
              <w:rPr>
                <w:rFonts w:ascii="Calibri" w:eastAsia="Times New Roman" w:hAnsi="Calibri"/>
                <w:szCs w:val="22"/>
                <w:lang w:eastAsia="en-GB"/>
              </w:rPr>
            </w:pPr>
            <w:r>
              <w:rPr>
                <w:rFonts w:ascii="Calibri" w:eastAsia="Times New Roman" w:hAnsi="Calibri"/>
                <w:szCs w:val="22"/>
                <w:lang w:eastAsia="en-GB"/>
              </w:rPr>
              <w:t>62</w:t>
            </w:r>
          </w:p>
        </w:tc>
        <w:tc>
          <w:tcPr>
            <w:tcW w:w="992"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115</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203</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16,637</w:t>
            </w:r>
          </w:p>
        </w:tc>
        <w:tc>
          <w:tcPr>
            <w:tcW w:w="1134" w:type="dxa"/>
            <w:tcBorders>
              <w:top w:val="nil"/>
              <w:left w:val="nil"/>
              <w:bottom w:val="single" w:sz="8" w:space="0" w:color="FFFFFF"/>
              <w:right w:val="single" w:sz="8" w:space="0" w:color="FFFFFF"/>
            </w:tcBorders>
            <w:shd w:val="clear" w:color="000000" w:fill="B4C6E7"/>
            <w:vAlign w:val="center"/>
            <w:hideMark/>
          </w:tcPr>
          <w:p w:rsidR="00F23B5E" w:rsidRPr="009B37AA" w:rsidRDefault="002A6E27" w:rsidP="002A6E27">
            <w:pPr>
              <w:jc w:val="right"/>
              <w:rPr>
                <w:rFonts w:ascii="Calibri" w:eastAsia="Times New Roman" w:hAnsi="Calibri"/>
                <w:szCs w:val="22"/>
                <w:lang w:eastAsia="en-GB"/>
              </w:rPr>
            </w:pPr>
            <w:r>
              <w:rPr>
                <w:rFonts w:ascii="Calibri" w:eastAsia="Times New Roman" w:hAnsi="Calibri"/>
                <w:szCs w:val="22"/>
                <w:lang w:eastAsia="en-GB"/>
              </w:rPr>
              <w:t>166,480</w:t>
            </w:r>
          </w:p>
        </w:tc>
      </w:tr>
      <w:tr w:rsidR="00F23B5E" w:rsidRPr="009B37AA" w:rsidTr="004A4E5F">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F23B5E" w:rsidRPr="009B37AA" w:rsidRDefault="00F23B5E" w:rsidP="004A4E5F">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F23B5E" w:rsidRPr="009B37AA" w:rsidRDefault="00F23B5E" w:rsidP="004A4E5F">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227,828</w:t>
            </w:r>
          </w:p>
        </w:tc>
        <w:tc>
          <w:tcPr>
            <w:tcW w:w="992"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534,845</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916,670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2A6E27">
            <w:pPr>
              <w:jc w:val="right"/>
              <w:rPr>
                <w:rFonts w:ascii="Calibri" w:eastAsia="Times New Roman" w:hAnsi="Calibri"/>
                <w:b/>
                <w:bCs/>
                <w:szCs w:val="22"/>
                <w:lang w:eastAsia="en-GB"/>
              </w:rPr>
            </w:pPr>
            <w:r>
              <w:rPr>
                <w:rFonts w:ascii="Calibri" w:eastAsia="Times New Roman" w:hAnsi="Calibri"/>
                <w:b/>
                <w:bCs/>
                <w:szCs w:val="22"/>
                <w:lang w:eastAsia="en-GB"/>
              </w:rPr>
              <w:t>1,316,870</w:t>
            </w:r>
          </w:p>
        </w:tc>
        <w:tc>
          <w:tcPr>
            <w:tcW w:w="1134" w:type="dxa"/>
            <w:tcBorders>
              <w:top w:val="nil"/>
              <w:left w:val="nil"/>
              <w:bottom w:val="single" w:sz="8" w:space="0" w:color="FFFFFF"/>
              <w:right w:val="single" w:sz="8" w:space="0" w:color="FFFFFF"/>
            </w:tcBorders>
            <w:shd w:val="clear" w:color="000000" w:fill="D9E2F3"/>
            <w:vAlign w:val="center"/>
            <w:hideMark/>
          </w:tcPr>
          <w:p w:rsidR="00F23B5E" w:rsidRPr="009B37AA" w:rsidRDefault="002A6E27" w:rsidP="004A4E5F">
            <w:pPr>
              <w:jc w:val="right"/>
              <w:rPr>
                <w:rFonts w:ascii="Calibri" w:eastAsia="Times New Roman" w:hAnsi="Calibri"/>
                <w:b/>
                <w:bCs/>
                <w:szCs w:val="22"/>
                <w:lang w:eastAsia="en-GB"/>
              </w:rPr>
            </w:pPr>
            <w:r>
              <w:rPr>
                <w:rFonts w:ascii="Calibri" w:eastAsia="Times New Roman" w:hAnsi="Calibri"/>
                <w:b/>
                <w:bCs/>
                <w:szCs w:val="22"/>
                <w:lang w:eastAsia="en-GB"/>
              </w:rPr>
              <w:t>833,861</w:t>
            </w:r>
          </w:p>
        </w:tc>
      </w:tr>
      <w:tr w:rsidR="002A6E27" w:rsidRPr="009B37AA" w:rsidTr="002A6E27">
        <w:trPr>
          <w:trHeight w:val="315"/>
        </w:trPr>
        <w:tc>
          <w:tcPr>
            <w:tcW w:w="1276" w:type="dxa"/>
            <w:tcBorders>
              <w:top w:val="single" w:sz="8" w:space="0" w:color="FFFFFF"/>
              <w:left w:val="single" w:sz="8" w:space="0" w:color="FFFFFF"/>
              <w:bottom w:val="single" w:sz="8" w:space="0" w:color="FFFFFF"/>
              <w:right w:val="nil"/>
            </w:tcBorders>
            <w:shd w:val="clear" w:color="000000" w:fill="4472C4"/>
            <w:vAlign w:val="center"/>
            <w:hideMark/>
          </w:tcPr>
          <w:p w:rsidR="002A6E27" w:rsidRPr="009B37AA" w:rsidRDefault="002A6E27" w:rsidP="002A6E27">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701" w:type="dxa"/>
            <w:tcBorders>
              <w:top w:val="single" w:sz="8" w:space="0" w:color="FFFFFF"/>
              <w:left w:val="nil"/>
              <w:bottom w:val="single" w:sz="8" w:space="0" w:color="FFFFFF"/>
              <w:right w:val="nil"/>
            </w:tcBorders>
            <w:shd w:val="clear" w:color="000000" w:fill="4472C4"/>
            <w:vAlign w:val="center"/>
            <w:hideMark/>
          </w:tcPr>
          <w:p w:rsidR="002A6E27" w:rsidRPr="009B37AA" w:rsidRDefault="002A6E27" w:rsidP="002A6E27">
            <w:pPr>
              <w:rPr>
                <w:rFonts w:ascii="Calibri" w:eastAsia="Times New Roman" w:hAnsi="Calibri"/>
                <w:color w:val="FFFFFF"/>
                <w:szCs w:val="22"/>
                <w:lang w:eastAsia="en-GB"/>
              </w:rPr>
            </w:pPr>
            <w:r w:rsidRPr="009B37AA">
              <w:rPr>
                <w:rFonts w:ascii="Calibri" w:eastAsia="Times New Roman" w:hAnsi="Calibri"/>
                <w:color w:val="FFFFFF"/>
                <w:szCs w:val="22"/>
                <w:lang w:eastAsia="en-GB"/>
              </w:rPr>
              <w:t> </w:t>
            </w:r>
          </w:p>
        </w:tc>
        <w:tc>
          <w:tcPr>
            <w:tcW w:w="1134"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2030</w:t>
            </w:r>
          </w:p>
        </w:tc>
        <w:tc>
          <w:tcPr>
            <w:tcW w:w="992" w:type="dxa"/>
            <w:tcBorders>
              <w:top w:val="single" w:sz="8" w:space="0" w:color="FFFFFF"/>
              <w:left w:val="nil"/>
              <w:bottom w:val="single" w:sz="8" w:space="0" w:color="FFFFFF"/>
              <w:right w:val="single" w:sz="8" w:space="0" w:color="FFFFFF"/>
            </w:tcBorders>
            <w:shd w:val="clear" w:color="000000" w:fill="4472C4"/>
            <w:vAlign w:val="center"/>
            <w:hideMark/>
          </w:tcPr>
          <w:p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2035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2040</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2045</w:t>
            </w:r>
          </w:p>
        </w:tc>
        <w:tc>
          <w:tcPr>
            <w:tcW w:w="1134" w:type="dxa"/>
            <w:tcBorders>
              <w:top w:val="single" w:sz="8" w:space="0" w:color="FFFFFF"/>
              <w:left w:val="nil"/>
              <w:bottom w:val="single" w:sz="8" w:space="0" w:color="FFFFFF"/>
              <w:right w:val="single" w:sz="8" w:space="0" w:color="FFFFFF"/>
            </w:tcBorders>
            <w:shd w:val="clear" w:color="000000" w:fill="4472C4"/>
            <w:vAlign w:val="center"/>
            <w:hideMark/>
          </w:tcPr>
          <w:p w:rsidR="002A6E27" w:rsidRPr="009B37AA" w:rsidRDefault="002A6E27" w:rsidP="002A6E27">
            <w:pPr>
              <w:jc w:val="cente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2050</w:t>
            </w:r>
          </w:p>
        </w:tc>
      </w:tr>
      <w:tr w:rsidR="002A6E27" w:rsidRPr="009B37AA" w:rsidTr="002A6E27">
        <w:trPr>
          <w:trHeight w:val="315"/>
        </w:trPr>
        <w:tc>
          <w:tcPr>
            <w:tcW w:w="1276"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2A6E27" w:rsidRPr="009B37AA" w:rsidRDefault="002A6E27" w:rsidP="002A6E27">
            <w:pPr>
              <w:rPr>
                <w:rFonts w:ascii="Calibri" w:eastAsia="Times New Roman" w:hAnsi="Calibri"/>
                <w:b/>
                <w:bCs/>
                <w:color w:val="FFFFFF"/>
                <w:szCs w:val="22"/>
                <w:lang w:eastAsia="en-GB"/>
              </w:rPr>
            </w:pPr>
            <w:r w:rsidRPr="009B37AA">
              <w:rPr>
                <w:rFonts w:ascii="Calibri" w:eastAsia="Times New Roman" w:hAnsi="Calibri"/>
                <w:b/>
                <w:bCs/>
                <w:color w:val="FFFFFF"/>
                <w:szCs w:val="22"/>
                <w:lang w:eastAsia="en-GB"/>
              </w:rPr>
              <w:t>A5 6-year conversion 2025</w:t>
            </w:r>
          </w:p>
        </w:tc>
        <w:tc>
          <w:tcPr>
            <w:tcW w:w="1701"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rPr>
                <w:rFonts w:ascii="Calibri" w:eastAsia="Times New Roman" w:hAnsi="Calibri"/>
                <w:b/>
                <w:bCs/>
                <w:szCs w:val="22"/>
                <w:lang w:eastAsia="en-GB"/>
              </w:rPr>
            </w:pPr>
            <w:r>
              <w:rPr>
                <w:rFonts w:ascii="Calibri" w:eastAsia="Times New Roman" w:hAnsi="Calibri"/>
                <w:b/>
                <w:bCs/>
                <w:szCs w:val="22"/>
                <w:lang w:eastAsia="en-GB"/>
              </w:rPr>
              <w:t>HFC-</w:t>
            </w:r>
            <w:r w:rsidRPr="009B37AA">
              <w:rPr>
                <w:rFonts w:ascii="Calibri" w:eastAsia="Times New Roman" w:hAnsi="Calibri"/>
                <w:b/>
                <w:bCs/>
                <w:szCs w:val="22"/>
                <w:lang w:eastAsia="en-GB"/>
              </w:rPr>
              <w:t>134a</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79,106</w:t>
            </w:r>
          </w:p>
        </w:tc>
        <w:tc>
          <w:tcPr>
            <w:tcW w:w="992"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57,892</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62,535</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75,460</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91,649</w:t>
            </w:r>
          </w:p>
        </w:tc>
      </w:tr>
      <w:tr w:rsidR="002A6E27" w:rsidRPr="009B37AA"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404A + R</w:t>
            </w:r>
            <w:r>
              <w:rPr>
                <w:rFonts w:ascii="Calibri" w:eastAsia="Times New Roman" w:hAnsi="Calibri"/>
                <w:b/>
                <w:bCs/>
                <w:szCs w:val="22"/>
                <w:lang w:eastAsia="en-GB"/>
              </w:rPr>
              <w:t>-</w:t>
            </w:r>
            <w:r w:rsidRPr="009B37AA">
              <w:rPr>
                <w:rFonts w:ascii="Calibri" w:eastAsia="Times New Roman" w:hAnsi="Calibri"/>
                <w:b/>
                <w:bCs/>
                <w:szCs w:val="22"/>
                <w:lang w:eastAsia="en-GB"/>
              </w:rPr>
              <w:t>507</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214,824</w:t>
            </w:r>
          </w:p>
        </w:tc>
        <w:tc>
          <w:tcPr>
            <w:tcW w:w="992"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118,243</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45,115</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13,846</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20,005</w:t>
            </w:r>
          </w:p>
        </w:tc>
      </w:tr>
      <w:tr w:rsidR="002A6E27" w:rsidRPr="009B37AA"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407C</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175,229</w:t>
            </w:r>
          </w:p>
        </w:tc>
        <w:tc>
          <w:tcPr>
            <w:tcW w:w="992"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48,859</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34,312</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11,654</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2A6E27" w:rsidRPr="009B37AA"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R</w:t>
            </w:r>
            <w:r>
              <w:rPr>
                <w:rFonts w:ascii="Calibri" w:eastAsia="Times New Roman" w:hAnsi="Calibri"/>
                <w:b/>
                <w:bCs/>
                <w:szCs w:val="22"/>
                <w:lang w:eastAsia="en-GB"/>
              </w:rPr>
              <w:t>-</w:t>
            </w:r>
            <w:r w:rsidRPr="009B37AA">
              <w:rPr>
                <w:rFonts w:ascii="Calibri" w:eastAsia="Times New Roman" w:hAnsi="Calibri"/>
                <w:b/>
                <w:bCs/>
                <w:szCs w:val="22"/>
                <w:lang w:eastAsia="en-GB"/>
              </w:rPr>
              <w:t>410A</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199,992</w:t>
            </w:r>
          </w:p>
        </w:tc>
        <w:tc>
          <w:tcPr>
            <w:tcW w:w="992"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160,953</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105,970</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30,882</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0</w:t>
            </w:r>
          </w:p>
        </w:tc>
      </w:tr>
      <w:tr w:rsidR="002A6E27" w:rsidRPr="009B37AA"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Low GWP</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166,332</w:t>
            </w:r>
          </w:p>
        </w:tc>
        <w:tc>
          <w:tcPr>
            <w:tcW w:w="992"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265,216</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342,666</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419,344</w:t>
            </w:r>
          </w:p>
        </w:tc>
        <w:tc>
          <w:tcPr>
            <w:tcW w:w="1134" w:type="dxa"/>
            <w:tcBorders>
              <w:top w:val="nil"/>
              <w:left w:val="nil"/>
              <w:bottom w:val="single" w:sz="8" w:space="0" w:color="FFFFFF"/>
              <w:right w:val="single" w:sz="8" w:space="0" w:color="FFFFFF"/>
            </w:tcBorders>
            <w:shd w:val="clear" w:color="000000" w:fill="B4C6E7"/>
            <w:vAlign w:val="center"/>
            <w:hideMark/>
          </w:tcPr>
          <w:p w:rsidR="002A6E27" w:rsidRPr="009B37AA" w:rsidRDefault="002A6E27" w:rsidP="002A6E27">
            <w:pPr>
              <w:jc w:val="right"/>
              <w:rPr>
                <w:rFonts w:ascii="Calibri" w:eastAsia="Times New Roman" w:hAnsi="Calibri"/>
                <w:szCs w:val="22"/>
                <w:lang w:eastAsia="en-GB"/>
              </w:rPr>
            </w:pPr>
            <w:r w:rsidRPr="009B37AA">
              <w:rPr>
                <w:rFonts w:ascii="Calibri" w:eastAsia="Times New Roman" w:hAnsi="Calibri"/>
                <w:szCs w:val="22"/>
                <w:lang w:eastAsia="en-GB"/>
              </w:rPr>
              <w:t>481,920</w:t>
            </w:r>
          </w:p>
        </w:tc>
      </w:tr>
      <w:tr w:rsidR="002A6E27" w:rsidRPr="009B37AA" w:rsidTr="002A6E27">
        <w:trPr>
          <w:trHeight w:val="315"/>
        </w:trPr>
        <w:tc>
          <w:tcPr>
            <w:tcW w:w="1276" w:type="dxa"/>
            <w:vMerge/>
            <w:tcBorders>
              <w:top w:val="nil"/>
              <w:left w:val="single" w:sz="8" w:space="0" w:color="FFFFFF"/>
              <w:bottom w:val="single" w:sz="8" w:space="0" w:color="FFFFFF"/>
              <w:right w:val="single" w:sz="8" w:space="0" w:color="FFFFFF"/>
            </w:tcBorders>
            <w:vAlign w:val="center"/>
            <w:hideMark/>
          </w:tcPr>
          <w:p w:rsidR="002A6E27" w:rsidRPr="009B37AA" w:rsidRDefault="002A6E27" w:rsidP="002A6E27">
            <w:pPr>
              <w:rPr>
                <w:rFonts w:ascii="Calibri" w:eastAsia="Times New Roman" w:hAnsi="Calibri"/>
                <w:b/>
                <w:bCs/>
                <w:color w:val="FFFFFF"/>
                <w:szCs w:val="22"/>
                <w:lang w:eastAsia="en-GB"/>
              </w:rPr>
            </w:pPr>
          </w:p>
        </w:tc>
        <w:tc>
          <w:tcPr>
            <w:tcW w:w="1701"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rPr>
                <w:rFonts w:ascii="Calibri" w:eastAsia="Times New Roman" w:hAnsi="Calibri"/>
                <w:b/>
                <w:bCs/>
                <w:szCs w:val="22"/>
                <w:lang w:eastAsia="en-GB"/>
              </w:rPr>
            </w:pPr>
            <w:r w:rsidRPr="009B37AA">
              <w:rPr>
                <w:rFonts w:ascii="Calibri" w:eastAsia="Times New Roman" w:hAnsi="Calibri"/>
                <w:b/>
                <w:bCs/>
                <w:szCs w:val="22"/>
                <w:lang w:eastAsia="en-GB"/>
              </w:rPr>
              <w:t>Total</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835,483</w:t>
            </w:r>
          </w:p>
        </w:tc>
        <w:tc>
          <w:tcPr>
            <w:tcW w:w="992"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651,163</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590,598</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551,186</w:t>
            </w:r>
          </w:p>
        </w:tc>
        <w:tc>
          <w:tcPr>
            <w:tcW w:w="1134" w:type="dxa"/>
            <w:tcBorders>
              <w:top w:val="nil"/>
              <w:left w:val="nil"/>
              <w:bottom w:val="single" w:sz="8" w:space="0" w:color="FFFFFF"/>
              <w:right w:val="single" w:sz="8" w:space="0" w:color="FFFFFF"/>
            </w:tcBorders>
            <w:shd w:val="clear" w:color="000000" w:fill="D9E2F3"/>
            <w:vAlign w:val="center"/>
            <w:hideMark/>
          </w:tcPr>
          <w:p w:rsidR="002A6E27" w:rsidRPr="009B37AA" w:rsidRDefault="002A6E27" w:rsidP="002A6E27">
            <w:pPr>
              <w:jc w:val="right"/>
              <w:rPr>
                <w:rFonts w:ascii="Calibri" w:eastAsia="Times New Roman" w:hAnsi="Calibri"/>
                <w:b/>
                <w:bCs/>
                <w:szCs w:val="22"/>
                <w:lang w:eastAsia="en-GB"/>
              </w:rPr>
            </w:pPr>
            <w:r w:rsidRPr="009B37AA">
              <w:rPr>
                <w:rFonts w:ascii="Calibri" w:eastAsia="Times New Roman" w:hAnsi="Calibri"/>
                <w:b/>
                <w:bCs/>
                <w:szCs w:val="22"/>
                <w:lang w:eastAsia="en-GB"/>
              </w:rPr>
              <w:t>593,574</w:t>
            </w:r>
          </w:p>
        </w:tc>
      </w:tr>
    </w:tbl>
    <w:p w:rsidR="00F23B5E" w:rsidRPr="00576FF9" w:rsidRDefault="00F23B5E" w:rsidP="00F23B5E">
      <w:pPr>
        <w:pStyle w:val="BodyText"/>
        <w:spacing w:before="240" w:after="120"/>
      </w:pPr>
      <w:r w:rsidRPr="00F73340">
        <w:t xml:space="preserve">In </w:t>
      </w:r>
      <w:r>
        <w:t>T</w:t>
      </w:r>
      <w:r w:rsidRPr="00F73340">
        <w:t>able</w:t>
      </w:r>
      <w:r>
        <w:t xml:space="preserve">s </w:t>
      </w:r>
      <w:r w:rsidR="00AE184E">
        <w:t>6</w:t>
      </w:r>
      <w:r>
        <w:t xml:space="preserve">-11 and </w:t>
      </w:r>
      <w:r w:rsidR="00AE184E">
        <w:t>6</w:t>
      </w:r>
      <w:r>
        <w:t xml:space="preserve">-12 above, the following can </w:t>
      </w:r>
      <w:r w:rsidRPr="00576FF9">
        <w:t xml:space="preserve">be observed for </w:t>
      </w:r>
      <w:r>
        <w:t xml:space="preserve">the </w:t>
      </w:r>
      <w:r w:rsidRPr="00576FF9">
        <w:t xml:space="preserve">Article </w:t>
      </w:r>
      <w:r>
        <w:t>5 Parties and the MIT-5 scenario</w:t>
      </w:r>
      <w:r w:rsidRPr="00576FF9">
        <w:t xml:space="preserve">: </w:t>
      </w:r>
    </w:p>
    <w:p w:rsidR="00F23B5E" w:rsidRPr="008F0B37" w:rsidRDefault="00F23B5E" w:rsidP="009840D4">
      <w:pPr>
        <w:numPr>
          <w:ilvl w:val="0"/>
          <w:numId w:val="37"/>
        </w:numPr>
        <w:spacing w:after="160"/>
      </w:pPr>
      <w:r>
        <w:t>The MIT-5 scenario represents a much higher climate impact than the MIT-3 scenario. For the future, the question remains which scenario could or would be the most likely one that Article 5 Parties can and will follow;</w:t>
      </w:r>
    </w:p>
    <w:p w:rsidR="00F23B5E" w:rsidRPr="008F0B37" w:rsidRDefault="00F23B5E" w:rsidP="009840D4">
      <w:pPr>
        <w:numPr>
          <w:ilvl w:val="0"/>
          <w:numId w:val="37"/>
        </w:numPr>
        <w:spacing w:after="160"/>
      </w:pPr>
      <w:r w:rsidRPr="008F0B37">
        <w:t xml:space="preserve">The demand for various </w:t>
      </w:r>
      <w:r>
        <w:t xml:space="preserve">high-GWP </w:t>
      </w:r>
      <w:r w:rsidRPr="008F0B37">
        <w:t xml:space="preserve">HFCs in Article </w:t>
      </w:r>
      <w:r>
        <w:t>5 Parties</w:t>
      </w:r>
      <w:r w:rsidRPr="008F0B37">
        <w:t xml:space="preserve"> is </w:t>
      </w:r>
      <w:r>
        <w:t xml:space="preserve">calculated </w:t>
      </w:r>
      <w:r w:rsidRPr="008F0B37">
        <w:t xml:space="preserve">to increase by </w:t>
      </w:r>
      <w:r>
        <w:t xml:space="preserve">a factor of 1.7 between 2015 and 2020 and by a factor 1.45 between 2020 and 2025, expressed in </w:t>
      </w:r>
      <w:r w:rsidR="00AD5DD6">
        <w:t xml:space="preserve">ktonnes </w:t>
      </w:r>
      <w:r>
        <w:t>CO</w:t>
      </w:r>
      <w:r w:rsidRPr="004D29A1">
        <w:rPr>
          <w:vertAlign w:val="subscript"/>
        </w:rPr>
        <w:t>2</w:t>
      </w:r>
      <w:r w:rsidR="00AE184E">
        <w:rPr>
          <w:vertAlign w:val="subscript"/>
        </w:rPr>
        <w:t xml:space="preserve"> </w:t>
      </w:r>
      <w:r w:rsidR="00AE184E">
        <w:t xml:space="preserve">eq. </w:t>
      </w:r>
      <w:r>
        <w:t>(this corresponds more or less to the same growth in refrigerant demand in tonnes)</w:t>
      </w:r>
      <w:r w:rsidRPr="008F0B37">
        <w:t>;</w:t>
      </w:r>
    </w:p>
    <w:p w:rsidR="00F23B5E" w:rsidRDefault="00F23B5E" w:rsidP="009840D4">
      <w:pPr>
        <w:numPr>
          <w:ilvl w:val="0"/>
          <w:numId w:val="37"/>
        </w:numPr>
        <w:spacing w:after="160"/>
      </w:pPr>
      <w:r>
        <w:lastRenderedPageBreak/>
        <w:t xml:space="preserve">One might conclude </w:t>
      </w:r>
      <w:r w:rsidRPr="00083C89">
        <w:t>that th</w:t>
      </w:r>
      <w:r>
        <w:t xml:space="preserve">e </w:t>
      </w:r>
      <w:r w:rsidRPr="00083C89">
        <w:t>proposed MIT-</w:t>
      </w:r>
      <w:r>
        <w:t>5</w:t>
      </w:r>
      <w:r w:rsidRPr="00083C89">
        <w:t xml:space="preserve"> manufacturing conversion </w:t>
      </w:r>
      <w:r>
        <w:t xml:space="preserve">is not expected to be too demanding and that </w:t>
      </w:r>
      <w:r w:rsidRPr="00083C89">
        <w:t xml:space="preserve">institutional and industrial capacities </w:t>
      </w:r>
      <w:r>
        <w:t xml:space="preserve">should be able to </w:t>
      </w:r>
      <w:r w:rsidRPr="00083C89">
        <w:t>deal with the conversion in this timeframe</w:t>
      </w:r>
      <w:r>
        <w:t xml:space="preserve">, if not before. This, of course, assumes the gradual acceptance of alternatives for all sub-sectors before 2025, which seems to be definitely possible taking into account the pace of acceptance for many alternatives anticipated at present. </w:t>
      </w:r>
    </w:p>
    <w:p w:rsidR="00F23B5E" w:rsidRDefault="00F23B5E" w:rsidP="00F23B5E">
      <w:pPr>
        <w:keepNext/>
        <w:keepLines/>
        <w:spacing w:before="120" w:after="120"/>
        <w:rPr>
          <w:b/>
          <w:i/>
        </w:rPr>
      </w:pPr>
      <w:r>
        <w:rPr>
          <w:b/>
          <w:i/>
        </w:rPr>
        <w:t xml:space="preserve">Table </w:t>
      </w:r>
      <w:r w:rsidR="00AE184E">
        <w:rPr>
          <w:b/>
          <w:i/>
        </w:rPr>
        <w:t>6</w:t>
      </w:r>
      <w:r>
        <w:rPr>
          <w:b/>
          <w:i/>
        </w:rPr>
        <w:t>-13:</w:t>
      </w:r>
      <w:r w:rsidRPr="005F13BA">
        <w:rPr>
          <w:b/>
          <w:i/>
        </w:rPr>
        <w:t xml:space="preserve"> </w:t>
      </w:r>
      <w:r>
        <w:rPr>
          <w:b/>
          <w:i/>
        </w:rPr>
        <w:t>R</w:t>
      </w:r>
      <w:r w:rsidRPr="005F13BA">
        <w:rPr>
          <w:b/>
          <w:i/>
        </w:rPr>
        <w:t xml:space="preserve">efrigerant demand for (refrigerant) ODS alternatives </w:t>
      </w:r>
      <w:r>
        <w:rPr>
          <w:b/>
          <w:i/>
        </w:rPr>
        <w:t xml:space="preserve">in the BAU, </w:t>
      </w:r>
      <w:r w:rsidRPr="005F13BA">
        <w:rPr>
          <w:b/>
          <w:i/>
        </w:rPr>
        <w:t>MIT-</w:t>
      </w:r>
      <w:r>
        <w:rPr>
          <w:b/>
          <w:i/>
        </w:rPr>
        <w:t xml:space="preserve">3, MIT-4 and MIT-5 </w:t>
      </w:r>
      <w:r w:rsidRPr="005F13BA">
        <w:rPr>
          <w:b/>
          <w:i/>
        </w:rPr>
        <w:t>scenario</w:t>
      </w:r>
      <w:r>
        <w:rPr>
          <w:b/>
          <w:i/>
        </w:rPr>
        <w:t>s</w:t>
      </w:r>
      <w:r w:rsidRPr="005F13BA">
        <w:rPr>
          <w:b/>
          <w:i/>
        </w:rPr>
        <w:t xml:space="preserve"> for </w:t>
      </w:r>
      <w:r>
        <w:rPr>
          <w:b/>
          <w:i/>
        </w:rPr>
        <w:t>various periods</w:t>
      </w:r>
      <w:r w:rsidRPr="005F13BA">
        <w:rPr>
          <w:b/>
          <w:i/>
        </w:rPr>
        <w:t xml:space="preserve"> in Article </w:t>
      </w:r>
      <w:r>
        <w:rPr>
          <w:b/>
          <w:i/>
        </w:rPr>
        <w:t>5 Parties</w:t>
      </w:r>
      <w:r w:rsidRPr="005F13BA">
        <w:rPr>
          <w:b/>
          <w:i/>
        </w:rPr>
        <w:t xml:space="preserve"> (</w:t>
      </w:r>
      <w:r>
        <w:rPr>
          <w:b/>
          <w:i/>
        </w:rPr>
        <w:t>n.b., in M</w:t>
      </w:r>
      <w:r w:rsidRPr="005F13BA">
        <w:rPr>
          <w:b/>
          <w:i/>
        </w:rPr>
        <w:t>t CO</w:t>
      </w:r>
      <w:r w:rsidRPr="005F13BA">
        <w:rPr>
          <w:b/>
          <w:i/>
          <w:vertAlign w:val="subscript"/>
        </w:rPr>
        <w:t>2</w:t>
      </w:r>
      <w:r w:rsidR="00AD5DD6">
        <w:rPr>
          <w:b/>
          <w:i/>
        </w:rPr>
        <w:t>-eq.</w:t>
      </w:r>
      <w:r w:rsidRPr="005F13BA">
        <w:rPr>
          <w:b/>
          <w:i/>
        </w:rPr>
        <w:t>)</w:t>
      </w:r>
      <w:r>
        <w:rPr>
          <w:b/>
          <w:i/>
        </w:rPr>
        <w:t xml:space="preserve">; the total concerns the total refrigerant demand over the period 2020-2050 </w:t>
      </w:r>
    </w:p>
    <w:tbl>
      <w:tblPr>
        <w:tblW w:w="8647" w:type="dxa"/>
        <w:tblInd w:w="-34" w:type="dxa"/>
        <w:tblLook w:val="04A0" w:firstRow="1" w:lastRow="0" w:firstColumn="1" w:lastColumn="0" w:noHBand="0" w:noVBand="1"/>
      </w:tblPr>
      <w:tblGrid>
        <w:gridCol w:w="1702"/>
        <w:gridCol w:w="1842"/>
        <w:gridCol w:w="1701"/>
        <w:gridCol w:w="1676"/>
        <w:gridCol w:w="1726"/>
      </w:tblGrid>
      <w:tr w:rsidR="00F23B5E" w:rsidRPr="009B37AA" w:rsidTr="004A4E5F">
        <w:trPr>
          <w:trHeight w:val="315"/>
        </w:trPr>
        <w:tc>
          <w:tcPr>
            <w:tcW w:w="1702"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97311A" w:rsidRDefault="00F23B5E" w:rsidP="004A4E5F">
            <w:pPr>
              <w:rPr>
                <w:rFonts w:ascii="Calibri" w:eastAsia="Times New Roman" w:hAnsi="Calibri"/>
                <w:b/>
                <w:color w:val="FFFFFF"/>
                <w:szCs w:val="22"/>
                <w:lang w:eastAsia="en-GB"/>
              </w:rPr>
            </w:pPr>
            <w:r w:rsidRPr="0097311A">
              <w:rPr>
                <w:rFonts w:ascii="Calibri" w:eastAsia="Times New Roman" w:hAnsi="Calibri"/>
                <w:b/>
                <w:color w:val="FFFFFF"/>
                <w:szCs w:val="22"/>
                <w:lang w:eastAsia="en-GB"/>
              </w:rPr>
              <w:t> Period</w:t>
            </w:r>
          </w:p>
        </w:tc>
        <w:tc>
          <w:tcPr>
            <w:tcW w:w="1842"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2020-2030</w:t>
            </w:r>
          </w:p>
        </w:tc>
        <w:tc>
          <w:tcPr>
            <w:tcW w:w="1701"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2031-2040</w:t>
            </w:r>
          </w:p>
        </w:tc>
        <w:tc>
          <w:tcPr>
            <w:tcW w:w="1676"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2041-2050</w:t>
            </w:r>
          </w:p>
        </w:tc>
        <w:tc>
          <w:tcPr>
            <w:tcW w:w="1726"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Total</w:t>
            </w:r>
          </w:p>
        </w:tc>
      </w:tr>
      <w:tr w:rsidR="00F23B5E" w:rsidRPr="009B37AA" w:rsidTr="004A4E5F">
        <w:trPr>
          <w:trHeight w:val="315"/>
        </w:trPr>
        <w:tc>
          <w:tcPr>
            <w:tcW w:w="1702"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BAU</w:t>
            </w:r>
          </w:p>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MIT-3</w:t>
            </w:r>
          </w:p>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MIT-4</w:t>
            </w:r>
          </w:p>
          <w:p w:rsidR="00F23B5E" w:rsidRPr="0097311A" w:rsidRDefault="00F23B5E" w:rsidP="004A4E5F">
            <w:pPr>
              <w:spacing w:after="2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MIT-5</w:t>
            </w:r>
          </w:p>
        </w:tc>
        <w:tc>
          <w:tcPr>
            <w:tcW w:w="1842"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16016</w:t>
            </w:r>
          </w:p>
        </w:tc>
        <w:tc>
          <w:tcPr>
            <w:tcW w:w="1701"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26321</w:t>
            </w:r>
          </w:p>
        </w:tc>
        <w:tc>
          <w:tcPr>
            <w:tcW w:w="1676"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37874</w:t>
            </w:r>
          </w:p>
        </w:tc>
        <w:tc>
          <w:tcPr>
            <w:tcW w:w="1726"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80211</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6349</w:t>
            </w:r>
          </w:p>
        </w:tc>
        <w:tc>
          <w:tcPr>
            <w:tcW w:w="1701"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4202</w:t>
            </w:r>
          </w:p>
        </w:tc>
        <w:tc>
          <w:tcPr>
            <w:tcW w:w="1676"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5257</w:t>
            </w:r>
          </w:p>
        </w:tc>
        <w:tc>
          <w:tcPr>
            <w:tcW w:w="1726"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15808</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9762</w:t>
            </w:r>
          </w:p>
        </w:tc>
        <w:tc>
          <w:tcPr>
            <w:tcW w:w="1701"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5798</w:t>
            </w:r>
          </w:p>
        </w:tc>
        <w:tc>
          <w:tcPr>
            <w:tcW w:w="1676"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5540</w:t>
            </w:r>
          </w:p>
        </w:tc>
        <w:tc>
          <w:tcPr>
            <w:tcW w:w="1726"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21100</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1842"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12069</w:t>
            </w:r>
          </w:p>
        </w:tc>
        <w:tc>
          <w:tcPr>
            <w:tcW w:w="1701"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6696</w:t>
            </w:r>
          </w:p>
        </w:tc>
        <w:tc>
          <w:tcPr>
            <w:tcW w:w="1676"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5719</w:t>
            </w:r>
          </w:p>
        </w:tc>
        <w:tc>
          <w:tcPr>
            <w:tcW w:w="1726"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24484</w:t>
            </w:r>
          </w:p>
        </w:tc>
      </w:tr>
    </w:tbl>
    <w:p w:rsidR="00F23B5E" w:rsidRDefault="00F23B5E" w:rsidP="005F2F63">
      <w:pPr>
        <w:keepNext/>
        <w:keepLines/>
        <w:spacing w:before="240" w:after="120"/>
        <w:rPr>
          <w:b/>
          <w:i/>
        </w:rPr>
      </w:pPr>
      <w:r>
        <w:rPr>
          <w:b/>
          <w:i/>
        </w:rPr>
        <w:t xml:space="preserve">Table </w:t>
      </w:r>
      <w:r w:rsidR="00AE184E">
        <w:rPr>
          <w:b/>
          <w:i/>
        </w:rPr>
        <w:t>6</w:t>
      </w:r>
      <w:r>
        <w:rPr>
          <w:b/>
          <w:i/>
        </w:rPr>
        <w:t>-14:</w:t>
      </w:r>
      <w:r w:rsidRPr="005F13BA">
        <w:rPr>
          <w:b/>
          <w:i/>
        </w:rPr>
        <w:t xml:space="preserve"> </w:t>
      </w:r>
      <w:r>
        <w:rPr>
          <w:b/>
          <w:i/>
        </w:rPr>
        <w:t>R</w:t>
      </w:r>
      <w:r w:rsidRPr="005F13BA">
        <w:rPr>
          <w:b/>
          <w:i/>
        </w:rPr>
        <w:t xml:space="preserve">efrigerant demand for (refrigerant) ODS alternatives </w:t>
      </w:r>
      <w:r>
        <w:rPr>
          <w:b/>
          <w:i/>
        </w:rPr>
        <w:t xml:space="preserve">in the BAU, </w:t>
      </w:r>
      <w:r w:rsidRPr="005F13BA">
        <w:rPr>
          <w:b/>
          <w:i/>
        </w:rPr>
        <w:t>MIT-</w:t>
      </w:r>
      <w:r>
        <w:rPr>
          <w:b/>
          <w:i/>
        </w:rPr>
        <w:t xml:space="preserve">3, MIT-4 and MIT-5 </w:t>
      </w:r>
      <w:r w:rsidRPr="005F13BA">
        <w:rPr>
          <w:b/>
          <w:i/>
        </w:rPr>
        <w:t>scenario</w:t>
      </w:r>
      <w:r>
        <w:rPr>
          <w:b/>
          <w:i/>
        </w:rPr>
        <w:t>s</w:t>
      </w:r>
      <w:r w:rsidRPr="005F13BA">
        <w:rPr>
          <w:b/>
          <w:i/>
        </w:rPr>
        <w:t xml:space="preserve"> for the period</w:t>
      </w:r>
      <w:r>
        <w:rPr>
          <w:b/>
          <w:i/>
        </w:rPr>
        <w:t>s</w:t>
      </w:r>
      <w:r w:rsidRPr="005F13BA">
        <w:rPr>
          <w:b/>
          <w:i/>
        </w:rPr>
        <w:t xml:space="preserve"> 20</w:t>
      </w:r>
      <w:r>
        <w:rPr>
          <w:b/>
          <w:i/>
        </w:rPr>
        <w:t>2</w:t>
      </w:r>
      <w:r w:rsidRPr="005F13BA">
        <w:rPr>
          <w:b/>
          <w:i/>
        </w:rPr>
        <w:t>0-2030</w:t>
      </w:r>
      <w:r>
        <w:rPr>
          <w:b/>
          <w:i/>
        </w:rPr>
        <w:t>, 2020-2040 and 2020-2050</w:t>
      </w:r>
      <w:r w:rsidRPr="005F13BA">
        <w:rPr>
          <w:b/>
          <w:i/>
        </w:rPr>
        <w:t xml:space="preserve"> in Article </w:t>
      </w:r>
      <w:r>
        <w:rPr>
          <w:b/>
          <w:i/>
        </w:rPr>
        <w:t>5 Parties</w:t>
      </w:r>
      <w:r w:rsidRPr="005F13BA">
        <w:rPr>
          <w:b/>
          <w:i/>
        </w:rPr>
        <w:t xml:space="preserve"> (</w:t>
      </w:r>
      <w:r>
        <w:rPr>
          <w:b/>
          <w:i/>
        </w:rPr>
        <w:t>n.b., in M</w:t>
      </w:r>
      <w:r w:rsidRPr="005F13BA">
        <w:rPr>
          <w:b/>
          <w:i/>
        </w:rPr>
        <w:t>t CO</w:t>
      </w:r>
      <w:r w:rsidRPr="005F13BA">
        <w:rPr>
          <w:b/>
          <w:i/>
          <w:vertAlign w:val="subscript"/>
        </w:rPr>
        <w:t>2</w:t>
      </w:r>
      <w:r w:rsidR="006F2C1A">
        <w:rPr>
          <w:b/>
          <w:i/>
        </w:rPr>
        <w:t>-</w:t>
      </w:r>
      <w:r w:rsidRPr="005F13BA">
        <w:rPr>
          <w:b/>
          <w:i/>
        </w:rPr>
        <w:t>eq</w:t>
      </w:r>
      <w:r w:rsidR="006F2C1A">
        <w:rPr>
          <w:b/>
          <w:i/>
        </w:rPr>
        <w:t>.</w:t>
      </w:r>
      <w:r w:rsidRPr="005F13BA">
        <w:rPr>
          <w:b/>
          <w:i/>
        </w:rPr>
        <w:t>)</w:t>
      </w:r>
      <w:r>
        <w:rPr>
          <w:b/>
          <w:i/>
        </w:rPr>
        <w:t>; in brackets the saving for the various MIT scenarios compared to BAU in that period is given</w:t>
      </w:r>
    </w:p>
    <w:tbl>
      <w:tblPr>
        <w:tblW w:w="8647" w:type="dxa"/>
        <w:tblInd w:w="-34" w:type="dxa"/>
        <w:tblLook w:val="04A0" w:firstRow="1" w:lastRow="0" w:firstColumn="1" w:lastColumn="0" w:noHBand="0" w:noVBand="1"/>
      </w:tblPr>
      <w:tblGrid>
        <w:gridCol w:w="1702"/>
        <w:gridCol w:w="2268"/>
        <w:gridCol w:w="2268"/>
        <w:gridCol w:w="2409"/>
      </w:tblGrid>
      <w:tr w:rsidR="00F23B5E" w:rsidRPr="009B37AA" w:rsidTr="004A4E5F">
        <w:trPr>
          <w:trHeight w:val="315"/>
        </w:trPr>
        <w:tc>
          <w:tcPr>
            <w:tcW w:w="1702" w:type="dxa"/>
            <w:tcBorders>
              <w:top w:val="single" w:sz="8" w:space="0" w:color="FFFFFF"/>
              <w:left w:val="single" w:sz="8" w:space="0" w:color="FFFFFF"/>
              <w:bottom w:val="single" w:sz="8" w:space="0" w:color="FFFFFF"/>
              <w:right w:val="nil"/>
            </w:tcBorders>
            <w:shd w:val="clear" w:color="000000" w:fill="4472C4"/>
            <w:vAlign w:val="center"/>
            <w:hideMark/>
          </w:tcPr>
          <w:p w:rsidR="00F23B5E" w:rsidRPr="0097311A" w:rsidRDefault="00F23B5E" w:rsidP="004A4E5F">
            <w:pPr>
              <w:rPr>
                <w:rFonts w:ascii="Calibri" w:eastAsia="Times New Roman" w:hAnsi="Calibri"/>
                <w:b/>
                <w:color w:val="FFFFFF"/>
                <w:szCs w:val="22"/>
                <w:lang w:eastAsia="en-GB"/>
              </w:rPr>
            </w:pPr>
            <w:r w:rsidRPr="0097311A">
              <w:rPr>
                <w:rFonts w:ascii="Calibri" w:eastAsia="Times New Roman" w:hAnsi="Calibri"/>
                <w:b/>
                <w:color w:val="FFFFFF"/>
                <w:szCs w:val="22"/>
                <w:lang w:eastAsia="en-GB"/>
              </w:rPr>
              <w:t> Period</w:t>
            </w:r>
          </w:p>
        </w:tc>
        <w:tc>
          <w:tcPr>
            <w:tcW w:w="2268"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2020-2030</w:t>
            </w:r>
          </w:p>
        </w:tc>
        <w:tc>
          <w:tcPr>
            <w:tcW w:w="2268"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r w:rsidRPr="0097311A">
              <w:rPr>
                <w:rFonts w:ascii="Calibri" w:eastAsia="Times New Roman" w:hAnsi="Calibri"/>
                <w:b/>
                <w:bCs/>
                <w:color w:val="FFFFFF"/>
                <w:szCs w:val="22"/>
                <w:lang w:eastAsia="en-GB"/>
              </w:rPr>
              <w:t>-2040</w:t>
            </w:r>
          </w:p>
        </w:tc>
        <w:tc>
          <w:tcPr>
            <w:tcW w:w="2409" w:type="dxa"/>
            <w:tcBorders>
              <w:top w:val="single" w:sz="8" w:space="0" w:color="FFFFFF"/>
              <w:left w:val="nil"/>
              <w:bottom w:val="single" w:sz="8" w:space="0" w:color="FFFFFF"/>
              <w:right w:val="single" w:sz="8" w:space="0" w:color="FFFFFF"/>
            </w:tcBorders>
            <w:shd w:val="clear" w:color="000000" w:fill="4472C4"/>
            <w:vAlign w:val="center"/>
            <w:hideMark/>
          </w:tcPr>
          <w:p w:rsidR="00F23B5E" w:rsidRPr="0097311A" w:rsidRDefault="00F23B5E" w:rsidP="004A4E5F">
            <w:pPr>
              <w:jc w:val="right"/>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20</w:t>
            </w:r>
            <w:r>
              <w:rPr>
                <w:rFonts w:ascii="Calibri" w:eastAsia="Times New Roman" w:hAnsi="Calibri"/>
                <w:b/>
                <w:bCs/>
                <w:color w:val="FFFFFF"/>
                <w:szCs w:val="22"/>
                <w:lang w:eastAsia="en-GB"/>
              </w:rPr>
              <w:t>20</w:t>
            </w:r>
            <w:r w:rsidRPr="0097311A">
              <w:rPr>
                <w:rFonts w:ascii="Calibri" w:eastAsia="Times New Roman" w:hAnsi="Calibri"/>
                <w:b/>
                <w:bCs/>
                <w:color w:val="FFFFFF"/>
                <w:szCs w:val="22"/>
                <w:lang w:eastAsia="en-GB"/>
              </w:rPr>
              <w:t>-2050</w:t>
            </w:r>
          </w:p>
        </w:tc>
      </w:tr>
      <w:tr w:rsidR="00F23B5E" w:rsidRPr="009B37AA" w:rsidTr="004A4E5F">
        <w:trPr>
          <w:trHeight w:val="315"/>
        </w:trPr>
        <w:tc>
          <w:tcPr>
            <w:tcW w:w="1702" w:type="dxa"/>
            <w:vMerge w:val="restart"/>
            <w:tcBorders>
              <w:top w:val="nil"/>
              <w:left w:val="single" w:sz="8" w:space="0" w:color="FFFFFF"/>
              <w:bottom w:val="single" w:sz="8" w:space="0" w:color="FFFFFF"/>
              <w:right w:val="single" w:sz="8" w:space="0" w:color="FFFFFF"/>
            </w:tcBorders>
            <w:shd w:val="clear" w:color="000000" w:fill="4472C4"/>
            <w:vAlign w:val="center"/>
            <w:hideMark/>
          </w:tcPr>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BAU</w:t>
            </w:r>
          </w:p>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MIT-3</w:t>
            </w:r>
          </w:p>
          <w:p w:rsidR="00F23B5E" w:rsidRPr="0097311A" w:rsidRDefault="00F23B5E" w:rsidP="004A4E5F">
            <w:pPr>
              <w:spacing w:after="6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MIT-4</w:t>
            </w:r>
          </w:p>
          <w:p w:rsidR="00F23B5E" w:rsidRPr="0097311A" w:rsidRDefault="00F23B5E" w:rsidP="004A4E5F">
            <w:pPr>
              <w:spacing w:after="20"/>
              <w:rPr>
                <w:rFonts w:ascii="Calibri" w:eastAsia="Times New Roman" w:hAnsi="Calibri"/>
                <w:b/>
                <w:bCs/>
                <w:color w:val="FFFFFF"/>
                <w:szCs w:val="22"/>
                <w:lang w:eastAsia="en-GB"/>
              </w:rPr>
            </w:pPr>
            <w:r w:rsidRPr="0097311A">
              <w:rPr>
                <w:rFonts w:ascii="Calibri" w:eastAsia="Times New Roman" w:hAnsi="Calibri"/>
                <w:b/>
                <w:bCs/>
                <w:color w:val="FFFFFF"/>
                <w:szCs w:val="22"/>
                <w:lang w:eastAsia="en-GB"/>
              </w:rPr>
              <w:t>A5 MIT-5</w:t>
            </w:r>
          </w:p>
        </w:tc>
        <w:tc>
          <w:tcPr>
            <w:tcW w:w="2268"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16016</w:t>
            </w:r>
          </w:p>
        </w:tc>
        <w:tc>
          <w:tcPr>
            <w:tcW w:w="2268"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42337</w:t>
            </w:r>
          </w:p>
        </w:tc>
        <w:tc>
          <w:tcPr>
            <w:tcW w:w="2409"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80211</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6349 (0,604)</w:t>
            </w:r>
          </w:p>
        </w:tc>
        <w:tc>
          <w:tcPr>
            <w:tcW w:w="2268"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10551 (0,751)</w:t>
            </w:r>
          </w:p>
        </w:tc>
        <w:tc>
          <w:tcPr>
            <w:tcW w:w="2409"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15808 (0,803)</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9762 (0,390)</w:t>
            </w:r>
          </w:p>
        </w:tc>
        <w:tc>
          <w:tcPr>
            <w:tcW w:w="2268"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15560 (0,632)</w:t>
            </w:r>
          </w:p>
        </w:tc>
        <w:tc>
          <w:tcPr>
            <w:tcW w:w="2409" w:type="dxa"/>
            <w:tcBorders>
              <w:top w:val="nil"/>
              <w:left w:val="nil"/>
              <w:bottom w:val="single" w:sz="8" w:space="0" w:color="FFFFFF"/>
              <w:right w:val="single" w:sz="8" w:space="0" w:color="FFFFFF"/>
            </w:tcBorders>
            <w:shd w:val="clear" w:color="000000" w:fill="B4C6E7"/>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21100 (0,737)</w:t>
            </w:r>
          </w:p>
        </w:tc>
      </w:tr>
      <w:tr w:rsidR="00F23B5E" w:rsidRPr="009B37AA" w:rsidTr="004A4E5F">
        <w:trPr>
          <w:trHeight w:val="315"/>
        </w:trPr>
        <w:tc>
          <w:tcPr>
            <w:tcW w:w="1702" w:type="dxa"/>
            <w:vMerge/>
            <w:tcBorders>
              <w:top w:val="nil"/>
              <w:left w:val="single" w:sz="8" w:space="0" w:color="FFFFFF"/>
              <w:bottom w:val="single" w:sz="8" w:space="0" w:color="FFFFFF"/>
              <w:right w:val="single" w:sz="8" w:space="0" w:color="FFFFFF"/>
            </w:tcBorders>
            <w:vAlign w:val="center"/>
            <w:hideMark/>
          </w:tcPr>
          <w:p w:rsidR="00F23B5E" w:rsidRPr="0097311A" w:rsidRDefault="00F23B5E" w:rsidP="004A4E5F">
            <w:pPr>
              <w:rPr>
                <w:rFonts w:ascii="Calibri" w:eastAsia="Times New Roman" w:hAnsi="Calibri"/>
                <w:b/>
                <w:bCs/>
                <w:color w:val="FFFFFF"/>
                <w:szCs w:val="22"/>
                <w:lang w:eastAsia="en-GB"/>
              </w:rPr>
            </w:pPr>
          </w:p>
        </w:tc>
        <w:tc>
          <w:tcPr>
            <w:tcW w:w="2268"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12069 (0,246)</w:t>
            </w:r>
          </w:p>
        </w:tc>
        <w:tc>
          <w:tcPr>
            <w:tcW w:w="2268"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18765 (0,557)</w:t>
            </w:r>
          </w:p>
        </w:tc>
        <w:tc>
          <w:tcPr>
            <w:tcW w:w="2409" w:type="dxa"/>
            <w:tcBorders>
              <w:top w:val="nil"/>
              <w:left w:val="nil"/>
              <w:bottom w:val="single" w:sz="8" w:space="0" w:color="FFFFFF"/>
              <w:right w:val="single" w:sz="8" w:space="0" w:color="FFFFFF"/>
            </w:tcBorders>
            <w:shd w:val="clear" w:color="000000" w:fill="D9E2F3"/>
            <w:vAlign w:val="center"/>
          </w:tcPr>
          <w:p w:rsidR="00F23B5E" w:rsidRPr="0097311A" w:rsidRDefault="00F23B5E" w:rsidP="004A4E5F">
            <w:pPr>
              <w:jc w:val="right"/>
              <w:rPr>
                <w:rFonts w:ascii="Calibri" w:eastAsia="Times New Roman" w:hAnsi="Calibri"/>
                <w:b/>
                <w:szCs w:val="22"/>
                <w:lang w:eastAsia="en-GB"/>
              </w:rPr>
            </w:pPr>
            <w:r>
              <w:rPr>
                <w:rFonts w:ascii="Calibri" w:eastAsia="Times New Roman" w:hAnsi="Calibri"/>
                <w:b/>
                <w:szCs w:val="22"/>
                <w:lang w:eastAsia="en-GB"/>
              </w:rPr>
              <w:t>24484 (0,695)</w:t>
            </w:r>
          </w:p>
        </w:tc>
      </w:tr>
    </w:tbl>
    <w:p w:rsidR="00F23B5E" w:rsidRPr="00BB20B2" w:rsidRDefault="005158E2" w:rsidP="00F23B5E">
      <w:pPr>
        <w:keepNext/>
        <w:keepLines/>
        <w:spacing w:before="240"/>
      </w:pPr>
      <w:r>
        <w:t xml:space="preserve">(As already presented in the XXVI/9 report (UNEP, 2015)) </w:t>
      </w:r>
      <w:r w:rsidR="00F23B5E">
        <w:t xml:space="preserve">Table </w:t>
      </w:r>
      <w:r w:rsidR="009C03C8">
        <w:t>6</w:t>
      </w:r>
      <w:r w:rsidR="00F23B5E">
        <w:t xml:space="preserve">-13 (and </w:t>
      </w:r>
      <w:r w:rsidR="009C03C8">
        <w:t>6</w:t>
      </w:r>
      <w:r w:rsidR="00F23B5E">
        <w:t xml:space="preserve">-14) </w:t>
      </w:r>
      <w:r w:rsidR="00F23B5E" w:rsidRPr="00B25074">
        <w:t xml:space="preserve">show the following </w:t>
      </w:r>
      <w:r w:rsidR="00F23B5E">
        <w:t xml:space="preserve">(rounded) </w:t>
      </w:r>
      <w:r w:rsidR="00F23B5E" w:rsidRPr="00B25074">
        <w:t xml:space="preserve">integrated </w:t>
      </w:r>
      <w:r w:rsidR="00F23B5E">
        <w:t xml:space="preserve">total refrigerant demand </w:t>
      </w:r>
      <w:r w:rsidR="00F23B5E" w:rsidRPr="00B25074">
        <w:t>for the three scenarios</w:t>
      </w:r>
      <w:r w:rsidR="00F23B5E">
        <w:t xml:space="preserve"> for the period 2020-</w:t>
      </w:r>
      <w:r w:rsidR="00F23B5E" w:rsidRPr="00BB20B2">
        <w:t xml:space="preserve">2030 in </w:t>
      </w:r>
      <w:r w:rsidR="00F23B5E">
        <w:rPr>
          <w:lang w:eastAsia="ja-JP"/>
        </w:rPr>
        <w:t>Mt C</w:t>
      </w:r>
      <w:r w:rsidR="00F23B5E" w:rsidRPr="00BB20B2">
        <w:rPr>
          <w:lang w:eastAsia="ja-JP"/>
        </w:rPr>
        <w:t>O</w:t>
      </w:r>
      <w:r w:rsidR="00F23B5E" w:rsidRPr="00BB20B2">
        <w:rPr>
          <w:vertAlign w:val="subscript"/>
          <w:lang w:eastAsia="ja-JP"/>
        </w:rPr>
        <w:t>2</w:t>
      </w:r>
      <w:r w:rsidR="00F23B5E" w:rsidRPr="00BB20B2">
        <w:rPr>
          <w:lang w:eastAsia="ja-JP"/>
        </w:rPr>
        <w:t>-eq.</w:t>
      </w:r>
      <w:r w:rsidR="00F23B5E">
        <w:rPr>
          <w:lang w:eastAsia="ja-JP"/>
        </w:rPr>
        <w:t>:</w:t>
      </w:r>
    </w:p>
    <w:p w:rsidR="00F23B5E" w:rsidRPr="00544371" w:rsidRDefault="00F23B5E" w:rsidP="005158E2">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r>
      <w:r w:rsidRPr="00544371">
        <w:rPr>
          <w:i/>
          <w:lang w:eastAsia="ja-JP"/>
        </w:rPr>
        <w:t xml:space="preserve">16,000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 xml:space="preserve">  </w:t>
      </w:r>
      <w:r w:rsidRPr="00544371">
        <w:rPr>
          <w:i/>
          <w:lang w:eastAsia="ja-JP"/>
        </w:rPr>
        <w:t>6,</w:t>
      </w:r>
      <w:r>
        <w:rPr>
          <w:i/>
          <w:lang w:eastAsia="ja-JP"/>
        </w:rPr>
        <w:t>400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 xml:space="preserve">  9,800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rsidR="00F23B5E" w:rsidRPr="00544371" w:rsidRDefault="00F23B5E" w:rsidP="00F23B5E">
      <w:pPr>
        <w:keepNext/>
        <w:keepLines/>
        <w:spacing w:after="60"/>
        <w:rPr>
          <w:i/>
          <w:lang w:eastAsia="ja-JP"/>
        </w:rPr>
      </w:pPr>
      <w:r w:rsidRPr="002E0BBF">
        <w:rPr>
          <w:b/>
          <w:i/>
          <w:lang w:eastAsia="ja-JP"/>
        </w:rPr>
        <w:t>MIT-5</w:t>
      </w:r>
      <w:r w:rsidRPr="00544371">
        <w:rPr>
          <w:i/>
          <w:lang w:eastAsia="ja-JP"/>
        </w:rPr>
        <w:t>:</w:t>
      </w:r>
      <w:r w:rsidRPr="00544371">
        <w:rPr>
          <w:i/>
          <w:lang w:eastAsia="ja-JP"/>
        </w:rPr>
        <w:tab/>
      </w:r>
      <w:r>
        <w:rPr>
          <w:i/>
          <w:lang w:eastAsia="ja-JP"/>
        </w:rPr>
        <w:tab/>
      </w:r>
      <w:r w:rsidRPr="00544371">
        <w:rPr>
          <w:i/>
          <w:lang w:eastAsia="ja-JP"/>
        </w:rPr>
        <w:t xml:space="preserve">12,000 </w:t>
      </w:r>
      <w:r>
        <w:rPr>
          <w:i/>
          <w:lang w:eastAsia="ja-JP"/>
        </w:rPr>
        <w:t>Mt C</w:t>
      </w:r>
      <w:r w:rsidRPr="00544371">
        <w:rPr>
          <w:i/>
          <w:lang w:eastAsia="ja-JP"/>
        </w:rPr>
        <w:t>O</w:t>
      </w:r>
      <w:r w:rsidRPr="00544371">
        <w:rPr>
          <w:i/>
          <w:vertAlign w:val="subscript"/>
          <w:lang w:eastAsia="ja-JP"/>
        </w:rPr>
        <w:t>2</w:t>
      </w:r>
      <w:r w:rsidRPr="00544371">
        <w:rPr>
          <w:i/>
          <w:lang w:eastAsia="ja-JP"/>
        </w:rPr>
        <w:t>-eq.</w:t>
      </w:r>
    </w:p>
    <w:p w:rsidR="00F23B5E" w:rsidRDefault="00F23B5E" w:rsidP="005158E2">
      <w:pPr>
        <w:spacing w:before="120"/>
        <w:rPr>
          <w:lang w:eastAsia="ja-JP"/>
        </w:rPr>
      </w:pPr>
      <w:r>
        <w:rPr>
          <w:lang w:eastAsia="ja-JP"/>
        </w:rPr>
        <w:t>The MIT-3 reduction from BAU of 9,500 Mt CO</w:t>
      </w:r>
      <w:r w:rsidRPr="00D84F1C">
        <w:rPr>
          <w:vertAlign w:val="subscript"/>
          <w:lang w:eastAsia="ja-JP"/>
        </w:rPr>
        <w:t>2</w:t>
      </w:r>
      <w:r>
        <w:rPr>
          <w:lang w:eastAsia="ja-JP"/>
        </w:rPr>
        <w:t xml:space="preserve">-eq. represents a saving of 60%. In </w:t>
      </w:r>
      <w:r w:rsidR="00DB3F06">
        <w:rPr>
          <w:lang w:eastAsia="ja-JP"/>
        </w:rPr>
        <w:t xml:space="preserve">the </w:t>
      </w:r>
      <w:r>
        <w:rPr>
          <w:lang w:eastAsia="ja-JP"/>
        </w:rPr>
        <w:t>case of</w:t>
      </w:r>
      <w:r w:rsidR="00D15C7F">
        <w:rPr>
          <w:lang w:eastAsia="ja-JP"/>
        </w:rPr>
        <w:t xml:space="preserve"> </w:t>
      </w:r>
      <w:r>
        <w:rPr>
          <w:lang w:eastAsia="ja-JP"/>
        </w:rPr>
        <w:t>the MIT-4 scenario, with a reduction of about 6200</w:t>
      </w:r>
      <w:r w:rsidRPr="00E53DAF">
        <w:rPr>
          <w:lang w:eastAsia="ja-JP"/>
        </w:rPr>
        <w:t xml:space="preserve"> </w:t>
      </w:r>
      <w:r>
        <w:rPr>
          <w:lang w:eastAsia="ja-JP"/>
        </w:rPr>
        <w:t>Mt CO</w:t>
      </w:r>
      <w:r w:rsidRPr="00D84F1C">
        <w:rPr>
          <w:vertAlign w:val="subscript"/>
          <w:lang w:eastAsia="ja-JP"/>
        </w:rPr>
        <w:t>2</w:t>
      </w:r>
      <w:r>
        <w:rPr>
          <w:lang w:eastAsia="ja-JP"/>
        </w:rPr>
        <w:t>-eq. compared to BAU, there is a saving of almost 40% from BAU. The MIT-5 reduction of 4,000 Mt CO</w:t>
      </w:r>
      <w:r w:rsidRPr="00D84F1C">
        <w:rPr>
          <w:vertAlign w:val="subscript"/>
          <w:lang w:eastAsia="ja-JP"/>
        </w:rPr>
        <w:t>2</w:t>
      </w:r>
      <w:r>
        <w:rPr>
          <w:lang w:eastAsia="ja-JP"/>
        </w:rPr>
        <w:t>-eq. represents a smaller saving of 25% from BAU for this 2020-2030 period.</w:t>
      </w:r>
    </w:p>
    <w:p w:rsidR="00F23B5E" w:rsidRPr="00F770AA" w:rsidRDefault="00F23B5E" w:rsidP="00F23B5E">
      <w:pPr>
        <w:rPr>
          <w:b/>
          <w:lang w:eastAsia="ja-JP"/>
        </w:rPr>
      </w:pPr>
    </w:p>
    <w:p w:rsidR="00F23B5E" w:rsidRPr="0082111C" w:rsidRDefault="00F23B5E" w:rsidP="00F23B5E">
      <w:pPr>
        <w:keepNext/>
        <w:keepLines/>
        <w:spacing w:before="120"/>
      </w:pPr>
      <w:r>
        <w:t xml:space="preserve">Values </w:t>
      </w:r>
      <w:r w:rsidRPr="0082111C">
        <w:t xml:space="preserve">change </w:t>
      </w:r>
      <w:r>
        <w:t xml:space="preserve">calculated </w:t>
      </w:r>
      <w:r w:rsidRPr="0082111C">
        <w:t xml:space="preserve">for the three scenarios in </w:t>
      </w:r>
      <w:r w:rsidRPr="0082111C">
        <w:rPr>
          <w:lang w:eastAsia="ja-JP"/>
        </w:rPr>
        <w:t>Mt CO</w:t>
      </w:r>
      <w:r w:rsidRPr="0082111C">
        <w:rPr>
          <w:vertAlign w:val="subscript"/>
          <w:lang w:eastAsia="ja-JP"/>
        </w:rPr>
        <w:t>2</w:t>
      </w:r>
      <w:r w:rsidRPr="0082111C">
        <w:rPr>
          <w:lang w:eastAsia="ja-JP"/>
        </w:rPr>
        <w:t>-eq.</w:t>
      </w:r>
      <w:r>
        <w:rPr>
          <w:lang w:eastAsia="ja-JP"/>
        </w:rPr>
        <w:t xml:space="preserve"> through 2050</w:t>
      </w:r>
      <w:r w:rsidRPr="0082111C">
        <w:rPr>
          <w:lang w:eastAsia="ja-JP"/>
        </w:rPr>
        <w:t>:</w:t>
      </w:r>
    </w:p>
    <w:p w:rsidR="00F23B5E" w:rsidRPr="00544371" w:rsidRDefault="00F23B5E" w:rsidP="00464FEA">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t>80,200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15,800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21,000 Mt C</w:t>
      </w:r>
      <w:r w:rsidRPr="00544371">
        <w:rPr>
          <w:i/>
          <w:lang w:eastAsia="ja-JP"/>
        </w:rPr>
        <w:t>O</w:t>
      </w:r>
      <w:r w:rsidRPr="00544371">
        <w:rPr>
          <w:i/>
          <w:vertAlign w:val="subscript"/>
          <w:lang w:eastAsia="ja-JP"/>
        </w:rPr>
        <w:t>2</w:t>
      </w:r>
      <w:r w:rsidRPr="00544371">
        <w:rPr>
          <w:i/>
          <w:lang w:eastAsia="ja-JP"/>
        </w:rPr>
        <w:t>-eq.</w:t>
      </w:r>
    </w:p>
    <w:p w:rsidR="00F23B5E" w:rsidRPr="00544371" w:rsidRDefault="00F23B5E" w:rsidP="00464FEA">
      <w:pPr>
        <w:keepNext/>
        <w:keepLines/>
        <w:spacing w:after="120"/>
        <w:rPr>
          <w:i/>
          <w:lang w:eastAsia="ja-JP"/>
        </w:rPr>
      </w:pPr>
      <w:r w:rsidRPr="002E0BBF">
        <w:rPr>
          <w:b/>
          <w:i/>
          <w:lang w:eastAsia="ja-JP"/>
        </w:rPr>
        <w:t>MIT-5</w:t>
      </w:r>
      <w:r w:rsidRPr="00544371">
        <w:rPr>
          <w:i/>
          <w:lang w:eastAsia="ja-JP"/>
        </w:rPr>
        <w:t>:</w:t>
      </w:r>
      <w:r w:rsidRPr="00544371">
        <w:rPr>
          <w:i/>
          <w:lang w:eastAsia="ja-JP"/>
        </w:rPr>
        <w:tab/>
      </w:r>
      <w:r>
        <w:rPr>
          <w:i/>
          <w:lang w:eastAsia="ja-JP"/>
        </w:rPr>
        <w:tab/>
        <w:t>24,500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p>
    <w:p w:rsidR="00F23B5E" w:rsidRDefault="00F23B5E" w:rsidP="00F23B5E">
      <w:pPr>
        <w:rPr>
          <w:lang w:eastAsia="ja-JP"/>
        </w:rPr>
      </w:pPr>
      <w:r>
        <w:rPr>
          <w:lang w:eastAsia="ja-JP"/>
        </w:rPr>
        <w:t xml:space="preserve">The MIT-3 reduction from BAU represents a saving of 80%. In </w:t>
      </w:r>
      <w:r w:rsidR="00DB3F06">
        <w:rPr>
          <w:lang w:eastAsia="ja-JP"/>
        </w:rPr>
        <w:t xml:space="preserve">the </w:t>
      </w:r>
      <w:r>
        <w:rPr>
          <w:lang w:eastAsia="ja-JP"/>
        </w:rPr>
        <w:t>case of the MIT-4 scenario there is a saving</w:t>
      </w:r>
      <w:r w:rsidR="00307755">
        <w:rPr>
          <w:lang w:eastAsia="ja-JP"/>
        </w:rPr>
        <w:t>s</w:t>
      </w:r>
      <w:r>
        <w:rPr>
          <w:lang w:eastAsia="ja-JP"/>
        </w:rPr>
        <w:t xml:space="preserve"> of about 75% while the MIT-5 reduction of 56,000 Mt CO</w:t>
      </w:r>
      <w:r w:rsidRPr="00D84F1C">
        <w:rPr>
          <w:vertAlign w:val="subscript"/>
          <w:lang w:eastAsia="ja-JP"/>
        </w:rPr>
        <w:t>2</w:t>
      </w:r>
      <w:r>
        <w:rPr>
          <w:lang w:eastAsia="ja-JP"/>
        </w:rPr>
        <w:t>-eq. compared to BAU represents a saving</w:t>
      </w:r>
      <w:r w:rsidR="00DB3F06">
        <w:rPr>
          <w:lang w:eastAsia="ja-JP"/>
        </w:rPr>
        <w:t>s</w:t>
      </w:r>
      <w:r>
        <w:rPr>
          <w:lang w:eastAsia="ja-JP"/>
        </w:rPr>
        <w:t xml:space="preserve"> of 70% from BAU. There are still differences between the various MIT scenarios. However, the BAU demand for the entire period 2020-2050 becomes so large that the differences in reduction between the various mitigation scenarios MIT-3, -4 and -5 become less relevant. </w:t>
      </w:r>
    </w:p>
    <w:p w:rsidR="00F23B5E" w:rsidRDefault="00F23B5E" w:rsidP="00F23B5E">
      <w:pPr>
        <w:rPr>
          <w:lang w:eastAsia="ja-JP"/>
        </w:rPr>
      </w:pPr>
    </w:p>
    <w:p w:rsidR="00F23B5E" w:rsidRDefault="00F23B5E" w:rsidP="00F23B5E">
      <w:pPr>
        <w:rPr>
          <w:lang w:eastAsia="ja-JP"/>
        </w:rPr>
      </w:pPr>
      <w:r>
        <w:rPr>
          <w:lang w:eastAsia="ja-JP"/>
        </w:rPr>
        <w:t xml:space="preserve">A more reasonable estimate of the savings that can be realised via the various MIT scenarios may be </w:t>
      </w:r>
      <w:r w:rsidR="0092165F">
        <w:rPr>
          <w:lang w:eastAsia="ja-JP"/>
        </w:rPr>
        <w:t xml:space="preserve">the </w:t>
      </w:r>
      <w:r>
        <w:rPr>
          <w:lang w:eastAsia="ja-JP"/>
        </w:rPr>
        <w:t xml:space="preserve">consideration of the period 2020-2040;  </w:t>
      </w:r>
    </w:p>
    <w:p w:rsidR="00F23B5E" w:rsidRPr="00544371" w:rsidRDefault="00F23B5E" w:rsidP="00464FEA">
      <w:pPr>
        <w:keepNext/>
        <w:keepLines/>
        <w:spacing w:before="120"/>
        <w:rPr>
          <w:i/>
          <w:lang w:eastAsia="ja-JP"/>
        </w:rPr>
      </w:pPr>
      <w:r w:rsidRPr="002E0BBF">
        <w:rPr>
          <w:b/>
          <w:i/>
          <w:lang w:eastAsia="ja-JP"/>
        </w:rPr>
        <w:t>BAU</w:t>
      </w:r>
      <w:r w:rsidRPr="00544371">
        <w:rPr>
          <w:i/>
          <w:lang w:eastAsia="ja-JP"/>
        </w:rPr>
        <w:t xml:space="preserve">: </w:t>
      </w:r>
      <w:r w:rsidRPr="00544371">
        <w:rPr>
          <w:i/>
          <w:lang w:eastAsia="ja-JP"/>
        </w:rPr>
        <w:tab/>
      </w:r>
      <w:r>
        <w:rPr>
          <w:i/>
          <w:lang w:eastAsia="ja-JP"/>
        </w:rPr>
        <w:tab/>
        <w:t>42,300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sidRPr="00536A1B">
        <w:rPr>
          <w:b/>
          <w:i/>
          <w:lang w:eastAsia="ja-JP"/>
        </w:rPr>
        <w:t xml:space="preserve"> </w:t>
      </w:r>
    </w:p>
    <w:p w:rsidR="00F23B5E" w:rsidRPr="00544371" w:rsidRDefault="00F23B5E" w:rsidP="00F23B5E">
      <w:pPr>
        <w:keepNext/>
        <w:keepLines/>
        <w:rPr>
          <w:i/>
          <w:lang w:eastAsia="ja-JP"/>
        </w:rPr>
      </w:pPr>
      <w:r w:rsidRPr="002E0BBF">
        <w:rPr>
          <w:b/>
          <w:i/>
          <w:lang w:eastAsia="ja-JP"/>
        </w:rPr>
        <w:t>MIT-3</w:t>
      </w:r>
      <w:r w:rsidRPr="00544371">
        <w:rPr>
          <w:i/>
          <w:lang w:eastAsia="ja-JP"/>
        </w:rPr>
        <w:t>:</w:t>
      </w:r>
      <w:r w:rsidRPr="00544371">
        <w:rPr>
          <w:i/>
          <w:lang w:eastAsia="ja-JP"/>
        </w:rPr>
        <w:tab/>
        <w:t xml:space="preserve">  </w:t>
      </w:r>
      <w:r>
        <w:rPr>
          <w:i/>
          <w:lang w:eastAsia="ja-JP"/>
        </w:rPr>
        <w:tab/>
        <w:t>10,600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75% saving compared to BAU</w:t>
      </w:r>
    </w:p>
    <w:p w:rsidR="00F23B5E" w:rsidRPr="00544371" w:rsidRDefault="00F23B5E" w:rsidP="00F23B5E">
      <w:pPr>
        <w:keepNext/>
        <w:keepLines/>
        <w:rPr>
          <w:i/>
          <w:lang w:eastAsia="ja-JP"/>
        </w:rPr>
      </w:pPr>
      <w:r>
        <w:rPr>
          <w:b/>
          <w:i/>
          <w:lang w:eastAsia="ja-JP"/>
        </w:rPr>
        <w:t>MIT-4</w:t>
      </w:r>
      <w:r>
        <w:rPr>
          <w:i/>
          <w:lang w:eastAsia="ja-JP"/>
        </w:rPr>
        <w:t xml:space="preserve">:   </w:t>
      </w:r>
      <w:r>
        <w:rPr>
          <w:i/>
          <w:lang w:eastAsia="ja-JP"/>
        </w:rPr>
        <w:tab/>
        <w:t>15,600 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63% saving compared to BAU</w:t>
      </w:r>
    </w:p>
    <w:p w:rsidR="00F23B5E" w:rsidRDefault="00F23B5E" w:rsidP="00F23B5E">
      <w:pPr>
        <w:keepNext/>
        <w:keepLines/>
        <w:spacing w:after="60"/>
        <w:rPr>
          <w:i/>
          <w:lang w:eastAsia="ja-JP"/>
        </w:rPr>
      </w:pPr>
      <w:r w:rsidRPr="002E0BBF">
        <w:rPr>
          <w:b/>
          <w:i/>
          <w:lang w:eastAsia="ja-JP"/>
        </w:rPr>
        <w:t>MIT-5</w:t>
      </w:r>
      <w:r w:rsidRPr="00544371">
        <w:rPr>
          <w:i/>
          <w:lang w:eastAsia="ja-JP"/>
        </w:rPr>
        <w:t>:</w:t>
      </w:r>
      <w:r w:rsidRPr="00544371">
        <w:rPr>
          <w:i/>
          <w:lang w:eastAsia="ja-JP"/>
        </w:rPr>
        <w:tab/>
      </w:r>
      <w:r>
        <w:rPr>
          <w:i/>
          <w:lang w:eastAsia="ja-JP"/>
        </w:rPr>
        <w:tab/>
        <w:t>18,800</w:t>
      </w:r>
      <w:r w:rsidRPr="00544371">
        <w:rPr>
          <w:i/>
          <w:lang w:eastAsia="ja-JP"/>
        </w:rPr>
        <w:t xml:space="preserve"> </w:t>
      </w:r>
      <w:r>
        <w:rPr>
          <w:i/>
          <w:lang w:eastAsia="ja-JP"/>
        </w:rPr>
        <w:t>Mt C</w:t>
      </w:r>
      <w:r w:rsidRPr="00544371">
        <w:rPr>
          <w:i/>
          <w:lang w:eastAsia="ja-JP"/>
        </w:rPr>
        <w:t>O</w:t>
      </w:r>
      <w:r w:rsidRPr="00544371">
        <w:rPr>
          <w:i/>
          <w:vertAlign w:val="subscript"/>
          <w:lang w:eastAsia="ja-JP"/>
        </w:rPr>
        <w:t>2</w:t>
      </w:r>
      <w:r w:rsidRPr="00544371">
        <w:rPr>
          <w:i/>
          <w:lang w:eastAsia="ja-JP"/>
        </w:rPr>
        <w:t>-eq.</w:t>
      </w:r>
      <w:r>
        <w:rPr>
          <w:i/>
          <w:lang w:eastAsia="ja-JP"/>
        </w:rPr>
        <w:tab/>
      </w:r>
      <w:r>
        <w:rPr>
          <w:i/>
          <w:lang w:eastAsia="ja-JP"/>
        </w:rPr>
        <w:tab/>
        <w:t>56% saving compared to BAU.</w:t>
      </w:r>
    </w:p>
    <w:p w:rsidR="00F23B5E" w:rsidRDefault="00F23B5E" w:rsidP="00F23B5E">
      <w:pPr>
        <w:keepNext/>
        <w:keepLines/>
        <w:spacing w:after="60"/>
        <w:rPr>
          <w:lang w:eastAsia="ja-JP"/>
        </w:rPr>
      </w:pPr>
    </w:p>
    <w:p w:rsidR="00F23B5E" w:rsidRDefault="00F23B5E" w:rsidP="00F23B5E">
      <w:pPr>
        <w:keepNext/>
        <w:keepLines/>
        <w:spacing w:after="60"/>
        <w:rPr>
          <w:lang w:eastAsia="ja-JP"/>
        </w:rPr>
      </w:pPr>
      <w:r>
        <w:rPr>
          <w:lang w:eastAsia="ja-JP"/>
        </w:rPr>
        <w:t xml:space="preserve">Another way to look at this is to </w:t>
      </w:r>
      <w:r w:rsidR="00315D48">
        <w:rPr>
          <w:lang w:eastAsia="ja-JP"/>
        </w:rPr>
        <w:t xml:space="preserve">analyse </w:t>
      </w:r>
      <w:r>
        <w:rPr>
          <w:lang w:eastAsia="ja-JP"/>
        </w:rPr>
        <w:t xml:space="preserve">the trends </w:t>
      </w:r>
      <w:r w:rsidR="00315D48">
        <w:rPr>
          <w:lang w:eastAsia="ja-JP"/>
        </w:rPr>
        <w:t xml:space="preserve">in demand </w:t>
      </w:r>
      <w:r w:rsidR="0092165F">
        <w:rPr>
          <w:lang w:eastAsia="ja-JP"/>
        </w:rPr>
        <w:t xml:space="preserve">that are observed, </w:t>
      </w:r>
      <w:r w:rsidR="00876D0F">
        <w:rPr>
          <w:lang w:eastAsia="ja-JP"/>
        </w:rPr>
        <w:t xml:space="preserve">as </w:t>
      </w:r>
      <w:r>
        <w:rPr>
          <w:lang w:eastAsia="ja-JP"/>
        </w:rPr>
        <w:t>follows:</w:t>
      </w:r>
    </w:p>
    <w:p w:rsidR="007118F9" w:rsidRDefault="007118F9" w:rsidP="009840D4">
      <w:pPr>
        <w:keepNext/>
        <w:keepLines/>
        <w:numPr>
          <w:ilvl w:val="1"/>
          <w:numId w:val="41"/>
        </w:numPr>
        <w:spacing w:after="120"/>
        <w:ind w:left="360"/>
        <w:rPr>
          <w:b/>
          <w:lang w:eastAsia="ja-JP"/>
        </w:rPr>
      </w:pPr>
      <w:r>
        <w:rPr>
          <w:lang w:eastAsia="ja-JP"/>
        </w:rPr>
        <w:t xml:space="preserve">Peak values determined for the refrigerant demand increase with </w:t>
      </w:r>
      <w:r w:rsidR="00DB3F06">
        <w:rPr>
          <w:lang w:eastAsia="ja-JP"/>
        </w:rPr>
        <w:t xml:space="preserve">a </w:t>
      </w:r>
      <w:r>
        <w:rPr>
          <w:lang w:eastAsia="ja-JP"/>
        </w:rPr>
        <w:t xml:space="preserve">later start of conversion. </w:t>
      </w:r>
      <w:r w:rsidRPr="00C528C5">
        <w:rPr>
          <w:lang w:eastAsia="ja-JP"/>
        </w:rPr>
        <w:t xml:space="preserve">The peak value for MIT-3 in </w:t>
      </w:r>
      <w:r w:rsidRPr="00D155B0">
        <w:rPr>
          <w:i/>
          <w:lang w:eastAsia="ja-JP"/>
        </w:rPr>
        <w:t>2020</w:t>
      </w:r>
      <w:r w:rsidRPr="00C528C5">
        <w:rPr>
          <w:lang w:eastAsia="ja-JP"/>
        </w:rPr>
        <w:t xml:space="preserve"> is about 820 Mt CO</w:t>
      </w:r>
      <w:r w:rsidRPr="00C528C5">
        <w:rPr>
          <w:vertAlign w:val="subscript"/>
          <w:lang w:eastAsia="ja-JP"/>
        </w:rPr>
        <w:t>2</w:t>
      </w:r>
      <w:r w:rsidRPr="00C528C5">
        <w:rPr>
          <w:lang w:eastAsia="ja-JP"/>
        </w:rPr>
        <w:t>-eq. The peak value for MIT-4</w:t>
      </w:r>
      <w:r>
        <w:rPr>
          <w:lang w:eastAsia="ja-JP"/>
        </w:rPr>
        <w:t xml:space="preserve"> in the year </w:t>
      </w:r>
      <w:r w:rsidRPr="00D155B0">
        <w:rPr>
          <w:i/>
          <w:lang w:eastAsia="ja-JP"/>
        </w:rPr>
        <w:t>2023</w:t>
      </w:r>
      <w:r>
        <w:rPr>
          <w:lang w:eastAsia="ja-JP"/>
        </w:rPr>
        <w:t>, with conversion of stationary AC starting in 2025,</w:t>
      </w:r>
      <w:r w:rsidRPr="00C528C5">
        <w:rPr>
          <w:lang w:eastAsia="ja-JP"/>
        </w:rPr>
        <w:t xml:space="preserve"> is 25% higher (at 1025 Mt CO</w:t>
      </w:r>
      <w:r w:rsidRPr="00C528C5">
        <w:rPr>
          <w:vertAlign w:val="subscript"/>
          <w:lang w:eastAsia="ja-JP"/>
        </w:rPr>
        <w:t>2</w:t>
      </w:r>
      <w:r w:rsidRPr="00C528C5">
        <w:rPr>
          <w:lang w:eastAsia="ja-JP"/>
        </w:rPr>
        <w:t xml:space="preserve">-eq.), </w:t>
      </w:r>
      <w:r>
        <w:rPr>
          <w:lang w:eastAsia="ja-JP"/>
        </w:rPr>
        <w:t xml:space="preserve">whereas </w:t>
      </w:r>
      <w:r w:rsidRPr="00C528C5">
        <w:rPr>
          <w:lang w:eastAsia="ja-JP"/>
        </w:rPr>
        <w:t xml:space="preserve">the peak value for </w:t>
      </w:r>
      <w:r>
        <w:rPr>
          <w:lang w:eastAsia="ja-JP"/>
        </w:rPr>
        <w:t xml:space="preserve">demand for </w:t>
      </w:r>
      <w:r w:rsidRPr="00C528C5">
        <w:rPr>
          <w:lang w:eastAsia="ja-JP"/>
        </w:rPr>
        <w:t>MIT-5</w:t>
      </w:r>
      <w:r>
        <w:rPr>
          <w:lang w:eastAsia="ja-JP"/>
        </w:rPr>
        <w:t xml:space="preserve"> </w:t>
      </w:r>
      <w:r w:rsidRPr="00C528C5">
        <w:rPr>
          <w:lang w:eastAsia="ja-JP"/>
        </w:rPr>
        <w:t xml:space="preserve">in the year </w:t>
      </w:r>
      <w:r w:rsidRPr="00D155B0">
        <w:rPr>
          <w:i/>
          <w:lang w:eastAsia="ja-JP"/>
        </w:rPr>
        <w:t>2025</w:t>
      </w:r>
      <w:r w:rsidRPr="00C528C5">
        <w:rPr>
          <w:lang w:eastAsia="ja-JP"/>
        </w:rPr>
        <w:t xml:space="preserve"> is 62% higher than the one for MIT-3 (at 1330 Mt CO</w:t>
      </w:r>
      <w:r w:rsidRPr="00C528C5">
        <w:rPr>
          <w:vertAlign w:val="subscript"/>
          <w:lang w:eastAsia="ja-JP"/>
        </w:rPr>
        <w:t>2</w:t>
      </w:r>
      <w:r w:rsidRPr="00C528C5">
        <w:rPr>
          <w:lang w:eastAsia="ja-JP"/>
        </w:rPr>
        <w:t>-eq.).</w:t>
      </w:r>
      <w:r w:rsidRPr="00C528C5">
        <w:rPr>
          <w:b/>
          <w:lang w:eastAsia="ja-JP"/>
        </w:rPr>
        <w:t xml:space="preserve"> </w:t>
      </w:r>
    </w:p>
    <w:p w:rsidR="007118F9" w:rsidRDefault="007118F9" w:rsidP="009840D4">
      <w:pPr>
        <w:keepNext/>
        <w:keepLines/>
        <w:numPr>
          <w:ilvl w:val="1"/>
          <w:numId w:val="41"/>
        </w:numPr>
        <w:ind w:left="360"/>
        <w:rPr>
          <w:lang w:eastAsia="ja-JP"/>
        </w:rPr>
      </w:pPr>
      <w:r>
        <w:rPr>
          <w:lang w:eastAsia="ja-JP"/>
        </w:rPr>
        <w:t>For MIT-3, t</w:t>
      </w:r>
      <w:r w:rsidRPr="008526E8">
        <w:rPr>
          <w:lang w:eastAsia="ja-JP"/>
        </w:rPr>
        <w:t xml:space="preserve">he </w:t>
      </w:r>
      <w:r>
        <w:rPr>
          <w:lang w:eastAsia="ja-JP"/>
        </w:rPr>
        <w:t xml:space="preserve">average decline </w:t>
      </w:r>
      <w:r w:rsidRPr="008526E8">
        <w:rPr>
          <w:lang w:eastAsia="ja-JP"/>
        </w:rPr>
        <w:t xml:space="preserve">over a period of </w:t>
      </w:r>
      <w:r w:rsidR="00DB3F06">
        <w:rPr>
          <w:lang w:eastAsia="ja-JP"/>
        </w:rPr>
        <w:t xml:space="preserve">ten </w:t>
      </w:r>
      <w:r w:rsidRPr="008526E8">
        <w:rPr>
          <w:lang w:eastAsia="ja-JP"/>
        </w:rPr>
        <w:t>years after the peak year is 5.3% per year (</w:t>
      </w:r>
      <w:r>
        <w:rPr>
          <w:lang w:eastAsia="ja-JP"/>
        </w:rPr>
        <w:t xml:space="preserve">from 820 down </w:t>
      </w:r>
      <w:r w:rsidRPr="008526E8">
        <w:rPr>
          <w:lang w:eastAsia="ja-JP"/>
        </w:rPr>
        <w:t>to 390 Mt CO</w:t>
      </w:r>
      <w:r w:rsidRPr="008526E8">
        <w:rPr>
          <w:vertAlign w:val="subscript"/>
          <w:lang w:eastAsia="ja-JP"/>
        </w:rPr>
        <w:t>2</w:t>
      </w:r>
      <w:r w:rsidRPr="008526E8">
        <w:rPr>
          <w:lang w:eastAsia="ja-JP"/>
        </w:rPr>
        <w:t>-eq.</w:t>
      </w:r>
      <w:r>
        <w:rPr>
          <w:lang w:eastAsia="ja-JP"/>
        </w:rPr>
        <w:t xml:space="preserve"> in 2030</w:t>
      </w:r>
      <w:r w:rsidRPr="008526E8">
        <w:rPr>
          <w:lang w:eastAsia="ja-JP"/>
        </w:rPr>
        <w:t>)</w:t>
      </w:r>
      <w:r>
        <w:rPr>
          <w:lang w:eastAsia="ja-JP"/>
        </w:rPr>
        <w:t>, for</w:t>
      </w:r>
      <w:r w:rsidRPr="008526E8">
        <w:rPr>
          <w:lang w:eastAsia="ja-JP"/>
        </w:rPr>
        <w:t xml:space="preserve"> MIT-4 </w:t>
      </w:r>
      <w:r>
        <w:rPr>
          <w:lang w:eastAsia="ja-JP"/>
        </w:rPr>
        <w:t xml:space="preserve">it is 4.5% per year </w:t>
      </w:r>
      <w:r w:rsidRPr="008526E8">
        <w:rPr>
          <w:lang w:eastAsia="ja-JP"/>
        </w:rPr>
        <w:t>(</w:t>
      </w:r>
      <w:r>
        <w:rPr>
          <w:lang w:eastAsia="ja-JP"/>
        </w:rPr>
        <w:t xml:space="preserve">from 1025 down </w:t>
      </w:r>
      <w:r w:rsidRPr="008526E8">
        <w:rPr>
          <w:lang w:eastAsia="ja-JP"/>
        </w:rPr>
        <w:t>to 570 Mt CO</w:t>
      </w:r>
      <w:r w:rsidRPr="008526E8">
        <w:rPr>
          <w:vertAlign w:val="subscript"/>
          <w:lang w:eastAsia="ja-JP"/>
        </w:rPr>
        <w:t>2</w:t>
      </w:r>
      <w:r w:rsidRPr="008526E8">
        <w:rPr>
          <w:lang w:eastAsia="ja-JP"/>
        </w:rPr>
        <w:t>-eq.</w:t>
      </w:r>
      <w:r>
        <w:rPr>
          <w:lang w:eastAsia="ja-JP"/>
        </w:rPr>
        <w:t xml:space="preserve"> in 2033</w:t>
      </w:r>
      <w:r w:rsidRPr="008526E8">
        <w:rPr>
          <w:lang w:eastAsia="ja-JP"/>
        </w:rPr>
        <w:t xml:space="preserve">) and </w:t>
      </w:r>
      <w:r>
        <w:rPr>
          <w:lang w:eastAsia="ja-JP"/>
        </w:rPr>
        <w:t>for</w:t>
      </w:r>
      <w:r w:rsidRPr="008526E8">
        <w:rPr>
          <w:lang w:eastAsia="ja-JP"/>
        </w:rPr>
        <w:t xml:space="preserve"> MIT-5 </w:t>
      </w:r>
      <w:r>
        <w:rPr>
          <w:lang w:eastAsia="ja-JP"/>
        </w:rPr>
        <w:t>it is 5.5% per year</w:t>
      </w:r>
      <w:r w:rsidRPr="008526E8">
        <w:rPr>
          <w:lang w:eastAsia="ja-JP"/>
        </w:rPr>
        <w:t xml:space="preserve"> (</w:t>
      </w:r>
      <w:r>
        <w:rPr>
          <w:lang w:eastAsia="ja-JP"/>
        </w:rPr>
        <w:t xml:space="preserve">from 1330 down </w:t>
      </w:r>
      <w:r w:rsidRPr="008526E8">
        <w:rPr>
          <w:lang w:eastAsia="ja-JP"/>
        </w:rPr>
        <w:t>to 605 Mt CO</w:t>
      </w:r>
      <w:r w:rsidRPr="008526E8">
        <w:rPr>
          <w:vertAlign w:val="subscript"/>
          <w:lang w:eastAsia="ja-JP"/>
        </w:rPr>
        <w:t>2</w:t>
      </w:r>
      <w:r w:rsidRPr="008526E8">
        <w:rPr>
          <w:lang w:eastAsia="ja-JP"/>
        </w:rPr>
        <w:t xml:space="preserve">-eq.). If the freeze year </w:t>
      </w:r>
      <w:r>
        <w:rPr>
          <w:lang w:eastAsia="ja-JP"/>
        </w:rPr>
        <w:t xml:space="preserve">(which coincides with the peak year) </w:t>
      </w:r>
      <w:r w:rsidRPr="008526E8">
        <w:rPr>
          <w:lang w:eastAsia="ja-JP"/>
        </w:rPr>
        <w:t xml:space="preserve">is chosen as the starting point, an average annual reduction of 5% </w:t>
      </w:r>
      <w:r>
        <w:rPr>
          <w:lang w:eastAsia="ja-JP"/>
        </w:rPr>
        <w:t xml:space="preserve">in total demand (manufacturing and servicing) </w:t>
      </w:r>
      <w:r w:rsidRPr="008526E8">
        <w:rPr>
          <w:lang w:eastAsia="ja-JP"/>
        </w:rPr>
        <w:t>seems feasible for all types of scenarios.</w:t>
      </w:r>
      <w:r>
        <w:rPr>
          <w:lang w:eastAsia="ja-JP"/>
        </w:rPr>
        <w:t xml:space="preserve"> These values all apply to a manufacturing conversion period of </w:t>
      </w:r>
      <w:r w:rsidR="00DB3F06">
        <w:rPr>
          <w:lang w:eastAsia="ja-JP"/>
        </w:rPr>
        <w:t>six</w:t>
      </w:r>
      <w:r>
        <w:rPr>
          <w:lang w:eastAsia="ja-JP"/>
        </w:rPr>
        <w:t xml:space="preserve"> years.</w:t>
      </w:r>
    </w:p>
    <w:p w:rsidR="00EC433A" w:rsidRPr="008526E8" w:rsidRDefault="00EC433A" w:rsidP="009840D4">
      <w:pPr>
        <w:keepNext/>
        <w:keepLines/>
        <w:numPr>
          <w:ilvl w:val="1"/>
          <w:numId w:val="41"/>
        </w:numPr>
        <w:spacing w:before="120" w:after="120"/>
        <w:ind w:left="360"/>
        <w:rPr>
          <w:lang w:eastAsia="ja-JP"/>
        </w:rPr>
      </w:pPr>
      <w:r w:rsidRPr="00611764">
        <w:t xml:space="preserve">For each separate Article 5 country the peak (freeze) values will still be in the same years for the various MIT scenarios considered, however, annual reduction percentages achievable thereafter may be significantly different per country. </w:t>
      </w:r>
    </w:p>
    <w:p w:rsidR="00F23B5E" w:rsidRPr="00C528C5" w:rsidRDefault="00F23B5E" w:rsidP="00EC433A">
      <w:pPr>
        <w:keepNext/>
        <w:keepLines/>
        <w:rPr>
          <w:lang w:eastAsia="ja-JP"/>
        </w:rPr>
      </w:pPr>
      <w:r w:rsidRPr="008526E8">
        <w:rPr>
          <w:i/>
          <w:lang w:eastAsia="ja-JP"/>
        </w:rPr>
        <w:t xml:space="preserve"> </w:t>
      </w:r>
      <w:r w:rsidRPr="00C528C5">
        <w:rPr>
          <w:lang w:eastAsia="ja-JP"/>
        </w:rPr>
        <w:t xml:space="preserve">  </w:t>
      </w:r>
    </w:p>
    <w:p w:rsidR="006718A1" w:rsidRDefault="00F23B5E" w:rsidP="002977F9">
      <w:pPr>
        <w:keepNext/>
        <w:keepLines/>
        <w:rPr>
          <w:lang w:eastAsia="ja-JP"/>
        </w:rPr>
        <w:sectPr w:rsidR="006718A1" w:rsidSect="006718A1">
          <w:headerReference w:type="default" r:id="rId65"/>
          <w:type w:val="oddPage"/>
          <w:pgSz w:w="11900" w:h="16840"/>
          <w:pgMar w:top="1180" w:right="1800" w:bottom="1440" w:left="1800" w:header="630" w:footer="708" w:gutter="0"/>
          <w:cols w:space="708"/>
          <w:docGrid w:linePitch="360"/>
        </w:sectPr>
      </w:pPr>
      <w:r>
        <w:rPr>
          <w:i/>
          <w:lang w:eastAsia="ja-JP"/>
        </w:rPr>
        <w:t xml:space="preserve"> </w:t>
      </w:r>
      <w:r w:rsidRPr="00536A1B">
        <w:rPr>
          <w:b/>
          <w:i/>
          <w:lang w:eastAsia="ja-JP"/>
        </w:rPr>
        <w:t xml:space="preserve"> </w:t>
      </w:r>
    </w:p>
    <w:p w:rsidR="00F23B5E" w:rsidRPr="0045590D" w:rsidRDefault="00AE184E" w:rsidP="00F23B5E">
      <w:pPr>
        <w:pStyle w:val="Heading2"/>
        <w:spacing w:before="120"/>
      </w:pPr>
      <w:bookmarkStart w:id="119" w:name="_Toc452653407"/>
      <w:r>
        <w:lastRenderedPageBreak/>
        <w:t>6</w:t>
      </w:r>
      <w:r w:rsidR="00F23B5E" w:rsidRPr="0045590D">
        <w:t>.</w:t>
      </w:r>
      <w:r w:rsidR="00F23B5E">
        <w:t>7</w:t>
      </w:r>
      <w:r w:rsidR="00F23B5E">
        <w:tab/>
      </w:r>
      <w:r w:rsidR="00F23B5E" w:rsidRPr="0045590D">
        <w:tab/>
        <w:t>References</w:t>
      </w:r>
      <w:bookmarkEnd w:id="119"/>
    </w:p>
    <w:p w:rsidR="00F23B5E" w:rsidRPr="00D6777F" w:rsidRDefault="00F23B5E" w:rsidP="00F23B5E">
      <w:pPr>
        <w:pStyle w:val="StylereferencesTimesNewRoman"/>
        <w:tabs>
          <w:tab w:val="clear" w:pos="1134"/>
          <w:tab w:val="left" w:pos="2127"/>
        </w:tabs>
        <w:spacing w:before="0" w:after="120"/>
        <w:ind w:left="2126" w:hanging="2126"/>
        <w:jc w:val="left"/>
        <w:rPr>
          <w:sz w:val="21"/>
          <w:szCs w:val="21"/>
          <w:lang w:val="en-GB"/>
        </w:rPr>
      </w:pPr>
      <w:r w:rsidRPr="00D6777F">
        <w:rPr>
          <w:sz w:val="21"/>
          <w:szCs w:val="21"/>
          <w:lang w:val="en-GB"/>
        </w:rPr>
        <w:t>Campbell, 2015</w:t>
      </w:r>
      <w:r w:rsidRPr="00D6777F">
        <w:rPr>
          <w:sz w:val="21"/>
          <w:szCs w:val="21"/>
          <w:lang w:val="en-GB"/>
        </w:rPr>
        <w:tab/>
      </w:r>
      <w:r>
        <w:rPr>
          <w:sz w:val="21"/>
          <w:szCs w:val="21"/>
          <w:lang w:val="en-GB"/>
        </w:rPr>
        <w:t xml:space="preserve">Campbell, N., </w:t>
      </w:r>
      <w:r w:rsidRPr="00D6777F">
        <w:rPr>
          <w:sz w:val="21"/>
          <w:szCs w:val="21"/>
          <w:lang w:val="en-GB"/>
        </w:rPr>
        <w:t xml:space="preserve">Presentation at OORG meeting World Bank, </w:t>
      </w:r>
      <w:r>
        <w:rPr>
          <w:sz w:val="21"/>
          <w:szCs w:val="21"/>
          <w:lang w:val="en-GB"/>
        </w:rPr>
        <w:t xml:space="preserve">“HFC Production and Demand”, </w:t>
      </w:r>
      <w:r w:rsidRPr="00D6777F">
        <w:rPr>
          <w:sz w:val="21"/>
          <w:szCs w:val="21"/>
          <w:lang w:val="en-GB"/>
        </w:rPr>
        <w:t>May 2015</w:t>
      </w:r>
    </w:p>
    <w:p w:rsidR="007B7EF1" w:rsidRDefault="007B7EF1" w:rsidP="00F23B5E">
      <w:pPr>
        <w:pStyle w:val="StylereferencesTimesNewRoman"/>
        <w:tabs>
          <w:tab w:val="left" w:pos="2127"/>
        </w:tabs>
        <w:spacing w:before="0" w:after="120"/>
        <w:ind w:left="2127" w:hanging="2127"/>
        <w:jc w:val="left"/>
        <w:rPr>
          <w:sz w:val="21"/>
          <w:szCs w:val="21"/>
          <w:lang w:val="en-GB"/>
        </w:rPr>
      </w:pPr>
      <w:r>
        <w:rPr>
          <w:sz w:val="21"/>
          <w:szCs w:val="21"/>
          <w:lang w:val="en-GB"/>
        </w:rPr>
        <w:t>IPCC, 2007</w:t>
      </w:r>
      <w:r>
        <w:rPr>
          <w:sz w:val="21"/>
          <w:szCs w:val="21"/>
          <w:lang w:val="en-GB"/>
        </w:rPr>
        <w:tab/>
      </w:r>
      <w:r>
        <w:rPr>
          <w:sz w:val="21"/>
          <w:szCs w:val="21"/>
          <w:lang w:val="en-GB"/>
        </w:rPr>
        <w:tab/>
        <w:t>AR4, IPCC Fourth Assessment Report, 2007</w:t>
      </w:r>
    </w:p>
    <w:p w:rsidR="00F23B5E" w:rsidRPr="00D6777F" w:rsidRDefault="00F23B5E" w:rsidP="00F23B5E">
      <w:pPr>
        <w:pStyle w:val="StylereferencesTimesNewRoman"/>
        <w:tabs>
          <w:tab w:val="left" w:pos="2127"/>
        </w:tabs>
        <w:spacing w:before="0" w:after="120"/>
        <w:ind w:left="2127" w:hanging="2127"/>
        <w:jc w:val="left"/>
        <w:rPr>
          <w:sz w:val="21"/>
          <w:szCs w:val="21"/>
          <w:lang w:val="en-GB"/>
        </w:rPr>
      </w:pPr>
      <w:r w:rsidRPr="00D6777F">
        <w:rPr>
          <w:sz w:val="21"/>
          <w:szCs w:val="21"/>
          <w:lang w:val="en-GB"/>
        </w:rPr>
        <w:t>Kaixian, 2015</w:t>
      </w:r>
      <w:r w:rsidRPr="00D6777F">
        <w:rPr>
          <w:sz w:val="21"/>
          <w:szCs w:val="21"/>
          <w:lang w:val="en-GB"/>
        </w:rPr>
        <w:tab/>
      </w:r>
      <w:r>
        <w:rPr>
          <w:sz w:val="21"/>
          <w:szCs w:val="21"/>
          <w:lang w:val="en-GB"/>
        </w:rPr>
        <w:t xml:space="preserve">Kaixian, W., </w:t>
      </w:r>
      <w:r w:rsidRPr="00D6777F">
        <w:rPr>
          <w:sz w:val="21"/>
          <w:szCs w:val="21"/>
          <w:lang w:val="en-GB"/>
        </w:rPr>
        <w:t>Presentation at OORG meeting World Bank, “HCFCs/HFCs Production in China”, May 2015</w:t>
      </w:r>
    </w:p>
    <w:p w:rsidR="00F23B5E" w:rsidRPr="00D6777F" w:rsidRDefault="00F23B5E" w:rsidP="00F23B5E">
      <w:pPr>
        <w:pStyle w:val="StylereferencesTimesNewRoman"/>
        <w:tabs>
          <w:tab w:val="left" w:pos="2127"/>
        </w:tabs>
        <w:spacing w:before="0" w:after="120"/>
        <w:ind w:left="2127" w:hanging="2127"/>
        <w:jc w:val="left"/>
        <w:rPr>
          <w:sz w:val="21"/>
          <w:szCs w:val="21"/>
          <w:lang w:val="en-GB"/>
        </w:rPr>
      </w:pPr>
      <w:r w:rsidRPr="00D6777F">
        <w:rPr>
          <w:sz w:val="21"/>
          <w:szCs w:val="21"/>
          <w:lang w:val="en-GB"/>
        </w:rPr>
        <w:t>Ku</w:t>
      </w:r>
      <w:r w:rsidRPr="00C41A60">
        <w:rPr>
          <w:sz w:val="21"/>
          <w:szCs w:val="21"/>
          <w:lang w:val="en-GB"/>
        </w:rPr>
        <w:t>ij</w:t>
      </w:r>
      <w:r w:rsidRPr="00D6777F">
        <w:rPr>
          <w:sz w:val="21"/>
          <w:szCs w:val="21"/>
          <w:lang w:val="en-GB"/>
        </w:rPr>
        <w:t xml:space="preserve">pers, </w:t>
      </w:r>
      <w:r>
        <w:rPr>
          <w:sz w:val="21"/>
          <w:szCs w:val="21"/>
          <w:lang w:val="en-GB"/>
        </w:rPr>
        <w:t>2015</w:t>
      </w:r>
      <w:r w:rsidRPr="00D6777F">
        <w:rPr>
          <w:sz w:val="21"/>
          <w:szCs w:val="21"/>
          <w:lang w:val="en-GB"/>
        </w:rPr>
        <w:tab/>
      </w:r>
      <w:r>
        <w:rPr>
          <w:sz w:val="21"/>
          <w:szCs w:val="21"/>
          <w:lang w:val="en-GB"/>
        </w:rPr>
        <w:t>Kuijpers, L., P</w:t>
      </w:r>
      <w:r w:rsidRPr="00D6777F">
        <w:rPr>
          <w:sz w:val="21"/>
          <w:szCs w:val="21"/>
          <w:lang w:val="en-GB"/>
        </w:rPr>
        <w:t>rivate communications from chemical manufacturers</w:t>
      </w:r>
      <w:r>
        <w:rPr>
          <w:sz w:val="21"/>
          <w:szCs w:val="21"/>
          <w:lang w:val="en-GB"/>
        </w:rPr>
        <w:t>, May-July 2015</w:t>
      </w:r>
      <w:r w:rsidRPr="00D6777F">
        <w:rPr>
          <w:sz w:val="21"/>
          <w:szCs w:val="21"/>
          <w:lang w:val="en-GB"/>
        </w:rPr>
        <w:t xml:space="preserve"> </w:t>
      </w:r>
    </w:p>
    <w:p w:rsidR="00F23B5E" w:rsidRPr="00D6777F" w:rsidRDefault="00F23B5E" w:rsidP="00F23B5E">
      <w:pPr>
        <w:pStyle w:val="StylereferencesTimesNewRoman"/>
        <w:tabs>
          <w:tab w:val="left" w:pos="2127"/>
        </w:tabs>
        <w:spacing w:before="0" w:after="120"/>
        <w:ind w:left="2127" w:hanging="2127"/>
        <w:jc w:val="left"/>
        <w:rPr>
          <w:sz w:val="21"/>
          <w:szCs w:val="21"/>
          <w:lang w:val="en-GB"/>
        </w:rPr>
      </w:pPr>
      <w:r w:rsidRPr="00D6777F">
        <w:rPr>
          <w:sz w:val="21"/>
          <w:szCs w:val="21"/>
          <w:lang w:val="en-GB"/>
        </w:rPr>
        <w:t xml:space="preserve">McCulloch, 2015 </w:t>
      </w:r>
      <w:r w:rsidRPr="00D6777F">
        <w:rPr>
          <w:sz w:val="21"/>
          <w:szCs w:val="21"/>
          <w:lang w:val="en-GB"/>
        </w:rPr>
        <w:tab/>
        <w:t>Private communications</w:t>
      </w:r>
      <w:r>
        <w:rPr>
          <w:sz w:val="21"/>
          <w:szCs w:val="21"/>
          <w:lang w:val="en-GB"/>
        </w:rPr>
        <w:t xml:space="preserve"> with L. Kuijpers, May 2015</w:t>
      </w:r>
    </w:p>
    <w:p w:rsidR="00F23B5E" w:rsidRPr="00D6777F" w:rsidRDefault="00F23B5E" w:rsidP="00F23B5E">
      <w:pPr>
        <w:autoSpaceDE w:val="0"/>
        <w:autoSpaceDN w:val="0"/>
        <w:adjustRightInd w:val="0"/>
        <w:spacing w:after="120"/>
        <w:ind w:left="2160" w:hanging="2160"/>
        <w:rPr>
          <w:sz w:val="21"/>
          <w:szCs w:val="21"/>
        </w:rPr>
      </w:pPr>
      <w:r w:rsidRPr="007370E1">
        <w:rPr>
          <w:sz w:val="21"/>
          <w:szCs w:val="21"/>
        </w:rPr>
        <w:t>Montzka, 2015</w:t>
      </w:r>
      <w:r w:rsidRPr="007370E1">
        <w:rPr>
          <w:sz w:val="21"/>
          <w:szCs w:val="21"/>
        </w:rPr>
        <w:tab/>
      </w:r>
      <w:r w:rsidRPr="007370E1">
        <w:rPr>
          <w:color w:val="auto"/>
          <w:sz w:val="21"/>
          <w:szCs w:val="21"/>
        </w:rPr>
        <w:t>S. A. Montzka, M. McFarland, S. O. Andersen, B. R. Miller,</w:t>
      </w:r>
      <w:r w:rsidRPr="007370E1">
        <w:rPr>
          <w:rFonts w:eastAsia="AdvOT8608a8d1+22"/>
          <w:color w:val="auto"/>
          <w:sz w:val="21"/>
          <w:szCs w:val="21"/>
        </w:rPr>
        <w:t xml:space="preserve"> </w:t>
      </w:r>
      <w:r w:rsidRPr="007370E1">
        <w:rPr>
          <w:color w:val="auto"/>
          <w:sz w:val="21"/>
          <w:szCs w:val="21"/>
        </w:rPr>
        <w:t>D. W.</w:t>
      </w:r>
      <w:r w:rsidRPr="00D6777F">
        <w:rPr>
          <w:color w:val="auto"/>
          <w:sz w:val="21"/>
          <w:szCs w:val="21"/>
        </w:rPr>
        <w:t xml:space="preserve"> Fahey, B. D. Hall, L. Hu, C. Siso, and J. W. Elkins, Recent Trends in Global Emissions of Hydrochlorofluorocarbons and Hydrofluorocarbons: Reflecting on the 2007 Adjustments to the Montreal Protocol, J. Phys</w:t>
      </w:r>
      <w:r>
        <w:rPr>
          <w:color w:val="auto"/>
          <w:sz w:val="21"/>
          <w:szCs w:val="21"/>
        </w:rPr>
        <w:t>.</w:t>
      </w:r>
      <w:r w:rsidRPr="00D6777F">
        <w:rPr>
          <w:color w:val="auto"/>
          <w:sz w:val="21"/>
          <w:szCs w:val="21"/>
        </w:rPr>
        <w:t xml:space="preserve"> Chem</w:t>
      </w:r>
      <w:r>
        <w:rPr>
          <w:color w:val="auto"/>
          <w:sz w:val="21"/>
          <w:szCs w:val="21"/>
        </w:rPr>
        <w:t>.</w:t>
      </w:r>
      <w:r w:rsidRPr="00D6777F">
        <w:rPr>
          <w:color w:val="auto"/>
          <w:sz w:val="21"/>
          <w:szCs w:val="21"/>
        </w:rPr>
        <w:t>, dx.doi.org/1</w:t>
      </w:r>
      <w:r>
        <w:rPr>
          <w:color w:val="auto"/>
          <w:sz w:val="21"/>
          <w:szCs w:val="21"/>
        </w:rPr>
        <w:t>0,</w:t>
      </w:r>
      <w:r w:rsidRPr="00D6777F">
        <w:rPr>
          <w:color w:val="auto"/>
          <w:sz w:val="21"/>
          <w:szCs w:val="21"/>
        </w:rPr>
        <w:t xml:space="preserve">1021/jp5097376, 2015 </w:t>
      </w:r>
    </w:p>
    <w:p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 xml:space="preserve">Rigby et al., 2013  </w:t>
      </w:r>
      <w:r>
        <w:rPr>
          <w:sz w:val="21"/>
          <w:szCs w:val="21"/>
          <w:lang w:val="en-GB"/>
        </w:rPr>
        <w:tab/>
        <w:t xml:space="preserve">M. Rigby, R.G. Prinn, S. O’Doherty, B.R. Miller, D. Ivy, J. Muehle, C.M . Hart, P.K. Salameh, T. Arnolds, R.F. Weiss, P.B. Krummel, L.P. Steele, P.J. Fraser, D. Young and .P. Simmonds, “Recent and future trends in synthetic greenhouse gas radiative forcing”, Geophysical Research </w:t>
      </w:r>
      <w:r w:rsidRPr="006A4E3E">
        <w:rPr>
          <w:sz w:val="22"/>
          <w:szCs w:val="22"/>
          <w:lang w:val="en-GB"/>
        </w:rPr>
        <w:t>Letters, 1</w:t>
      </w:r>
      <w:r>
        <w:rPr>
          <w:sz w:val="22"/>
          <w:szCs w:val="22"/>
          <w:lang w:val="en-GB"/>
        </w:rPr>
        <w:t>0,</w:t>
      </w:r>
      <w:r w:rsidRPr="006A4E3E">
        <w:rPr>
          <w:sz w:val="22"/>
          <w:szCs w:val="22"/>
          <w:lang w:val="en-GB"/>
        </w:rPr>
        <w:t>1002/2013GL059099</w:t>
      </w:r>
    </w:p>
    <w:p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sidRPr="00D6777F">
        <w:rPr>
          <w:sz w:val="21"/>
          <w:szCs w:val="21"/>
          <w:lang w:val="en-GB"/>
        </w:rPr>
        <w:t>RTOC, 2010</w:t>
      </w:r>
      <w:r w:rsidRPr="00D6777F">
        <w:rPr>
          <w:sz w:val="21"/>
          <w:szCs w:val="21"/>
          <w:lang w:val="en-GB"/>
        </w:rPr>
        <w:tab/>
        <w:t>UNEP, Refrigeration, AC and Heat Pumps Technical Options Committee, 2010 Assessment Report, ISBN 978-9966-20-002-0</w:t>
      </w:r>
    </w:p>
    <w:p w:rsidR="00F23B5E" w:rsidRDefault="00F23B5E" w:rsidP="00F23B5E">
      <w:pPr>
        <w:pStyle w:val="StylereferencesTimesNewRoman"/>
        <w:tabs>
          <w:tab w:val="clear" w:pos="1134"/>
          <w:tab w:val="left" w:pos="2127"/>
        </w:tabs>
        <w:spacing w:before="0" w:after="120"/>
        <w:ind w:left="2127" w:hanging="2127"/>
        <w:jc w:val="left"/>
        <w:rPr>
          <w:sz w:val="21"/>
          <w:szCs w:val="21"/>
          <w:lang w:val="en-GB"/>
        </w:rPr>
      </w:pPr>
      <w:r>
        <w:rPr>
          <w:sz w:val="21"/>
          <w:szCs w:val="21"/>
          <w:lang w:val="en-GB"/>
        </w:rPr>
        <w:t>UNEP, 2015</w:t>
      </w:r>
      <w:r>
        <w:rPr>
          <w:sz w:val="21"/>
          <w:szCs w:val="21"/>
          <w:lang w:val="en-GB"/>
        </w:rPr>
        <w:tab/>
        <w:t>UNEP, Update Report of the XXVI/9 TEAP Task Force, September 2015</w:t>
      </w:r>
      <w:r w:rsidR="004356CA">
        <w:rPr>
          <w:sz w:val="21"/>
          <w:szCs w:val="21"/>
          <w:lang w:val="en-GB"/>
        </w:rPr>
        <w:t>, ISBN 978-9966-076-14-4</w:t>
      </w:r>
      <w:r>
        <w:rPr>
          <w:sz w:val="21"/>
          <w:szCs w:val="21"/>
          <w:lang w:val="en-GB"/>
        </w:rPr>
        <w:t xml:space="preserve"> </w:t>
      </w: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pPr>
    </w:p>
    <w:p w:rsidR="006C528F" w:rsidRDefault="006C528F" w:rsidP="00F23B5E">
      <w:pPr>
        <w:pStyle w:val="StylereferencesTimesNewRoman"/>
        <w:tabs>
          <w:tab w:val="clear" w:pos="1134"/>
          <w:tab w:val="left" w:pos="2127"/>
        </w:tabs>
        <w:spacing w:before="0" w:after="120"/>
        <w:ind w:left="2127" w:hanging="2127"/>
        <w:jc w:val="left"/>
        <w:rPr>
          <w:sz w:val="21"/>
          <w:szCs w:val="21"/>
          <w:lang w:val="en-GB"/>
        </w:rPr>
        <w:sectPr w:rsidR="006C528F" w:rsidSect="006718A1">
          <w:type w:val="oddPage"/>
          <w:pgSz w:w="11900" w:h="16840"/>
          <w:pgMar w:top="1180" w:right="1800" w:bottom="1440" w:left="1800" w:header="630" w:footer="708" w:gutter="0"/>
          <w:cols w:space="708"/>
          <w:docGrid w:linePitch="360"/>
        </w:sectPr>
      </w:pPr>
    </w:p>
    <w:p w:rsidR="00325989" w:rsidRDefault="00F72D7F" w:rsidP="00723652">
      <w:pPr>
        <w:pStyle w:val="Heading1"/>
        <w:ind w:left="1440" w:hanging="1260"/>
        <w:jc w:val="left"/>
      </w:pPr>
      <w:bookmarkStart w:id="120" w:name="_Toc452653408"/>
      <w:r>
        <w:lastRenderedPageBreak/>
        <w:t>7</w:t>
      </w:r>
      <w:r w:rsidR="00325989">
        <w:tab/>
        <w:t>List of acronyms and abbreviations</w:t>
      </w:r>
      <w:bookmarkEnd w:id="101"/>
      <w:bookmarkEnd w:id="120"/>
    </w:p>
    <w:p w:rsidR="00325989" w:rsidRDefault="00325989" w:rsidP="00325989">
      <w:pPr>
        <w:ind w:left="1281" w:hanging="1281"/>
      </w:pPr>
      <w:r>
        <w:t>AHRI</w:t>
      </w:r>
      <w:r>
        <w:tab/>
        <w:t>A</w:t>
      </w:r>
      <w:r w:rsidR="00D52B63">
        <w:t xml:space="preserve">ir Conditioning, </w:t>
      </w:r>
      <w:r>
        <w:t xml:space="preserve">Heating and Refrigeration Institute </w:t>
      </w:r>
    </w:p>
    <w:p w:rsidR="00D52B63" w:rsidRDefault="00D52B63" w:rsidP="00325989">
      <w:pPr>
        <w:ind w:left="1281" w:hanging="1281"/>
      </w:pPr>
      <w:r>
        <w:t>AREP</w:t>
      </w:r>
      <w:r>
        <w:tab/>
        <w:t>Alternative Refrigerants Evaluation Program</w:t>
      </w:r>
    </w:p>
    <w:p w:rsidR="00325989" w:rsidRDefault="00325989" w:rsidP="00325989">
      <w:pPr>
        <w:ind w:left="1281" w:hanging="1281"/>
      </w:pPr>
      <w:r>
        <w:t>ASHRAE</w:t>
      </w:r>
      <w:r>
        <w:tab/>
        <w:t>American Society of Heating, Refrigerat</w:t>
      </w:r>
      <w:r w:rsidR="00D52B63">
        <w:t>ing</w:t>
      </w:r>
      <w:r>
        <w:t xml:space="preserve"> and Air Conditioning Engineers </w:t>
      </w:r>
    </w:p>
    <w:p w:rsidR="00325989" w:rsidRDefault="00325989" w:rsidP="00325989">
      <w:pPr>
        <w:ind w:left="1281" w:hanging="1281"/>
      </w:pPr>
      <w:r>
        <w:t xml:space="preserve">ASTM </w:t>
      </w:r>
      <w:r>
        <w:tab/>
        <w:t>American Society for Testing and Materials</w:t>
      </w:r>
    </w:p>
    <w:p w:rsidR="00325989" w:rsidRDefault="00325989" w:rsidP="00325989">
      <w:pPr>
        <w:ind w:left="1281" w:hanging="1281"/>
      </w:pPr>
      <w:r>
        <w:t xml:space="preserve">CEN </w:t>
      </w:r>
      <w:r>
        <w:tab/>
        <w:t>European Committee for Standardisation</w:t>
      </w:r>
    </w:p>
    <w:p w:rsidR="00325989" w:rsidRDefault="00325989" w:rsidP="00325989">
      <w:pPr>
        <w:ind w:left="1281" w:hanging="1281"/>
      </w:pPr>
      <w:r>
        <w:t xml:space="preserve">CFC </w:t>
      </w:r>
      <w:r>
        <w:tab/>
        <w:t>Chlorofluorocarbon</w:t>
      </w:r>
    </w:p>
    <w:p w:rsidR="00325989" w:rsidRDefault="00325989" w:rsidP="00325989">
      <w:pPr>
        <w:ind w:left="1281" w:hanging="1281"/>
      </w:pPr>
      <w:r>
        <w:t>CO</w:t>
      </w:r>
      <w:r>
        <w:rPr>
          <w:vertAlign w:val="subscript"/>
        </w:rPr>
        <w:t>2</w:t>
      </w:r>
      <w:r>
        <w:t xml:space="preserve"> </w:t>
      </w:r>
      <w:r>
        <w:tab/>
        <w:t>Carbon Dioxide</w:t>
      </w:r>
    </w:p>
    <w:p w:rsidR="00325989" w:rsidRDefault="00325989" w:rsidP="00325989">
      <w:pPr>
        <w:ind w:left="1281" w:hanging="1281"/>
        <w:rPr>
          <w:rFonts w:eastAsia="MS Mincho"/>
          <w:lang w:eastAsia="ja-JP"/>
        </w:rPr>
      </w:pPr>
      <w:r>
        <w:rPr>
          <w:rFonts w:eastAsia="MS Mincho"/>
          <w:lang w:eastAsia="ja-JP"/>
        </w:rPr>
        <w:t xml:space="preserve">COP </w:t>
      </w:r>
      <w:r>
        <w:rPr>
          <w:rFonts w:eastAsia="MS Mincho"/>
          <w:lang w:eastAsia="ja-JP"/>
        </w:rPr>
        <w:tab/>
        <w:t>Coefficient of Performance</w:t>
      </w:r>
    </w:p>
    <w:p w:rsidR="00325989" w:rsidRDefault="00325989" w:rsidP="00325989">
      <w:pPr>
        <w:ind w:left="1281" w:hanging="1281"/>
      </w:pPr>
      <w:r>
        <w:t xml:space="preserve">EPA </w:t>
      </w:r>
      <w:r>
        <w:tab/>
        <w:t>US Environmental Protection Agency</w:t>
      </w:r>
    </w:p>
    <w:p w:rsidR="00325989" w:rsidRDefault="00325989" w:rsidP="00325989">
      <w:pPr>
        <w:ind w:left="1281" w:hanging="1281"/>
      </w:pPr>
      <w:r>
        <w:t xml:space="preserve">EU </w:t>
      </w:r>
      <w:r>
        <w:tab/>
        <w:t>European Union</w:t>
      </w:r>
    </w:p>
    <w:p w:rsidR="00325989" w:rsidRDefault="00325989" w:rsidP="00325989">
      <w:pPr>
        <w:ind w:left="1281" w:hanging="1281"/>
      </w:pPr>
      <w:r>
        <w:t xml:space="preserve">GWP </w:t>
      </w:r>
      <w:r>
        <w:tab/>
        <w:t>Global Warming Potential</w:t>
      </w:r>
    </w:p>
    <w:p w:rsidR="00876D0F" w:rsidRDefault="00876D0F" w:rsidP="00325989">
      <w:pPr>
        <w:ind w:left="1281" w:hanging="1281"/>
      </w:pPr>
      <w:r>
        <w:t>HC</w:t>
      </w:r>
      <w:r>
        <w:tab/>
        <w:t>Hydrocarbon</w:t>
      </w:r>
    </w:p>
    <w:p w:rsidR="005F2F63" w:rsidRDefault="005F2F63" w:rsidP="00325989">
      <w:pPr>
        <w:ind w:left="1281" w:hanging="1281"/>
      </w:pPr>
      <w:r>
        <w:t>HCC</w:t>
      </w:r>
      <w:r>
        <w:tab/>
        <w:t>Hydrochlorocarbon</w:t>
      </w:r>
    </w:p>
    <w:p w:rsidR="00325989" w:rsidRDefault="00325989" w:rsidP="00325989">
      <w:pPr>
        <w:ind w:left="1281" w:hanging="1281"/>
      </w:pPr>
      <w:r>
        <w:t xml:space="preserve">HCFC </w:t>
      </w:r>
      <w:r>
        <w:tab/>
        <w:t>Hydrochlorofluorocarbon</w:t>
      </w:r>
    </w:p>
    <w:p w:rsidR="00325989" w:rsidRDefault="00325989" w:rsidP="00325989">
      <w:pPr>
        <w:ind w:left="1281" w:hanging="1281"/>
        <w:rPr>
          <w:rFonts w:eastAsia="MS Mincho"/>
          <w:lang w:eastAsia="ja-JP"/>
        </w:rPr>
      </w:pPr>
      <w:r>
        <w:rPr>
          <w:rFonts w:eastAsia="MS Mincho"/>
          <w:lang w:eastAsia="ja-JP"/>
        </w:rPr>
        <w:t>HCFO</w:t>
      </w:r>
      <w:r>
        <w:rPr>
          <w:rFonts w:eastAsia="MS Mincho"/>
          <w:lang w:eastAsia="ja-JP"/>
        </w:rPr>
        <w:tab/>
        <w:t>Hydrochlorofluoroolefin</w:t>
      </w:r>
    </w:p>
    <w:p w:rsidR="00325989" w:rsidRDefault="00325989" w:rsidP="00325989">
      <w:pPr>
        <w:ind w:left="1281" w:hanging="1281"/>
      </w:pPr>
      <w:r>
        <w:t>HCO</w:t>
      </w:r>
      <w:r>
        <w:tab/>
        <w:t>Oxygenated hydrocarbon</w:t>
      </w:r>
    </w:p>
    <w:p w:rsidR="00325989" w:rsidRDefault="00325989" w:rsidP="00325989">
      <w:pPr>
        <w:ind w:left="1281" w:hanging="1281"/>
      </w:pPr>
      <w:r>
        <w:t xml:space="preserve">HFC </w:t>
      </w:r>
      <w:r>
        <w:tab/>
        <w:t>Hydrofluorocarbon</w:t>
      </w:r>
    </w:p>
    <w:p w:rsidR="00325989" w:rsidRDefault="00325989" w:rsidP="00325989">
      <w:pPr>
        <w:ind w:left="1281" w:hanging="1281"/>
      </w:pPr>
      <w:r>
        <w:t>HF</w:t>
      </w:r>
      <w:r>
        <w:rPr>
          <w:rFonts w:eastAsia="MS Mincho"/>
          <w:lang w:eastAsia="ja-JP"/>
        </w:rPr>
        <w:t>O</w:t>
      </w:r>
      <w:r>
        <w:t xml:space="preserve"> </w:t>
      </w:r>
      <w:r>
        <w:tab/>
        <w:t>Hydrofluoro</w:t>
      </w:r>
      <w:r>
        <w:rPr>
          <w:rFonts w:eastAsia="MS Mincho"/>
          <w:lang w:eastAsia="ja-JP"/>
        </w:rPr>
        <w:t>olefin</w:t>
      </w:r>
    </w:p>
    <w:p w:rsidR="00325989" w:rsidRDefault="00325989" w:rsidP="00325989">
      <w:pPr>
        <w:ind w:left="1281" w:hanging="1281"/>
      </w:pPr>
      <w:r>
        <w:t xml:space="preserve">HTOC </w:t>
      </w:r>
      <w:r>
        <w:tab/>
        <w:t>Halons Technical Options Committee</w:t>
      </w:r>
    </w:p>
    <w:p w:rsidR="00325989" w:rsidRDefault="00325989" w:rsidP="00325989">
      <w:pPr>
        <w:ind w:left="1281" w:hanging="1281"/>
      </w:pPr>
      <w:r>
        <w:t>IIR</w:t>
      </w:r>
      <w:r>
        <w:tab/>
        <w:t>International Institute for Refrigeration</w:t>
      </w:r>
    </w:p>
    <w:p w:rsidR="00325989" w:rsidRDefault="00325989" w:rsidP="00325989">
      <w:pPr>
        <w:ind w:left="1281" w:hanging="1281"/>
      </w:pPr>
      <w:r>
        <w:t xml:space="preserve">IPCC </w:t>
      </w:r>
      <w:r>
        <w:tab/>
        <w:t>Intergovernmental Panel on Climate Change</w:t>
      </w:r>
    </w:p>
    <w:p w:rsidR="00325989" w:rsidRDefault="00325989" w:rsidP="00325989">
      <w:pPr>
        <w:ind w:left="1281" w:hanging="1281"/>
      </w:pPr>
      <w:r>
        <w:t xml:space="preserve">ISO </w:t>
      </w:r>
      <w:r>
        <w:tab/>
        <w:t>International Organisation for Standardisation</w:t>
      </w:r>
    </w:p>
    <w:p w:rsidR="00325989" w:rsidRDefault="00325989" w:rsidP="00325989">
      <w:pPr>
        <w:ind w:left="1281" w:hanging="1281"/>
      </w:pPr>
      <w:r>
        <w:t>LCA</w:t>
      </w:r>
      <w:r>
        <w:tab/>
        <w:t>Life Cycle Analysis</w:t>
      </w:r>
    </w:p>
    <w:p w:rsidR="00325989" w:rsidRDefault="00325989" w:rsidP="00325989">
      <w:pPr>
        <w:ind w:left="1281" w:hanging="1281"/>
      </w:pPr>
      <w:r>
        <w:t>LCCP</w:t>
      </w:r>
      <w:r>
        <w:tab/>
        <w:t xml:space="preserve">Life Cycle Climate Performance </w:t>
      </w:r>
    </w:p>
    <w:p w:rsidR="0045496E" w:rsidRDefault="0045496E" w:rsidP="00325989">
      <w:pPr>
        <w:ind w:left="1281" w:hanging="1281"/>
      </w:pPr>
      <w:r>
        <w:t>MBH</w:t>
      </w:r>
      <w:r w:rsidR="00DE5A61">
        <w:tab/>
        <w:t>Thousand BTUs per Hour</w:t>
      </w:r>
    </w:p>
    <w:p w:rsidR="00325989" w:rsidRDefault="00325989" w:rsidP="00325989">
      <w:pPr>
        <w:ind w:left="1281" w:hanging="1281"/>
      </w:pPr>
      <w:r>
        <w:t xml:space="preserve">ODP </w:t>
      </w:r>
      <w:r>
        <w:tab/>
        <w:t>Ozone Depletion Potential</w:t>
      </w:r>
    </w:p>
    <w:p w:rsidR="00325989" w:rsidRDefault="00325989" w:rsidP="00325989">
      <w:pPr>
        <w:ind w:left="1281" w:hanging="1281"/>
      </w:pPr>
      <w:r>
        <w:t xml:space="preserve">ODS </w:t>
      </w:r>
      <w:r>
        <w:tab/>
        <w:t>Ozone Depleting Substance</w:t>
      </w:r>
    </w:p>
    <w:p w:rsidR="00325989" w:rsidRDefault="00325989" w:rsidP="00325989">
      <w:pPr>
        <w:ind w:left="1281" w:hanging="1281"/>
        <w:rPr>
          <w:rFonts w:eastAsia="MS Mincho"/>
          <w:lang w:eastAsia="ja-JP"/>
        </w:rPr>
      </w:pPr>
      <w:r>
        <w:rPr>
          <w:rFonts w:eastAsia="MS Mincho"/>
          <w:lang w:eastAsia="ja-JP"/>
        </w:rPr>
        <w:t>OEL</w:t>
      </w:r>
      <w:r>
        <w:rPr>
          <w:rFonts w:eastAsia="MS Mincho"/>
          <w:lang w:eastAsia="ja-JP"/>
        </w:rPr>
        <w:tab/>
        <w:t xml:space="preserve">Occupational Exposure Limit </w:t>
      </w:r>
    </w:p>
    <w:p w:rsidR="00325989" w:rsidRDefault="00325989" w:rsidP="00325989">
      <w:pPr>
        <w:ind w:left="1281" w:hanging="1281"/>
      </w:pPr>
      <w:r>
        <w:t>R/AC</w:t>
      </w:r>
      <w:r>
        <w:tab/>
        <w:t xml:space="preserve">Refrigeration and Air Conditioning (also </w:t>
      </w:r>
      <w:r w:rsidRPr="0059136A">
        <w:t>RAC</w:t>
      </w:r>
      <w:r w:rsidR="00100536" w:rsidRPr="0059136A">
        <w:t>&amp;</w:t>
      </w:r>
      <w:r w:rsidRPr="0059136A">
        <w:t>HP)</w:t>
      </w:r>
    </w:p>
    <w:p w:rsidR="00325989" w:rsidRDefault="00325989" w:rsidP="00325989">
      <w:pPr>
        <w:ind w:left="1281" w:hanging="1281"/>
      </w:pPr>
      <w:r>
        <w:t>RTOC</w:t>
      </w:r>
      <w:r>
        <w:tab/>
        <w:t>Refrigeration, AC and Heat Pumps Technical Options Committee</w:t>
      </w:r>
    </w:p>
    <w:p w:rsidR="00325989" w:rsidRDefault="00325989" w:rsidP="00325989">
      <w:pPr>
        <w:ind w:left="1281" w:hanging="1281"/>
      </w:pPr>
      <w:r>
        <w:t xml:space="preserve">SNAP </w:t>
      </w:r>
      <w:r>
        <w:tab/>
        <w:t>Significant New Alternatives Policy</w:t>
      </w:r>
    </w:p>
    <w:p w:rsidR="00325989" w:rsidRDefault="00325989" w:rsidP="00325989">
      <w:pPr>
        <w:ind w:left="1281" w:hanging="1281"/>
      </w:pPr>
      <w:r>
        <w:t xml:space="preserve">TEAP </w:t>
      </w:r>
      <w:r>
        <w:tab/>
        <w:t>Technology and Economic Assessment Panel</w:t>
      </w:r>
    </w:p>
    <w:p w:rsidR="00325989" w:rsidRDefault="00325989" w:rsidP="00325989">
      <w:pPr>
        <w:ind w:left="1281" w:hanging="1281"/>
        <w:rPr>
          <w:rFonts w:eastAsia="MS Mincho"/>
          <w:lang w:eastAsia="ja-JP"/>
        </w:rPr>
      </w:pPr>
      <w:r>
        <w:rPr>
          <w:rFonts w:eastAsia="MS Mincho"/>
          <w:lang w:eastAsia="ja-JP"/>
        </w:rPr>
        <w:t>T</w:t>
      </w:r>
      <w:r>
        <w:rPr>
          <w:lang w:eastAsia="ja-JP"/>
        </w:rPr>
        <w:t>EWI</w:t>
      </w:r>
      <w:r>
        <w:rPr>
          <w:rFonts w:eastAsia="MS Mincho"/>
          <w:lang w:eastAsia="ja-JP"/>
        </w:rPr>
        <w:tab/>
      </w:r>
      <w:r>
        <w:rPr>
          <w:lang w:eastAsia="ja-JP"/>
        </w:rPr>
        <w:t>Total Equivalent Warming Impact</w:t>
      </w:r>
    </w:p>
    <w:p w:rsidR="00325989" w:rsidRDefault="00325989" w:rsidP="00325989">
      <w:pPr>
        <w:ind w:left="1281" w:hanging="1281"/>
        <w:rPr>
          <w:rFonts w:eastAsia="MS Mincho"/>
          <w:lang w:eastAsia="ja-JP"/>
        </w:rPr>
      </w:pPr>
      <w:r>
        <w:rPr>
          <w:rFonts w:eastAsia="MS Mincho"/>
          <w:lang w:eastAsia="ja-JP"/>
        </w:rPr>
        <w:t>TLV</w:t>
      </w:r>
      <w:r>
        <w:rPr>
          <w:rFonts w:eastAsia="MS Mincho"/>
          <w:lang w:eastAsia="ja-JP"/>
        </w:rPr>
        <w:tab/>
        <w:t xml:space="preserve">Threshold Limit Value </w:t>
      </w:r>
    </w:p>
    <w:p w:rsidR="00325989" w:rsidRDefault="00325989" w:rsidP="00325989">
      <w:pPr>
        <w:ind w:left="1281" w:hanging="1281"/>
      </w:pPr>
      <w:r>
        <w:t xml:space="preserve">UL </w:t>
      </w:r>
      <w:r>
        <w:tab/>
        <w:t>Underwriters Laboratories Inc.</w:t>
      </w:r>
    </w:p>
    <w:p w:rsidR="00325989" w:rsidRDefault="00325989" w:rsidP="00325989">
      <w:pPr>
        <w:ind w:left="1281" w:hanging="1281"/>
        <w:rPr>
          <w:rFonts w:eastAsia="MS Mincho"/>
          <w:lang w:eastAsia="ja-JP"/>
        </w:rPr>
      </w:pPr>
      <w:r>
        <w:rPr>
          <w:rFonts w:eastAsia="MS Mincho"/>
          <w:lang w:eastAsia="ja-JP"/>
        </w:rPr>
        <w:t>UNEP</w:t>
      </w:r>
      <w:r>
        <w:rPr>
          <w:rFonts w:eastAsia="MS Mincho"/>
          <w:lang w:eastAsia="ja-JP"/>
        </w:rPr>
        <w:tab/>
        <w:t>United Nations Environment Programme</w:t>
      </w:r>
    </w:p>
    <w:p w:rsidR="00D92614" w:rsidRDefault="00325989" w:rsidP="00325989">
      <w:pPr>
        <w:ind w:left="1281" w:hanging="1281"/>
        <w:rPr>
          <w:rFonts w:eastAsia="MS Mincho"/>
          <w:lang w:eastAsia="ja-JP"/>
        </w:rPr>
      </w:pPr>
      <w:r>
        <w:rPr>
          <w:rFonts w:eastAsia="MS Mincho"/>
          <w:lang w:eastAsia="ja-JP"/>
        </w:rPr>
        <w:t>VOC</w:t>
      </w:r>
      <w:r>
        <w:rPr>
          <w:rFonts w:eastAsia="MS Mincho"/>
          <w:lang w:eastAsia="ja-JP"/>
        </w:rPr>
        <w:tab/>
        <w:t>Volatile Organic Compound</w:t>
      </w:r>
    </w:p>
    <w:p w:rsidR="00A2698F" w:rsidRDefault="00A2698F" w:rsidP="00325989">
      <w:pPr>
        <w:ind w:left="1281" w:hanging="1281"/>
        <w:rPr>
          <w:rFonts w:eastAsia="MS Mincho"/>
          <w:lang w:eastAsia="ja-JP"/>
        </w:rPr>
        <w:sectPr w:rsidR="00A2698F" w:rsidSect="00EF4095">
          <w:headerReference w:type="even" r:id="rId66"/>
          <w:headerReference w:type="default" r:id="rId67"/>
          <w:footerReference w:type="even" r:id="rId68"/>
          <w:footerReference w:type="default" r:id="rId69"/>
          <w:headerReference w:type="first" r:id="rId70"/>
          <w:type w:val="oddPage"/>
          <w:pgSz w:w="11907" w:h="16839" w:code="9"/>
          <w:pgMar w:top="1440" w:right="1440" w:bottom="1440" w:left="1440" w:header="720" w:footer="720" w:gutter="0"/>
          <w:cols w:space="708"/>
          <w:docGrid w:linePitch="326"/>
        </w:sectPr>
      </w:pPr>
    </w:p>
    <w:p w:rsidR="00A31EB2" w:rsidRPr="00A31EB2" w:rsidRDefault="0034620F" w:rsidP="009F4B9C">
      <w:pPr>
        <w:pStyle w:val="Heading1"/>
        <w:ind w:left="1350" w:hanging="1350"/>
      </w:pPr>
      <w:bookmarkStart w:id="121" w:name="_Toc452653409"/>
      <w:r w:rsidRPr="00077D33">
        <w:lastRenderedPageBreak/>
        <w:t>Annex 1</w:t>
      </w:r>
      <w:r w:rsidR="00A31EB2">
        <w:t xml:space="preserve"> - </w:t>
      </w:r>
      <w:r w:rsidR="00A31EB2" w:rsidRPr="00A31EB2">
        <w:t xml:space="preserve">Summary of Informal Discussion on </w:t>
      </w:r>
      <w:r w:rsidR="00A31EB2">
        <w:t xml:space="preserve">the </w:t>
      </w:r>
      <w:r w:rsidR="00A31EB2" w:rsidRPr="00A31EB2">
        <w:t>TEAP Decision XXVII/4 Task Force Report for OEWG-37</w:t>
      </w:r>
      <w:bookmarkEnd w:id="121"/>
    </w:p>
    <w:p w:rsidR="00A31EB2" w:rsidRDefault="00A31EB2" w:rsidP="00A31EB2"/>
    <w:p w:rsidR="00A31EB2" w:rsidRPr="00A31EB2" w:rsidRDefault="00A31EB2" w:rsidP="00A31EB2">
      <w:r>
        <w:t>P</w:t>
      </w:r>
      <w:r w:rsidRPr="00A31EB2">
        <w:t>arties provided comments on this report and suggestions for TEAP’s second report under Decision XXVII/4 in an informal discussion session with TEAP, Thursday 7 April, 1-2.30 p.m. The comments and suggestions are summarized below. All these comments will be taken into consideration by the TEAP XXVII/4 Task Force within the timeline remaining to the Task Force to complete its second report for submission to OEWG-38.</w:t>
      </w:r>
    </w:p>
    <w:p w:rsidR="00A31EB2" w:rsidRPr="00A31EB2" w:rsidRDefault="00A31EB2" w:rsidP="00A31EB2">
      <w:r w:rsidRPr="00A31EB2">
        <w:t xml:space="preserve"> </w:t>
      </w:r>
    </w:p>
    <w:p w:rsidR="00A31EB2" w:rsidRPr="00A31EB2" w:rsidRDefault="00A31EB2" w:rsidP="00A31EB2">
      <w:pPr>
        <w:rPr>
          <w:b/>
        </w:rPr>
      </w:pPr>
      <w:r w:rsidRPr="00A31EB2">
        <w:rPr>
          <w:b/>
        </w:rPr>
        <w:t>Update on refrigerants</w:t>
      </w:r>
    </w:p>
    <w:p w:rsidR="00A31EB2" w:rsidRPr="00A31EB2" w:rsidRDefault="00A31EB2" w:rsidP="00DF1E74">
      <w:pPr>
        <w:numPr>
          <w:ilvl w:val="0"/>
          <w:numId w:val="51"/>
        </w:numPr>
      </w:pPr>
      <w:r w:rsidRPr="00A31EB2">
        <w:t>The report should include updates and information on not-in-kind (NIK) technologies.</w:t>
      </w:r>
    </w:p>
    <w:p w:rsidR="00A31EB2" w:rsidRPr="00A31EB2" w:rsidRDefault="00A31EB2" w:rsidP="00DF1E74">
      <w:pPr>
        <w:numPr>
          <w:ilvl w:val="0"/>
          <w:numId w:val="50"/>
        </w:numPr>
      </w:pPr>
      <w:r w:rsidRPr="00A31EB2">
        <w:t>Further consideration should also be provided with regards to safety with the aim of advancing technologies to meet the current safety standards in relation to the new alternatives. With regard to servicing, the report should address whether use of the alternatives including flammables would require specialized training, including under HAT conditions.</w:t>
      </w:r>
    </w:p>
    <w:p w:rsidR="00A31EB2" w:rsidRPr="00A31EB2" w:rsidRDefault="00A31EB2" w:rsidP="00DF1E74">
      <w:pPr>
        <w:numPr>
          <w:ilvl w:val="0"/>
          <w:numId w:val="50"/>
        </w:numPr>
      </w:pPr>
      <w:r w:rsidRPr="00A31EB2">
        <w:t xml:space="preserve">A request was made for addressing criteria from paragraph 1(a) of the previous Decision XXVI/9, including addressing whether alternatives are “environmentally sound” in order to avoid having to revisit in the future decisions that are made today in selecting alternatives. Additionally, the term “environmentally sound” could be further elaborated. </w:t>
      </w:r>
    </w:p>
    <w:p w:rsidR="00A31EB2" w:rsidRPr="00A31EB2" w:rsidRDefault="00A31EB2" w:rsidP="00A31EB2"/>
    <w:p w:rsidR="00A31EB2" w:rsidRPr="00A31EB2" w:rsidRDefault="00A31EB2" w:rsidP="00A31EB2">
      <w:pPr>
        <w:rPr>
          <w:b/>
        </w:rPr>
      </w:pPr>
      <w:r w:rsidRPr="00A31EB2">
        <w:rPr>
          <w:b/>
        </w:rPr>
        <w:t>Testing of alternatives under high ambient temperature (HAT) conditions</w:t>
      </w:r>
    </w:p>
    <w:p w:rsidR="00A31EB2" w:rsidRPr="00A31EB2" w:rsidRDefault="00A31EB2" w:rsidP="00DF1E74">
      <w:pPr>
        <w:numPr>
          <w:ilvl w:val="0"/>
          <w:numId w:val="50"/>
        </w:numPr>
      </w:pPr>
      <w:r w:rsidRPr="00A31EB2">
        <w:t>A Party that had proposed language for considering a HAT exemption in the contact group meeting offered to share the information to TEAP on the criteria and data used; the party also noted that it would welcome other alternative approaches.</w:t>
      </w:r>
    </w:p>
    <w:p w:rsidR="00A31EB2" w:rsidRPr="00A31EB2" w:rsidRDefault="00A31EB2" w:rsidP="00DF1E74">
      <w:pPr>
        <w:numPr>
          <w:ilvl w:val="0"/>
          <w:numId w:val="50"/>
        </w:numPr>
      </w:pPr>
      <w:r w:rsidRPr="00A31EB2">
        <w:t xml:space="preserve">The section in the report that discussed the results of the alternatives testing under HAT conditions were actually positive, and this positive outcome along with any negative outcomes of the testing should be better reflected in the executive summary of the report. However, the executive summary of the report should also indicate that certain elements were not included in the alternatives testing such as risk assessment. </w:t>
      </w:r>
    </w:p>
    <w:p w:rsidR="00A31EB2" w:rsidRPr="00A31EB2" w:rsidRDefault="00A31EB2" w:rsidP="00DF1E74">
      <w:pPr>
        <w:numPr>
          <w:ilvl w:val="0"/>
          <w:numId w:val="50"/>
        </w:numPr>
      </w:pPr>
      <w:r w:rsidRPr="00A31EB2">
        <w:t xml:space="preserve">The cost element should be reflected in a contextual manner to include the cost of in-kind replacement, full or partial system redesign. </w:t>
      </w:r>
    </w:p>
    <w:p w:rsidR="00A31EB2" w:rsidRPr="00A31EB2" w:rsidRDefault="00A31EB2" w:rsidP="00DF1E74">
      <w:pPr>
        <w:numPr>
          <w:ilvl w:val="0"/>
          <w:numId w:val="50"/>
        </w:numPr>
      </w:pPr>
      <w:r w:rsidRPr="00A31EB2">
        <w:t xml:space="preserve">A couple of </w:t>
      </w:r>
      <w:r w:rsidR="00307755">
        <w:t>P</w:t>
      </w:r>
      <w:r w:rsidRPr="00A31EB2">
        <w:t>arties suggested that it would be helpful if the report could include an overview of the status of the various alternatives based on the testing - not in additional discussion within the report but perhaps in a table format so key information would be in one place.</w:t>
      </w:r>
    </w:p>
    <w:p w:rsidR="00A31EB2" w:rsidRPr="00A31EB2" w:rsidRDefault="00A31EB2" w:rsidP="00DF1E74">
      <w:pPr>
        <w:numPr>
          <w:ilvl w:val="0"/>
          <w:numId w:val="50"/>
        </w:numPr>
      </w:pPr>
      <w:r w:rsidRPr="00A31EB2">
        <w:t xml:space="preserve">A </w:t>
      </w:r>
      <w:r w:rsidR="00307755">
        <w:t>P</w:t>
      </w:r>
      <w:r w:rsidRPr="00A31EB2">
        <w:t>arty asked for HAT considerations to include some additional uses including in industrial equipment, chillers, and other sub-sectors such as transport air conditioning; additional uses mentioned were cooling of mines in South Africa and propane-driven technologies in Australia.</w:t>
      </w:r>
    </w:p>
    <w:p w:rsidR="00A31EB2" w:rsidRPr="00A31EB2" w:rsidRDefault="00A31EB2" w:rsidP="00A31EB2"/>
    <w:p w:rsidR="00A31EB2" w:rsidRPr="00A31EB2" w:rsidRDefault="00A31EB2" w:rsidP="00A31EB2">
      <w:pPr>
        <w:rPr>
          <w:b/>
        </w:rPr>
      </w:pPr>
      <w:r w:rsidRPr="00A31EB2">
        <w:rPr>
          <w:b/>
        </w:rPr>
        <w:t>Scenarios</w:t>
      </w:r>
    </w:p>
    <w:p w:rsidR="00A31EB2" w:rsidRPr="00A31EB2" w:rsidRDefault="00A31EB2" w:rsidP="00DF1E74">
      <w:pPr>
        <w:numPr>
          <w:ilvl w:val="0"/>
          <w:numId w:val="49"/>
        </w:numPr>
      </w:pPr>
      <w:r w:rsidRPr="00A31EB2">
        <w:t xml:space="preserve">A </w:t>
      </w:r>
      <w:r w:rsidR="00307755">
        <w:t>P</w:t>
      </w:r>
      <w:r w:rsidRPr="00A31EB2">
        <w:t>arty identified that some idea of the magnitudes of the present banks of HFCs would be helpful.</w:t>
      </w:r>
    </w:p>
    <w:p w:rsidR="00A31EB2" w:rsidRPr="00A31EB2" w:rsidRDefault="00A31EB2" w:rsidP="00DF1E74">
      <w:pPr>
        <w:numPr>
          <w:ilvl w:val="0"/>
          <w:numId w:val="49"/>
        </w:numPr>
      </w:pPr>
      <w:r w:rsidRPr="00A31EB2">
        <w:t>A request was made on whether the TEAP reported annual production of HFCs could be provided by countries.</w:t>
      </w:r>
    </w:p>
    <w:p w:rsidR="00A31EB2" w:rsidRPr="00A31EB2" w:rsidRDefault="00A31EB2" w:rsidP="00DF1E74">
      <w:pPr>
        <w:numPr>
          <w:ilvl w:val="0"/>
          <w:numId w:val="49"/>
        </w:numPr>
      </w:pPr>
      <w:r w:rsidRPr="00A31EB2">
        <w:t xml:space="preserve">A </w:t>
      </w:r>
      <w:r w:rsidR="00307755">
        <w:t>P</w:t>
      </w:r>
      <w:r w:rsidRPr="00A31EB2">
        <w:t>arty suggested that the report should clarify that only certain HFCs were included in the production figures.</w:t>
      </w:r>
    </w:p>
    <w:p w:rsidR="00A31EB2" w:rsidRPr="00A31EB2" w:rsidRDefault="00A31EB2" w:rsidP="00DF1E74">
      <w:pPr>
        <w:numPr>
          <w:ilvl w:val="0"/>
          <w:numId w:val="49"/>
        </w:numPr>
      </w:pPr>
      <w:r w:rsidRPr="00A31EB2">
        <w:t xml:space="preserve">With regard to the BAU, not all existing regulations were used so TEAP was requested to investigate whether the report could further consider these in addition to </w:t>
      </w:r>
      <w:r w:rsidRPr="00A31EB2">
        <w:lastRenderedPageBreak/>
        <w:t>a number of corporate commitments and changes in national procurement regulations.</w:t>
      </w:r>
    </w:p>
    <w:p w:rsidR="00A31EB2" w:rsidRPr="00A31EB2" w:rsidRDefault="00A31EB2" w:rsidP="00DF1E74">
      <w:pPr>
        <w:numPr>
          <w:ilvl w:val="0"/>
          <w:numId w:val="49"/>
        </w:numPr>
      </w:pPr>
      <w:r w:rsidRPr="00A31EB2">
        <w:t xml:space="preserve">A </w:t>
      </w:r>
      <w:r w:rsidR="00307755">
        <w:t>P</w:t>
      </w:r>
      <w:r w:rsidRPr="00A31EB2">
        <w:t>arty requested whether the report could show a BAU scenario without any regulatory actions incorporated.</w:t>
      </w:r>
    </w:p>
    <w:p w:rsidR="00A31EB2" w:rsidRPr="00A31EB2" w:rsidRDefault="00A31EB2" w:rsidP="00DF1E74">
      <w:pPr>
        <w:numPr>
          <w:ilvl w:val="0"/>
          <w:numId w:val="49"/>
        </w:numPr>
      </w:pPr>
      <w:r w:rsidRPr="00A31EB2">
        <w:t xml:space="preserve">Further clarification is needed on the estimated growth rates that were used compared to refrigerant demand growth. </w:t>
      </w:r>
    </w:p>
    <w:p w:rsidR="00A31EB2" w:rsidRPr="00A31EB2" w:rsidRDefault="00A31EB2" w:rsidP="00DF1E74">
      <w:pPr>
        <w:numPr>
          <w:ilvl w:val="0"/>
          <w:numId w:val="49"/>
        </w:numPr>
      </w:pPr>
      <w:r w:rsidRPr="00A31EB2">
        <w:t>A request was made as to whether the impacts of a longer manufacturing conversion period of 18 years could be calculated and incorporated.</w:t>
      </w:r>
    </w:p>
    <w:p w:rsidR="00A31EB2" w:rsidRPr="00A31EB2" w:rsidRDefault="00A31EB2" w:rsidP="00DF1E74">
      <w:pPr>
        <w:numPr>
          <w:ilvl w:val="0"/>
          <w:numId w:val="49"/>
        </w:numPr>
      </w:pPr>
      <w:r w:rsidRPr="00A31EB2">
        <w:t>The previous XXVI/9 report included estimated costs and emissions reductions for the various mitigation scenarios; a request was made to include these costs and benefits into this XXVII/4 report.</w:t>
      </w:r>
    </w:p>
    <w:p w:rsidR="00A31EB2" w:rsidRPr="00A31EB2" w:rsidRDefault="00A31EB2" w:rsidP="00DF1E74">
      <w:pPr>
        <w:numPr>
          <w:ilvl w:val="0"/>
          <w:numId w:val="49"/>
        </w:numPr>
        <w:rPr>
          <w:sz w:val="20"/>
          <w:szCs w:val="20"/>
        </w:rPr>
      </w:pPr>
      <w:r w:rsidRPr="00A31EB2">
        <w:t xml:space="preserve">A party requested whether the scenarios could show the demand on a regional basis. </w:t>
      </w:r>
    </w:p>
    <w:p w:rsidR="00A31EB2" w:rsidRDefault="00A31EB2" w:rsidP="0034620F">
      <w:pPr>
        <w:pStyle w:val="Heading1"/>
      </w:pPr>
    </w:p>
    <w:p w:rsidR="00146B22" w:rsidRPr="006A5F67" w:rsidRDefault="00A31EB2" w:rsidP="009F4B9C">
      <w:pPr>
        <w:pStyle w:val="Heading1"/>
        <w:spacing w:line="240" w:lineRule="auto"/>
        <w:ind w:left="1260" w:hanging="1260"/>
        <w:jc w:val="left"/>
      </w:pPr>
      <w:r>
        <w:br w:type="page"/>
      </w:r>
      <w:bookmarkStart w:id="122" w:name="_Toc451252551"/>
      <w:bookmarkStart w:id="123" w:name="_Toc452653410"/>
      <w:r w:rsidR="00146B22">
        <w:lastRenderedPageBreak/>
        <w:t>Annex 2</w:t>
      </w:r>
      <w:r w:rsidR="009F4B9C">
        <w:t xml:space="preserve"> - </w:t>
      </w:r>
      <w:r w:rsidR="00146B22">
        <w:t>Background information about refrigeration in the fishing industry</w:t>
      </w:r>
      <w:bookmarkEnd w:id="122"/>
      <w:bookmarkEnd w:id="123"/>
    </w:p>
    <w:p w:rsidR="00146B22" w:rsidRDefault="00146B22" w:rsidP="00146B22"/>
    <w:p w:rsidR="00146B22" w:rsidRDefault="00146B22" w:rsidP="00146B22">
      <w:pPr>
        <w:pStyle w:val="Heading2"/>
        <w:spacing w:line="240" w:lineRule="auto"/>
      </w:pPr>
      <w:bookmarkStart w:id="124" w:name="_Toc451252552"/>
      <w:bookmarkStart w:id="125" w:name="_Toc452653411"/>
      <w:r>
        <w:t>A2.1</w:t>
      </w:r>
      <w:r>
        <w:tab/>
      </w:r>
      <w:r>
        <w:tab/>
        <w:t>The fishing industry</w:t>
      </w:r>
      <w:bookmarkEnd w:id="124"/>
      <w:bookmarkEnd w:id="125"/>
    </w:p>
    <w:p w:rsidR="00146B22" w:rsidRDefault="00146B22" w:rsidP="00146B22">
      <w:pPr>
        <w:autoSpaceDE w:val="0"/>
        <w:autoSpaceDN w:val="0"/>
        <w:adjustRightInd w:val="0"/>
        <w:spacing w:after="120"/>
        <w:rPr>
          <w:rFonts w:eastAsia="FrutigerLTStd-Roman"/>
          <w:szCs w:val="22"/>
          <w:lang w:eastAsia="en-GB"/>
        </w:rPr>
      </w:pPr>
      <w:r w:rsidRPr="003A33EC">
        <w:rPr>
          <w:rFonts w:eastAsia="FrutigerLTStd-Roman"/>
          <w:szCs w:val="22"/>
          <w:lang w:eastAsia="en-GB"/>
        </w:rPr>
        <w:t xml:space="preserve">The total number of fishing vessels in the world in 2010 is estimated at about 4.36 million, which is similar to previous estimates. Of these, 3.23 million vessels (74%) are considered to operate in marine waters, with the remaining 1.13 million vessels operating in inland waters. Overall, Asia </w:t>
      </w:r>
      <w:r>
        <w:rPr>
          <w:rFonts w:eastAsia="FrutigerLTStd-Roman"/>
          <w:szCs w:val="22"/>
          <w:lang w:eastAsia="en-GB"/>
        </w:rPr>
        <w:t xml:space="preserve">and the Pacific </w:t>
      </w:r>
      <w:r w:rsidRPr="003A33EC">
        <w:rPr>
          <w:rFonts w:eastAsia="FrutigerLTStd-Roman"/>
          <w:szCs w:val="22"/>
          <w:lang w:eastAsia="en-GB"/>
        </w:rPr>
        <w:t>ha</w:t>
      </w:r>
      <w:r w:rsidR="00307755">
        <w:rPr>
          <w:rFonts w:eastAsia="FrutigerLTStd-Roman"/>
          <w:szCs w:val="22"/>
          <w:lang w:eastAsia="en-GB"/>
        </w:rPr>
        <w:t xml:space="preserve">ve </w:t>
      </w:r>
      <w:r w:rsidRPr="003A33EC">
        <w:rPr>
          <w:rFonts w:eastAsia="FrutigerLTStd-Roman"/>
          <w:szCs w:val="22"/>
          <w:lang w:eastAsia="en-GB"/>
        </w:rPr>
        <w:t>the largest fleet, comprising 3.18 million vessels and accounting for 73% of the world total, followed by Africa (11%), Latin America and the Caribbean (8%), North America (3%)</w:t>
      </w:r>
      <w:r w:rsidR="00307755">
        <w:rPr>
          <w:rFonts w:eastAsia="FrutigerLTStd-Roman"/>
          <w:szCs w:val="22"/>
          <w:lang w:eastAsia="en-GB"/>
        </w:rPr>
        <w:t xml:space="preserve">, </w:t>
      </w:r>
      <w:r w:rsidRPr="003A33EC">
        <w:rPr>
          <w:rFonts w:eastAsia="FrutigerLTStd-Roman"/>
          <w:szCs w:val="22"/>
          <w:lang w:eastAsia="en-GB"/>
        </w:rPr>
        <w:t xml:space="preserve">Europe (3%) </w:t>
      </w:r>
      <w:r w:rsidRPr="003A33EC">
        <w:rPr>
          <w:szCs w:val="22"/>
        </w:rPr>
        <w:t>and rest of world (2%)</w:t>
      </w:r>
      <w:r w:rsidRPr="003A33EC">
        <w:rPr>
          <w:rFonts w:eastAsia="FrutigerLTStd-Roman"/>
          <w:szCs w:val="22"/>
          <w:lang w:eastAsia="en-GB"/>
        </w:rPr>
        <w:t xml:space="preserve">. Globally, 60% of all fishing vessels were engine-powered in 2010, but although 69% of vessels operating in marine waters were motorised, the figure was only 36% for inland waters. For the fleet operating in marine waters, there were also large variations among regions, with non-motorised vessels accounting for less than 7% of the total in Europe and the Near East, but up to 61% </w:t>
      </w:r>
      <w:r w:rsidRPr="00C935B8">
        <w:rPr>
          <w:rFonts w:eastAsia="FrutigerLTStd-Roman"/>
          <w:szCs w:val="22"/>
          <w:lang w:eastAsia="en-GB"/>
        </w:rPr>
        <w:t xml:space="preserve">in Africa </w:t>
      </w:r>
      <w:r w:rsidR="00202ABD">
        <w:rPr>
          <w:rFonts w:eastAsia="FrutigerLTStd-Roman"/>
          <w:szCs w:val="22"/>
          <w:lang w:eastAsia="en-GB"/>
        </w:rPr>
        <w:t>(</w:t>
      </w:r>
      <w:r w:rsidRPr="00C935B8">
        <w:rPr>
          <w:rFonts w:eastAsia="FrutigerLTStd-Roman"/>
          <w:szCs w:val="22"/>
          <w:lang w:eastAsia="en-GB"/>
        </w:rPr>
        <w:t>UN, 2010</w:t>
      </w:r>
      <w:r w:rsidR="00202ABD">
        <w:rPr>
          <w:rFonts w:eastAsia="FrutigerLTStd-Roman"/>
          <w:szCs w:val="22"/>
          <w:lang w:eastAsia="en-GB"/>
        </w:rPr>
        <w:t>)</w:t>
      </w:r>
      <w:r w:rsidRPr="00C935B8">
        <w:rPr>
          <w:rFonts w:eastAsia="FrutigerLTStd-Roman"/>
          <w:szCs w:val="22"/>
          <w:lang w:eastAsia="en-GB"/>
        </w:rPr>
        <w:t>.</w:t>
      </w:r>
    </w:p>
    <w:p w:rsidR="00146B22" w:rsidRPr="003A33EC" w:rsidRDefault="00A1018E" w:rsidP="00146B22">
      <w:pPr>
        <w:autoSpaceDE w:val="0"/>
        <w:autoSpaceDN w:val="0"/>
        <w:adjustRightInd w:val="0"/>
        <w:spacing w:after="120"/>
        <w:rPr>
          <w:rFonts w:eastAsia="FrutigerLTStd-Roman"/>
          <w:szCs w:val="22"/>
          <w:lang w:eastAsia="en-GB"/>
        </w:rPr>
      </w:pPr>
      <w:r>
        <w:rPr>
          <w:rFonts w:eastAsia="FrutigerLTStd-Roman"/>
          <w:szCs w:val="22"/>
          <w:lang w:eastAsia="en-GB"/>
        </w:rPr>
        <w:t>As shown in Figure A2-1, a</w:t>
      </w:r>
      <w:r w:rsidR="00146B22">
        <w:rPr>
          <w:rFonts w:eastAsia="FrutigerLTStd-Roman"/>
          <w:szCs w:val="22"/>
          <w:lang w:eastAsia="en-GB"/>
        </w:rPr>
        <w:t xml:space="preserve">lmost 80% </w:t>
      </w:r>
      <w:r w:rsidR="00146B22" w:rsidRPr="003A33EC">
        <w:rPr>
          <w:rFonts w:eastAsia="FrutigerLTStd-Roman"/>
          <w:szCs w:val="22"/>
          <w:lang w:eastAsia="en-GB"/>
        </w:rPr>
        <w:t xml:space="preserve">of the motorised fishing vessels in the world are less than 12m in overall length (LOA). Such vessels dominate in all regions, but markedly so in </w:t>
      </w:r>
      <w:r w:rsidR="00146B22">
        <w:rPr>
          <w:rFonts w:eastAsia="FrutigerLTStd-Roman"/>
          <w:szCs w:val="22"/>
          <w:lang w:eastAsia="en-GB"/>
        </w:rPr>
        <w:t xml:space="preserve">Africa, </w:t>
      </w:r>
      <w:r w:rsidR="00146B22" w:rsidRPr="003A33EC">
        <w:rPr>
          <w:rFonts w:eastAsia="FrutigerLTStd-Roman"/>
          <w:szCs w:val="22"/>
          <w:lang w:eastAsia="en-GB"/>
        </w:rPr>
        <w:t>the Near East, and Latin America and the Caribbean. About 2% of all motorised fishing vessels correspond to industrialised fishing vessels of 24</w:t>
      </w:r>
      <w:r w:rsidR="0064261A">
        <w:rPr>
          <w:rFonts w:eastAsia="FrutigerLTStd-Roman"/>
          <w:szCs w:val="22"/>
          <w:lang w:eastAsia="en-GB"/>
        </w:rPr>
        <w:t xml:space="preserve"> </w:t>
      </w:r>
      <w:r w:rsidR="00146B22" w:rsidRPr="003A33EC">
        <w:rPr>
          <w:rFonts w:eastAsia="FrutigerLTStd-Roman"/>
          <w:szCs w:val="22"/>
          <w:lang w:eastAsia="en-GB"/>
        </w:rPr>
        <w:t>m and larger (with a gross tonnage (GT) of roughly more than 100 GT or 100 Gross Register Tonnage (GRT)) and that fraction was larger in the Pacific and Oceania region, Europe, and North America.</w:t>
      </w:r>
    </w:p>
    <w:p w:rsidR="00146B22" w:rsidRPr="003A33EC" w:rsidRDefault="00146B22" w:rsidP="00146B22">
      <w:pPr>
        <w:spacing w:after="120"/>
        <w:rPr>
          <w:rFonts w:eastAsia="Arial"/>
          <w:bCs/>
          <w:szCs w:val="22"/>
          <w:lang w:eastAsia="en-GB"/>
        </w:rPr>
      </w:pPr>
    </w:p>
    <w:p w:rsidR="00146B22" w:rsidRPr="003A33EC" w:rsidRDefault="00F712FD" w:rsidP="00146B22">
      <w:pPr>
        <w:keepNext/>
        <w:spacing w:after="120"/>
        <w:jc w:val="center"/>
        <w:rPr>
          <w:szCs w:val="22"/>
        </w:rPr>
      </w:pPr>
      <w:r w:rsidRPr="008A56CF">
        <w:rPr>
          <w:noProof/>
          <w:szCs w:val="22"/>
          <w:lang w:val="en-US" w:eastAsia="en-US"/>
        </w:rPr>
        <w:drawing>
          <wp:inline distT="0" distB="0" distL="0" distR="0" wp14:anchorId="52026F92" wp14:editId="427F0902">
            <wp:extent cx="5741670" cy="2629535"/>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1670" cy="2629535"/>
                    </a:xfrm>
                    <a:prstGeom prst="rect">
                      <a:avLst/>
                    </a:prstGeom>
                    <a:noFill/>
                    <a:ln>
                      <a:noFill/>
                    </a:ln>
                  </pic:spPr>
                </pic:pic>
              </a:graphicData>
            </a:graphic>
          </wp:inline>
        </w:drawing>
      </w:r>
    </w:p>
    <w:p w:rsidR="00146B22" w:rsidRPr="00DF1E74" w:rsidRDefault="00146B22" w:rsidP="00DF1E74">
      <w:pPr>
        <w:pStyle w:val="Caption"/>
        <w:pBdr>
          <w:bottom w:val="none" w:sz="0" w:space="0" w:color="auto"/>
        </w:pBdr>
        <w:spacing w:after="240"/>
        <w:rPr>
          <w:lang w:val="en-US"/>
        </w:rPr>
      </w:pPr>
      <w:r w:rsidRPr="00DF1E74">
        <w:rPr>
          <w:lang w:val="en-US"/>
        </w:rPr>
        <w:t>Figure A</w:t>
      </w:r>
      <w:r>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C006A4">
        <w:rPr>
          <w:noProof/>
          <w:lang w:val="en-US"/>
        </w:rPr>
        <w:t>1</w:t>
      </w:r>
      <w:r w:rsidRPr="003A33EC">
        <w:rPr>
          <w:noProof/>
        </w:rPr>
        <w:fldChar w:fldCharType="end"/>
      </w:r>
      <w:r w:rsidRPr="00DF1E74">
        <w:rPr>
          <w:lang w:val="en-US"/>
        </w:rPr>
        <w:t xml:space="preserve"> Ship Length </w:t>
      </w:r>
      <w:r w:rsidR="00202ABD">
        <w:rPr>
          <w:lang w:val="en-US"/>
        </w:rPr>
        <w:t>(</w:t>
      </w:r>
      <w:r w:rsidRPr="00DF1E74">
        <w:rPr>
          <w:lang w:val="en-US"/>
        </w:rPr>
        <w:t>FAO, 2014</w:t>
      </w:r>
      <w:r w:rsidR="00202ABD">
        <w:rPr>
          <w:lang w:val="en-US"/>
        </w:rPr>
        <w:t>)</w:t>
      </w:r>
    </w:p>
    <w:p w:rsidR="00146B22" w:rsidRPr="00C935B8" w:rsidRDefault="00146B22" w:rsidP="00146B22">
      <w:pPr>
        <w:pStyle w:val="Heading3"/>
        <w:spacing w:line="240" w:lineRule="auto"/>
      </w:pPr>
      <w:bookmarkStart w:id="126" w:name="_Toc451252553"/>
      <w:bookmarkStart w:id="127" w:name="_Toc452653412"/>
      <w:r w:rsidRPr="00C935B8">
        <w:t>A</w:t>
      </w:r>
      <w:r>
        <w:t>2</w:t>
      </w:r>
      <w:r w:rsidRPr="00C935B8">
        <w:t>.1.1</w:t>
      </w:r>
      <w:r w:rsidRPr="00C935B8">
        <w:tab/>
        <w:t>Pacific fishing vessels</w:t>
      </w:r>
      <w:bookmarkEnd w:id="126"/>
      <w:bookmarkEnd w:id="127"/>
    </w:p>
    <w:p w:rsidR="00146B22" w:rsidRPr="00C935B8" w:rsidRDefault="00146B22" w:rsidP="00146B22">
      <w:pPr>
        <w:spacing w:after="120"/>
        <w:rPr>
          <w:szCs w:val="22"/>
          <w:lang w:eastAsia="en-GB"/>
        </w:rPr>
      </w:pPr>
      <w:r w:rsidRPr="00C935B8">
        <w:rPr>
          <w:szCs w:val="22"/>
          <w:lang w:eastAsia="en-GB"/>
        </w:rPr>
        <w:t>The area described as the Pacific Islands is shown in the Figure A</w:t>
      </w:r>
      <w:r w:rsidR="00A1018E">
        <w:rPr>
          <w:szCs w:val="22"/>
          <w:lang w:eastAsia="en-GB"/>
        </w:rPr>
        <w:t>2-</w:t>
      </w:r>
      <w:r w:rsidRPr="00C935B8">
        <w:rPr>
          <w:szCs w:val="22"/>
          <w:lang w:eastAsia="en-GB"/>
        </w:rPr>
        <w:t>2 below.</w:t>
      </w:r>
    </w:p>
    <w:p w:rsidR="00146B22" w:rsidRPr="005840CE" w:rsidRDefault="00146B22" w:rsidP="00146B22">
      <w:pPr>
        <w:autoSpaceDE w:val="0"/>
        <w:autoSpaceDN w:val="0"/>
        <w:adjustRightInd w:val="0"/>
        <w:spacing w:after="120"/>
        <w:rPr>
          <w:szCs w:val="22"/>
          <w:lang w:val="en-US" w:eastAsia="it-IT"/>
        </w:rPr>
      </w:pPr>
      <w:r w:rsidRPr="00C935B8">
        <w:rPr>
          <w:szCs w:val="22"/>
          <w:lang w:val="en-US" w:eastAsia="it-IT"/>
        </w:rPr>
        <w:t xml:space="preserve">Marine Fisheries is the single largest industry and </w:t>
      </w:r>
      <w:r w:rsidR="00A1018E">
        <w:rPr>
          <w:szCs w:val="22"/>
          <w:lang w:val="en-US" w:eastAsia="it-IT"/>
        </w:rPr>
        <w:t>source of income</w:t>
      </w:r>
      <w:r w:rsidRPr="00C935B8">
        <w:rPr>
          <w:szCs w:val="22"/>
          <w:lang w:val="en-US" w:eastAsia="it-IT"/>
        </w:rPr>
        <w:t xml:space="preserve"> for many Pacific Island Countries (PICs) </w:t>
      </w:r>
      <w:r w:rsidR="00202ABD">
        <w:rPr>
          <w:szCs w:val="22"/>
          <w:lang w:val="en-US" w:eastAsia="it-IT"/>
        </w:rPr>
        <w:t>(</w:t>
      </w:r>
      <w:r w:rsidRPr="00C935B8">
        <w:rPr>
          <w:szCs w:val="22"/>
          <w:lang w:val="en-US" w:eastAsia="it-IT"/>
        </w:rPr>
        <w:t>Awira, 2014</w:t>
      </w:r>
      <w:r w:rsidR="00202ABD">
        <w:rPr>
          <w:szCs w:val="22"/>
          <w:lang w:val="en-US" w:eastAsia="it-IT"/>
        </w:rPr>
        <w:t>)</w:t>
      </w:r>
      <w:r w:rsidRPr="00C935B8">
        <w:rPr>
          <w:szCs w:val="22"/>
          <w:lang w:val="en-US" w:eastAsia="it-IT"/>
        </w:rPr>
        <w:t>. Economic benefit derived from this sector is sourced through a direct involvement of PICs in fishing, fish processing and through the licensing arrangement between PICs and foreign fishing nations. Many different nations operate fishing vessels in the</w:t>
      </w:r>
      <w:r w:rsidRPr="005840CE">
        <w:rPr>
          <w:szCs w:val="22"/>
          <w:lang w:val="en-US" w:eastAsia="it-IT"/>
        </w:rPr>
        <w:t xml:space="preserve"> PIC region and refrigeration is essential in all stages of the fisheries industry: from catching to processing to the consumer. Although PICs are complying with their obligations under the Montreal Protocol on the phasing out of HCFCs, this sector is still an elusive area. </w:t>
      </w:r>
      <w:r w:rsidRPr="005840CE">
        <w:rPr>
          <w:szCs w:val="22"/>
          <w:lang w:val="en-US" w:eastAsia="it-IT"/>
        </w:rPr>
        <w:lastRenderedPageBreak/>
        <w:t>The demand and market suppl</w:t>
      </w:r>
      <w:r>
        <w:rPr>
          <w:szCs w:val="22"/>
          <w:lang w:val="en-US" w:eastAsia="it-IT"/>
        </w:rPr>
        <w:t>y</w:t>
      </w:r>
      <w:r w:rsidRPr="005840CE">
        <w:rPr>
          <w:szCs w:val="22"/>
          <w:lang w:val="en-US" w:eastAsia="it-IT"/>
        </w:rPr>
        <w:t xml:space="preserve"> routes of refrigerants and refrigerant servicing in the marine fishing sector is not known for PICs and perhaps for other regions. </w:t>
      </w:r>
    </w:p>
    <w:p w:rsidR="00146B22" w:rsidRPr="005840CE" w:rsidRDefault="00146B22" w:rsidP="00146B22">
      <w:pPr>
        <w:autoSpaceDE w:val="0"/>
        <w:autoSpaceDN w:val="0"/>
        <w:adjustRightInd w:val="0"/>
        <w:spacing w:after="120"/>
        <w:rPr>
          <w:szCs w:val="22"/>
          <w:lang w:val="en-US" w:eastAsia="it-IT"/>
        </w:rPr>
      </w:pPr>
      <w:r w:rsidRPr="005840CE">
        <w:rPr>
          <w:szCs w:val="22"/>
          <w:lang w:val="en-US" w:eastAsia="it-IT"/>
        </w:rPr>
        <w:t xml:space="preserve">The management of Ozone Depleting Substances (ODS) in the fishing sector has to be intimately aligned with the complex nature and magnitude of this industry including that of clarifying the responsibility of flag states and vessels owners in the context of sustainable development. As of June 2014 the number of vessels registered under the Pacific Islands Forum Fisheries Agency (FFA), Good Standing Register stands at a total of 1,332 vessels (FFA database 2014) including bunkers, fish carriers, long liners, mother ships, pole and liners and purse seiners. Out of this total, the vessels with cold storage capabilities that have a direct link to the consumption of refrigerants with ozone depleting properties are long liners, purse seiners, fish carriers and pole and line fishing vessels. </w:t>
      </w:r>
    </w:p>
    <w:p w:rsidR="00146B22" w:rsidRPr="005840CE" w:rsidRDefault="00146B22" w:rsidP="00146B22">
      <w:pPr>
        <w:autoSpaceDE w:val="0"/>
        <w:autoSpaceDN w:val="0"/>
        <w:adjustRightInd w:val="0"/>
        <w:spacing w:after="120"/>
        <w:rPr>
          <w:szCs w:val="22"/>
          <w:lang w:val="en-US" w:eastAsia="it-IT"/>
        </w:rPr>
      </w:pPr>
      <w:r w:rsidRPr="005840CE">
        <w:rPr>
          <w:szCs w:val="22"/>
          <w:lang w:val="en-US" w:eastAsia="it-IT"/>
        </w:rPr>
        <w:t>One may ask why there are so many vessels operating in the region vying for the same four species of tuna? The answer is that the tuna fishery in the waters of the FFA member countries is the largest in the world and the</w:t>
      </w:r>
      <w:r w:rsidR="0064261A">
        <w:rPr>
          <w:szCs w:val="22"/>
          <w:lang w:val="en-US" w:eastAsia="it-IT"/>
        </w:rPr>
        <w:t xml:space="preserve">re is a </w:t>
      </w:r>
      <w:r w:rsidRPr="005840CE">
        <w:rPr>
          <w:szCs w:val="22"/>
          <w:lang w:val="en-US" w:eastAsia="it-IT"/>
        </w:rPr>
        <w:t xml:space="preserve">need to generate and maximise economic benefit from fishery resources for PICs, </w:t>
      </w:r>
      <w:r w:rsidRPr="00D51802">
        <w:rPr>
          <w:szCs w:val="22"/>
          <w:lang w:val="en-US" w:eastAsia="it-IT"/>
        </w:rPr>
        <w:t>as for some</w:t>
      </w:r>
      <w:r w:rsidRPr="005840CE">
        <w:rPr>
          <w:szCs w:val="22"/>
          <w:lang w:val="en-US" w:eastAsia="it-IT"/>
        </w:rPr>
        <w:t xml:space="preserve"> this is the only resource they have. Ten years ago</w:t>
      </w:r>
      <w:r>
        <w:rPr>
          <w:szCs w:val="22"/>
          <w:lang w:val="en-US" w:eastAsia="it-IT"/>
        </w:rPr>
        <w:t>,</w:t>
      </w:r>
      <w:r w:rsidRPr="005840CE">
        <w:rPr>
          <w:szCs w:val="22"/>
          <w:lang w:val="en-US" w:eastAsia="it-IT"/>
        </w:rPr>
        <w:t xml:space="preserve"> income from fisheries access was around US$ 40 million but now PICs are getting somewhere around US$ 250 million in fishing revenue and other direct benefits. This shows an increase of over 500% which can be attributed to the management measures put into place by FFA and the Tuna Commission as well as the introduction of the Parties of the Nauru Agreement vessel day scheme in 2007. In 2013 the total catch of tuna resources from the Western and Central Pacific - Commission Area (WCP-CA) was 2.61 million tonnes and this is valued at US$ 6.3 billion. Catch taken from waters of the FFA member countries is 1.56 million tonnes or 60% of the WCP-CA total and this is valued at US$ 3.4 billion. </w:t>
      </w:r>
    </w:p>
    <w:p w:rsidR="00146B22" w:rsidRPr="005F0657" w:rsidRDefault="00146B22" w:rsidP="00146B22">
      <w:pPr>
        <w:spacing w:after="120"/>
        <w:rPr>
          <w:b/>
          <w:szCs w:val="22"/>
          <w:lang w:val="en-US" w:eastAsia="en-GB"/>
        </w:rPr>
      </w:pPr>
    </w:p>
    <w:p w:rsidR="00146B22" w:rsidRPr="003A33EC" w:rsidRDefault="00F712FD" w:rsidP="00146B22">
      <w:pPr>
        <w:keepNext/>
        <w:spacing w:after="120"/>
        <w:jc w:val="center"/>
        <w:rPr>
          <w:szCs w:val="22"/>
        </w:rPr>
      </w:pPr>
      <w:r w:rsidRPr="008A56CF">
        <w:rPr>
          <w:b/>
          <w:noProof/>
          <w:szCs w:val="22"/>
          <w:lang w:val="en-US" w:eastAsia="en-US"/>
        </w:rPr>
        <w:drawing>
          <wp:inline distT="0" distB="0" distL="0" distR="0" wp14:anchorId="1E896AD2" wp14:editId="18D3ACA5">
            <wp:extent cx="5493385" cy="3955415"/>
            <wp:effectExtent l="0" t="0" r="0" b="6985"/>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3385" cy="3955415"/>
                    </a:xfrm>
                    <a:prstGeom prst="rect">
                      <a:avLst/>
                    </a:prstGeom>
                    <a:noFill/>
                    <a:ln>
                      <a:noFill/>
                    </a:ln>
                  </pic:spPr>
                </pic:pic>
              </a:graphicData>
            </a:graphic>
          </wp:inline>
        </w:drawing>
      </w:r>
    </w:p>
    <w:p w:rsidR="00146B22" w:rsidRPr="00DF1E74" w:rsidRDefault="00146B22" w:rsidP="00146B22">
      <w:pPr>
        <w:pStyle w:val="Caption"/>
        <w:pBdr>
          <w:bottom w:val="none" w:sz="0" w:space="0" w:color="auto"/>
        </w:pBdr>
        <w:spacing w:after="120"/>
        <w:rPr>
          <w:lang w:val="en-US"/>
        </w:rPr>
      </w:pPr>
      <w:r w:rsidRPr="00DF1E74">
        <w:rPr>
          <w:lang w:val="en-US"/>
        </w:rPr>
        <w:t>Figure A</w:t>
      </w:r>
      <w:r>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C006A4">
        <w:rPr>
          <w:noProof/>
          <w:lang w:val="en-US"/>
        </w:rPr>
        <w:t>2</w:t>
      </w:r>
      <w:r w:rsidRPr="003A33EC">
        <w:rPr>
          <w:noProof/>
        </w:rPr>
        <w:fldChar w:fldCharType="end"/>
      </w:r>
      <w:r w:rsidRPr="00DF1E74">
        <w:rPr>
          <w:lang w:val="en-US"/>
        </w:rPr>
        <w:t xml:space="preserve"> Map showing Pacific Islands region </w:t>
      </w:r>
      <w:r w:rsidR="00202ABD">
        <w:rPr>
          <w:lang w:val="en-US"/>
        </w:rPr>
        <w:t>(</w:t>
      </w:r>
      <w:r w:rsidRPr="00DF1E74">
        <w:rPr>
          <w:lang w:val="en-US"/>
        </w:rPr>
        <w:t>Gillet, 2011</w:t>
      </w:r>
      <w:r w:rsidR="00202ABD">
        <w:rPr>
          <w:lang w:val="en-US"/>
        </w:rPr>
        <w:t>)</w:t>
      </w:r>
    </w:p>
    <w:p w:rsidR="00146B22" w:rsidRPr="00C935B8" w:rsidRDefault="00146B22" w:rsidP="00DF1E74">
      <w:pPr>
        <w:autoSpaceDE w:val="0"/>
        <w:autoSpaceDN w:val="0"/>
        <w:adjustRightInd w:val="0"/>
        <w:spacing w:before="120" w:after="120"/>
        <w:rPr>
          <w:szCs w:val="22"/>
          <w:lang w:val="en-US" w:eastAsia="it-IT"/>
        </w:rPr>
      </w:pPr>
      <w:r w:rsidRPr="00C935B8">
        <w:rPr>
          <w:szCs w:val="22"/>
          <w:lang w:val="en-US" w:eastAsia="it-IT"/>
        </w:rPr>
        <w:t xml:space="preserve">With more than 1,000 vessels roaming the Pacific Ocean from various nationalities fishing for tuna, there is an urgent need to have mechanisms to monitor and control the consumption of </w:t>
      </w:r>
      <w:r w:rsidRPr="00C935B8">
        <w:rPr>
          <w:szCs w:val="22"/>
          <w:lang w:val="en-US" w:eastAsia="it-IT"/>
        </w:rPr>
        <w:lastRenderedPageBreak/>
        <w:t xml:space="preserve">all refrigerants used on fishing vessels to ensure that PICs meet their obligations under the Montreal Protocol and the International Maritime Organization’s (IMO) agreement on the prevention of air pollution from ships which is covered under MARPOL 73/78 Annex VI. FFA Members do not have this capacity, nor do they have the financial, human or institutional resources. Monitoring, reporting and enhanced enforcement </w:t>
      </w:r>
      <w:r w:rsidR="00661226" w:rsidRPr="00C935B8">
        <w:rPr>
          <w:szCs w:val="22"/>
          <w:lang w:val="en-US" w:eastAsia="it-IT"/>
        </w:rPr>
        <w:t>of refrigerant</w:t>
      </w:r>
      <w:r w:rsidRPr="00C935B8">
        <w:rPr>
          <w:szCs w:val="22"/>
          <w:lang w:val="en-US" w:eastAsia="it-IT"/>
        </w:rPr>
        <w:t xml:space="preserve"> supplies to fishing vessels is also recommended</w:t>
      </w:r>
      <w:r w:rsidR="00FE51D6">
        <w:rPr>
          <w:szCs w:val="22"/>
          <w:lang w:val="en-US" w:eastAsia="it-IT"/>
        </w:rPr>
        <w:t xml:space="preserve">. </w:t>
      </w:r>
      <w:r w:rsidRPr="00C935B8">
        <w:rPr>
          <w:szCs w:val="22"/>
          <w:lang w:val="en-US" w:eastAsia="it-IT"/>
        </w:rPr>
        <w:t xml:space="preserve">Often the fishing </w:t>
      </w:r>
      <w:r w:rsidR="00661226" w:rsidRPr="00C935B8">
        <w:rPr>
          <w:szCs w:val="22"/>
          <w:lang w:val="en-US" w:eastAsia="it-IT"/>
        </w:rPr>
        <w:t>vessels enter</w:t>
      </w:r>
      <w:r w:rsidRPr="00C935B8">
        <w:rPr>
          <w:szCs w:val="22"/>
          <w:lang w:val="en-US" w:eastAsia="it-IT"/>
        </w:rPr>
        <w:t xml:space="preserve"> and received supplies at designated fish depots. The level and adequacy </w:t>
      </w:r>
      <w:r w:rsidR="00661226" w:rsidRPr="00C935B8">
        <w:rPr>
          <w:szCs w:val="22"/>
          <w:lang w:val="en-US" w:eastAsia="it-IT"/>
        </w:rPr>
        <w:t>of customs</w:t>
      </w:r>
      <w:r w:rsidRPr="00C935B8">
        <w:rPr>
          <w:szCs w:val="22"/>
          <w:lang w:val="en-US" w:eastAsia="it-IT"/>
        </w:rPr>
        <w:t xml:space="preserve"> controls at these ports </w:t>
      </w:r>
      <w:r w:rsidR="00307755">
        <w:rPr>
          <w:szCs w:val="22"/>
          <w:lang w:val="en-US" w:eastAsia="it-IT"/>
        </w:rPr>
        <w:t>need</w:t>
      </w:r>
      <w:r w:rsidRPr="00C935B8">
        <w:rPr>
          <w:szCs w:val="22"/>
          <w:lang w:val="en-US" w:eastAsia="it-IT"/>
        </w:rPr>
        <w:t xml:space="preserve"> to be studied.</w:t>
      </w:r>
    </w:p>
    <w:p w:rsidR="00146B22" w:rsidRPr="00C935B8" w:rsidRDefault="00146B22" w:rsidP="00146B22">
      <w:pPr>
        <w:spacing w:after="120"/>
        <w:rPr>
          <w:szCs w:val="22"/>
          <w:lang w:val="en-US"/>
        </w:rPr>
      </w:pPr>
      <w:r w:rsidRPr="00C935B8">
        <w:rPr>
          <w:szCs w:val="22"/>
          <w:lang w:val="en-US" w:eastAsia="it-IT"/>
        </w:rPr>
        <w:t xml:space="preserve">Effective enforcement of supplies to vessels can also support control requirements on illegal, unreported and unregulated (IUU) fishing. Previously published IUU loss estimates for the Western and Central Pacific region are somewhere in the region of US$ 750 million to US$ 1.5 billion a year. Where IUU involves vessels not already licensed in the fishery, it can be assumed that for IUU there will also be a high demand for refrigerants and that they may be traded illegally to meet the demand of illegal fishers. </w:t>
      </w:r>
      <w:r w:rsidRPr="00C935B8">
        <w:rPr>
          <w:color w:val="auto"/>
          <w:szCs w:val="22"/>
          <w:lang w:val="en-US" w:eastAsia="it-IT"/>
        </w:rPr>
        <w:t xml:space="preserve">This also extends the subject of application </w:t>
      </w:r>
      <w:r w:rsidR="00661226" w:rsidRPr="00C935B8">
        <w:rPr>
          <w:color w:val="auto"/>
          <w:szCs w:val="22"/>
          <w:lang w:val="en-US" w:eastAsia="it-IT"/>
        </w:rPr>
        <w:t>of for</w:t>
      </w:r>
      <w:r w:rsidRPr="00C935B8">
        <w:rPr>
          <w:color w:val="auto"/>
          <w:szCs w:val="22"/>
          <w:lang w:val="en-US" w:eastAsia="it-IT"/>
        </w:rPr>
        <w:t xml:space="preserve"> example </w:t>
      </w:r>
      <w:r w:rsidRPr="00C935B8">
        <w:rPr>
          <w:rFonts w:eastAsia="Times New Roman"/>
          <w:color w:val="auto"/>
          <w:szCs w:val="22"/>
          <w:lang w:eastAsia="en-GB"/>
        </w:rPr>
        <w:t>Decision XIX/12: Preventing illegal trade in ozone-depleting substances.</w:t>
      </w:r>
    </w:p>
    <w:p w:rsidR="00146B22" w:rsidRPr="00C935B8" w:rsidRDefault="00146B22" w:rsidP="00146B22">
      <w:pPr>
        <w:spacing w:after="120"/>
        <w:rPr>
          <w:szCs w:val="22"/>
        </w:rPr>
      </w:pPr>
      <w:r w:rsidRPr="00C935B8">
        <w:rPr>
          <w:szCs w:val="22"/>
        </w:rPr>
        <w:t>The distribution of ship types is shown in Figure A</w:t>
      </w:r>
      <w:r>
        <w:rPr>
          <w:szCs w:val="22"/>
        </w:rPr>
        <w:t>2</w:t>
      </w:r>
      <w:r w:rsidRPr="00C935B8">
        <w:rPr>
          <w:szCs w:val="22"/>
        </w:rPr>
        <w:t>-3.</w:t>
      </w:r>
    </w:p>
    <w:p w:rsidR="00146B22" w:rsidRPr="00C935B8" w:rsidRDefault="00146B22" w:rsidP="00146B22">
      <w:pPr>
        <w:autoSpaceDE w:val="0"/>
        <w:autoSpaceDN w:val="0"/>
        <w:adjustRightInd w:val="0"/>
        <w:spacing w:after="120"/>
        <w:rPr>
          <w:szCs w:val="22"/>
          <w:lang w:eastAsia="en-GB"/>
        </w:rPr>
      </w:pPr>
      <w:r w:rsidRPr="00C935B8">
        <w:rPr>
          <w:szCs w:val="22"/>
          <w:lang w:eastAsia="en-GB"/>
        </w:rPr>
        <w:t xml:space="preserve">Main fishing methods are Purse Seine and </w:t>
      </w:r>
      <w:r w:rsidR="00661226" w:rsidRPr="00C935B8">
        <w:rPr>
          <w:szCs w:val="22"/>
          <w:lang w:eastAsia="en-GB"/>
        </w:rPr>
        <w:t>Long Line</w:t>
      </w:r>
      <w:r w:rsidRPr="00C935B8">
        <w:rPr>
          <w:szCs w:val="22"/>
          <w:lang w:eastAsia="en-GB"/>
        </w:rPr>
        <w:t xml:space="preserve">. Out of 1270 ships, 77% were flagged with flagged outside the area and only 23% </w:t>
      </w:r>
      <w:r w:rsidR="006A6FCA">
        <w:rPr>
          <w:szCs w:val="22"/>
          <w:lang w:eastAsia="en-GB"/>
        </w:rPr>
        <w:t xml:space="preserve">were </w:t>
      </w:r>
      <w:r w:rsidRPr="00C935B8">
        <w:rPr>
          <w:szCs w:val="22"/>
          <w:lang w:eastAsia="en-GB"/>
        </w:rPr>
        <w:t xml:space="preserve">FFA flagged </w:t>
      </w:r>
      <w:r w:rsidR="00202ABD">
        <w:rPr>
          <w:szCs w:val="22"/>
          <w:lang w:eastAsia="en-GB"/>
        </w:rPr>
        <w:t>(</w:t>
      </w:r>
      <w:r w:rsidRPr="00C935B8">
        <w:rPr>
          <w:szCs w:val="22"/>
          <w:lang w:eastAsia="en-GB"/>
        </w:rPr>
        <w:t>Awira, 2015</w:t>
      </w:r>
      <w:r w:rsidR="00202ABD">
        <w:rPr>
          <w:szCs w:val="22"/>
          <w:lang w:eastAsia="en-GB"/>
        </w:rPr>
        <w:t>)</w:t>
      </w:r>
    </w:p>
    <w:p w:rsidR="00146B22" w:rsidRPr="003A33EC" w:rsidRDefault="00146B22" w:rsidP="00146B22">
      <w:pPr>
        <w:spacing w:after="120"/>
        <w:rPr>
          <w:szCs w:val="22"/>
          <w:lang w:eastAsia="en-GB"/>
        </w:rPr>
      </w:pPr>
      <w:r w:rsidRPr="00C935B8">
        <w:rPr>
          <w:szCs w:val="22"/>
          <w:lang w:eastAsia="en-GB"/>
        </w:rPr>
        <w:t>The biggest part of the Pacific Purse Seine, Bigeye Tuna are caught around the equator +/-10° degrees (see Figure A</w:t>
      </w:r>
      <w:r w:rsidR="00DB5D06">
        <w:rPr>
          <w:szCs w:val="22"/>
          <w:lang w:eastAsia="en-GB"/>
        </w:rPr>
        <w:t>2</w:t>
      </w:r>
      <w:r w:rsidRPr="00C935B8">
        <w:rPr>
          <w:szCs w:val="22"/>
          <w:lang w:eastAsia="en-GB"/>
        </w:rPr>
        <w:t xml:space="preserve">-4). This means that a significant distance has to be travelled and that the fish have to be kept refrigerated or alive until landing to avoid spoilage </w:t>
      </w:r>
      <w:r w:rsidR="00202ABD">
        <w:rPr>
          <w:szCs w:val="22"/>
        </w:rPr>
        <w:t>(</w:t>
      </w:r>
      <w:r w:rsidRPr="00C935B8">
        <w:rPr>
          <w:szCs w:val="22"/>
        </w:rPr>
        <w:t>Honolulu, 2015</w:t>
      </w:r>
      <w:r w:rsidR="00202ABD">
        <w:rPr>
          <w:szCs w:val="22"/>
        </w:rPr>
        <w:t>)</w:t>
      </w:r>
      <w:r w:rsidRPr="00C935B8">
        <w:rPr>
          <w:szCs w:val="22"/>
        </w:rPr>
        <w:t>.</w:t>
      </w:r>
    </w:p>
    <w:p w:rsidR="00146B22" w:rsidRPr="003A33EC" w:rsidRDefault="00146B22" w:rsidP="00146B22">
      <w:pPr>
        <w:spacing w:after="120"/>
        <w:rPr>
          <w:szCs w:val="22"/>
          <w:lang w:eastAsia="en-GB"/>
        </w:rPr>
      </w:pPr>
      <w:r w:rsidRPr="003A33EC">
        <w:rPr>
          <w:szCs w:val="22"/>
          <w:lang w:eastAsia="en-GB"/>
        </w:rPr>
        <w:t>A variety of methods are used for freezing tuna including air blast cooling or immersion in brine. Plate freezers are not generally used for larger fish due to the difficulty of getting them to fit between the plates.</w:t>
      </w:r>
    </w:p>
    <w:p w:rsidR="00146B22" w:rsidRPr="003A33EC" w:rsidRDefault="00146B22" w:rsidP="00146B22">
      <w:pPr>
        <w:spacing w:after="120"/>
        <w:rPr>
          <w:szCs w:val="22"/>
          <w:lang w:val="en"/>
        </w:rPr>
      </w:pPr>
      <w:r w:rsidRPr="003A33EC">
        <w:rPr>
          <w:szCs w:val="22"/>
        </w:rPr>
        <w:t xml:space="preserve">One of the requirements for freezing the fish is related to parasite kill in the fish. </w:t>
      </w:r>
      <w:r w:rsidRPr="003A33EC">
        <w:rPr>
          <w:szCs w:val="22"/>
          <w:lang w:val="en"/>
        </w:rPr>
        <w:t>According to European Union regulations, freezing fish at</w:t>
      </w:r>
      <w:r w:rsidR="0064261A">
        <w:rPr>
          <w:szCs w:val="22"/>
          <w:lang w:val="en"/>
        </w:rPr>
        <w:t xml:space="preserve"> -</w:t>
      </w:r>
      <w:r w:rsidRPr="003A33EC">
        <w:rPr>
          <w:szCs w:val="22"/>
          <w:lang w:val="en"/>
        </w:rPr>
        <w:t xml:space="preserve">20°C for 24 hours kills parasites. The U.S. Food and Drug Administration (FDA) recommends freezing at </w:t>
      </w:r>
      <w:r w:rsidR="0064261A">
        <w:rPr>
          <w:szCs w:val="22"/>
          <w:lang w:val="en"/>
        </w:rPr>
        <w:t>-</w:t>
      </w:r>
      <w:r w:rsidRPr="003A33EC">
        <w:rPr>
          <w:szCs w:val="22"/>
          <w:lang w:val="en"/>
        </w:rPr>
        <w:t xml:space="preserve">35°C for 15 hours, or at </w:t>
      </w:r>
      <w:r w:rsidR="0064261A">
        <w:rPr>
          <w:szCs w:val="22"/>
          <w:lang w:val="en"/>
        </w:rPr>
        <w:t xml:space="preserve">                   -</w:t>
      </w:r>
      <w:r w:rsidRPr="003A33EC">
        <w:rPr>
          <w:szCs w:val="22"/>
          <w:lang w:val="en"/>
        </w:rPr>
        <w:t>20°C for 7 days.</w:t>
      </w:r>
    </w:p>
    <w:p w:rsidR="00146B22" w:rsidRPr="005F0657" w:rsidRDefault="00146B22" w:rsidP="00146B22">
      <w:pPr>
        <w:spacing w:after="120"/>
        <w:rPr>
          <w:szCs w:val="22"/>
          <w:lang w:val="en"/>
        </w:rPr>
      </w:pPr>
    </w:p>
    <w:p w:rsidR="00146B22" w:rsidRPr="003A33EC" w:rsidRDefault="00F712FD" w:rsidP="00146B22">
      <w:pPr>
        <w:keepNext/>
        <w:spacing w:after="120"/>
        <w:jc w:val="center"/>
        <w:rPr>
          <w:szCs w:val="22"/>
        </w:rPr>
      </w:pPr>
      <w:r w:rsidRPr="008A56CF">
        <w:rPr>
          <w:noProof/>
          <w:szCs w:val="22"/>
          <w:lang w:val="en-US" w:eastAsia="en-US"/>
        </w:rPr>
        <w:drawing>
          <wp:inline distT="0" distB="0" distL="0" distR="0" wp14:anchorId="0B92EBD2" wp14:editId="1E6D7B68">
            <wp:extent cx="5238115" cy="2806700"/>
            <wp:effectExtent l="0" t="0" r="635"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115" cy="2806700"/>
                    </a:xfrm>
                    <a:prstGeom prst="rect">
                      <a:avLst/>
                    </a:prstGeom>
                    <a:noFill/>
                    <a:ln>
                      <a:noFill/>
                    </a:ln>
                  </pic:spPr>
                </pic:pic>
              </a:graphicData>
            </a:graphic>
          </wp:inline>
        </w:drawing>
      </w:r>
    </w:p>
    <w:p w:rsidR="00146B22" w:rsidRPr="00DF1E74" w:rsidRDefault="00146B22" w:rsidP="00146B22">
      <w:pPr>
        <w:pStyle w:val="Caption"/>
        <w:pBdr>
          <w:bottom w:val="none" w:sz="0" w:space="0" w:color="auto"/>
        </w:pBdr>
        <w:spacing w:after="120"/>
        <w:rPr>
          <w:lang w:val="en-US"/>
        </w:rPr>
      </w:pPr>
      <w:r w:rsidRPr="00DF1E74">
        <w:rPr>
          <w:lang w:val="en-US"/>
        </w:rPr>
        <w:t>Figure A</w:t>
      </w:r>
      <w:r w:rsidR="00DB5D06">
        <w:rPr>
          <w:lang w:val="en-US"/>
        </w:rPr>
        <w:t>2</w:t>
      </w:r>
      <w:r w:rsidRPr="00DF1E74">
        <w:rPr>
          <w:lang w:val="en-US"/>
        </w:rPr>
        <w:t>3-</w:t>
      </w:r>
      <w:r w:rsidRPr="003A33EC">
        <w:fldChar w:fldCharType="begin"/>
      </w:r>
      <w:r w:rsidRPr="00DF1E74">
        <w:rPr>
          <w:lang w:val="en-US"/>
        </w:rPr>
        <w:instrText xml:space="preserve"> SEQ Figure \* ARABIC </w:instrText>
      </w:r>
      <w:r w:rsidRPr="003A33EC">
        <w:fldChar w:fldCharType="separate"/>
      </w:r>
      <w:r w:rsidR="00C006A4">
        <w:rPr>
          <w:noProof/>
          <w:lang w:val="en-US"/>
        </w:rPr>
        <w:t>3</w:t>
      </w:r>
      <w:r w:rsidRPr="003A33EC">
        <w:rPr>
          <w:noProof/>
        </w:rPr>
        <w:fldChar w:fldCharType="end"/>
      </w:r>
      <w:r w:rsidRPr="00DF1E74">
        <w:rPr>
          <w:lang w:val="en-US"/>
        </w:rPr>
        <w:t xml:space="preserve"> Ship types in Pacific Islands Countries </w:t>
      </w:r>
      <w:r w:rsidR="00202ABD">
        <w:rPr>
          <w:lang w:val="en-US"/>
        </w:rPr>
        <w:t>(</w:t>
      </w:r>
      <w:r w:rsidRPr="00DF1E74">
        <w:rPr>
          <w:lang w:val="en-US"/>
        </w:rPr>
        <w:t>Awira, 2015</w:t>
      </w:r>
      <w:r w:rsidR="00202ABD">
        <w:rPr>
          <w:lang w:val="en-US"/>
        </w:rPr>
        <w:t>)</w:t>
      </w:r>
    </w:p>
    <w:p w:rsidR="00146B22" w:rsidRPr="00C935B8" w:rsidRDefault="00146B22" w:rsidP="00146B22">
      <w:pPr>
        <w:spacing w:after="120"/>
        <w:rPr>
          <w:szCs w:val="22"/>
          <w:lang w:eastAsia="en-GB"/>
        </w:rPr>
      </w:pPr>
    </w:p>
    <w:p w:rsidR="00146B22" w:rsidRPr="003A33EC" w:rsidRDefault="00F712FD" w:rsidP="00146B22">
      <w:pPr>
        <w:keepNext/>
        <w:spacing w:after="120"/>
        <w:jc w:val="center"/>
        <w:rPr>
          <w:szCs w:val="22"/>
        </w:rPr>
      </w:pPr>
      <w:r w:rsidRPr="00C935B8">
        <w:rPr>
          <w:noProof/>
          <w:szCs w:val="22"/>
          <w:lang w:val="en-US" w:eastAsia="en-US"/>
        </w:rPr>
        <w:lastRenderedPageBreak/>
        <w:drawing>
          <wp:inline distT="0" distB="0" distL="0" distR="0" wp14:anchorId="69240D62" wp14:editId="2722692E">
            <wp:extent cx="5549900" cy="2991485"/>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9900" cy="2991485"/>
                    </a:xfrm>
                    <a:prstGeom prst="rect">
                      <a:avLst/>
                    </a:prstGeom>
                    <a:noFill/>
                    <a:ln>
                      <a:noFill/>
                    </a:ln>
                  </pic:spPr>
                </pic:pic>
              </a:graphicData>
            </a:graphic>
          </wp:inline>
        </w:drawing>
      </w:r>
    </w:p>
    <w:p w:rsidR="00146B22" w:rsidRPr="00DF1E74" w:rsidRDefault="00146B22" w:rsidP="00146B22">
      <w:pPr>
        <w:pStyle w:val="Caption"/>
        <w:pBdr>
          <w:bottom w:val="none" w:sz="0" w:space="0" w:color="auto"/>
        </w:pBdr>
        <w:spacing w:after="120"/>
        <w:rPr>
          <w:lang w:val="en-US" w:eastAsia="en-GB"/>
        </w:rPr>
      </w:pPr>
      <w:r w:rsidRPr="00DF1E74">
        <w:rPr>
          <w:lang w:val="en-US"/>
        </w:rPr>
        <w:t>Figure A</w:t>
      </w:r>
      <w:r w:rsidR="00DB5D06">
        <w:rPr>
          <w:lang w:val="en-US"/>
        </w:rPr>
        <w:t>2</w:t>
      </w:r>
      <w:r w:rsidRPr="00DF1E74">
        <w:rPr>
          <w:lang w:val="en-US"/>
        </w:rPr>
        <w:t>-</w:t>
      </w:r>
      <w:r w:rsidRPr="003A33EC">
        <w:fldChar w:fldCharType="begin"/>
      </w:r>
      <w:r w:rsidRPr="00DF1E74">
        <w:rPr>
          <w:lang w:val="en-US"/>
        </w:rPr>
        <w:instrText xml:space="preserve"> SEQ Figure \* ARABIC </w:instrText>
      </w:r>
      <w:r w:rsidRPr="003A33EC">
        <w:fldChar w:fldCharType="separate"/>
      </w:r>
      <w:r w:rsidR="00C006A4">
        <w:rPr>
          <w:noProof/>
          <w:lang w:val="en-US"/>
        </w:rPr>
        <w:t>4</w:t>
      </w:r>
      <w:r w:rsidRPr="003A33EC">
        <w:rPr>
          <w:noProof/>
        </w:rPr>
        <w:fldChar w:fldCharType="end"/>
      </w:r>
      <w:r w:rsidRPr="00DF1E74">
        <w:rPr>
          <w:lang w:val="en-US"/>
        </w:rPr>
        <w:t xml:space="preserve"> Distribution of tuna catch </w:t>
      </w:r>
    </w:p>
    <w:p w:rsidR="00146B22" w:rsidRPr="003A33EC" w:rsidRDefault="00146B22" w:rsidP="00DF1E74">
      <w:pPr>
        <w:spacing w:before="240" w:after="120"/>
        <w:rPr>
          <w:color w:val="231F20"/>
          <w:szCs w:val="22"/>
          <w:lang w:eastAsia="en-GB"/>
        </w:rPr>
      </w:pPr>
      <w:r w:rsidRPr="003A33EC">
        <w:rPr>
          <w:szCs w:val="22"/>
          <w:lang w:eastAsia="en-GB"/>
        </w:rPr>
        <w:t xml:space="preserve">Not all fish is for export and much is used in the local economy. </w:t>
      </w:r>
      <w:r w:rsidRPr="003A33EC">
        <w:rPr>
          <w:iCs/>
          <w:color w:val="231F20"/>
          <w:szCs w:val="22"/>
          <w:lang w:eastAsia="en-GB"/>
        </w:rPr>
        <w:t xml:space="preserve">Industrial-scale shrimp fisheries, for instance, </w:t>
      </w:r>
      <w:r w:rsidRPr="003A33EC">
        <w:rPr>
          <w:color w:val="231F20"/>
          <w:szCs w:val="22"/>
          <w:lang w:eastAsia="en-GB"/>
        </w:rPr>
        <w:t>only occur in Papua New Guinea.</w:t>
      </w:r>
    </w:p>
    <w:p w:rsidR="00146B22" w:rsidRPr="003A33EC" w:rsidRDefault="00146B22" w:rsidP="00146B22">
      <w:pPr>
        <w:spacing w:after="120"/>
        <w:rPr>
          <w:szCs w:val="22"/>
          <w:lang w:eastAsia="en-GB"/>
        </w:rPr>
      </w:pPr>
      <w:r w:rsidRPr="003A33EC">
        <w:rPr>
          <w:szCs w:val="22"/>
          <w:lang w:eastAsia="en-GB"/>
        </w:rPr>
        <w:t>Costal fishing is very important for the local economy and nutrition, but in the global market it is only a small part of the total production. In any case these smaller boats usually use ice whereas the larger ships have mechanically refrigerated holds.</w:t>
      </w:r>
    </w:p>
    <w:p w:rsidR="00146B22" w:rsidRPr="003A33EC" w:rsidRDefault="00146B22" w:rsidP="00146B22">
      <w:pPr>
        <w:autoSpaceDE w:val="0"/>
        <w:autoSpaceDN w:val="0"/>
        <w:adjustRightInd w:val="0"/>
        <w:spacing w:after="120"/>
        <w:rPr>
          <w:color w:val="231F20"/>
          <w:szCs w:val="22"/>
          <w:lang w:eastAsia="en-GB"/>
        </w:rPr>
      </w:pPr>
      <w:r w:rsidRPr="003A33EC">
        <w:rPr>
          <w:color w:val="231F20"/>
          <w:szCs w:val="22"/>
          <w:lang w:eastAsia="en-GB"/>
        </w:rPr>
        <w:t>Coastal fishing in the region can be placed mostly into the following categories:</w:t>
      </w:r>
    </w:p>
    <w:p w:rsidR="00146B22" w:rsidRPr="00841FC6" w:rsidRDefault="00146B22" w:rsidP="00DF1E74">
      <w:pPr>
        <w:pStyle w:val="ListParagraph"/>
        <w:numPr>
          <w:ilvl w:val="0"/>
          <w:numId w:val="58"/>
        </w:numPr>
        <w:adjustRightInd w:val="0"/>
        <w:spacing w:after="120"/>
        <w:contextualSpacing/>
        <w:rPr>
          <w:rFonts w:ascii="Times New Roman" w:hAnsi="Times New Roman"/>
          <w:color w:val="231F20"/>
          <w:szCs w:val="22"/>
          <w:lang w:eastAsia="en-GB"/>
        </w:rPr>
      </w:pPr>
      <w:r w:rsidRPr="00841FC6">
        <w:rPr>
          <w:rFonts w:ascii="Times New Roman" w:hAnsi="Times New Roman"/>
          <w:i/>
          <w:iCs/>
          <w:color w:val="231F20"/>
          <w:szCs w:val="22"/>
          <w:lang w:eastAsia="en-GB"/>
        </w:rPr>
        <w:t xml:space="preserve">Small-scale commercial fishing, </w:t>
      </w:r>
      <w:r w:rsidRPr="00841FC6">
        <w:rPr>
          <w:rFonts w:ascii="Times New Roman" w:hAnsi="Times New Roman"/>
          <w:color w:val="231F20"/>
          <w:szCs w:val="22"/>
          <w:lang w:eastAsia="en-GB"/>
        </w:rPr>
        <w:t>(also referred to as “artisanal”) which can be further broadly sub-divided into those supplying domestic markets, and those producing export commodities.</w:t>
      </w:r>
    </w:p>
    <w:p w:rsidR="00146B22" w:rsidRPr="00C935B8" w:rsidRDefault="00146B22" w:rsidP="00DF1E74">
      <w:pPr>
        <w:pStyle w:val="ListParagraph"/>
        <w:numPr>
          <w:ilvl w:val="0"/>
          <w:numId w:val="58"/>
        </w:numPr>
        <w:adjustRightInd w:val="0"/>
        <w:spacing w:after="120"/>
        <w:contextualSpacing/>
        <w:rPr>
          <w:rFonts w:ascii="Times New Roman" w:hAnsi="Times New Roman"/>
          <w:color w:val="231F20"/>
          <w:szCs w:val="22"/>
          <w:lang w:eastAsia="en-GB"/>
        </w:rPr>
      </w:pPr>
      <w:r w:rsidRPr="00841FC6">
        <w:rPr>
          <w:rFonts w:ascii="Times New Roman" w:hAnsi="Times New Roman"/>
          <w:i/>
          <w:iCs/>
          <w:color w:val="231F20"/>
          <w:szCs w:val="22"/>
          <w:lang w:eastAsia="en-GB"/>
        </w:rPr>
        <w:t xml:space="preserve">Subsistence fisheries, </w:t>
      </w:r>
      <w:r w:rsidRPr="00841FC6">
        <w:rPr>
          <w:rFonts w:ascii="Times New Roman" w:hAnsi="Times New Roman"/>
          <w:color w:val="231F20"/>
          <w:szCs w:val="22"/>
          <w:lang w:eastAsia="en-GB"/>
        </w:rPr>
        <w:t>which support rural economies and are extremely important to the regio</w:t>
      </w:r>
      <w:r>
        <w:rPr>
          <w:rFonts w:ascii="Times New Roman" w:hAnsi="Times New Roman"/>
          <w:color w:val="231F20"/>
          <w:szCs w:val="22"/>
          <w:lang w:eastAsia="en-GB"/>
        </w:rPr>
        <w:t xml:space="preserve">n’s nutrition and food </w:t>
      </w:r>
      <w:r w:rsidRPr="00C935B8">
        <w:rPr>
          <w:rFonts w:ascii="Times New Roman" w:hAnsi="Times New Roman"/>
          <w:color w:val="231F20"/>
          <w:szCs w:val="22"/>
          <w:lang w:eastAsia="en-GB"/>
        </w:rPr>
        <w:t xml:space="preserve">security </w:t>
      </w:r>
      <w:r w:rsidR="00202ABD">
        <w:rPr>
          <w:rFonts w:ascii="Times New Roman" w:hAnsi="Times New Roman"/>
          <w:szCs w:val="22"/>
        </w:rPr>
        <w:t>(</w:t>
      </w:r>
      <w:r w:rsidRPr="00C935B8">
        <w:rPr>
          <w:rFonts w:ascii="Times New Roman" w:hAnsi="Times New Roman"/>
          <w:szCs w:val="22"/>
        </w:rPr>
        <w:t>Gillet, 2011</w:t>
      </w:r>
      <w:r w:rsidR="00202ABD">
        <w:rPr>
          <w:rFonts w:ascii="Times New Roman" w:hAnsi="Times New Roman"/>
          <w:szCs w:val="22"/>
        </w:rPr>
        <w:t>)</w:t>
      </w:r>
    </w:p>
    <w:p w:rsidR="00146B22" w:rsidRPr="00C935B8" w:rsidRDefault="00146B22" w:rsidP="00DF1E74">
      <w:pPr>
        <w:spacing w:after="240"/>
        <w:rPr>
          <w:szCs w:val="22"/>
          <w:lang w:eastAsia="en-GB"/>
        </w:rPr>
      </w:pPr>
      <w:r w:rsidRPr="00C935B8">
        <w:rPr>
          <w:szCs w:val="22"/>
          <w:lang w:eastAsia="en-GB"/>
        </w:rPr>
        <w:t>The cold chain is not a concept implemented globally. The food spoilage in this part of the world is relatively high, in part due to the high ambient temperatures. There are numerous other techniques for storing non canned fish such as smoking, drying, brining and dry salting which do not involve refrigeration.</w:t>
      </w:r>
    </w:p>
    <w:p w:rsidR="00146B22" w:rsidRPr="00C935B8" w:rsidRDefault="00146B22" w:rsidP="00146B22">
      <w:pPr>
        <w:pStyle w:val="Heading3"/>
        <w:spacing w:line="240" w:lineRule="auto"/>
      </w:pPr>
      <w:bookmarkStart w:id="128" w:name="_Toc451252554"/>
      <w:bookmarkStart w:id="129" w:name="_Toc452653413"/>
      <w:r w:rsidRPr="00C935B8">
        <w:t>A</w:t>
      </w:r>
      <w:r w:rsidR="00DB5D06">
        <w:t>2</w:t>
      </w:r>
      <w:r w:rsidRPr="00C935B8">
        <w:t>.1.2</w:t>
      </w:r>
      <w:r w:rsidRPr="00C935B8">
        <w:tab/>
        <w:t>The EU fishery fleet</w:t>
      </w:r>
      <w:bookmarkEnd w:id="128"/>
      <w:bookmarkEnd w:id="129"/>
    </w:p>
    <w:p w:rsidR="00146B22" w:rsidRPr="00C935B8" w:rsidRDefault="00146B22" w:rsidP="00146B22">
      <w:pPr>
        <w:autoSpaceDE w:val="0"/>
        <w:autoSpaceDN w:val="0"/>
        <w:adjustRightInd w:val="0"/>
        <w:spacing w:after="120"/>
        <w:rPr>
          <w:rFonts w:eastAsia="MinionPro-Regular"/>
          <w:szCs w:val="22"/>
          <w:lang w:eastAsia="en-GB"/>
        </w:rPr>
      </w:pPr>
      <w:r w:rsidRPr="00C935B8">
        <w:rPr>
          <w:rFonts w:eastAsia="MinionPro-Regular"/>
          <w:szCs w:val="22"/>
          <w:lang w:eastAsia="en-GB"/>
        </w:rPr>
        <w:t xml:space="preserve">Considering that more than 70% of fishing fleet operating in the Pacific Islands is flagged outside the area </w:t>
      </w:r>
      <w:r w:rsidR="00202ABD">
        <w:rPr>
          <w:szCs w:val="22"/>
          <w:lang w:eastAsia="en-GB"/>
        </w:rPr>
        <w:t>(</w:t>
      </w:r>
      <w:r w:rsidRPr="00C935B8">
        <w:rPr>
          <w:szCs w:val="22"/>
          <w:lang w:eastAsia="en-GB"/>
        </w:rPr>
        <w:t>Awira, 2015</w:t>
      </w:r>
      <w:r w:rsidR="00202ABD">
        <w:rPr>
          <w:szCs w:val="22"/>
          <w:lang w:eastAsia="en-GB"/>
        </w:rPr>
        <w:t>)</w:t>
      </w:r>
      <w:r w:rsidRPr="00C935B8">
        <w:rPr>
          <w:rFonts w:eastAsia="MinionPro-Regular"/>
          <w:szCs w:val="22"/>
          <w:lang w:eastAsia="en-GB"/>
        </w:rPr>
        <w:t>, a look to the situation of other fleets is worthwhile. As an example of how the fishing fleets of non-A</w:t>
      </w:r>
      <w:r w:rsidR="0064261A">
        <w:rPr>
          <w:rFonts w:eastAsia="MinionPro-Regular"/>
          <w:szCs w:val="22"/>
          <w:lang w:eastAsia="en-GB"/>
        </w:rPr>
        <w:t xml:space="preserve">rticle </w:t>
      </w:r>
      <w:r w:rsidRPr="00C935B8">
        <w:rPr>
          <w:rFonts w:eastAsia="MinionPro-Regular"/>
          <w:szCs w:val="22"/>
          <w:lang w:eastAsia="en-GB"/>
        </w:rPr>
        <w:t xml:space="preserve">5 </w:t>
      </w:r>
      <w:r w:rsidR="0064261A">
        <w:rPr>
          <w:rFonts w:eastAsia="MinionPro-Regular"/>
          <w:szCs w:val="22"/>
          <w:lang w:eastAsia="en-GB"/>
        </w:rPr>
        <w:t>Parties</w:t>
      </w:r>
      <w:r w:rsidRPr="00C935B8">
        <w:rPr>
          <w:rFonts w:eastAsia="MinionPro-Regular"/>
          <w:szCs w:val="22"/>
          <w:lang w:eastAsia="en-GB"/>
        </w:rPr>
        <w:t xml:space="preserve"> are organised, the </w:t>
      </w:r>
      <w:r w:rsidR="0064261A">
        <w:rPr>
          <w:rFonts w:eastAsia="MinionPro-Regular"/>
          <w:szCs w:val="22"/>
          <w:lang w:eastAsia="en-GB"/>
        </w:rPr>
        <w:t>European Union (</w:t>
      </w:r>
      <w:r w:rsidRPr="00C935B8">
        <w:rPr>
          <w:rFonts w:eastAsia="MinionPro-Regular"/>
          <w:szCs w:val="22"/>
          <w:lang w:eastAsia="en-GB"/>
        </w:rPr>
        <w:t>EU</w:t>
      </w:r>
      <w:r w:rsidR="0064261A">
        <w:rPr>
          <w:rFonts w:eastAsia="MinionPro-Regular"/>
          <w:szCs w:val="22"/>
          <w:lang w:eastAsia="en-GB"/>
        </w:rPr>
        <w:t>)</w:t>
      </w:r>
      <w:r w:rsidRPr="00C935B8">
        <w:rPr>
          <w:rFonts w:eastAsia="MinionPro-Regular"/>
          <w:szCs w:val="22"/>
          <w:lang w:eastAsia="en-GB"/>
        </w:rPr>
        <w:t xml:space="preserve"> fishery fleet situation is described here.</w:t>
      </w:r>
    </w:p>
    <w:p w:rsidR="00146B22" w:rsidRPr="003A33EC" w:rsidRDefault="00146B22" w:rsidP="00146B22">
      <w:pPr>
        <w:autoSpaceDE w:val="0"/>
        <w:autoSpaceDN w:val="0"/>
        <w:adjustRightInd w:val="0"/>
        <w:spacing w:after="120"/>
        <w:rPr>
          <w:rFonts w:eastAsia="MinionPro-Regular"/>
          <w:szCs w:val="22"/>
          <w:lang w:eastAsia="en-GB"/>
        </w:rPr>
      </w:pPr>
      <w:r w:rsidRPr="00C935B8">
        <w:rPr>
          <w:rFonts w:eastAsia="MinionPro-Regular"/>
          <w:szCs w:val="22"/>
          <w:lang w:eastAsia="en-GB"/>
        </w:rPr>
        <w:t>The EU fleet is very diverse, with the vast majority</w:t>
      </w:r>
      <w:r w:rsidRPr="003A33EC">
        <w:rPr>
          <w:rFonts w:eastAsia="MinionPro-Regular"/>
          <w:szCs w:val="22"/>
          <w:lang w:eastAsia="en-GB"/>
        </w:rPr>
        <w:t xml:space="preserve"> of boats being no more than 12 metres long</w:t>
      </w:r>
      <w:r w:rsidR="006A6FCA">
        <w:rPr>
          <w:rFonts w:eastAsia="MinionPro-Regular"/>
          <w:szCs w:val="22"/>
          <w:lang w:eastAsia="en-GB"/>
        </w:rPr>
        <w:t xml:space="preserve">, with </w:t>
      </w:r>
      <w:r w:rsidRPr="003A33EC">
        <w:rPr>
          <w:rFonts w:eastAsia="MinionPro-Regular"/>
          <w:szCs w:val="22"/>
          <w:lang w:eastAsia="en-GB"/>
        </w:rPr>
        <w:t xml:space="preserve">a small number of vessels exceeding 40 metres in length. </w:t>
      </w:r>
    </w:p>
    <w:p w:rsidR="00146B22" w:rsidRPr="003A33EC" w:rsidRDefault="00146B22" w:rsidP="00146B22">
      <w:pPr>
        <w:autoSpaceDE w:val="0"/>
        <w:autoSpaceDN w:val="0"/>
        <w:adjustRightInd w:val="0"/>
        <w:spacing w:after="120"/>
        <w:rPr>
          <w:rFonts w:eastAsia="MinionPro-Regular"/>
          <w:szCs w:val="22"/>
          <w:lang w:eastAsia="en-GB"/>
        </w:rPr>
      </w:pPr>
      <w:r w:rsidRPr="003A33EC">
        <w:rPr>
          <w:rFonts w:eastAsia="MinionPro-Regular"/>
          <w:szCs w:val="22"/>
          <w:lang w:eastAsia="en-GB"/>
        </w:rPr>
        <w:t>Reducing fleet capacity is an essential tool for achieving a sustainable exploitation of fisheries resources</w:t>
      </w:r>
      <w:r w:rsidR="006A6FCA">
        <w:rPr>
          <w:rFonts w:eastAsia="MinionPro-Regular"/>
          <w:szCs w:val="22"/>
          <w:lang w:eastAsia="en-GB"/>
        </w:rPr>
        <w:t xml:space="preserve">. That is why </w:t>
      </w:r>
      <w:r>
        <w:rPr>
          <w:rFonts w:eastAsia="MinionPro-Regular"/>
          <w:szCs w:val="22"/>
          <w:lang w:eastAsia="en-GB"/>
        </w:rPr>
        <w:t>t</w:t>
      </w:r>
      <w:r w:rsidRPr="003A33EC">
        <w:rPr>
          <w:rFonts w:eastAsia="MinionPro-Regular"/>
          <w:szCs w:val="22"/>
          <w:lang w:eastAsia="en-GB"/>
        </w:rPr>
        <w:t>he EU’s fishing fleet capacity has declined steadily since the early 1990s, in terms of both tonnage (an indicator of fish-holding capacity) and engine power (an indicator of the power available for fishing gear). The size of the EU-28 fishin</w:t>
      </w:r>
      <w:r>
        <w:rPr>
          <w:rFonts w:eastAsia="MinionPro-Regular"/>
          <w:szCs w:val="22"/>
          <w:lang w:eastAsia="en-GB"/>
        </w:rPr>
        <w:t>g fleet has dropped to about 86’</w:t>
      </w:r>
      <w:r w:rsidRPr="003A33EC">
        <w:rPr>
          <w:rFonts w:eastAsia="MinionPro-Regular"/>
          <w:szCs w:val="22"/>
          <w:lang w:eastAsia="en-GB"/>
        </w:rPr>
        <w:t xml:space="preserve">500 </w:t>
      </w:r>
      <w:r>
        <w:rPr>
          <w:rFonts w:eastAsia="MinionPro-Regular"/>
          <w:szCs w:val="22"/>
          <w:lang w:eastAsia="en-GB"/>
        </w:rPr>
        <w:t>vessels in 2013 compared to 104’</w:t>
      </w:r>
      <w:r w:rsidRPr="003A33EC">
        <w:rPr>
          <w:rFonts w:eastAsia="MinionPro-Regular"/>
          <w:szCs w:val="22"/>
          <w:lang w:eastAsia="en-GB"/>
        </w:rPr>
        <w:t xml:space="preserve">000 vessels for the EU-15 in 1995, although it increased by 7.2 % between 2012 and 2013, following Croatia’s EU </w:t>
      </w:r>
      <w:r w:rsidRPr="003A33EC">
        <w:rPr>
          <w:rFonts w:eastAsia="MinionPro-Regular"/>
          <w:szCs w:val="22"/>
          <w:lang w:eastAsia="en-GB"/>
        </w:rPr>
        <w:lastRenderedPageBreak/>
        <w:t>accession. The EU’s fishing fleet in 2013 had a combined capacity of 1.7 million gross tonnes and a total engine power of 6.6 million k</w:t>
      </w:r>
      <w:r>
        <w:rPr>
          <w:rFonts w:eastAsia="MinionPro-Regular"/>
          <w:szCs w:val="22"/>
          <w:lang w:eastAsia="en-GB"/>
        </w:rPr>
        <w:t>W</w:t>
      </w:r>
      <w:r w:rsidRPr="003A33EC">
        <w:rPr>
          <w:rFonts w:eastAsia="MinionPro-Regular"/>
          <w:szCs w:val="22"/>
          <w:lang w:eastAsia="en-GB"/>
        </w:rPr>
        <w:t>.</w:t>
      </w:r>
    </w:p>
    <w:p w:rsidR="00146B22" w:rsidRPr="00C935B8" w:rsidRDefault="00146B22" w:rsidP="00DF1E74">
      <w:pPr>
        <w:autoSpaceDE w:val="0"/>
        <w:autoSpaceDN w:val="0"/>
        <w:adjustRightInd w:val="0"/>
        <w:rPr>
          <w:rFonts w:eastAsia="MinionPro-Regular"/>
          <w:szCs w:val="22"/>
          <w:lang w:eastAsia="en-GB"/>
        </w:rPr>
      </w:pPr>
      <w:r w:rsidRPr="003A33EC">
        <w:rPr>
          <w:rFonts w:eastAsia="MinionPro-Regular"/>
          <w:szCs w:val="22"/>
          <w:lang w:eastAsia="en-GB"/>
        </w:rPr>
        <w:t xml:space="preserve">Almost one fifth (18.3%) of the EU-28’s fishing fleet is registered in Greece. </w:t>
      </w:r>
      <w:r>
        <w:rPr>
          <w:rFonts w:eastAsia="MinionPro-Regular"/>
          <w:szCs w:val="22"/>
          <w:lang w:eastAsia="en-GB"/>
        </w:rPr>
        <w:t>Generally</w:t>
      </w:r>
      <w:r w:rsidRPr="003A33EC">
        <w:rPr>
          <w:rFonts w:eastAsia="MinionPro-Regular"/>
          <w:szCs w:val="22"/>
          <w:lang w:eastAsia="en-GB"/>
        </w:rPr>
        <w:t xml:space="preserve"> however, these Greek vessels are small, with an average size of 4.9 gross tonnes (much less than the EU-28 average of 19.2 gross tonnes) and an average engine power of 28.9 kilowatts in 2013 (compared with an EU-28 average of 76.0 k</w:t>
      </w:r>
      <w:r w:rsidR="00661226">
        <w:rPr>
          <w:rFonts w:eastAsia="MinionPro-Regular"/>
          <w:szCs w:val="22"/>
          <w:lang w:eastAsia="en-GB"/>
        </w:rPr>
        <w:t>W</w:t>
      </w:r>
      <w:r w:rsidRPr="003A33EC">
        <w:rPr>
          <w:rFonts w:eastAsia="MinionPro-Regular"/>
          <w:szCs w:val="22"/>
          <w:lang w:eastAsia="en-GB"/>
        </w:rPr>
        <w:t xml:space="preserve">). In terms of capacity, Spain, France, Italy and the United Kingdom </w:t>
      </w:r>
      <w:r w:rsidRPr="00C935B8">
        <w:rPr>
          <w:rFonts w:eastAsia="MinionPro-Regular"/>
          <w:szCs w:val="22"/>
          <w:lang w:eastAsia="en-GB"/>
        </w:rPr>
        <w:t xml:space="preserve">had the largest fishing fleets, accounting for 54.2 % of gross tonnage and 55.8 % of engine power in 2013 </w:t>
      </w:r>
      <w:r w:rsidR="00202ABD">
        <w:rPr>
          <w:rFonts w:eastAsia="MinionPro-Regular"/>
          <w:szCs w:val="22"/>
          <w:lang w:eastAsia="en-GB"/>
        </w:rPr>
        <w:t>(</w:t>
      </w:r>
      <w:r w:rsidRPr="00C935B8">
        <w:rPr>
          <w:rFonts w:eastAsia="MinionPro-Regular"/>
          <w:szCs w:val="22"/>
          <w:lang w:eastAsia="en-GB"/>
        </w:rPr>
        <w:t>EUROSTAT, 2014</w:t>
      </w:r>
      <w:r w:rsidR="00202ABD">
        <w:rPr>
          <w:rFonts w:eastAsia="MinionPro-Regular"/>
          <w:szCs w:val="22"/>
          <w:lang w:eastAsia="en-GB"/>
        </w:rPr>
        <w:t>)</w:t>
      </w:r>
      <w:r w:rsidRPr="00C935B8">
        <w:rPr>
          <w:rFonts w:eastAsia="MinionPro-Regular"/>
          <w:szCs w:val="22"/>
          <w:lang w:eastAsia="en-GB"/>
        </w:rPr>
        <w:t>.</w:t>
      </w:r>
    </w:p>
    <w:p w:rsidR="00146B22" w:rsidRPr="00C935B8" w:rsidRDefault="00146B22" w:rsidP="00146B22">
      <w:pPr>
        <w:spacing w:after="120"/>
      </w:pPr>
    </w:p>
    <w:p w:rsidR="00146B22" w:rsidRPr="00C935B8" w:rsidRDefault="00146B22" w:rsidP="00146B22">
      <w:pPr>
        <w:pStyle w:val="Heading2"/>
        <w:spacing w:line="240" w:lineRule="auto"/>
      </w:pPr>
      <w:bookmarkStart w:id="130" w:name="_Toc451252555"/>
      <w:bookmarkStart w:id="131" w:name="_Toc452653414"/>
      <w:r w:rsidRPr="00C935B8">
        <w:t>A</w:t>
      </w:r>
      <w:r w:rsidR="00DB5D06">
        <w:t>2</w:t>
      </w:r>
      <w:r w:rsidRPr="00C935B8">
        <w:t>.2</w:t>
      </w:r>
      <w:r w:rsidRPr="00C935B8">
        <w:tab/>
      </w:r>
      <w:r w:rsidRPr="00C935B8">
        <w:tab/>
        <w:t>Refrigeration within the fishing industry</w:t>
      </w:r>
      <w:bookmarkEnd w:id="130"/>
      <w:bookmarkEnd w:id="131"/>
    </w:p>
    <w:p w:rsidR="00146B22" w:rsidRPr="00C935B8" w:rsidRDefault="00146B22" w:rsidP="00146B22">
      <w:pPr>
        <w:pStyle w:val="Heading3"/>
        <w:spacing w:line="240" w:lineRule="auto"/>
      </w:pPr>
      <w:bookmarkStart w:id="132" w:name="_Toc451252556"/>
      <w:bookmarkStart w:id="133" w:name="_Toc452653415"/>
      <w:r w:rsidRPr="00C935B8">
        <w:t>A</w:t>
      </w:r>
      <w:r w:rsidR="00DB5D06">
        <w:t>2</w:t>
      </w:r>
      <w:r w:rsidRPr="00C935B8">
        <w:t>.2.1</w:t>
      </w:r>
      <w:r w:rsidRPr="00C935B8">
        <w:tab/>
        <w:t>Refrigeration on board</w:t>
      </w:r>
      <w:bookmarkEnd w:id="132"/>
      <w:bookmarkEnd w:id="133"/>
    </w:p>
    <w:p w:rsidR="00146B22" w:rsidRPr="00C935B8" w:rsidRDefault="00146B22" w:rsidP="00146B22">
      <w:pPr>
        <w:spacing w:after="120"/>
      </w:pPr>
      <w:r w:rsidRPr="00C935B8">
        <w:t xml:space="preserve">In order to avoid spoilage and increase shelf-life, fish must be kept refrigerated as soon as </w:t>
      </w:r>
      <w:r w:rsidR="006A6FCA">
        <w:t xml:space="preserve">they are </w:t>
      </w:r>
      <w:r w:rsidRPr="00C935B8">
        <w:t>caught.</w:t>
      </w:r>
    </w:p>
    <w:p w:rsidR="00146B22" w:rsidRPr="00C935B8" w:rsidRDefault="00146B22" w:rsidP="00146B22">
      <w:pPr>
        <w:spacing w:after="120"/>
        <w:rPr>
          <w:szCs w:val="22"/>
        </w:rPr>
      </w:pPr>
      <w:r w:rsidRPr="00C935B8">
        <w:t xml:space="preserve">If the fish </w:t>
      </w:r>
      <w:r w:rsidR="006A6FCA">
        <w:t xml:space="preserve">are </w:t>
      </w:r>
      <w:r w:rsidRPr="00C935B8">
        <w:t>caught for local use, ice is the best suited refrigeration medium, as it can be used without any machinery on board ships and provides cold storage. Ice is very well suited for fish, as i</w:t>
      </w:r>
      <w:r w:rsidR="00DB5D06">
        <w:t>) i</w:t>
      </w:r>
      <w:r w:rsidRPr="00C935B8">
        <w:t xml:space="preserve">t provides </w:t>
      </w:r>
      <w:r w:rsidR="006A6FCA">
        <w:t xml:space="preserve">the </w:t>
      </w:r>
      <w:r w:rsidRPr="00C935B8">
        <w:t xml:space="preserve">quick cooling after harvesting, needed for good quality, ii) its temperature is just </w:t>
      </w:r>
      <w:r w:rsidR="006A6FCA">
        <w:t xml:space="preserve">right </w:t>
      </w:r>
      <w:r w:rsidRPr="00C935B8">
        <w:t xml:space="preserve">for short term conservation, </w:t>
      </w:r>
      <w:r w:rsidR="006A6FCA">
        <w:t xml:space="preserve">and </w:t>
      </w:r>
      <w:r w:rsidRPr="00C935B8">
        <w:t xml:space="preserve">iii) though melt water can affect the quality of other goods, it does not alter the quality of fish, </w:t>
      </w:r>
      <w:r w:rsidR="006A6FCA">
        <w:t xml:space="preserve">which are </w:t>
      </w:r>
      <w:r w:rsidRPr="00C935B8">
        <w:t>protected by skin and scales.</w:t>
      </w:r>
    </w:p>
    <w:p w:rsidR="00146B22" w:rsidRPr="00C935B8" w:rsidRDefault="00146B22" w:rsidP="00146B22">
      <w:pPr>
        <w:spacing w:after="120"/>
        <w:rPr>
          <w:szCs w:val="22"/>
        </w:rPr>
      </w:pPr>
      <w:r w:rsidRPr="00C935B8">
        <w:rPr>
          <w:szCs w:val="22"/>
        </w:rPr>
        <w:t xml:space="preserve">If not consumed fresh, fish is processed for conservation. This yields the different products that can be found on markets: canned, frozen, freeze dried or cured. Industrial processing of fish can be done on board factory ships or in land based plants. In all cases the process is similar to other kinds of food processing, with just some peculiarities which will be pointed out later on </w:t>
      </w:r>
      <w:r w:rsidR="00202ABD">
        <w:t>(de Larminat</w:t>
      </w:r>
      <w:r w:rsidRPr="00C935B8">
        <w:t>, 2015</w:t>
      </w:r>
      <w:r w:rsidR="00202ABD">
        <w:t>)</w:t>
      </w:r>
      <w:r w:rsidRPr="00C935B8">
        <w:t>.</w:t>
      </w:r>
    </w:p>
    <w:p w:rsidR="00146B22" w:rsidRPr="00C935B8" w:rsidRDefault="00146B22" w:rsidP="00DF1E74">
      <w:pPr>
        <w:rPr>
          <w:szCs w:val="22"/>
        </w:rPr>
      </w:pPr>
      <w:r w:rsidRPr="00C935B8">
        <w:rPr>
          <w:szCs w:val="22"/>
        </w:rPr>
        <w:t>Table A</w:t>
      </w:r>
      <w:r w:rsidR="00DB5D06">
        <w:rPr>
          <w:szCs w:val="22"/>
        </w:rPr>
        <w:t>2</w:t>
      </w:r>
      <w:r w:rsidRPr="00C935B8">
        <w:rPr>
          <w:szCs w:val="22"/>
        </w:rPr>
        <w:t>-1 summarizes the type of conservation method for the fish depending on the type of catch and on the type of vessel used for the catch.</w:t>
      </w:r>
    </w:p>
    <w:p w:rsidR="00146B22" w:rsidRDefault="00146B22" w:rsidP="00146B22">
      <w:pPr>
        <w:spacing w:after="120"/>
        <w:rPr>
          <w:szCs w:val="22"/>
        </w:rPr>
      </w:pPr>
    </w:p>
    <w:p w:rsidR="006A6FCA" w:rsidRPr="00C935B8" w:rsidRDefault="006A6FCA" w:rsidP="00146B22">
      <w:pPr>
        <w:spacing w:after="120"/>
        <w:rPr>
          <w:szCs w:val="22"/>
        </w:rPr>
      </w:pPr>
    </w:p>
    <w:p w:rsidR="00146B22" w:rsidRPr="00DF1E74" w:rsidRDefault="00146B22" w:rsidP="00146B22">
      <w:pPr>
        <w:pStyle w:val="Caption"/>
        <w:pBdr>
          <w:bottom w:val="none" w:sz="0" w:space="0" w:color="auto"/>
        </w:pBdr>
        <w:spacing w:after="120"/>
        <w:rPr>
          <w:lang w:val="en-US"/>
        </w:rPr>
      </w:pPr>
      <w:r w:rsidRPr="00DF1E74">
        <w:rPr>
          <w:lang w:val="en-US"/>
        </w:rPr>
        <w:t>Table A</w:t>
      </w:r>
      <w:r w:rsidR="00DB5D06">
        <w:rPr>
          <w:lang w:val="en-US"/>
        </w:rPr>
        <w:t>2</w:t>
      </w:r>
      <w:r w:rsidRPr="00DF1E74">
        <w:rPr>
          <w:lang w:val="en-US"/>
        </w:rPr>
        <w:t>-</w:t>
      </w:r>
      <w:r w:rsidRPr="00C935B8">
        <w:fldChar w:fldCharType="begin"/>
      </w:r>
      <w:r w:rsidRPr="00DF1E74">
        <w:rPr>
          <w:lang w:val="en-US"/>
        </w:rPr>
        <w:instrText xml:space="preserve"> SEQ Table \* ARABIC </w:instrText>
      </w:r>
      <w:r w:rsidRPr="00C935B8">
        <w:fldChar w:fldCharType="separate"/>
      </w:r>
      <w:r w:rsidR="00C006A4">
        <w:rPr>
          <w:noProof/>
          <w:lang w:val="en-US"/>
        </w:rPr>
        <w:t>1</w:t>
      </w:r>
      <w:r w:rsidRPr="00C935B8">
        <w:rPr>
          <w:noProof/>
        </w:rPr>
        <w:fldChar w:fldCharType="end"/>
      </w:r>
      <w:r w:rsidRPr="00DF1E74">
        <w:rPr>
          <w:lang w:val="en-US"/>
        </w:rPr>
        <w:t xml:space="preserve"> Type of fish conservation used depending on the catch </w:t>
      </w:r>
      <w:r w:rsidR="00202ABD">
        <w:rPr>
          <w:lang w:val="en-US"/>
        </w:rPr>
        <w:t>(de Larminat</w:t>
      </w:r>
      <w:r w:rsidRPr="00DF1E74">
        <w:rPr>
          <w:lang w:val="en-US"/>
        </w:rPr>
        <w:t>, 2015</w:t>
      </w:r>
      <w:r w:rsidR="00202ABD">
        <w:rPr>
          <w:lang w:val="en-US"/>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268"/>
        <w:gridCol w:w="2268"/>
      </w:tblGrid>
      <w:tr w:rsidR="00146B22" w:rsidRPr="00EC251A" w:rsidTr="004C4FC8">
        <w:trPr>
          <w:jc w:val="center"/>
        </w:trPr>
        <w:tc>
          <w:tcPr>
            <w:tcW w:w="2268" w:type="dxa"/>
            <w:tcBorders>
              <w:top w:val="single" w:sz="18" w:space="0" w:color="auto"/>
              <w:bottom w:val="single" w:sz="18" w:space="0" w:color="auto"/>
            </w:tcBorders>
            <w:shd w:val="clear" w:color="auto" w:fill="auto"/>
            <w:vAlign w:val="center"/>
          </w:tcPr>
          <w:p w:rsidR="00146B22" w:rsidRPr="00EC251A" w:rsidRDefault="00736C0B" w:rsidP="004C4FC8">
            <w:pPr>
              <w:spacing w:after="120"/>
              <w:rPr>
                <w:szCs w:val="22"/>
                <w:lang w:val="nl-NL"/>
              </w:rPr>
            </w:pPr>
            <w:r>
              <w:rPr>
                <w:szCs w:val="22"/>
                <w:lang w:val="nl-NL"/>
              </w:rPr>
              <w:t>C</w:t>
            </w:r>
            <w:r w:rsidR="00146B22" w:rsidRPr="00EC251A">
              <w:rPr>
                <w:szCs w:val="22"/>
                <w:lang w:val="nl-NL"/>
              </w:rPr>
              <w:t>atches</w:t>
            </w:r>
          </w:p>
        </w:tc>
        <w:tc>
          <w:tcPr>
            <w:tcW w:w="2268" w:type="dxa"/>
            <w:tcBorders>
              <w:top w:val="single" w:sz="18" w:space="0" w:color="auto"/>
              <w:bottom w:val="single" w:sz="18" w:space="0" w:color="auto"/>
            </w:tcBorders>
            <w:shd w:val="clear" w:color="auto" w:fill="auto"/>
            <w:vAlign w:val="center"/>
          </w:tcPr>
          <w:p w:rsidR="00146B22" w:rsidRPr="00EC251A" w:rsidRDefault="00736C0B" w:rsidP="004C4FC8">
            <w:pPr>
              <w:spacing w:after="120"/>
              <w:jc w:val="center"/>
              <w:rPr>
                <w:szCs w:val="22"/>
                <w:lang w:val="nl-NL"/>
              </w:rPr>
            </w:pPr>
            <w:r>
              <w:rPr>
                <w:szCs w:val="22"/>
                <w:lang w:val="nl-NL"/>
              </w:rPr>
              <w:t>C</w:t>
            </w:r>
            <w:r w:rsidR="00146B22" w:rsidRPr="00EC251A">
              <w:rPr>
                <w:szCs w:val="22"/>
                <w:lang w:val="nl-NL"/>
              </w:rPr>
              <w:t>onservation</w:t>
            </w:r>
            <w:r>
              <w:rPr>
                <w:szCs w:val="22"/>
                <w:lang w:val="nl-NL"/>
              </w:rPr>
              <w:t xml:space="preserve"> method</w:t>
            </w:r>
          </w:p>
        </w:tc>
      </w:tr>
      <w:tr w:rsidR="00146B22" w:rsidRPr="00EC251A" w:rsidTr="004C4FC8">
        <w:trPr>
          <w:jc w:val="center"/>
        </w:trPr>
        <w:tc>
          <w:tcPr>
            <w:tcW w:w="2268" w:type="dxa"/>
            <w:tcBorders>
              <w:top w:val="single" w:sz="18" w:space="0" w:color="auto"/>
            </w:tcBorders>
            <w:shd w:val="clear" w:color="auto" w:fill="auto"/>
            <w:vAlign w:val="center"/>
          </w:tcPr>
          <w:p w:rsidR="00146B22" w:rsidRPr="00EC251A" w:rsidRDefault="00146B22" w:rsidP="004C4FC8">
            <w:pPr>
              <w:spacing w:after="120"/>
              <w:rPr>
                <w:szCs w:val="22"/>
                <w:lang w:val="nl-NL"/>
              </w:rPr>
            </w:pPr>
            <w:r w:rsidRPr="00EC251A">
              <w:rPr>
                <w:szCs w:val="22"/>
                <w:lang w:val="nl-NL"/>
              </w:rPr>
              <w:t>local</w:t>
            </w:r>
          </w:p>
        </w:tc>
        <w:tc>
          <w:tcPr>
            <w:tcW w:w="2268" w:type="dxa"/>
            <w:tcBorders>
              <w:top w:val="single" w:sz="18" w:space="0" w:color="auto"/>
            </w:tcBorders>
            <w:shd w:val="clear" w:color="auto" w:fill="auto"/>
            <w:vAlign w:val="center"/>
          </w:tcPr>
          <w:p w:rsidR="00146B22" w:rsidRPr="00EC251A" w:rsidRDefault="00146B22" w:rsidP="004C4FC8">
            <w:pPr>
              <w:spacing w:after="120"/>
              <w:jc w:val="center"/>
              <w:rPr>
                <w:szCs w:val="22"/>
                <w:lang w:val="nl-NL"/>
              </w:rPr>
            </w:pPr>
            <w:r w:rsidRPr="00EC251A">
              <w:rPr>
                <w:szCs w:val="22"/>
                <w:lang w:val="nl-NL"/>
              </w:rPr>
              <w:t>ice</w:t>
            </w:r>
          </w:p>
        </w:tc>
      </w:tr>
      <w:tr w:rsidR="00146B22" w:rsidRPr="00EC251A" w:rsidTr="004C4FC8">
        <w:trPr>
          <w:jc w:val="center"/>
        </w:trPr>
        <w:tc>
          <w:tcPr>
            <w:tcW w:w="2268" w:type="dxa"/>
            <w:shd w:val="clear" w:color="auto" w:fill="auto"/>
            <w:vAlign w:val="center"/>
          </w:tcPr>
          <w:p w:rsidR="00146B22" w:rsidRPr="00EC251A" w:rsidRDefault="00146B22" w:rsidP="004C4FC8">
            <w:pPr>
              <w:spacing w:after="120"/>
              <w:rPr>
                <w:szCs w:val="22"/>
                <w:lang w:val="nl-NL"/>
              </w:rPr>
            </w:pPr>
            <w:r w:rsidRPr="00EC251A">
              <w:rPr>
                <w:szCs w:val="22"/>
                <w:lang w:val="nl-NL"/>
              </w:rPr>
              <w:t>mid-distance</w:t>
            </w:r>
          </w:p>
        </w:tc>
        <w:tc>
          <w:tcPr>
            <w:tcW w:w="2268" w:type="dxa"/>
            <w:shd w:val="clear" w:color="auto" w:fill="auto"/>
            <w:vAlign w:val="center"/>
          </w:tcPr>
          <w:p w:rsidR="00146B22" w:rsidRPr="00EC251A" w:rsidRDefault="00146B22" w:rsidP="004C4FC8">
            <w:pPr>
              <w:spacing w:after="120"/>
              <w:jc w:val="center"/>
              <w:rPr>
                <w:szCs w:val="22"/>
                <w:lang w:val="nl-NL"/>
              </w:rPr>
            </w:pPr>
            <w:r w:rsidRPr="00EC251A">
              <w:rPr>
                <w:szCs w:val="22"/>
                <w:lang w:val="nl-NL"/>
              </w:rPr>
              <w:t>brine freezing/RSW</w:t>
            </w:r>
          </w:p>
        </w:tc>
      </w:tr>
      <w:tr w:rsidR="00146B22" w:rsidRPr="00EC251A" w:rsidTr="004C4FC8">
        <w:trPr>
          <w:jc w:val="center"/>
        </w:trPr>
        <w:tc>
          <w:tcPr>
            <w:tcW w:w="2268" w:type="dxa"/>
            <w:shd w:val="clear" w:color="auto" w:fill="auto"/>
            <w:vAlign w:val="center"/>
          </w:tcPr>
          <w:p w:rsidR="00146B22" w:rsidRPr="00EC251A" w:rsidRDefault="00146B22" w:rsidP="004C4FC8">
            <w:pPr>
              <w:spacing w:after="120"/>
              <w:rPr>
                <w:szCs w:val="22"/>
                <w:lang w:val="nl-NL"/>
              </w:rPr>
            </w:pPr>
            <w:r w:rsidRPr="00EC251A">
              <w:rPr>
                <w:szCs w:val="22"/>
                <w:lang w:val="nl-NL"/>
              </w:rPr>
              <w:t>long-distance</w:t>
            </w:r>
          </w:p>
        </w:tc>
        <w:tc>
          <w:tcPr>
            <w:tcW w:w="2268" w:type="dxa"/>
            <w:shd w:val="clear" w:color="auto" w:fill="auto"/>
            <w:vAlign w:val="center"/>
          </w:tcPr>
          <w:p w:rsidR="00146B22" w:rsidRPr="00EC251A" w:rsidRDefault="00146B22" w:rsidP="004C4FC8">
            <w:pPr>
              <w:spacing w:after="120"/>
              <w:jc w:val="center"/>
              <w:rPr>
                <w:szCs w:val="22"/>
                <w:lang w:val="nl-NL"/>
              </w:rPr>
            </w:pPr>
            <w:r w:rsidRPr="00EC251A">
              <w:rPr>
                <w:szCs w:val="22"/>
                <w:lang w:val="nl-NL"/>
              </w:rPr>
              <w:t>deep freezing</w:t>
            </w:r>
          </w:p>
        </w:tc>
      </w:tr>
    </w:tbl>
    <w:p w:rsidR="00146B22" w:rsidRPr="00AF0236" w:rsidRDefault="00146B22" w:rsidP="00146B22">
      <w:pPr>
        <w:spacing w:after="120"/>
        <w:rPr>
          <w:szCs w:val="22"/>
          <w:lang w:val="nl-NL"/>
        </w:rPr>
      </w:pPr>
    </w:p>
    <w:p w:rsidR="00146B22" w:rsidRDefault="00146B22" w:rsidP="00146B22">
      <w:pPr>
        <w:spacing w:after="120"/>
        <w:rPr>
          <w:szCs w:val="22"/>
        </w:rPr>
      </w:pPr>
      <w:r w:rsidRPr="003A33EC">
        <w:rPr>
          <w:szCs w:val="22"/>
        </w:rPr>
        <w:t>The smallest ships have no refrigeration</w:t>
      </w:r>
      <w:r>
        <w:rPr>
          <w:szCs w:val="22"/>
        </w:rPr>
        <w:t xml:space="preserve"> at all</w:t>
      </w:r>
      <w:r w:rsidRPr="003A33EC">
        <w:rPr>
          <w:szCs w:val="22"/>
        </w:rPr>
        <w:t xml:space="preserve"> aboard. When a little larger</w:t>
      </w:r>
      <w:r w:rsidR="006A6FCA">
        <w:rPr>
          <w:szCs w:val="22"/>
        </w:rPr>
        <w:t>,</w:t>
      </w:r>
      <w:r w:rsidRPr="003A33EC">
        <w:rPr>
          <w:szCs w:val="22"/>
        </w:rPr>
        <w:t xml:space="preserve"> they load</w:t>
      </w:r>
      <w:r>
        <w:rPr>
          <w:szCs w:val="22"/>
        </w:rPr>
        <w:t xml:space="preserve"> up</w:t>
      </w:r>
      <w:r w:rsidRPr="003A33EC">
        <w:rPr>
          <w:szCs w:val="22"/>
        </w:rPr>
        <w:t xml:space="preserve"> </w:t>
      </w:r>
      <w:r>
        <w:rPr>
          <w:szCs w:val="22"/>
        </w:rPr>
        <w:t xml:space="preserve">flake </w:t>
      </w:r>
      <w:r w:rsidRPr="003A33EC">
        <w:rPr>
          <w:szCs w:val="22"/>
        </w:rPr>
        <w:t>ice</w:t>
      </w:r>
      <w:r>
        <w:rPr>
          <w:szCs w:val="22"/>
        </w:rPr>
        <w:t xml:space="preserve"> every morning</w:t>
      </w:r>
      <w:r w:rsidRPr="003A33EC">
        <w:rPr>
          <w:szCs w:val="22"/>
        </w:rPr>
        <w:t xml:space="preserve"> from the harbour.</w:t>
      </w:r>
      <w:r>
        <w:rPr>
          <w:szCs w:val="22"/>
        </w:rPr>
        <w:t xml:space="preserve"> </w:t>
      </w:r>
      <w:r w:rsidRPr="003A33EC">
        <w:rPr>
          <w:szCs w:val="22"/>
          <w:lang w:eastAsia="en-GB"/>
        </w:rPr>
        <w:t xml:space="preserve">The catch is then iced as it comes on-board and held cold with the ice. </w:t>
      </w:r>
      <w:r>
        <w:rPr>
          <w:szCs w:val="22"/>
        </w:rPr>
        <w:t>L</w:t>
      </w:r>
      <w:r w:rsidRPr="003A33EC">
        <w:rPr>
          <w:szCs w:val="22"/>
        </w:rPr>
        <w:t>arger ships have R</w:t>
      </w:r>
      <w:r>
        <w:rPr>
          <w:szCs w:val="22"/>
        </w:rPr>
        <w:t xml:space="preserve">efrigerated </w:t>
      </w:r>
      <w:r w:rsidRPr="003A33EC">
        <w:rPr>
          <w:szCs w:val="22"/>
        </w:rPr>
        <w:t>S</w:t>
      </w:r>
      <w:r>
        <w:rPr>
          <w:szCs w:val="22"/>
        </w:rPr>
        <w:t xml:space="preserve">ea </w:t>
      </w:r>
      <w:r w:rsidRPr="003A33EC">
        <w:rPr>
          <w:szCs w:val="22"/>
        </w:rPr>
        <w:t>W</w:t>
      </w:r>
      <w:r>
        <w:rPr>
          <w:szCs w:val="22"/>
        </w:rPr>
        <w:t>ater (RSW)</w:t>
      </w:r>
      <w:r w:rsidRPr="003A33EC">
        <w:rPr>
          <w:szCs w:val="22"/>
        </w:rPr>
        <w:t xml:space="preserve"> tanks and produce ice on-board. Only the largest vessels have complete factory installations with blast freezers, plate freezers, RSW tanks and ice-machines.</w:t>
      </w:r>
    </w:p>
    <w:p w:rsidR="00146B22" w:rsidRPr="003A33EC" w:rsidRDefault="00146B22" w:rsidP="00146B22">
      <w:pPr>
        <w:autoSpaceDE w:val="0"/>
        <w:autoSpaceDN w:val="0"/>
        <w:adjustRightInd w:val="0"/>
        <w:spacing w:after="120"/>
        <w:rPr>
          <w:rFonts w:eastAsia="FrutigerLTStd-Roman"/>
          <w:szCs w:val="22"/>
          <w:lang w:eastAsia="en-GB"/>
        </w:rPr>
      </w:pPr>
      <w:r w:rsidRPr="003A33EC">
        <w:rPr>
          <w:rFonts w:eastAsia="FrutigerLTStd-Roman"/>
          <w:szCs w:val="22"/>
          <w:lang w:eastAsia="en-GB"/>
        </w:rPr>
        <w:t>In recent decades, major innovations in refrigeration, ice-making, packaging and transportation to ensure product integrity have also allowed an expansion of fish distributed in fresh, chilled and frozen forms. Developing countries have experienced a growth in the share of fish production utilised as frozen products (24% of fish for human consumption in 2012, up from 20% in 2002 and 13% in 1992).</w:t>
      </w:r>
    </w:p>
    <w:p w:rsidR="00146B22" w:rsidRPr="003A33EC" w:rsidRDefault="00146B22" w:rsidP="00DF1E74">
      <w:pPr>
        <w:autoSpaceDE w:val="0"/>
        <w:autoSpaceDN w:val="0"/>
        <w:adjustRightInd w:val="0"/>
        <w:rPr>
          <w:rFonts w:eastAsia="FrutigerLTStd-Roman"/>
          <w:szCs w:val="22"/>
          <w:lang w:eastAsia="en-GB"/>
        </w:rPr>
      </w:pPr>
      <w:r w:rsidRPr="003A33EC">
        <w:rPr>
          <w:rFonts w:eastAsia="FrutigerLTStd-Roman"/>
          <w:szCs w:val="22"/>
          <w:lang w:eastAsia="en-GB"/>
        </w:rPr>
        <w:t xml:space="preserve">However, many countries, especially </w:t>
      </w:r>
      <w:r>
        <w:rPr>
          <w:rFonts w:eastAsia="FrutigerLTStd-Roman"/>
          <w:szCs w:val="22"/>
          <w:lang w:eastAsia="en-GB"/>
        </w:rPr>
        <w:t xml:space="preserve">those with </w:t>
      </w:r>
      <w:r w:rsidRPr="003A33EC">
        <w:rPr>
          <w:rFonts w:eastAsia="FrutigerLTStd-Roman"/>
          <w:szCs w:val="22"/>
          <w:lang w:eastAsia="en-GB"/>
        </w:rPr>
        <w:t xml:space="preserve">less-developed economies, still lack adequate infrastructure and services including hygienic landing centres, electricity, potable water, </w:t>
      </w:r>
      <w:r w:rsidRPr="003A33EC">
        <w:rPr>
          <w:rFonts w:eastAsia="FrutigerLTStd-Roman"/>
          <w:szCs w:val="22"/>
          <w:lang w:eastAsia="en-GB"/>
        </w:rPr>
        <w:lastRenderedPageBreak/>
        <w:t>roads, ice, ice plants, cold rooms and refrigerated transport. These factors, associated with tropical temperatures, result in high post-harvest losses and quality deterioration, with subsequent risks for consumers’ health. In addition, fish marketing is also more difficult owing to often limited and congested market infrastructure and facilities. Due to these deficiencies, together with well-established consumer habits, fish in developing countries is commercialised mainly live or fresh soon after landing or harvesting, or it is processed using traditional preservation methods, e.g. salting, drying and smoking. These methods remain prevalent in many countries, in particular in Africa and Asia, which show higher proportions of cured fish</w:t>
      </w:r>
      <w:r>
        <w:rPr>
          <w:rFonts w:eastAsia="FrutigerLTStd-Roman"/>
          <w:szCs w:val="22"/>
          <w:lang w:eastAsia="en-GB"/>
        </w:rPr>
        <w:t xml:space="preserve"> compared with other </w:t>
      </w:r>
      <w:r w:rsidRPr="00C935B8">
        <w:rPr>
          <w:rFonts w:eastAsia="FrutigerLTStd-Roman"/>
          <w:szCs w:val="22"/>
          <w:lang w:eastAsia="en-GB"/>
        </w:rPr>
        <w:t xml:space="preserve">continents </w:t>
      </w:r>
      <w:r w:rsidR="00202ABD">
        <w:rPr>
          <w:rFonts w:eastAsia="FrutigerLTStd-Roman"/>
          <w:szCs w:val="22"/>
          <w:lang w:eastAsia="en-GB"/>
        </w:rPr>
        <w:t>(</w:t>
      </w:r>
      <w:r w:rsidRPr="00C935B8">
        <w:rPr>
          <w:rFonts w:eastAsia="FrutigerLTStd-Roman"/>
          <w:szCs w:val="22"/>
          <w:lang w:eastAsia="en-GB"/>
        </w:rPr>
        <w:t>FAO, 2014</w:t>
      </w:r>
      <w:r w:rsidR="00202ABD">
        <w:rPr>
          <w:rFonts w:eastAsia="FrutigerLTStd-Roman"/>
          <w:szCs w:val="22"/>
          <w:lang w:eastAsia="en-GB"/>
        </w:rPr>
        <w:t>)</w:t>
      </w:r>
      <w:r w:rsidRPr="00C935B8">
        <w:rPr>
          <w:rFonts w:eastAsia="FrutigerLTStd-Roman"/>
          <w:szCs w:val="22"/>
          <w:lang w:eastAsia="en-GB"/>
        </w:rPr>
        <w:t>.</w:t>
      </w:r>
    </w:p>
    <w:p w:rsidR="00146B22" w:rsidRDefault="00146B22" w:rsidP="00DF1E74"/>
    <w:p w:rsidR="00146B22" w:rsidRDefault="00146B22" w:rsidP="00146B22">
      <w:pPr>
        <w:pStyle w:val="Heading3"/>
        <w:spacing w:line="240" w:lineRule="auto"/>
      </w:pPr>
      <w:bookmarkStart w:id="134" w:name="_Toc451252557"/>
      <w:bookmarkStart w:id="135" w:name="_Toc452653416"/>
      <w:r>
        <w:t>A</w:t>
      </w:r>
      <w:r w:rsidR="00DB5D06">
        <w:t>2</w:t>
      </w:r>
      <w:r>
        <w:t>.2.2</w:t>
      </w:r>
      <w:r>
        <w:tab/>
        <w:t xml:space="preserve">Ice </w:t>
      </w:r>
      <w:r w:rsidR="00DB5D06">
        <w:t>p</w:t>
      </w:r>
      <w:r>
        <w:t xml:space="preserve">lants and </w:t>
      </w:r>
      <w:r w:rsidR="00736C0B">
        <w:t xml:space="preserve">Refrigerated Sea Water </w:t>
      </w:r>
      <w:r>
        <w:t>(</w:t>
      </w:r>
      <w:r w:rsidR="00736C0B">
        <w:t>RSW</w:t>
      </w:r>
      <w:r>
        <w:t>)</w:t>
      </w:r>
      <w:bookmarkEnd w:id="134"/>
      <w:bookmarkEnd w:id="135"/>
    </w:p>
    <w:p w:rsidR="00146B22" w:rsidRPr="00F51B00" w:rsidRDefault="00146B22" w:rsidP="00146B22">
      <w:pPr>
        <w:autoSpaceDE w:val="0"/>
        <w:autoSpaceDN w:val="0"/>
        <w:adjustRightInd w:val="0"/>
        <w:spacing w:after="120"/>
        <w:rPr>
          <w:szCs w:val="22"/>
        </w:rPr>
      </w:pPr>
      <w:r w:rsidRPr="00F51B00">
        <w:rPr>
          <w:szCs w:val="22"/>
        </w:rPr>
        <w:t xml:space="preserve">The ice plant is a complete installation for the production and storage of ice, including the icemaker itself together with the associated refrigeration machinery, harvesting and storage equipment, and </w:t>
      </w:r>
      <w:r w:rsidR="006A6FCA">
        <w:rPr>
          <w:szCs w:val="22"/>
        </w:rPr>
        <w:t>infrastructure</w:t>
      </w:r>
      <w:r w:rsidRPr="00F51B00">
        <w:rPr>
          <w:szCs w:val="22"/>
        </w:rPr>
        <w:t xml:space="preserve">. </w:t>
      </w:r>
    </w:p>
    <w:p w:rsidR="00146B22" w:rsidRPr="00F51B00" w:rsidRDefault="00146B22" w:rsidP="00146B22">
      <w:pPr>
        <w:autoSpaceDE w:val="0"/>
        <w:autoSpaceDN w:val="0"/>
        <w:adjustRightInd w:val="0"/>
        <w:spacing w:after="120"/>
        <w:rPr>
          <w:color w:val="auto"/>
          <w:szCs w:val="22"/>
          <w:lang w:eastAsia="it-IT"/>
        </w:rPr>
      </w:pPr>
      <w:r w:rsidRPr="00F51B00">
        <w:rPr>
          <w:color w:val="auto"/>
          <w:szCs w:val="22"/>
          <w:lang w:eastAsia="it-IT"/>
        </w:rPr>
        <w:t>Other than by description of the ice produced, there is no simple way to classify the different types of ice makers; hence we have block, slice, plate, tube, slush ice and so on.</w:t>
      </w:r>
    </w:p>
    <w:p w:rsidR="00146B22" w:rsidRPr="00F51B00" w:rsidRDefault="00146B22" w:rsidP="00146B22">
      <w:pPr>
        <w:autoSpaceDE w:val="0"/>
        <w:autoSpaceDN w:val="0"/>
        <w:adjustRightInd w:val="0"/>
        <w:spacing w:after="120"/>
        <w:rPr>
          <w:color w:val="auto"/>
          <w:szCs w:val="22"/>
          <w:lang w:eastAsia="it-IT"/>
        </w:rPr>
      </w:pPr>
      <w:r w:rsidRPr="00F51B00">
        <w:rPr>
          <w:color w:val="auto"/>
          <w:szCs w:val="22"/>
          <w:lang w:eastAsia="it-IT"/>
        </w:rPr>
        <w:t>Typically, ice plants are vapo</w:t>
      </w:r>
      <w:r>
        <w:rPr>
          <w:color w:val="auto"/>
          <w:szCs w:val="22"/>
          <w:lang w:eastAsia="it-IT"/>
        </w:rPr>
        <w:t>u</w:t>
      </w:r>
      <w:r w:rsidRPr="00F51B00">
        <w:rPr>
          <w:color w:val="auto"/>
          <w:szCs w:val="22"/>
          <w:lang w:eastAsia="it-IT"/>
        </w:rPr>
        <w:t>r compression refrigerating plants able to produce up to 10 tons per hour with evaporating temperatures ranging from -10°C to -30°C.</w:t>
      </w:r>
    </w:p>
    <w:p w:rsidR="00146B22" w:rsidRPr="00F51B00" w:rsidRDefault="00146B22" w:rsidP="00146B22">
      <w:pPr>
        <w:autoSpaceDE w:val="0"/>
        <w:autoSpaceDN w:val="0"/>
        <w:adjustRightInd w:val="0"/>
        <w:spacing w:after="120"/>
        <w:rPr>
          <w:color w:val="auto"/>
          <w:szCs w:val="22"/>
          <w:lang w:eastAsia="it-IT"/>
        </w:rPr>
      </w:pPr>
      <w:r w:rsidRPr="00F51B00">
        <w:rPr>
          <w:color w:val="auto"/>
          <w:szCs w:val="22"/>
          <w:lang w:eastAsia="it-IT"/>
        </w:rPr>
        <w:t>Ice can also be produced from sea water: when seawater is frozen slowly, freshwater ice crystals are initially frozen out of the mixture. The whole solution will not be frozen until the temperature has reached -22</w:t>
      </w:r>
      <w:r w:rsidR="00DB5D06" w:rsidRPr="00F51B00">
        <w:rPr>
          <w:color w:val="auto"/>
          <w:szCs w:val="22"/>
          <w:lang w:eastAsia="it-IT"/>
        </w:rPr>
        <w:t>°C</w:t>
      </w:r>
      <w:r w:rsidRPr="00F51B00">
        <w:rPr>
          <w:color w:val="auto"/>
          <w:szCs w:val="22"/>
          <w:lang w:eastAsia="it-IT"/>
        </w:rPr>
        <w:t>, the eutectic point (</w:t>
      </w:r>
      <w:r w:rsidR="00DB5D06">
        <w:rPr>
          <w:color w:val="auto"/>
          <w:szCs w:val="22"/>
          <w:lang w:eastAsia="it-IT"/>
        </w:rPr>
        <w:t>t</w:t>
      </w:r>
      <w:r w:rsidRPr="00F51B00">
        <w:rPr>
          <w:color w:val="auto"/>
          <w:szCs w:val="22"/>
          <w:lang w:eastAsia="it-IT"/>
        </w:rPr>
        <w:t>he eutectic point is a physical constant for a mixture of given substances)</w:t>
      </w:r>
      <w:r w:rsidR="00DB5D06">
        <w:rPr>
          <w:color w:val="auto"/>
          <w:szCs w:val="22"/>
          <w:lang w:eastAsia="it-IT"/>
        </w:rPr>
        <w:t>.</w:t>
      </w:r>
      <w:r w:rsidRPr="00F51B00">
        <w:rPr>
          <w:color w:val="auto"/>
          <w:szCs w:val="22"/>
          <w:lang w:eastAsia="it-IT"/>
        </w:rPr>
        <w:t xml:space="preserve"> At higher freezing rates, the ice crystals will be salt-contaminated from the very beginning but this salt will eventually migrate to the outer surface and separate during storage. As the crystals are made mainly of fresh water, the residual liquid will contain an ever increasing concentration of salt as the temperature is reduced. The special structure of seawater ice gives it different properties from freshwater ice. Seawater ice is rather soft and flexible and, at normal subcooled ice temperatures of -5 to -10°C, it will not keep the form of flakes; in fact, at -5°C, seawater ice will look rather wet. For this reason, seawater ice is usually produced at lower temperatures than freshwater ice, and often this adjustment has to be made to the ice maker. Otherwise the plant required is basically the same.</w:t>
      </w:r>
    </w:p>
    <w:p w:rsidR="00146B22" w:rsidRPr="00F51B00" w:rsidRDefault="00146B22" w:rsidP="00146B22">
      <w:pPr>
        <w:autoSpaceDE w:val="0"/>
        <w:autoSpaceDN w:val="0"/>
        <w:adjustRightInd w:val="0"/>
        <w:spacing w:after="120"/>
        <w:rPr>
          <w:color w:val="auto"/>
          <w:szCs w:val="22"/>
          <w:lang w:eastAsia="it-IT"/>
        </w:rPr>
      </w:pPr>
      <w:r w:rsidRPr="00F51B00">
        <w:rPr>
          <w:color w:val="auto"/>
          <w:szCs w:val="22"/>
          <w:lang w:eastAsia="it-IT"/>
        </w:rPr>
        <w:t>A number of ice plants are suitable for operation at sea with little modification to their design and they may use either fresh or seawater supplies. Many vessels which process their catch at sea have ice makers installed for cooling the fish during processing. Since they are often at sea for many months at a time, it would be unreasonable for them to carry ice from a shore-based plant. Some fishing vessels have ice plants installed where it may not be economical to have a permanent shore-based plant; for example, because demand for ice is only seasonal due to the type of fishery.</w:t>
      </w:r>
    </w:p>
    <w:p w:rsidR="00146B22" w:rsidRPr="00F51B00" w:rsidRDefault="00146B22" w:rsidP="00146B22">
      <w:pPr>
        <w:autoSpaceDE w:val="0"/>
        <w:autoSpaceDN w:val="0"/>
        <w:adjustRightInd w:val="0"/>
        <w:spacing w:after="120"/>
        <w:rPr>
          <w:color w:val="auto"/>
          <w:szCs w:val="22"/>
          <w:lang w:eastAsia="it-IT"/>
        </w:rPr>
      </w:pPr>
      <w:r w:rsidRPr="00F51B00">
        <w:rPr>
          <w:color w:val="auto"/>
          <w:szCs w:val="22"/>
          <w:lang w:eastAsia="it-IT"/>
        </w:rPr>
        <w:t xml:space="preserve">Other fishing vessels operate their own ice plant because of difficulties in getting regular supplies without incurring unacceptable delays in port </w:t>
      </w:r>
    </w:p>
    <w:p w:rsidR="00146B22" w:rsidRPr="00C935B8" w:rsidRDefault="00146B22" w:rsidP="00DF1E74">
      <w:pPr>
        <w:autoSpaceDE w:val="0"/>
        <w:autoSpaceDN w:val="0"/>
        <w:adjustRightInd w:val="0"/>
        <w:rPr>
          <w:szCs w:val="22"/>
        </w:rPr>
      </w:pPr>
      <w:r w:rsidRPr="00F51B00">
        <w:rPr>
          <w:color w:val="auto"/>
          <w:szCs w:val="22"/>
          <w:lang w:eastAsia="it-IT"/>
        </w:rPr>
        <w:t xml:space="preserve">There are other ways of chilling fish besides using ice. For example, they can be immersed in chilled water or cold air can be blown over them. Sea water, cooled by mechanical means, RSW </w:t>
      </w:r>
      <w:r w:rsidRPr="00DF1E74">
        <w:rPr>
          <w:szCs w:val="22"/>
          <w:lang w:eastAsia="en-GB"/>
        </w:rPr>
        <w:t>or by the addition of ice, Chilled Sea Water (CSW), is a suitable alternative means of rapidly chilling large</w:t>
      </w:r>
      <w:r w:rsidRPr="00C935B8">
        <w:rPr>
          <w:color w:val="auto"/>
          <w:szCs w:val="22"/>
          <w:lang w:eastAsia="it-IT"/>
        </w:rPr>
        <w:t xml:space="preserve"> quantities of whole small fish, especially on board a fishing vessel. </w:t>
      </w:r>
      <w:r w:rsidR="00202ABD">
        <w:rPr>
          <w:color w:val="auto"/>
          <w:szCs w:val="22"/>
          <w:lang w:eastAsia="it-IT"/>
        </w:rPr>
        <w:t>(</w:t>
      </w:r>
      <w:r w:rsidRPr="00C935B8">
        <w:rPr>
          <w:color w:val="auto"/>
          <w:szCs w:val="22"/>
          <w:lang w:eastAsia="it-IT"/>
        </w:rPr>
        <w:t>Graham, 1992</w:t>
      </w:r>
      <w:r w:rsidR="00202ABD">
        <w:rPr>
          <w:color w:val="auto"/>
          <w:szCs w:val="22"/>
          <w:lang w:eastAsia="it-IT"/>
        </w:rPr>
        <w:t>)</w:t>
      </w:r>
    </w:p>
    <w:p w:rsidR="00146B22" w:rsidRPr="00C935B8" w:rsidRDefault="00146B22" w:rsidP="00DF1E74"/>
    <w:p w:rsidR="00146B22" w:rsidRDefault="00146B22" w:rsidP="00146B22">
      <w:pPr>
        <w:pStyle w:val="Heading3"/>
        <w:spacing w:line="240" w:lineRule="auto"/>
      </w:pPr>
      <w:bookmarkStart w:id="136" w:name="_Toc451252558"/>
      <w:bookmarkStart w:id="137" w:name="_Toc452653417"/>
      <w:r w:rsidRPr="00C935B8">
        <w:t>A</w:t>
      </w:r>
      <w:r w:rsidR="00DB5D06">
        <w:t>2</w:t>
      </w:r>
      <w:r w:rsidRPr="00C935B8">
        <w:t>.2.3</w:t>
      </w:r>
      <w:r w:rsidRPr="00C935B8">
        <w:tab/>
        <w:t>Freezer trawlers</w:t>
      </w:r>
      <w:bookmarkEnd w:id="136"/>
      <w:bookmarkEnd w:id="137"/>
    </w:p>
    <w:p w:rsidR="00146B22" w:rsidRPr="003A33EC" w:rsidRDefault="00146B22" w:rsidP="00146B22">
      <w:pPr>
        <w:spacing w:after="120"/>
        <w:rPr>
          <w:szCs w:val="22"/>
          <w:lang w:eastAsia="en-GB"/>
        </w:rPr>
      </w:pPr>
      <w:r w:rsidRPr="003A33EC">
        <w:rPr>
          <w:szCs w:val="22"/>
          <w:lang w:eastAsia="en-GB"/>
        </w:rPr>
        <w:t xml:space="preserve">Freezing facilities are generally only installed on larger stern trawlers; these are 65m to 80m in length and have a freezing capacity </w:t>
      </w:r>
      <w:r>
        <w:rPr>
          <w:szCs w:val="22"/>
          <w:lang w:eastAsia="en-GB"/>
        </w:rPr>
        <w:t xml:space="preserve">of </w:t>
      </w:r>
      <w:r w:rsidRPr="003A33EC">
        <w:rPr>
          <w:szCs w:val="22"/>
          <w:lang w:eastAsia="en-GB"/>
        </w:rPr>
        <w:t>between 30 and 60t each day and a cold storage capacity of 300 to 800t.</w:t>
      </w:r>
    </w:p>
    <w:p w:rsidR="00146B22" w:rsidRPr="003A33EC" w:rsidRDefault="00146B22" w:rsidP="00146B22">
      <w:pPr>
        <w:spacing w:after="120"/>
        <w:rPr>
          <w:szCs w:val="22"/>
          <w:lang w:eastAsia="en-GB"/>
        </w:rPr>
      </w:pPr>
      <w:r w:rsidRPr="003A33EC">
        <w:rPr>
          <w:szCs w:val="22"/>
          <w:lang w:eastAsia="en-GB"/>
        </w:rPr>
        <w:lastRenderedPageBreak/>
        <w:t xml:space="preserve">Once the fish are aboard it is important to process and freeze them before rigor mortis sets in which, if it occurs, will result in a degradation of quality. The onset depends on time and temperature. </w:t>
      </w:r>
    </w:p>
    <w:p w:rsidR="00146B22" w:rsidRPr="003A33EC" w:rsidRDefault="00146B22" w:rsidP="00146B22">
      <w:pPr>
        <w:spacing w:after="120"/>
        <w:rPr>
          <w:szCs w:val="22"/>
          <w:lang w:eastAsia="en-GB"/>
        </w:rPr>
      </w:pPr>
      <w:r w:rsidRPr="003A33EC">
        <w:rPr>
          <w:szCs w:val="22"/>
          <w:lang w:eastAsia="en-GB"/>
        </w:rPr>
        <w:t>The first operation is to gut the fish. If they are not gutted, when the fish are thawed they produce bloodstained fillets with off flavours. It is possible to freeze them with guts but only after bleeding which solves some flavour issues but can lead to other spoilage problems.</w:t>
      </w:r>
    </w:p>
    <w:p w:rsidR="00146B22" w:rsidRPr="003A33EC" w:rsidRDefault="00146B22" w:rsidP="00146B22">
      <w:pPr>
        <w:spacing w:after="120"/>
        <w:rPr>
          <w:szCs w:val="22"/>
          <w:lang w:eastAsia="en-GB"/>
        </w:rPr>
      </w:pPr>
      <w:r w:rsidRPr="003A33EC">
        <w:rPr>
          <w:szCs w:val="22"/>
          <w:lang w:eastAsia="en-GB"/>
        </w:rPr>
        <w:t>If fish are gutted, then they still need to be bled for about 15-30 minutes and then washed before being frozen in chilled seawater. If this is not done, the blood is forced into the flesh by the freezing process</w:t>
      </w:r>
      <w:r>
        <w:rPr>
          <w:szCs w:val="22"/>
          <w:lang w:eastAsia="en-GB"/>
        </w:rPr>
        <w:t>,</w:t>
      </w:r>
      <w:r w:rsidRPr="003A33EC">
        <w:rPr>
          <w:szCs w:val="22"/>
          <w:lang w:eastAsia="en-GB"/>
        </w:rPr>
        <w:t xml:space="preserve"> resulting in staining. Also, if the time before gutting is in excess of six hours, the blood becomes thicker and harder to wash away.</w:t>
      </w:r>
    </w:p>
    <w:p w:rsidR="00146B22" w:rsidRPr="003A33EC" w:rsidRDefault="00146B22" w:rsidP="00146B22">
      <w:pPr>
        <w:spacing w:after="120"/>
        <w:rPr>
          <w:szCs w:val="22"/>
          <w:lang w:eastAsia="en-GB"/>
        </w:rPr>
      </w:pPr>
      <w:r w:rsidRPr="003A33EC">
        <w:rPr>
          <w:szCs w:val="22"/>
          <w:lang w:eastAsia="en-GB"/>
        </w:rPr>
        <w:t xml:space="preserve">White fish should be frozen as quickly as possible but if there are limitations to freezing capacity, it is possible to store cod in ice for 3 days, haddock 2 days and hake just 1 day without serious deterioration in quality. </w:t>
      </w:r>
    </w:p>
    <w:p w:rsidR="00146B22" w:rsidRPr="003A33EC" w:rsidRDefault="00146B22" w:rsidP="00146B22">
      <w:pPr>
        <w:spacing w:after="120"/>
        <w:rPr>
          <w:szCs w:val="22"/>
          <w:lang w:eastAsia="en-GB"/>
        </w:rPr>
      </w:pPr>
      <w:r w:rsidRPr="003A33EC">
        <w:rPr>
          <w:szCs w:val="22"/>
          <w:lang w:eastAsia="en-GB"/>
        </w:rPr>
        <w:t>The layout of each factory deck on a freezer trawler, favoured in the Atlantic, will vary depend</w:t>
      </w:r>
      <w:r>
        <w:rPr>
          <w:szCs w:val="22"/>
          <w:lang w:eastAsia="en-GB"/>
        </w:rPr>
        <w:t>ing</w:t>
      </w:r>
      <w:r w:rsidRPr="003A33EC">
        <w:rPr>
          <w:szCs w:val="22"/>
          <w:lang w:eastAsia="en-GB"/>
        </w:rPr>
        <w:t xml:space="preserve"> on its shape and also whether filleting takes place or white fish are frozen. However, the basic configuration will remain the same: a hatch to supply caught fish, a pound to store the fish, a gutting area, a washing area, freezing equipment and a cold store.</w:t>
      </w:r>
    </w:p>
    <w:p w:rsidR="00146B22" w:rsidRPr="003A33EC" w:rsidRDefault="00146B22" w:rsidP="00146B22">
      <w:pPr>
        <w:spacing w:after="120"/>
        <w:rPr>
          <w:szCs w:val="22"/>
          <w:lang w:eastAsia="en-GB"/>
        </w:rPr>
      </w:pPr>
      <w:r w:rsidRPr="003A33EC">
        <w:rPr>
          <w:szCs w:val="22"/>
          <w:lang w:eastAsia="en-GB"/>
        </w:rPr>
        <w:t>A freezer trawler is usually fitted out with a number of vertical plate freezers. Vertical plate freezers are hollow plates made up of sections of extruded alloy and are connected via flexible hoses to the refrigerant supply header. The cooling liquid, refrigerant or heat transfer fluid, is circulated by a pump; there is also a system for heating in order to release the plates once the fish are frozen.</w:t>
      </w:r>
    </w:p>
    <w:p w:rsidR="00146B22" w:rsidRPr="003A33EC" w:rsidRDefault="00146B22" w:rsidP="00146B22">
      <w:pPr>
        <w:spacing w:after="120"/>
        <w:rPr>
          <w:szCs w:val="22"/>
          <w:lang w:eastAsia="en-GB"/>
        </w:rPr>
      </w:pPr>
      <w:r w:rsidRPr="003A33EC">
        <w:rPr>
          <w:szCs w:val="22"/>
          <w:lang w:eastAsia="en-GB"/>
        </w:rPr>
        <w:t>Fish are packed between the plates head to tail, without gaps, any gaps make freezing slower and make fish susceptible to breakage.</w:t>
      </w:r>
    </w:p>
    <w:p w:rsidR="00146B22" w:rsidRPr="003A33EC" w:rsidRDefault="00146B22" w:rsidP="00146B22">
      <w:pPr>
        <w:spacing w:after="120"/>
        <w:rPr>
          <w:szCs w:val="22"/>
          <w:lang w:eastAsia="en-GB"/>
        </w:rPr>
      </w:pPr>
      <w:r w:rsidRPr="003A33EC">
        <w:rPr>
          <w:szCs w:val="22"/>
          <w:lang w:eastAsia="en-GB"/>
        </w:rPr>
        <w:t>Large fish should not be forced between the plates but placed into an air blast freezer. The freezing time will be dependent on the air temperature and velocity.</w:t>
      </w:r>
    </w:p>
    <w:p w:rsidR="00146B22" w:rsidRPr="003A33EC" w:rsidRDefault="00146B22" w:rsidP="00146B22">
      <w:pPr>
        <w:spacing w:after="120"/>
        <w:rPr>
          <w:szCs w:val="22"/>
          <w:lang w:eastAsia="en-GB"/>
        </w:rPr>
      </w:pPr>
      <w:r w:rsidRPr="003A33EC">
        <w:rPr>
          <w:szCs w:val="22"/>
          <w:lang w:eastAsia="en-GB"/>
        </w:rPr>
        <w:t>Plate freezers should be loaded in rotation or the freezing time will be longer due to cooling capacity limitations. If they are loaded at the same time, initially the plant demand will be very high but when the freezing is nearly complete the cooling plant will have little load.</w:t>
      </w:r>
    </w:p>
    <w:p w:rsidR="00146B22" w:rsidRPr="003A33EC" w:rsidRDefault="00146B22" w:rsidP="00146B22">
      <w:pPr>
        <w:spacing w:after="120"/>
        <w:rPr>
          <w:szCs w:val="22"/>
          <w:lang w:eastAsia="en-GB"/>
        </w:rPr>
      </w:pPr>
      <w:r w:rsidRPr="003A33EC">
        <w:rPr>
          <w:szCs w:val="22"/>
          <w:lang w:eastAsia="en-GB"/>
        </w:rPr>
        <w:t>Freezing times should never be cut short: if the blocks are removed too early they may appear hard but the middle of the fish will be soft. When they are place</w:t>
      </w:r>
      <w:r w:rsidRPr="003A33EC">
        <w:rPr>
          <w:szCs w:val="22"/>
          <w:lang w:val="da-DK" w:eastAsia="en-GB"/>
        </w:rPr>
        <w:t>d</w:t>
      </w:r>
      <w:r w:rsidRPr="003A33EC">
        <w:rPr>
          <w:szCs w:val="22"/>
          <w:lang w:eastAsia="en-GB"/>
        </w:rPr>
        <w:t xml:space="preserve"> in the cold store, they are likely to stick together and, worse, the store temperature will rise and the fish freeze slowly with a consequent reduction in quality. Another negative aspect is that if the fish stick together they are liable to being broken when removed.</w:t>
      </w:r>
    </w:p>
    <w:p w:rsidR="00146B22" w:rsidRPr="00C935B8" w:rsidRDefault="00146B22" w:rsidP="00DF1E74">
      <w:pPr>
        <w:rPr>
          <w:szCs w:val="22"/>
          <w:lang w:eastAsia="en-GB"/>
        </w:rPr>
      </w:pPr>
      <w:r w:rsidRPr="003A33EC">
        <w:rPr>
          <w:szCs w:val="22"/>
          <w:lang w:eastAsia="en-GB"/>
        </w:rPr>
        <w:t xml:space="preserve">Once the fish are frozen they are </w:t>
      </w:r>
      <w:r w:rsidRPr="00C935B8">
        <w:rPr>
          <w:szCs w:val="22"/>
          <w:lang w:eastAsia="en-GB"/>
        </w:rPr>
        <w:t xml:space="preserve">transferred to the cold store via a hoist. The cold storage temperature on trawlers is normally -40°C. </w:t>
      </w:r>
      <w:r w:rsidR="00202ABD">
        <w:rPr>
          <w:szCs w:val="22"/>
          <w:lang w:eastAsia="en-GB"/>
        </w:rPr>
        <w:t>(</w:t>
      </w:r>
      <w:r w:rsidRPr="00C935B8">
        <w:rPr>
          <w:szCs w:val="22"/>
          <w:lang w:eastAsia="en-GB"/>
        </w:rPr>
        <w:t>Awira, 2015</w:t>
      </w:r>
      <w:r w:rsidR="00202ABD">
        <w:rPr>
          <w:szCs w:val="22"/>
          <w:lang w:eastAsia="en-GB"/>
        </w:rPr>
        <w:t>)</w:t>
      </w:r>
    </w:p>
    <w:p w:rsidR="00146B22" w:rsidRPr="00C935B8" w:rsidRDefault="00146B22" w:rsidP="00146B22">
      <w:pPr>
        <w:spacing w:after="120"/>
      </w:pPr>
    </w:p>
    <w:p w:rsidR="00146B22" w:rsidRPr="00C935B8" w:rsidRDefault="00146B22" w:rsidP="00146B22">
      <w:pPr>
        <w:pStyle w:val="Heading3"/>
        <w:spacing w:line="240" w:lineRule="auto"/>
      </w:pPr>
      <w:bookmarkStart w:id="138" w:name="_Toc451252559"/>
      <w:bookmarkStart w:id="139" w:name="_Toc452653418"/>
      <w:r w:rsidRPr="00C935B8">
        <w:t>A</w:t>
      </w:r>
      <w:r w:rsidR="00DB5D06">
        <w:t>2</w:t>
      </w:r>
      <w:r w:rsidRPr="00C935B8">
        <w:t>.2.4</w:t>
      </w:r>
      <w:r w:rsidRPr="00C935B8">
        <w:tab/>
        <w:t>Ultra-</w:t>
      </w:r>
      <w:r w:rsidR="00DB5D06">
        <w:t>l</w:t>
      </w:r>
      <w:r w:rsidRPr="00C935B8">
        <w:t xml:space="preserve">ow </w:t>
      </w:r>
      <w:r w:rsidR="00DB5D06">
        <w:t>t</w:t>
      </w:r>
      <w:r w:rsidRPr="00C935B8">
        <w:t xml:space="preserve">emperature </w:t>
      </w:r>
      <w:r w:rsidR="00DB5D06">
        <w:t>f</w:t>
      </w:r>
      <w:r w:rsidRPr="00C935B8">
        <w:t>reezing</w:t>
      </w:r>
      <w:bookmarkEnd w:id="138"/>
      <w:bookmarkEnd w:id="139"/>
    </w:p>
    <w:p w:rsidR="00146B22" w:rsidRDefault="00146B22" w:rsidP="00146B22">
      <w:pPr>
        <w:spacing w:after="120"/>
        <w:rPr>
          <w:szCs w:val="22"/>
          <w:lang w:eastAsia="en-GB"/>
        </w:rPr>
      </w:pPr>
      <w:r w:rsidRPr="00C935B8">
        <w:rPr>
          <w:szCs w:val="22"/>
          <w:lang w:eastAsia="en-GB"/>
        </w:rPr>
        <w:t xml:space="preserve">Even if it represents a niche within the fishing industry, the catch to be forwarded to sashimi and sushi markets deserves a mention here because it poses a technological challenge to the refrigeration industry: tunas to be consumed as sashimi or sushi must in fact be brought down to at least -60°C, after removing gills and guts, to maintain the quality grade needed for raw consumption. </w:t>
      </w:r>
      <w:r w:rsidR="00202ABD">
        <w:rPr>
          <w:szCs w:val="22"/>
          <w:lang w:eastAsia="en-GB"/>
        </w:rPr>
        <w:t>(</w:t>
      </w:r>
      <w:r w:rsidRPr="00C935B8">
        <w:rPr>
          <w:szCs w:val="22"/>
          <w:lang w:eastAsia="en-GB"/>
        </w:rPr>
        <w:t>The Pacific Community</w:t>
      </w:r>
      <w:r w:rsidR="00202ABD">
        <w:rPr>
          <w:szCs w:val="22"/>
          <w:lang w:eastAsia="en-GB"/>
        </w:rPr>
        <w:t>)</w:t>
      </w:r>
    </w:p>
    <w:p w:rsidR="00146B22" w:rsidRDefault="00146B22" w:rsidP="00146B22">
      <w:pPr>
        <w:spacing w:after="120"/>
      </w:pPr>
      <w:r>
        <w:rPr>
          <w:szCs w:val="22"/>
          <w:lang w:eastAsia="en-GB"/>
        </w:rPr>
        <w:t>The technological challenge lies in the fact that most of the systems and refrigerants used in traditional freezing plants are not able to go down to -60°C, so particular refrigeration systems and/or refrigerants have to be implemented to achieve this goal.</w:t>
      </w:r>
    </w:p>
    <w:p w:rsidR="00146B22" w:rsidRPr="003A33EC" w:rsidRDefault="00146B22" w:rsidP="00146B22">
      <w:pPr>
        <w:spacing w:after="120"/>
        <w:rPr>
          <w:szCs w:val="22"/>
          <w:lang w:eastAsia="en-GB"/>
        </w:rPr>
      </w:pPr>
      <w:r w:rsidRPr="003A33EC">
        <w:rPr>
          <w:szCs w:val="22"/>
          <w:lang w:eastAsia="en-GB"/>
        </w:rPr>
        <w:t xml:space="preserve">Tuna is quickly bled, processed and frozen before rigor mortis sets in which is why it is said to be "fresher than fresh". Approximately 80% of tuna sold in the Japanese market is in this </w:t>
      </w:r>
      <w:r w:rsidRPr="003A33EC">
        <w:rPr>
          <w:szCs w:val="22"/>
          <w:lang w:eastAsia="en-GB"/>
        </w:rPr>
        <w:lastRenderedPageBreak/>
        <w:t>category and commands a high price. Only certain fish are suitable for sushi</w:t>
      </w:r>
      <w:r w:rsidRPr="003A33EC">
        <w:rPr>
          <w:szCs w:val="22"/>
        </w:rPr>
        <w:t>. Only if “they have the special look and glow in the eyes” are they are sent to the -6</w:t>
      </w:r>
      <w:r>
        <w:rPr>
          <w:szCs w:val="22"/>
        </w:rPr>
        <w:t>0</w:t>
      </w:r>
      <w:r w:rsidRPr="003A33EC">
        <w:rPr>
          <w:szCs w:val="22"/>
        </w:rPr>
        <w:t xml:space="preserve">°C blast freezer. Much of the remainder goes for canned tuna production. </w:t>
      </w:r>
    </w:p>
    <w:p w:rsidR="00146B22" w:rsidRPr="00C935B8" w:rsidRDefault="00146B22" w:rsidP="00DF1E74">
      <w:pPr>
        <w:spacing w:after="240"/>
        <w:rPr>
          <w:szCs w:val="22"/>
          <w:lang w:val="en"/>
        </w:rPr>
      </w:pPr>
      <w:r>
        <w:rPr>
          <w:szCs w:val="22"/>
          <w:lang w:val="en"/>
        </w:rPr>
        <w:t>V</w:t>
      </w:r>
      <w:r w:rsidRPr="003A33EC">
        <w:rPr>
          <w:szCs w:val="22"/>
          <w:lang w:val="en"/>
        </w:rPr>
        <w:t xml:space="preserve">arieties of fish </w:t>
      </w:r>
      <w:r>
        <w:rPr>
          <w:szCs w:val="22"/>
          <w:lang w:val="en"/>
        </w:rPr>
        <w:t>o</w:t>
      </w:r>
      <w:r w:rsidRPr="003A33EC">
        <w:rPr>
          <w:szCs w:val="22"/>
          <w:lang w:val="en"/>
        </w:rPr>
        <w:t xml:space="preserve">ther than tuna are also sold for sushi, and </w:t>
      </w:r>
      <w:r>
        <w:rPr>
          <w:szCs w:val="22"/>
          <w:lang w:val="en"/>
        </w:rPr>
        <w:t xml:space="preserve">are </w:t>
      </w:r>
      <w:r w:rsidRPr="003A33EC">
        <w:rPr>
          <w:szCs w:val="22"/>
          <w:lang w:val="en"/>
        </w:rPr>
        <w:t>frozen at very low temperature</w:t>
      </w:r>
      <w:r>
        <w:rPr>
          <w:szCs w:val="22"/>
          <w:lang w:val="en"/>
        </w:rPr>
        <w:t>s</w:t>
      </w:r>
      <w:r w:rsidRPr="003A33EC">
        <w:rPr>
          <w:szCs w:val="22"/>
          <w:lang w:val="en"/>
        </w:rPr>
        <w:t xml:space="preserve"> before </w:t>
      </w:r>
      <w:r w:rsidRPr="00C935B8">
        <w:rPr>
          <w:szCs w:val="22"/>
          <w:lang w:val="en"/>
        </w:rPr>
        <w:t xml:space="preserve">consumption </w:t>
      </w:r>
      <w:r w:rsidR="00202ABD">
        <w:rPr>
          <w:szCs w:val="22"/>
          <w:lang w:val="en"/>
        </w:rPr>
        <w:t>(</w:t>
      </w:r>
      <w:r w:rsidRPr="00C935B8">
        <w:rPr>
          <w:szCs w:val="22"/>
          <w:lang w:val="en"/>
        </w:rPr>
        <w:t>Pachai, 2013</w:t>
      </w:r>
      <w:r w:rsidR="00202ABD">
        <w:rPr>
          <w:szCs w:val="22"/>
          <w:lang w:val="en"/>
        </w:rPr>
        <w:t>)</w:t>
      </w:r>
      <w:r w:rsidRPr="00C935B8">
        <w:rPr>
          <w:szCs w:val="22"/>
          <w:lang w:val="en"/>
        </w:rPr>
        <w:t>. Such treatment</w:t>
      </w:r>
      <w:r w:rsidRPr="003A33EC">
        <w:rPr>
          <w:szCs w:val="22"/>
          <w:lang w:val="en"/>
        </w:rPr>
        <w:t xml:space="preserve"> ensures the flavor and texture of the flesh stays at its best. However, </w:t>
      </w:r>
      <w:r w:rsidRPr="00C935B8">
        <w:rPr>
          <w:szCs w:val="22"/>
          <w:lang w:val="en"/>
        </w:rPr>
        <w:t>not all fish are suitable and are also dependent on seasonal variations. In some cases such low-temperature freezing causes physiological disorders to develop within the fish. Therefore an in-depth knowledge is essential for the correct processing for the species being caught.</w:t>
      </w:r>
    </w:p>
    <w:p w:rsidR="00146B22" w:rsidRPr="00C935B8" w:rsidRDefault="00146B22" w:rsidP="00146B22">
      <w:pPr>
        <w:pStyle w:val="Heading2"/>
        <w:spacing w:line="240" w:lineRule="auto"/>
      </w:pPr>
      <w:bookmarkStart w:id="140" w:name="_Toc451252560"/>
      <w:bookmarkStart w:id="141" w:name="_Toc452653419"/>
      <w:r w:rsidRPr="00C935B8">
        <w:t>A</w:t>
      </w:r>
      <w:r w:rsidR="00DB5D06">
        <w:t>2</w:t>
      </w:r>
      <w:r w:rsidRPr="00C935B8">
        <w:t>.3</w:t>
      </w:r>
      <w:r w:rsidRPr="00C935B8">
        <w:tab/>
      </w:r>
      <w:r w:rsidRPr="00C935B8">
        <w:tab/>
        <w:t>Refrigerants currently used</w:t>
      </w:r>
      <w:bookmarkEnd w:id="140"/>
      <w:bookmarkEnd w:id="141"/>
    </w:p>
    <w:p w:rsidR="00146B22" w:rsidRPr="00C935B8" w:rsidRDefault="00146B22" w:rsidP="00146B22">
      <w:pPr>
        <w:pStyle w:val="Heading3"/>
        <w:spacing w:line="240" w:lineRule="auto"/>
      </w:pPr>
      <w:bookmarkStart w:id="142" w:name="_Toc451252561"/>
      <w:bookmarkStart w:id="143" w:name="_Toc452653420"/>
      <w:r w:rsidRPr="00C935B8">
        <w:t>A</w:t>
      </w:r>
      <w:r w:rsidR="00DB5D06">
        <w:t>2</w:t>
      </w:r>
      <w:r w:rsidRPr="00C935B8">
        <w:t>.3.1</w:t>
      </w:r>
      <w:r w:rsidRPr="00C935B8">
        <w:tab/>
        <w:t>Refrigerant</w:t>
      </w:r>
      <w:r>
        <w:t>s</w:t>
      </w:r>
      <w:r w:rsidRPr="00C935B8">
        <w:t xml:space="preserve"> used on board</w:t>
      </w:r>
      <w:bookmarkEnd w:id="142"/>
      <w:bookmarkEnd w:id="143"/>
    </w:p>
    <w:p w:rsidR="00146B22" w:rsidRPr="00C935B8" w:rsidRDefault="00146B22" w:rsidP="00146B22">
      <w:pPr>
        <w:autoSpaceDE w:val="0"/>
        <w:autoSpaceDN w:val="0"/>
        <w:adjustRightInd w:val="0"/>
        <w:spacing w:after="120"/>
        <w:rPr>
          <w:rFonts w:eastAsia="Arial"/>
          <w:bCs/>
          <w:szCs w:val="22"/>
          <w:lang w:eastAsia="en-GB"/>
        </w:rPr>
      </w:pPr>
      <w:r w:rsidRPr="00C935B8">
        <w:rPr>
          <w:rFonts w:eastAsia="Arial"/>
          <w:bCs/>
          <w:szCs w:val="22"/>
          <w:lang w:eastAsia="en-GB"/>
        </w:rPr>
        <w:t xml:space="preserve">From the field experience and estimates, it is known that in 2016 about 70% of the fleet still used HCFC-22 as their main refrigerant; this is a global phenomenon and includes all seagoing vessels. Ammonia (R-717) is the second refrigerant of choice. An EU report </w:t>
      </w:r>
      <w:r w:rsidR="00202ABD">
        <w:rPr>
          <w:rFonts w:eastAsia="Arial"/>
          <w:bCs/>
          <w:szCs w:val="22"/>
          <w:lang w:eastAsia="en-GB"/>
        </w:rPr>
        <w:t>(</w:t>
      </w:r>
      <w:r w:rsidRPr="00C935B8">
        <w:rPr>
          <w:rFonts w:eastAsia="Arial"/>
          <w:bCs/>
          <w:szCs w:val="22"/>
          <w:lang w:eastAsia="en-GB"/>
        </w:rPr>
        <w:t>Faber, 2009</w:t>
      </w:r>
      <w:r w:rsidR="00202ABD">
        <w:rPr>
          <w:rFonts w:eastAsia="Arial"/>
          <w:bCs/>
          <w:szCs w:val="22"/>
          <w:lang w:eastAsia="en-GB"/>
        </w:rPr>
        <w:t>)</w:t>
      </w:r>
      <w:r w:rsidRPr="00C935B8">
        <w:rPr>
          <w:rFonts w:eastAsia="Arial"/>
          <w:bCs/>
          <w:szCs w:val="22"/>
          <w:lang w:eastAsia="en-GB"/>
        </w:rPr>
        <w:t xml:space="preserve"> shows that this is also the case in Europe.</w:t>
      </w:r>
    </w:p>
    <w:p w:rsidR="00146B22" w:rsidRPr="00C935B8" w:rsidRDefault="00146B22" w:rsidP="00146B22">
      <w:pPr>
        <w:autoSpaceDE w:val="0"/>
        <w:autoSpaceDN w:val="0"/>
        <w:adjustRightInd w:val="0"/>
        <w:spacing w:after="120"/>
        <w:rPr>
          <w:rFonts w:eastAsia="Arial"/>
          <w:bCs/>
          <w:szCs w:val="22"/>
          <w:lang w:eastAsia="en-GB"/>
        </w:rPr>
      </w:pPr>
      <w:r w:rsidRPr="00C935B8">
        <w:rPr>
          <w:rFonts w:eastAsia="Arial"/>
          <w:bCs/>
          <w:szCs w:val="22"/>
          <w:lang w:eastAsia="en-GB"/>
        </w:rPr>
        <w:t>A number of different refrigerants were used on board ships in the past including ammonia</w:t>
      </w:r>
      <w:r w:rsidRPr="00C935B8">
        <w:rPr>
          <w:bCs/>
          <w:szCs w:val="22"/>
          <w:lang w:eastAsia="en-GB"/>
        </w:rPr>
        <w:t xml:space="preserve">. Examples of these were CFC-12, R-502 and in some cases CFC-13, this is of significance when </w:t>
      </w:r>
      <w:r w:rsidRPr="00C935B8">
        <w:rPr>
          <w:rFonts w:eastAsia="Arial"/>
          <w:bCs/>
          <w:szCs w:val="22"/>
          <w:lang w:eastAsia="en-GB"/>
        </w:rPr>
        <w:t>bearing in mind the age of some of the fishing vessels (30 years old). HCFC-22</w:t>
      </w:r>
      <w:r w:rsidRPr="00C935B8">
        <w:rPr>
          <w:bCs/>
          <w:szCs w:val="22"/>
          <w:lang w:eastAsia="en-GB"/>
        </w:rPr>
        <w:t xml:space="preserve"> </w:t>
      </w:r>
      <w:r w:rsidR="006A6FCA">
        <w:rPr>
          <w:bCs/>
          <w:szCs w:val="22"/>
          <w:lang w:eastAsia="en-GB"/>
        </w:rPr>
        <w:t xml:space="preserve">came after </w:t>
      </w:r>
      <w:r w:rsidRPr="00C935B8">
        <w:rPr>
          <w:bCs/>
          <w:szCs w:val="22"/>
          <w:lang w:eastAsia="en-GB"/>
        </w:rPr>
        <w:t>the above refrigerant</w:t>
      </w:r>
      <w:r w:rsidR="006A6FCA">
        <w:rPr>
          <w:bCs/>
          <w:szCs w:val="22"/>
          <w:lang w:eastAsia="en-GB"/>
        </w:rPr>
        <w:t>s</w:t>
      </w:r>
      <w:r w:rsidRPr="00C935B8">
        <w:rPr>
          <w:bCs/>
          <w:szCs w:val="22"/>
          <w:lang w:eastAsia="en-GB"/>
        </w:rPr>
        <w:t>.</w:t>
      </w:r>
      <w:r w:rsidRPr="00C935B8">
        <w:rPr>
          <w:rFonts w:eastAsia="Arial"/>
          <w:bCs/>
          <w:szCs w:val="22"/>
          <w:lang w:eastAsia="en-GB"/>
        </w:rPr>
        <w:t xml:space="preserve"> </w:t>
      </w:r>
    </w:p>
    <w:p w:rsidR="00146B22" w:rsidRPr="00C935B8" w:rsidRDefault="00146B22" w:rsidP="00146B22">
      <w:pPr>
        <w:autoSpaceDE w:val="0"/>
        <w:autoSpaceDN w:val="0"/>
        <w:adjustRightInd w:val="0"/>
        <w:spacing w:after="120"/>
        <w:rPr>
          <w:rFonts w:eastAsia="Arial"/>
          <w:bCs/>
          <w:szCs w:val="22"/>
          <w:lang w:eastAsia="en-GB"/>
        </w:rPr>
      </w:pPr>
      <w:r w:rsidRPr="00C935B8">
        <w:rPr>
          <w:rFonts w:eastAsia="Arial"/>
          <w:bCs/>
          <w:szCs w:val="22"/>
          <w:lang w:eastAsia="en-GB"/>
        </w:rPr>
        <w:t>Low temperature air blast coolers are either cascade or two-stage sub-atmospheric systems. Cascade systems are likely to use R-23 in their low stage.</w:t>
      </w:r>
    </w:p>
    <w:p w:rsidR="00146B22" w:rsidRPr="00C935B8" w:rsidRDefault="00146B22" w:rsidP="00146B22">
      <w:pPr>
        <w:spacing w:after="120"/>
        <w:rPr>
          <w:szCs w:val="22"/>
          <w:lang w:eastAsia="en-GB"/>
        </w:rPr>
      </w:pPr>
      <w:r w:rsidRPr="00C935B8">
        <w:rPr>
          <w:szCs w:val="22"/>
          <w:lang w:eastAsia="en-GB"/>
        </w:rPr>
        <w:t xml:space="preserve">From reported data </w:t>
      </w:r>
      <w:r w:rsidR="00202ABD">
        <w:rPr>
          <w:szCs w:val="22"/>
          <w:lang w:eastAsia="en-GB"/>
        </w:rPr>
        <w:t>(</w:t>
      </w:r>
      <w:r w:rsidRPr="00C935B8">
        <w:rPr>
          <w:szCs w:val="22"/>
          <w:lang w:eastAsia="en-GB"/>
        </w:rPr>
        <w:t>Awira, 2015</w:t>
      </w:r>
      <w:r w:rsidR="00202ABD">
        <w:rPr>
          <w:szCs w:val="22"/>
          <w:lang w:eastAsia="en-GB"/>
        </w:rPr>
        <w:t>)</w:t>
      </w:r>
      <w:r w:rsidRPr="00C935B8">
        <w:rPr>
          <w:szCs w:val="22"/>
          <w:lang w:eastAsia="en-GB"/>
        </w:rPr>
        <w:t xml:space="preserve">, it is known that refrigerant charges are estimated to be about 230 to 250 metric tonnes </w:t>
      </w:r>
      <w:r w:rsidR="006A6FCA">
        <w:rPr>
          <w:szCs w:val="22"/>
          <w:lang w:eastAsia="en-GB"/>
        </w:rPr>
        <w:t xml:space="preserve">of </w:t>
      </w:r>
      <w:r w:rsidRPr="00C935B8">
        <w:rPr>
          <w:szCs w:val="22"/>
          <w:lang w:eastAsia="en-GB"/>
        </w:rPr>
        <w:t>HCFC-22 for fish carrier</w:t>
      </w:r>
      <w:r w:rsidR="00067930">
        <w:rPr>
          <w:szCs w:val="22"/>
          <w:lang w:eastAsia="en-GB"/>
        </w:rPr>
        <w:t>s</w:t>
      </w:r>
      <w:r w:rsidRPr="00C935B8">
        <w:rPr>
          <w:szCs w:val="22"/>
          <w:lang w:eastAsia="en-GB"/>
        </w:rPr>
        <w:t>, long line and purse seiner vessels chartered and flagged in FFA member Countries.</w:t>
      </w:r>
    </w:p>
    <w:p w:rsidR="00146B22" w:rsidRPr="00C935B8" w:rsidRDefault="00146B22" w:rsidP="00DF1E74">
      <w:pPr>
        <w:spacing w:after="240"/>
        <w:rPr>
          <w:szCs w:val="22"/>
          <w:lang w:eastAsia="en-GB"/>
        </w:rPr>
      </w:pPr>
      <w:r w:rsidRPr="00C935B8">
        <w:rPr>
          <w:szCs w:val="22"/>
          <w:lang w:eastAsia="en-GB"/>
        </w:rPr>
        <w:t xml:space="preserve">The same report </w:t>
      </w:r>
      <w:r w:rsidR="006A6FCA">
        <w:rPr>
          <w:szCs w:val="22"/>
          <w:lang w:eastAsia="en-GB"/>
        </w:rPr>
        <w:t>states</w:t>
      </w:r>
      <w:r w:rsidRPr="00C935B8">
        <w:rPr>
          <w:szCs w:val="22"/>
          <w:lang w:eastAsia="en-GB"/>
        </w:rPr>
        <w:t xml:space="preserve"> that the total HCFC refill for flagged and chartered vessels amounts to 714 metric tonnes, while the Montreal </w:t>
      </w:r>
      <w:r w:rsidR="00067930">
        <w:rPr>
          <w:szCs w:val="22"/>
          <w:lang w:eastAsia="en-GB"/>
        </w:rPr>
        <w:t>P</w:t>
      </w:r>
      <w:r w:rsidRPr="00C935B8">
        <w:rPr>
          <w:szCs w:val="22"/>
          <w:lang w:eastAsia="en-GB"/>
        </w:rPr>
        <w:t xml:space="preserve">rotocol HCFC </w:t>
      </w:r>
      <w:r w:rsidR="00067930">
        <w:rPr>
          <w:szCs w:val="22"/>
          <w:lang w:eastAsia="en-GB"/>
        </w:rPr>
        <w:t>b</w:t>
      </w:r>
      <w:r w:rsidRPr="00C935B8">
        <w:rPr>
          <w:szCs w:val="22"/>
          <w:lang w:eastAsia="en-GB"/>
        </w:rPr>
        <w:t xml:space="preserve">aseline </w:t>
      </w:r>
      <w:r w:rsidR="00067930">
        <w:rPr>
          <w:szCs w:val="22"/>
          <w:lang w:eastAsia="en-GB"/>
        </w:rPr>
        <w:t xml:space="preserve">(consumption) </w:t>
      </w:r>
      <w:r w:rsidRPr="00C935B8">
        <w:rPr>
          <w:szCs w:val="22"/>
          <w:lang w:eastAsia="en-GB"/>
        </w:rPr>
        <w:t>for the 14 Pacific Islands Countries amounts to 271.69 metric tonnes.</w:t>
      </w:r>
    </w:p>
    <w:p w:rsidR="00146B22" w:rsidRPr="00C935B8" w:rsidRDefault="00146B22" w:rsidP="00146B22">
      <w:pPr>
        <w:pStyle w:val="Heading3"/>
        <w:spacing w:line="240" w:lineRule="auto"/>
      </w:pPr>
      <w:bookmarkStart w:id="144" w:name="_Toc451252562"/>
      <w:bookmarkStart w:id="145" w:name="_Toc452653421"/>
      <w:r w:rsidRPr="00C935B8">
        <w:t>A</w:t>
      </w:r>
      <w:r w:rsidR="00DB5D06">
        <w:t>2</w:t>
      </w:r>
      <w:r w:rsidRPr="00C935B8">
        <w:t>.3.2</w:t>
      </w:r>
      <w:r w:rsidRPr="00C935B8">
        <w:tab/>
        <w:t>Refrigerants used on land operations</w:t>
      </w:r>
      <w:bookmarkEnd w:id="144"/>
      <w:bookmarkEnd w:id="145"/>
    </w:p>
    <w:p w:rsidR="00146B22" w:rsidRDefault="00146B22" w:rsidP="00146B22">
      <w:pPr>
        <w:spacing w:after="120"/>
        <w:rPr>
          <w:rFonts w:eastAsia="Arial"/>
          <w:bCs/>
          <w:szCs w:val="22"/>
          <w:lang w:eastAsia="en-GB"/>
        </w:rPr>
      </w:pPr>
      <w:r w:rsidRPr="00C935B8">
        <w:rPr>
          <w:rFonts w:eastAsia="Arial"/>
          <w:bCs/>
          <w:szCs w:val="22"/>
          <w:lang w:eastAsia="en-GB"/>
        </w:rPr>
        <w:t>In land based industrial systems for food processing, including the fishing industry, R-717 is already the dominant refrigerant in non-Art</w:t>
      </w:r>
      <w:r w:rsidR="00DB5D06">
        <w:rPr>
          <w:rFonts w:eastAsia="Arial"/>
          <w:bCs/>
          <w:szCs w:val="22"/>
          <w:lang w:eastAsia="en-GB"/>
        </w:rPr>
        <w:t xml:space="preserve">icle 5 </w:t>
      </w:r>
      <w:r w:rsidR="006A6FCA">
        <w:rPr>
          <w:rFonts w:eastAsia="Arial"/>
          <w:bCs/>
          <w:szCs w:val="22"/>
          <w:lang w:eastAsia="en-GB"/>
        </w:rPr>
        <w:t xml:space="preserve">Parties </w:t>
      </w:r>
      <w:r w:rsidRPr="00C935B8">
        <w:rPr>
          <w:rFonts w:eastAsia="Arial"/>
          <w:bCs/>
          <w:szCs w:val="22"/>
          <w:lang w:eastAsia="en-GB"/>
        </w:rPr>
        <w:t>while HCF-C-22 is the refrigerant mostly used by Art</w:t>
      </w:r>
      <w:r w:rsidR="00DB5D06">
        <w:rPr>
          <w:rFonts w:eastAsia="Arial"/>
          <w:bCs/>
          <w:szCs w:val="22"/>
          <w:lang w:eastAsia="en-GB"/>
        </w:rPr>
        <w:t xml:space="preserve">icle 5 </w:t>
      </w:r>
      <w:r w:rsidR="006A6FCA">
        <w:rPr>
          <w:rFonts w:eastAsia="Arial"/>
          <w:bCs/>
          <w:szCs w:val="22"/>
          <w:lang w:eastAsia="en-GB"/>
        </w:rPr>
        <w:t>Parties</w:t>
      </w:r>
      <w:r w:rsidRPr="00C935B8">
        <w:rPr>
          <w:rFonts w:eastAsia="Arial"/>
          <w:bCs/>
          <w:szCs w:val="22"/>
          <w:lang w:eastAsia="en-GB"/>
        </w:rPr>
        <w:t xml:space="preserve">, both for process cooling and large ice plants. </w:t>
      </w:r>
      <w:r w:rsidR="00202ABD">
        <w:rPr>
          <w:rFonts w:eastAsia="Arial"/>
          <w:bCs/>
          <w:szCs w:val="22"/>
          <w:lang w:eastAsia="en-GB"/>
        </w:rPr>
        <w:t>(de Larminat</w:t>
      </w:r>
      <w:r w:rsidRPr="00C935B8">
        <w:rPr>
          <w:rFonts w:eastAsia="Arial"/>
          <w:bCs/>
          <w:szCs w:val="22"/>
          <w:lang w:eastAsia="en-GB"/>
        </w:rPr>
        <w:t>, 2015</w:t>
      </w:r>
      <w:r w:rsidR="00202ABD">
        <w:rPr>
          <w:rFonts w:eastAsia="Arial"/>
          <w:bCs/>
          <w:szCs w:val="22"/>
          <w:lang w:eastAsia="en-GB"/>
        </w:rPr>
        <w:t>)</w:t>
      </w:r>
      <w:r w:rsidRPr="00C935B8">
        <w:rPr>
          <w:rFonts w:eastAsia="Arial"/>
          <w:bCs/>
          <w:szCs w:val="22"/>
          <w:lang w:eastAsia="en-GB"/>
        </w:rPr>
        <w:t>.</w:t>
      </w:r>
    </w:p>
    <w:p w:rsidR="00146B22" w:rsidRPr="003A33EC" w:rsidRDefault="00146B22" w:rsidP="00DF1E74">
      <w:pPr>
        <w:spacing w:after="240"/>
        <w:rPr>
          <w:rFonts w:eastAsia="Arial"/>
          <w:bCs/>
          <w:szCs w:val="22"/>
          <w:lang w:eastAsia="en-GB"/>
        </w:rPr>
      </w:pPr>
      <w:r>
        <w:rPr>
          <w:rFonts w:eastAsia="Arial"/>
          <w:bCs/>
          <w:szCs w:val="22"/>
          <w:lang w:eastAsia="en-GB"/>
        </w:rPr>
        <w:t>In recent years, non-Art</w:t>
      </w:r>
      <w:r w:rsidR="00DB5D06">
        <w:rPr>
          <w:rFonts w:eastAsia="Arial"/>
          <w:bCs/>
          <w:szCs w:val="22"/>
          <w:lang w:eastAsia="en-GB"/>
        </w:rPr>
        <w:t xml:space="preserve">icle </w:t>
      </w:r>
      <w:r>
        <w:rPr>
          <w:rFonts w:eastAsia="Arial"/>
          <w:bCs/>
          <w:szCs w:val="22"/>
          <w:lang w:eastAsia="en-GB"/>
        </w:rPr>
        <w:t xml:space="preserve">5 </w:t>
      </w:r>
      <w:r w:rsidR="006A6FCA">
        <w:rPr>
          <w:rFonts w:eastAsia="Arial"/>
          <w:bCs/>
          <w:szCs w:val="22"/>
          <w:lang w:eastAsia="en-GB"/>
        </w:rPr>
        <w:t xml:space="preserve">Parties </w:t>
      </w:r>
      <w:r>
        <w:rPr>
          <w:rFonts w:eastAsia="Arial"/>
          <w:bCs/>
          <w:szCs w:val="22"/>
          <w:lang w:eastAsia="en-GB"/>
        </w:rPr>
        <w:t>have seen an increasing use of R-404A, especially in small and medium systems including those used for producing ice.</w:t>
      </w:r>
    </w:p>
    <w:p w:rsidR="00146B22" w:rsidRDefault="00146B22" w:rsidP="00146B22">
      <w:pPr>
        <w:pStyle w:val="Heading3"/>
        <w:spacing w:line="240" w:lineRule="auto"/>
      </w:pPr>
      <w:bookmarkStart w:id="146" w:name="_Toc451252563"/>
      <w:bookmarkStart w:id="147" w:name="_Toc452653422"/>
      <w:r>
        <w:t>A3.3.3</w:t>
      </w:r>
      <w:r>
        <w:tab/>
        <w:t>Refrigerant leakage</w:t>
      </w:r>
      <w:bookmarkEnd w:id="146"/>
      <w:bookmarkEnd w:id="147"/>
    </w:p>
    <w:p w:rsidR="00146B22" w:rsidRPr="003A33EC" w:rsidRDefault="00146B22" w:rsidP="00146B22">
      <w:pPr>
        <w:autoSpaceDE w:val="0"/>
        <w:autoSpaceDN w:val="0"/>
        <w:adjustRightInd w:val="0"/>
        <w:spacing w:after="120"/>
        <w:rPr>
          <w:szCs w:val="22"/>
          <w:lang w:eastAsia="en-GB"/>
        </w:rPr>
      </w:pPr>
      <w:r w:rsidRPr="003A33EC">
        <w:rPr>
          <w:szCs w:val="22"/>
          <w:lang w:eastAsia="en-GB"/>
        </w:rPr>
        <w:t xml:space="preserve">In the maritime sector, the emission factor due to leakage </w:t>
      </w:r>
      <w:r>
        <w:rPr>
          <w:szCs w:val="22"/>
          <w:lang w:eastAsia="en-GB"/>
        </w:rPr>
        <w:t>in</w:t>
      </w:r>
      <w:r w:rsidRPr="003A33EC">
        <w:rPr>
          <w:szCs w:val="22"/>
          <w:lang w:eastAsia="en-GB"/>
        </w:rPr>
        <w:t xml:space="preserve"> air conditioning and refrigeration systems with direct expansion are very high, estimated at 40% of the charge per year. Even when indirect systems are utilised, a loss of 20% per year i</w:t>
      </w:r>
      <w:r>
        <w:rPr>
          <w:szCs w:val="22"/>
          <w:lang w:eastAsia="en-GB"/>
        </w:rPr>
        <w:t xml:space="preserve">s common. </w:t>
      </w:r>
      <w:r w:rsidRPr="003A33EC">
        <w:rPr>
          <w:szCs w:val="22"/>
          <w:lang w:eastAsia="en-GB"/>
        </w:rPr>
        <w:t xml:space="preserve">This is due to a combination of the age, the technology and the constant vibration and racking that a ship </w:t>
      </w:r>
      <w:r w:rsidRPr="00C935B8">
        <w:rPr>
          <w:szCs w:val="22"/>
          <w:lang w:eastAsia="en-GB"/>
        </w:rPr>
        <w:t xml:space="preserve">endures </w:t>
      </w:r>
      <w:r w:rsidR="00202ABD">
        <w:rPr>
          <w:szCs w:val="22"/>
          <w:lang w:eastAsia="en-GB"/>
        </w:rPr>
        <w:t>(</w:t>
      </w:r>
      <w:r w:rsidRPr="00C935B8">
        <w:rPr>
          <w:szCs w:val="22"/>
          <w:lang w:eastAsia="en-GB"/>
        </w:rPr>
        <w:t>FRDC, 2013</w:t>
      </w:r>
      <w:r w:rsidR="00202ABD">
        <w:rPr>
          <w:szCs w:val="22"/>
          <w:lang w:eastAsia="en-GB"/>
        </w:rPr>
        <w:t>)</w:t>
      </w:r>
    </w:p>
    <w:p w:rsidR="00146B22" w:rsidRPr="003A33EC" w:rsidRDefault="00146B22" w:rsidP="00C4455A">
      <w:pPr>
        <w:spacing w:after="240"/>
        <w:rPr>
          <w:szCs w:val="22"/>
          <w:lang w:eastAsia="en-GB"/>
        </w:rPr>
      </w:pPr>
      <w:r>
        <w:rPr>
          <w:noProof/>
          <w:szCs w:val="22"/>
          <w:lang w:eastAsia="en-GB"/>
        </w:rPr>
        <w:t>As already mentioned, m</w:t>
      </w:r>
      <w:r w:rsidRPr="003A33EC">
        <w:rPr>
          <w:noProof/>
          <w:szCs w:val="22"/>
          <w:lang w:eastAsia="en-GB"/>
        </w:rPr>
        <w:t xml:space="preserve">any vessels have licenses </w:t>
      </w:r>
      <w:r>
        <w:rPr>
          <w:noProof/>
          <w:szCs w:val="22"/>
          <w:lang w:eastAsia="en-GB"/>
        </w:rPr>
        <w:t>to operate in A</w:t>
      </w:r>
      <w:r w:rsidR="00DB5D06">
        <w:rPr>
          <w:noProof/>
          <w:szCs w:val="22"/>
          <w:lang w:eastAsia="en-GB"/>
        </w:rPr>
        <w:t xml:space="preserve">rticle </w:t>
      </w:r>
      <w:r>
        <w:rPr>
          <w:noProof/>
          <w:szCs w:val="22"/>
          <w:lang w:eastAsia="en-GB"/>
        </w:rPr>
        <w:t xml:space="preserve">5 </w:t>
      </w:r>
      <w:r w:rsidR="006A6FCA">
        <w:rPr>
          <w:noProof/>
          <w:szCs w:val="22"/>
          <w:lang w:eastAsia="en-GB"/>
        </w:rPr>
        <w:t xml:space="preserve">Parties </w:t>
      </w:r>
      <w:r w:rsidRPr="003A33EC">
        <w:rPr>
          <w:noProof/>
          <w:szCs w:val="22"/>
          <w:lang w:eastAsia="en-GB"/>
        </w:rPr>
        <w:t>even though their flag is not A</w:t>
      </w:r>
      <w:r w:rsidR="00DB5D06">
        <w:rPr>
          <w:noProof/>
          <w:szCs w:val="22"/>
          <w:lang w:eastAsia="en-GB"/>
        </w:rPr>
        <w:t xml:space="preserve">rticle </w:t>
      </w:r>
      <w:r w:rsidRPr="003A33EC">
        <w:rPr>
          <w:noProof/>
          <w:szCs w:val="22"/>
          <w:lang w:eastAsia="en-GB"/>
        </w:rPr>
        <w:t>5. I</w:t>
      </w:r>
      <w:r>
        <w:rPr>
          <w:noProof/>
          <w:szCs w:val="22"/>
          <w:lang w:eastAsia="en-GB"/>
        </w:rPr>
        <w:t>t is then not uncommon that the</w:t>
      </w:r>
      <w:r w:rsidRPr="003A33EC">
        <w:rPr>
          <w:noProof/>
          <w:szCs w:val="22"/>
          <w:lang w:eastAsia="en-GB"/>
        </w:rPr>
        <w:t xml:space="preserve"> systems are refilled with refrigerant origining from an A</w:t>
      </w:r>
      <w:r w:rsidR="00DB5D06">
        <w:rPr>
          <w:noProof/>
          <w:szCs w:val="22"/>
          <w:lang w:eastAsia="en-GB"/>
        </w:rPr>
        <w:t xml:space="preserve">rticle </w:t>
      </w:r>
      <w:r w:rsidRPr="003A33EC">
        <w:rPr>
          <w:noProof/>
          <w:szCs w:val="22"/>
          <w:lang w:eastAsia="en-GB"/>
        </w:rPr>
        <w:t xml:space="preserve">5 </w:t>
      </w:r>
      <w:r w:rsidR="006A6FCA">
        <w:rPr>
          <w:noProof/>
          <w:szCs w:val="22"/>
          <w:lang w:eastAsia="en-GB"/>
        </w:rPr>
        <w:t>Party</w:t>
      </w:r>
      <w:r w:rsidRPr="003A33EC">
        <w:rPr>
          <w:noProof/>
          <w:szCs w:val="22"/>
          <w:lang w:eastAsia="en-GB"/>
        </w:rPr>
        <w:t xml:space="preserve">. </w:t>
      </w:r>
      <w:r w:rsidRPr="003A33EC">
        <w:rPr>
          <w:szCs w:val="22"/>
          <w:lang w:eastAsia="en-GB"/>
        </w:rPr>
        <w:t>This refrigerant should be reported as export and import in the flag country and not</w:t>
      </w:r>
      <w:r>
        <w:rPr>
          <w:szCs w:val="22"/>
          <w:lang w:eastAsia="en-GB"/>
        </w:rPr>
        <w:t>,</w:t>
      </w:r>
      <w:r w:rsidRPr="003A33EC">
        <w:rPr>
          <w:szCs w:val="22"/>
          <w:lang w:eastAsia="en-GB"/>
        </w:rPr>
        <w:t xml:space="preserve"> as currently occurs</w:t>
      </w:r>
      <w:r>
        <w:rPr>
          <w:szCs w:val="22"/>
          <w:lang w:eastAsia="en-GB"/>
        </w:rPr>
        <w:t>,</w:t>
      </w:r>
      <w:r w:rsidRPr="003A33EC">
        <w:rPr>
          <w:szCs w:val="22"/>
          <w:lang w:eastAsia="en-GB"/>
        </w:rPr>
        <w:t xml:space="preserve"> as used by the A</w:t>
      </w:r>
      <w:r w:rsidR="00DB5D06">
        <w:rPr>
          <w:szCs w:val="22"/>
          <w:lang w:eastAsia="en-GB"/>
        </w:rPr>
        <w:t>rticle 5</w:t>
      </w:r>
      <w:r w:rsidRPr="003A33EC">
        <w:rPr>
          <w:szCs w:val="22"/>
          <w:lang w:eastAsia="en-GB"/>
        </w:rPr>
        <w:t xml:space="preserve"> </w:t>
      </w:r>
      <w:r w:rsidR="006A6FCA">
        <w:rPr>
          <w:szCs w:val="22"/>
          <w:lang w:eastAsia="en-GB"/>
        </w:rPr>
        <w:t>Party</w:t>
      </w:r>
      <w:r w:rsidRPr="003A33EC">
        <w:rPr>
          <w:szCs w:val="22"/>
          <w:lang w:eastAsia="en-GB"/>
        </w:rPr>
        <w:t>. For European flagged ships it would basically be illegal to top up the charge even if operating in an A</w:t>
      </w:r>
      <w:r w:rsidR="00DB5D06">
        <w:rPr>
          <w:szCs w:val="22"/>
          <w:lang w:eastAsia="en-GB"/>
        </w:rPr>
        <w:t xml:space="preserve">rticle </w:t>
      </w:r>
      <w:r w:rsidRPr="003A33EC">
        <w:rPr>
          <w:szCs w:val="22"/>
          <w:lang w:eastAsia="en-GB"/>
        </w:rPr>
        <w:t xml:space="preserve">5 </w:t>
      </w:r>
      <w:r w:rsidR="006A6FCA">
        <w:rPr>
          <w:szCs w:val="22"/>
          <w:lang w:eastAsia="en-GB"/>
        </w:rPr>
        <w:t>Party</w:t>
      </w:r>
      <w:r w:rsidRPr="003A33EC">
        <w:rPr>
          <w:szCs w:val="22"/>
          <w:lang w:eastAsia="en-GB"/>
        </w:rPr>
        <w:t>.</w:t>
      </w:r>
    </w:p>
    <w:p w:rsidR="00146B22" w:rsidRDefault="00146B22" w:rsidP="00146B22">
      <w:pPr>
        <w:pStyle w:val="Heading3"/>
        <w:spacing w:line="240" w:lineRule="auto"/>
      </w:pPr>
      <w:bookmarkStart w:id="148" w:name="_Toc451252564"/>
      <w:bookmarkStart w:id="149" w:name="_Toc452653423"/>
      <w:r>
        <w:lastRenderedPageBreak/>
        <w:t>A</w:t>
      </w:r>
      <w:r w:rsidR="00DB5D06">
        <w:t>2</w:t>
      </w:r>
      <w:r>
        <w:t>.3.4</w:t>
      </w:r>
      <w:r>
        <w:tab/>
        <w:t>High ambient temperatures (HAT)</w:t>
      </w:r>
      <w:bookmarkEnd w:id="148"/>
      <w:bookmarkEnd w:id="149"/>
    </w:p>
    <w:p w:rsidR="00146B22" w:rsidRPr="003A33EC" w:rsidRDefault="00146B22" w:rsidP="00C4455A">
      <w:pPr>
        <w:spacing w:after="240"/>
        <w:rPr>
          <w:szCs w:val="22"/>
          <w:lang w:eastAsia="en-GB"/>
        </w:rPr>
      </w:pPr>
      <w:r>
        <w:rPr>
          <w:szCs w:val="22"/>
          <w:lang w:eastAsia="en-GB"/>
        </w:rPr>
        <w:t>The issue of High Ambient T</w:t>
      </w:r>
      <w:r w:rsidRPr="003A33EC">
        <w:rPr>
          <w:szCs w:val="22"/>
          <w:lang w:eastAsia="en-GB"/>
        </w:rPr>
        <w:t>emperatures (46-52°C) is less likely to apply to fishing vessels and land based fisheries as refrigeration systems are generally cooled by sea water. Therefore, this is not very often a problem in open sea, but can become an issue in more slow moving rivers and lakes and potentially in ports where the water temperature can increase. For the refrigeration system it means that you can reach the limits of the operation</w:t>
      </w:r>
      <w:r>
        <w:rPr>
          <w:szCs w:val="22"/>
          <w:lang w:eastAsia="en-GB"/>
        </w:rPr>
        <w:t>al</w:t>
      </w:r>
      <w:r w:rsidRPr="003A33EC">
        <w:rPr>
          <w:szCs w:val="22"/>
          <w:lang w:eastAsia="en-GB"/>
        </w:rPr>
        <w:t xml:space="preserve"> envelope with the risk of the safety valve opening blow</w:t>
      </w:r>
      <w:r w:rsidR="006A6FCA">
        <w:rPr>
          <w:szCs w:val="22"/>
          <w:lang w:eastAsia="en-GB"/>
        </w:rPr>
        <w:t>ing</w:t>
      </w:r>
      <w:r w:rsidRPr="003A33EC">
        <w:rPr>
          <w:szCs w:val="22"/>
          <w:lang w:eastAsia="en-GB"/>
        </w:rPr>
        <w:t xml:space="preserve"> out </w:t>
      </w:r>
      <w:r w:rsidR="006A6FCA">
        <w:rPr>
          <w:szCs w:val="22"/>
          <w:lang w:eastAsia="en-GB"/>
        </w:rPr>
        <w:t xml:space="preserve">the </w:t>
      </w:r>
      <w:r w:rsidRPr="003A33EC">
        <w:rPr>
          <w:szCs w:val="22"/>
          <w:lang w:eastAsia="en-GB"/>
        </w:rPr>
        <w:t>refrigerant. This is mainly a problem if the ship is designed for colder water and is migrated to warmer waters for any reason.</w:t>
      </w:r>
      <w:r w:rsidRPr="003A33EC">
        <w:rPr>
          <w:szCs w:val="22"/>
          <w:lang w:val="da-DK" w:eastAsia="en-GB"/>
        </w:rPr>
        <w:t xml:space="preserve"> </w:t>
      </w:r>
      <w:r w:rsidRPr="003A33EC">
        <w:rPr>
          <w:szCs w:val="22"/>
          <w:lang w:eastAsia="en-GB"/>
        </w:rPr>
        <w:t>It is primarily a design topic more than a refrigeration issue.</w:t>
      </w:r>
    </w:p>
    <w:p w:rsidR="00146B22" w:rsidRDefault="00146B22" w:rsidP="00DF1E74">
      <w:pPr>
        <w:spacing w:after="240"/>
        <w:rPr>
          <w:szCs w:val="22"/>
          <w:lang w:eastAsia="en-GB"/>
        </w:rPr>
      </w:pPr>
      <w:r w:rsidRPr="003A33EC">
        <w:rPr>
          <w:szCs w:val="22"/>
          <w:lang w:eastAsia="en-GB"/>
        </w:rPr>
        <w:t xml:space="preserve">High ambient temperatures are only significant as fish have inherently a high bacterial loading and can spoil quickly if not subject to the correct storage conditions. </w:t>
      </w:r>
    </w:p>
    <w:p w:rsidR="00146B22" w:rsidRPr="00977814" w:rsidRDefault="00146B22" w:rsidP="00146B22">
      <w:pPr>
        <w:pStyle w:val="Heading2"/>
        <w:spacing w:line="240" w:lineRule="auto"/>
      </w:pPr>
      <w:bookmarkStart w:id="150" w:name="_Toc451252565"/>
      <w:bookmarkStart w:id="151" w:name="_Toc452653424"/>
      <w:r>
        <w:t>A</w:t>
      </w:r>
      <w:r w:rsidR="00DB5D06">
        <w:t>2</w:t>
      </w:r>
      <w:r>
        <w:t>.4</w:t>
      </w:r>
      <w:r>
        <w:tab/>
      </w:r>
      <w:r w:rsidRPr="00977814">
        <w:tab/>
      </w:r>
      <w:r>
        <w:t xml:space="preserve">Low-GWP </w:t>
      </w:r>
      <w:r w:rsidR="00DB5D06">
        <w:t>a</w:t>
      </w:r>
      <w:r>
        <w:t xml:space="preserve">lternatives to ODS </w:t>
      </w:r>
      <w:r w:rsidR="00DB5D06">
        <w:t>r</w:t>
      </w:r>
      <w:r>
        <w:t>efrigerants</w:t>
      </w:r>
      <w:bookmarkEnd w:id="150"/>
      <w:bookmarkEnd w:id="151"/>
    </w:p>
    <w:p w:rsidR="00146B22" w:rsidRDefault="00146B22" w:rsidP="00146B22">
      <w:pPr>
        <w:spacing w:after="120"/>
        <w:rPr>
          <w:szCs w:val="22"/>
          <w:lang w:eastAsia="en-GB"/>
        </w:rPr>
      </w:pPr>
      <w:r>
        <w:rPr>
          <w:szCs w:val="22"/>
          <w:lang w:eastAsia="en-GB"/>
        </w:rPr>
        <w:t>The most important information that can be drawn from the background analysis of the fishing industry is that, c</w:t>
      </w:r>
      <w:r w:rsidRPr="003A33EC">
        <w:rPr>
          <w:szCs w:val="22"/>
          <w:lang w:eastAsia="en-GB"/>
        </w:rPr>
        <w:t>urrently</w:t>
      </w:r>
      <w:r>
        <w:rPr>
          <w:szCs w:val="22"/>
          <w:lang w:eastAsia="en-GB"/>
        </w:rPr>
        <w:t>,</w:t>
      </w:r>
      <w:r w:rsidRPr="003A33EC">
        <w:rPr>
          <w:szCs w:val="22"/>
          <w:lang w:eastAsia="en-GB"/>
        </w:rPr>
        <w:t xml:space="preserve"> the existing fishing fleet is dominat</w:t>
      </w:r>
      <w:r>
        <w:rPr>
          <w:szCs w:val="22"/>
          <w:lang w:eastAsia="en-GB"/>
        </w:rPr>
        <w:t>ed by HCFC-22 and R-717.</w:t>
      </w:r>
    </w:p>
    <w:p w:rsidR="00146B22" w:rsidRDefault="00146B22" w:rsidP="00146B22">
      <w:pPr>
        <w:spacing w:after="120"/>
        <w:rPr>
          <w:szCs w:val="22"/>
          <w:lang w:eastAsia="en-GB"/>
        </w:rPr>
      </w:pPr>
      <w:r w:rsidRPr="003A33EC">
        <w:rPr>
          <w:szCs w:val="22"/>
          <w:lang w:eastAsia="en-GB"/>
        </w:rPr>
        <w:t>R</w:t>
      </w:r>
      <w:r>
        <w:rPr>
          <w:szCs w:val="22"/>
          <w:lang w:eastAsia="en-GB"/>
        </w:rPr>
        <w:t>-</w:t>
      </w:r>
      <w:r w:rsidRPr="003A33EC">
        <w:rPr>
          <w:szCs w:val="22"/>
          <w:lang w:eastAsia="en-GB"/>
        </w:rPr>
        <w:t>717 is a non ODS substance with a low GWP and is perfectly</w:t>
      </w:r>
      <w:r>
        <w:rPr>
          <w:szCs w:val="22"/>
          <w:lang w:eastAsia="en-GB"/>
        </w:rPr>
        <w:t xml:space="preserve"> satisfactory for continued use, once the safety issues are taken into account (R-717 is a B2L fluid according to ASHRAE 34 standard).</w:t>
      </w:r>
    </w:p>
    <w:p w:rsidR="00146B22" w:rsidRDefault="00146B22" w:rsidP="00146B22">
      <w:pPr>
        <w:spacing w:after="120"/>
        <w:rPr>
          <w:szCs w:val="22"/>
          <w:lang w:eastAsia="en-GB"/>
        </w:rPr>
      </w:pPr>
      <w:r w:rsidRPr="003A33EC">
        <w:rPr>
          <w:szCs w:val="22"/>
          <w:lang w:eastAsia="en-GB"/>
        </w:rPr>
        <w:t>HCFC-22 is a</w:t>
      </w:r>
      <w:r>
        <w:rPr>
          <w:szCs w:val="22"/>
          <w:lang w:eastAsia="en-GB"/>
        </w:rPr>
        <w:t>n ODS and must be phased-out. Substitution of HCFC-22, considering its ubiquitous presence throughout the industry, is the real challenge facing the fishing industry.</w:t>
      </w:r>
    </w:p>
    <w:p w:rsidR="00146B22" w:rsidRDefault="00146B22" w:rsidP="00146B22">
      <w:pPr>
        <w:spacing w:after="120"/>
        <w:rPr>
          <w:szCs w:val="22"/>
          <w:lang w:eastAsia="en-GB"/>
        </w:rPr>
      </w:pPr>
      <w:r>
        <w:rPr>
          <w:szCs w:val="22"/>
          <w:lang w:eastAsia="en-GB"/>
        </w:rPr>
        <w:t xml:space="preserve">Considering also that 70% of the global fishing fleet is based in Asia/Pacific, this challenge becomes even more important for Asia/Pacific </w:t>
      </w:r>
      <w:r w:rsidR="006A6FCA">
        <w:rPr>
          <w:szCs w:val="22"/>
          <w:lang w:eastAsia="en-GB"/>
        </w:rPr>
        <w:t xml:space="preserve">Parties </w:t>
      </w:r>
      <w:r>
        <w:rPr>
          <w:szCs w:val="22"/>
          <w:lang w:eastAsia="en-GB"/>
        </w:rPr>
        <w:t>and specifically for Pacific islands, whose economy is heavily dependent on their fishing industry.</w:t>
      </w:r>
    </w:p>
    <w:p w:rsidR="00146B22" w:rsidRPr="003A33EC" w:rsidRDefault="00146B22" w:rsidP="00DF1E74">
      <w:pPr>
        <w:spacing w:after="240"/>
        <w:rPr>
          <w:szCs w:val="22"/>
          <w:lang w:eastAsia="en-GB"/>
        </w:rPr>
      </w:pPr>
      <w:r>
        <w:rPr>
          <w:szCs w:val="22"/>
          <w:lang w:eastAsia="en-GB"/>
        </w:rPr>
        <w:t>Table A</w:t>
      </w:r>
      <w:r w:rsidR="00DB5D06">
        <w:rPr>
          <w:szCs w:val="22"/>
          <w:lang w:eastAsia="en-GB"/>
        </w:rPr>
        <w:t>2</w:t>
      </w:r>
      <w:r>
        <w:rPr>
          <w:szCs w:val="22"/>
          <w:lang w:eastAsia="en-GB"/>
        </w:rPr>
        <w:t xml:space="preserve">-2 </w:t>
      </w:r>
      <w:r w:rsidR="006A6FCA">
        <w:rPr>
          <w:szCs w:val="22"/>
          <w:lang w:eastAsia="en-GB"/>
        </w:rPr>
        <w:t xml:space="preserve">provides </w:t>
      </w:r>
      <w:r>
        <w:rPr>
          <w:szCs w:val="22"/>
          <w:lang w:eastAsia="en-GB"/>
        </w:rPr>
        <w:t>the main characteristic of all the refrigerants that can play an interesting role in HCFC-22 substitution.</w:t>
      </w:r>
    </w:p>
    <w:p w:rsidR="00146B22" w:rsidRDefault="00146B22" w:rsidP="00146B22">
      <w:pPr>
        <w:pStyle w:val="Heading3"/>
        <w:spacing w:line="240" w:lineRule="auto"/>
      </w:pPr>
      <w:bookmarkStart w:id="152" w:name="_Toc451252566"/>
      <w:bookmarkStart w:id="153" w:name="_Toc452653425"/>
      <w:r>
        <w:t>A</w:t>
      </w:r>
      <w:r w:rsidR="00DB5D06">
        <w:t>2</w:t>
      </w:r>
      <w:r>
        <w:t>.4.1</w:t>
      </w:r>
      <w:r>
        <w:tab/>
        <w:t>Alternatives to HCFC-22</w:t>
      </w:r>
      <w:bookmarkEnd w:id="152"/>
      <w:bookmarkEnd w:id="153"/>
    </w:p>
    <w:p w:rsidR="00146B22" w:rsidRDefault="00146B22" w:rsidP="00146B22">
      <w:pPr>
        <w:spacing w:after="120"/>
        <w:rPr>
          <w:szCs w:val="22"/>
          <w:lang w:eastAsia="en-GB"/>
        </w:rPr>
      </w:pPr>
      <w:r w:rsidRPr="003A33EC">
        <w:rPr>
          <w:szCs w:val="22"/>
          <w:lang w:eastAsia="en-GB"/>
        </w:rPr>
        <w:t>Traditionally</w:t>
      </w:r>
      <w:r>
        <w:rPr>
          <w:szCs w:val="22"/>
          <w:lang w:eastAsia="en-GB"/>
        </w:rPr>
        <w:t>,</w:t>
      </w:r>
      <w:r w:rsidRPr="003A33EC">
        <w:rPr>
          <w:szCs w:val="22"/>
          <w:lang w:eastAsia="en-GB"/>
        </w:rPr>
        <w:t xml:space="preserve"> </w:t>
      </w:r>
      <w:r w:rsidRPr="00D51802">
        <w:rPr>
          <w:szCs w:val="22"/>
          <w:lang w:eastAsia="en-GB"/>
        </w:rPr>
        <w:t>trawlers</w:t>
      </w:r>
      <w:r w:rsidRPr="003A33EC">
        <w:rPr>
          <w:szCs w:val="22"/>
          <w:lang w:eastAsia="en-GB"/>
        </w:rPr>
        <w:t xml:space="preserve"> operate with direct expansion and have relatively high refrigerant charges and high leaka</w:t>
      </w:r>
      <w:r>
        <w:rPr>
          <w:szCs w:val="22"/>
          <w:lang w:eastAsia="en-GB"/>
        </w:rPr>
        <w:t>ge rates; this makes the choice for the transition from HCFC-22 a difficult one.</w:t>
      </w:r>
    </w:p>
    <w:p w:rsidR="00146B22" w:rsidRDefault="00146B22" w:rsidP="00146B22">
      <w:pPr>
        <w:spacing w:after="120"/>
        <w:rPr>
          <w:szCs w:val="22"/>
        </w:rPr>
      </w:pPr>
      <w:r w:rsidRPr="003A33EC">
        <w:rPr>
          <w:rFonts w:eastAsia="Arial"/>
          <w:bCs/>
          <w:szCs w:val="22"/>
          <w:lang w:eastAsia="en-GB"/>
        </w:rPr>
        <w:t xml:space="preserve">An obvious </w:t>
      </w:r>
      <w:r>
        <w:rPr>
          <w:rFonts w:eastAsia="Arial"/>
          <w:bCs/>
          <w:szCs w:val="22"/>
          <w:lang w:eastAsia="en-GB"/>
        </w:rPr>
        <w:t>retrofit replacement for HCFC</w:t>
      </w:r>
      <w:r w:rsidRPr="003A33EC">
        <w:rPr>
          <w:rFonts w:eastAsia="Arial"/>
          <w:bCs/>
          <w:szCs w:val="22"/>
          <w:lang w:eastAsia="en-GB"/>
        </w:rPr>
        <w:t>-22 is R-404</w:t>
      </w:r>
      <w:r w:rsidR="00067930">
        <w:rPr>
          <w:rFonts w:eastAsia="Arial"/>
          <w:bCs/>
          <w:szCs w:val="22"/>
          <w:lang w:eastAsia="en-GB"/>
        </w:rPr>
        <w:t>A</w:t>
      </w:r>
      <w:r w:rsidRPr="003A33EC">
        <w:rPr>
          <w:rFonts w:eastAsia="Arial"/>
          <w:bCs/>
          <w:szCs w:val="22"/>
          <w:lang w:eastAsia="en-GB"/>
        </w:rPr>
        <w:t xml:space="preserve"> </w:t>
      </w:r>
      <w:r w:rsidRPr="003A33EC">
        <w:rPr>
          <w:szCs w:val="22"/>
        </w:rPr>
        <w:t>which is a very popular and widely used blend. However</w:t>
      </w:r>
      <w:r w:rsidR="00067930">
        <w:rPr>
          <w:szCs w:val="22"/>
        </w:rPr>
        <w:t>,</w:t>
      </w:r>
      <w:r w:rsidRPr="003A33EC">
        <w:rPr>
          <w:szCs w:val="22"/>
        </w:rPr>
        <w:t xml:space="preserve"> du</w:t>
      </w:r>
      <w:r>
        <w:rPr>
          <w:szCs w:val="22"/>
        </w:rPr>
        <w:t xml:space="preserve">e to its </w:t>
      </w:r>
      <w:r w:rsidRPr="003A33EC">
        <w:rPr>
          <w:szCs w:val="22"/>
        </w:rPr>
        <w:t>high GWP value</w:t>
      </w:r>
      <w:r w:rsidR="00067930">
        <w:rPr>
          <w:szCs w:val="22"/>
        </w:rPr>
        <w:t>,</w:t>
      </w:r>
      <w:r w:rsidRPr="003A33EC">
        <w:rPr>
          <w:szCs w:val="22"/>
        </w:rPr>
        <w:t xml:space="preserve"> it is now </w:t>
      </w:r>
      <w:r w:rsidR="00067930">
        <w:rPr>
          <w:szCs w:val="22"/>
        </w:rPr>
        <w:t xml:space="preserve">being </w:t>
      </w:r>
      <w:r w:rsidRPr="003A33EC">
        <w:rPr>
          <w:szCs w:val="22"/>
        </w:rPr>
        <w:t>phase</w:t>
      </w:r>
      <w:r w:rsidR="00067930">
        <w:rPr>
          <w:szCs w:val="22"/>
        </w:rPr>
        <w:t xml:space="preserve">d </w:t>
      </w:r>
      <w:r w:rsidRPr="003A33EC">
        <w:rPr>
          <w:szCs w:val="22"/>
        </w:rPr>
        <w:t xml:space="preserve">out in Europe </w:t>
      </w:r>
      <w:r w:rsidR="00067930">
        <w:rPr>
          <w:szCs w:val="22"/>
        </w:rPr>
        <w:t xml:space="preserve">by 2020, as well as in certain sub-sectors in the USA; in </w:t>
      </w:r>
      <w:r w:rsidRPr="003A33EC">
        <w:rPr>
          <w:szCs w:val="22"/>
        </w:rPr>
        <w:t xml:space="preserve">other regions </w:t>
      </w:r>
      <w:r w:rsidR="00067930">
        <w:rPr>
          <w:szCs w:val="22"/>
        </w:rPr>
        <w:t xml:space="preserve">R-404A </w:t>
      </w:r>
      <w:r w:rsidRPr="003A33EC">
        <w:rPr>
          <w:szCs w:val="22"/>
        </w:rPr>
        <w:t>is under pressure.</w:t>
      </w:r>
      <w:r>
        <w:rPr>
          <w:szCs w:val="22"/>
        </w:rPr>
        <w:t xml:space="preserve"> </w:t>
      </w:r>
      <w:r w:rsidRPr="003A33EC">
        <w:rPr>
          <w:rFonts w:eastAsia="Arial"/>
          <w:bCs/>
          <w:szCs w:val="22"/>
          <w:lang w:eastAsia="en-GB"/>
        </w:rPr>
        <w:t>Analysing the options left after the HCFC phase</w:t>
      </w:r>
      <w:r>
        <w:rPr>
          <w:rFonts w:eastAsia="Arial"/>
          <w:bCs/>
          <w:szCs w:val="22"/>
          <w:lang w:eastAsia="en-GB"/>
        </w:rPr>
        <w:t>-</w:t>
      </w:r>
      <w:r w:rsidRPr="003A33EC">
        <w:rPr>
          <w:rFonts w:eastAsia="Arial"/>
          <w:bCs/>
          <w:szCs w:val="22"/>
          <w:lang w:eastAsia="en-GB"/>
        </w:rPr>
        <w:t xml:space="preserve">out and </w:t>
      </w:r>
      <w:r>
        <w:rPr>
          <w:rFonts w:eastAsia="Arial"/>
          <w:bCs/>
          <w:szCs w:val="22"/>
          <w:lang w:eastAsia="en-GB"/>
        </w:rPr>
        <w:t>considering</w:t>
      </w:r>
      <w:r w:rsidRPr="003A33EC">
        <w:rPr>
          <w:rFonts w:eastAsia="Arial"/>
          <w:bCs/>
          <w:szCs w:val="22"/>
          <w:lang w:eastAsia="en-GB"/>
        </w:rPr>
        <w:t xml:space="preserve"> that high GWP is an issue as well, </w:t>
      </w:r>
      <w:r>
        <w:rPr>
          <w:rFonts w:eastAsia="Arial"/>
          <w:bCs/>
          <w:szCs w:val="22"/>
          <w:lang w:eastAsia="en-GB"/>
        </w:rPr>
        <w:t>one presently</w:t>
      </w:r>
      <w:r w:rsidRPr="003A33EC">
        <w:rPr>
          <w:rFonts w:eastAsia="Arial"/>
          <w:bCs/>
          <w:szCs w:val="22"/>
          <w:lang w:eastAsia="en-GB"/>
        </w:rPr>
        <w:t xml:space="preserve"> </w:t>
      </w:r>
      <w:r>
        <w:rPr>
          <w:rFonts w:eastAsia="Arial"/>
          <w:bCs/>
          <w:szCs w:val="22"/>
          <w:lang w:eastAsia="en-GB"/>
        </w:rPr>
        <w:t>s</w:t>
      </w:r>
      <w:r w:rsidRPr="003A33EC">
        <w:rPr>
          <w:rFonts w:eastAsia="Arial"/>
          <w:bCs/>
          <w:szCs w:val="22"/>
          <w:lang w:eastAsia="en-GB"/>
        </w:rPr>
        <w:t>tand</w:t>
      </w:r>
      <w:r>
        <w:rPr>
          <w:rFonts w:eastAsia="Arial"/>
          <w:bCs/>
          <w:szCs w:val="22"/>
          <w:lang w:eastAsia="en-GB"/>
        </w:rPr>
        <w:t>s</w:t>
      </w:r>
      <w:r w:rsidRPr="003A33EC">
        <w:rPr>
          <w:rFonts w:eastAsia="Arial"/>
          <w:bCs/>
          <w:szCs w:val="22"/>
          <w:lang w:eastAsia="en-GB"/>
        </w:rPr>
        <w:t xml:space="preserve"> with a limited number of potential alternatives even without considering the cost implications.</w:t>
      </w:r>
      <w:r>
        <w:rPr>
          <w:rFonts w:eastAsia="Arial"/>
          <w:bCs/>
          <w:szCs w:val="22"/>
          <w:lang w:eastAsia="en-GB"/>
        </w:rPr>
        <w:t xml:space="preserve"> </w:t>
      </w:r>
      <w:r w:rsidRPr="003A33EC">
        <w:rPr>
          <w:szCs w:val="22"/>
        </w:rPr>
        <w:t xml:space="preserve">A non-exhaustive list of potential alternative refrigerants </w:t>
      </w:r>
      <w:r>
        <w:rPr>
          <w:szCs w:val="22"/>
        </w:rPr>
        <w:t>is shown in Table A</w:t>
      </w:r>
      <w:r w:rsidR="00DB5D06">
        <w:rPr>
          <w:szCs w:val="22"/>
        </w:rPr>
        <w:t>2</w:t>
      </w:r>
      <w:r>
        <w:rPr>
          <w:szCs w:val="22"/>
        </w:rPr>
        <w:t xml:space="preserve">-2 </w:t>
      </w:r>
      <w:r w:rsidR="00202ABD">
        <w:rPr>
          <w:szCs w:val="22"/>
        </w:rPr>
        <w:t>(</w:t>
      </w:r>
      <w:r w:rsidRPr="00C935B8">
        <w:rPr>
          <w:szCs w:val="22"/>
        </w:rPr>
        <w:t>UNEP, 2014, UNEP, 2016</w:t>
      </w:r>
      <w:r w:rsidR="00202ABD">
        <w:rPr>
          <w:szCs w:val="22"/>
        </w:rPr>
        <w:t>)</w:t>
      </w:r>
      <w:r w:rsidRPr="00C935B8">
        <w:rPr>
          <w:szCs w:val="22"/>
        </w:rPr>
        <w:t>.</w:t>
      </w:r>
    </w:p>
    <w:p w:rsidR="00146B22" w:rsidRDefault="00146B22" w:rsidP="00146B22">
      <w:pPr>
        <w:spacing w:after="120"/>
        <w:rPr>
          <w:szCs w:val="22"/>
        </w:rPr>
      </w:pPr>
      <w:r w:rsidRPr="005F0657">
        <w:rPr>
          <w:rFonts w:eastAsia="Arial"/>
          <w:bCs/>
          <w:szCs w:val="22"/>
          <w:lang w:eastAsia="en-GB"/>
        </w:rPr>
        <w:t xml:space="preserve">The </w:t>
      </w:r>
      <w:r w:rsidR="00067930">
        <w:rPr>
          <w:rFonts w:eastAsia="Arial"/>
          <w:bCs/>
          <w:szCs w:val="22"/>
          <w:lang w:eastAsia="en-GB"/>
        </w:rPr>
        <w:t>(</w:t>
      </w:r>
      <w:r w:rsidRPr="005F0657">
        <w:rPr>
          <w:rFonts w:eastAsia="Arial"/>
          <w:bCs/>
          <w:szCs w:val="22"/>
          <w:lang w:eastAsia="en-GB"/>
        </w:rPr>
        <w:t xml:space="preserve">unsaturated </w:t>
      </w:r>
      <w:r w:rsidR="00067930">
        <w:rPr>
          <w:rFonts w:eastAsia="Arial"/>
          <w:bCs/>
          <w:szCs w:val="22"/>
          <w:lang w:eastAsia="en-GB"/>
        </w:rPr>
        <w:t>- olefin type)</w:t>
      </w:r>
      <w:r w:rsidRPr="005F0657">
        <w:rPr>
          <w:rFonts w:eastAsia="Arial"/>
          <w:bCs/>
          <w:szCs w:val="22"/>
          <w:lang w:eastAsia="en-GB"/>
        </w:rPr>
        <w:t xml:space="preserve"> </w:t>
      </w:r>
      <w:r w:rsidR="00067930">
        <w:rPr>
          <w:rFonts w:eastAsia="Arial"/>
          <w:bCs/>
          <w:szCs w:val="22"/>
          <w:lang w:eastAsia="en-GB"/>
        </w:rPr>
        <w:t xml:space="preserve">HFO </w:t>
      </w:r>
      <w:r w:rsidRPr="005F0657">
        <w:rPr>
          <w:rFonts w:eastAsia="Arial"/>
          <w:bCs/>
          <w:szCs w:val="22"/>
          <w:lang w:eastAsia="en-GB"/>
        </w:rPr>
        <w:t xml:space="preserve">refrigerants are not suitable to replace </w:t>
      </w:r>
      <w:r>
        <w:rPr>
          <w:rFonts w:eastAsia="Arial"/>
          <w:bCs/>
          <w:szCs w:val="22"/>
          <w:lang w:eastAsia="en-GB"/>
        </w:rPr>
        <w:t>HCFC-</w:t>
      </w:r>
      <w:r w:rsidRPr="005F0657">
        <w:rPr>
          <w:rFonts w:eastAsia="Arial"/>
          <w:bCs/>
          <w:szCs w:val="22"/>
          <w:lang w:eastAsia="en-GB"/>
        </w:rPr>
        <w:t>22 or R</w:t>
      </w:r>
      <w:r>
        <w:rPr>
          <w:rFonts w:eastAsia="Arial"/>
          <w:bCs/>
          <w:szCs w:val="22"/>
          <w:lang w:eastAsia="en-GB"/>
        </w:rPr>
        <w:t>-</w:t>
      </w:r>
      <w:r w:rsidRPr="005F0657">
        <w:rPr>
          <w:rFonts w:eastAsia="Arial"/>
          <w:bCs/>
          <w:szCs w:val="22"/>
          <w:lang w:eastAsia="en-GB"/>
        </w:rPr>
        <w:t>404A</w:t>
      </w:r>
      <w:r w:rsidRPr="00C465F3">
        <w:rPr>
          <w:rFonts w:eastAsia="Arial"/>
          <w:bCs/>
          <w:szCs w:val="22"/>
          <w:lang w:eastAsia="en-GB"/>
        </w:rPr>
        <w:t xml:space="preserve"> </w:t>
      </w:r>
      <w:r w:rsidRPr="005F0657">
        <w:rPr>
          <w:rFonts w:eastAsia="Arial"/>
          <w:bCs/>
          <w:szCs w:val="22"/>
          <w:lang w:eastAsia="en-GB"/>
        </w:rPr>
        <w:t>for low temperatures.</w:t>
      </w:r>
      <w:r>
        <w:rPr>
          <w:rFonts w:eastAsia="Arial"/>
          <w:bCs/>
          <w:szCs w:val="22"/>
          <w:lang w:eastAsia="en-GB"/>
        </w:rPr>
        <w:t xml:space="preserve"> More promising are those refrigerant mixtures obtained </w:t>
      </w:r>
      <w:r w:rsidR="00067930">
        <w:rPr>
          <w:rFonts w:eastAsia="Arial"/>
          <w:bCs/>
          <w:szCs w:val="22"/>
          <w:lang w:eastAsia="en-GB"/>
        </w:rPr>
        <w:t xml:space="preserve">by </w:t>
      </w:r>
      <w:r>
        <w:rPr>
          <w:rFonts w:eastAsia="Arial"/>
          <w:bCs/>
          <w:szCs w:val="22"/>
          <w:lang w:eastAsia="en-GB"/>
        </w:rPr>
        <w:t xml:space="preserve">blending HFC and HFO in suitable proportions to make them </w:t>
      </w:r>
      <w:r w:rsidR="00067930">
        <w:rPr>
          <w:rFonts w:eastAsia="Arial"/>
          <w:bCs/>
          <w:szCs w:val="22"/>
          <w:lang w:eastAsia="en-GB"/>
        </w:rPr>
        <w:t>a</w:t>
      </w:r>
      <w:r>
        <w:rPr>
          <w:rFonts w:eastAsia="Arial"/>
          <w:bCs/>
          <w:szCs w:val="22"/>
          <w:lang w:eastAsia="en-GB"/>
        </w:rPr>
        <w:t xml:space="preserve"> low-GWP fluid and, at the same time</w:t>
      </w:r>
      <w:r w:rsidR="006A6FCA">
        <w:rPr>
          <w:rFonts w:eastAsia="Arial"/>
          <w:bCs/>
          <w:szCs w:val="22"/>
          <w:lang w:eastAsia="en-GB"/>
        </w:rPr>
        <w:t xml:space="preserve"> have the properties needed for a</w:t>
      </w:r>
      <w:r>
        <w:rPr>
          <w:rFonts w:eastAsia="Arial"/>
          <w:bCs/>
          <w:szCs w:val="22"/>
          <w:lang w:eastAsia="en-GB"/>
        </w:rPr>
        <w:t xml:space="preserve"> refrigerant</w:t>
      </w:r>
      <w:r w:rsidR="006A6FCA">
        <w:rPr>
          <w:rFonts w:eastAsia="Arial"/>
          <w:bCs/>
          <w:szCs w:val="22"/>
          <w:lang w:eastAsia="en-GB"/>
        </w:rPr>
        <w:t xml:space="preserve"> in this application</w:t>
      </w:r>
      <w:r>
        <w:rPr>
          <w:rFonts w:eastAsia="Arial"/>
          <w:bCs/>
          <w:szCs w:val="22"/>
          <w:lang w:eastAsia="en-GB"/>
        </w:rPr>
        <w:t>.</w:t>
      </w:r>
    </w:p>
    <w:p w:rsidR="00146B22" w:rsidRDefault="00146B22" w:rsidP="00146B22">
      <w:pPr>
        <w:autoSpaceDE w:val="0"/>
        <w:autoSpaceDN w:val="0"/>
        <w:adjustRightInd w:val="0"/>
        <w:spacing w:after="120"/>
        <w:rPr>
          <w:szCs w:val="22"/>
        </w:rPr>
      </w:pPr>
      <w:r>
        <w:rPr>
          <w:szCs w:val="22"/>
        </w:rPr>
        <w:t>A</w:t>
      </w:r>
      <w:r w:rsidRPr="003A33EC">
        <w:rPr>
          <w:szCs w:val="22"/>
        </w:rPr>
        <w:t>mmonia (R</w:t>
      </w:r>
      <w:r>
        <w:rPr>
          <w:szCs w:val="22"/>
        </w:rPr>
        <w:t>-</w:t>
      </w:r>
      <w:r w:rsidRPr="003A33EC">
        <w:rPr>
          <w:szCs w:val="22"/>
        </w:rPr>
        <w:t>717) is very competitive but requires a refrigeration plant change</w:t>
      </w:r>
      <w:r>
        <w:rPr>
          <w:szCs w:val="22"/>
        </w:rPr>
        <w:t xml:space="preserve"> and cannot be considered </w:t>
      </w:r>
      <w:r w:rsidR="00067930">
        <w:rPr>
          <w:szCs w:val="22"/>
        </w:rPr>
        <w:t xml:space="preserve">as </w:t>
      </w:r>
      <w:r>
        <w:rPr>
          <w:szCs w:val="22"/>
        </w:rPr>
        <w:t>a retrofit</w:t>
      </w:r>
      <w:r w:rsidRPr="003A33EC">
        <w:rPr>
          <w:szCs w:val="22"/>
        </w:rPr>
        <w:t xml:space="preserve">. </w:t>
      </w:r>
    </w:p>
    <w:p w:rsidR="00146B22" w:rsidRPr="003A33EC" w:rsidRDefault="00146B22" w:rsidP="00146B22">
      <w:pPr>
        <w:autoSpaceDE w:val="0"/>
        <w:autoSpaceDN w:val="0"/>
        <w:adjustRightInd w:val="0"/>
        <w:spacing w:after="120"/>
        <w:rPr>
          <w:rFonts w:eastAsia="Arial"/>
          <w:bCs/>
          <w:szCs w:val="22"/>
          <w:lang w:eastAsia="en-GB"/>
        </w:rPr>
      </w:pPr>
      <w:r>
        <w:rPr>
          <w:szCs w:val="22"/>
        </w:rPr>
        <w:t xml:space="preserve">As the situation of HCFC-22 substitutes showing low-GWP properties is rapidly and positively evolving towards the development of suitable alternatives for most of the terrestrial applications </w:t>
      </w:r>
      <w:r w:rsidR="00202ABD">
        <w:rPr>
          <w:szCs w:val="22"/>
        </w:rPr>
        <w:t>(</w:t>
      </w:r>
      <w:r w:rsidRPr="00C935B8">
        <w:rPr>
          <w:szCs w:val="22"/>
        </w:rPr>
        <w:t>UNEP, 2015, UNEP, 2016</w:t>
      </w:r>
      <w:r w:rsidR="00202ABD">
        <w:rPr>
          <w:szCs w:val="22"/>
        </w:rPr>
        <w:t>)</w:t>
      </w:r>
      <w:r w:rsidRPr="00C935B8">
        <w:rPr>
          <w:szCs w:val="22"/>
        </w:rPr>
        <w:t>, one can expect that those alternatives will be suitable also for on board</w:t>
      </w:r>
      <w:r>
        <w:rPr>
          <w:szCs w:val="22"/>
        </w:rPr>
        <w:t xml:space="preserve"> applications of the fishing industry.</w:t>
      </w:r>
    </w:p>
    <w:p w:rsidR="00067930" w:rsidRPr="008A52E4" w:rsidRDefault="00067930" w:rsidP="00067930">
      <w:pPr>
        <w:spacing w:after="120"/>
        <w:rPr>
          <w:szCs w:val="22"/>
          <w:lang w:eastAsia="en-GB"/>
        </w:rPr>
      </w:pPr>
      <w:r w:rsidRPr="00AD55CF">
        <w:rPr>
          <w:szCs w:val="22"/>
          <w:lang w:eastAsia="en-GB"/>
        </w:rPr>
        <w:lastRenderedPageBreak/>
        <w:t>When evaluating the substitution of HCFC-22 for on board refrigeration, the decision must take into account several variables; i</w:t>
      </w:r>
      <w:r w:rsidRPr="008A52E4">
        <w:rPr>
          <w:szCs w:val="22"/>
          <w:lang w:eastAsia="en-GB"/>
        </w:rPr>
        <w:t>n principle it is possible to distinguish among the following cases:</w:t>
      </w:r>
    </w:p>
    <w:p w:rsidR="00146B22" w:rsidRPr="00F96555" w:rsidRDefault="00146B22" w:rsidP="00146B22">
      <w:pPr>
        <w:pStyle w:val="Caption"/>
        <w:pBdr>
          <w:bottom w:val="none" w:sz="0" w:space="0" w:color="auto"/>
        </w:pBdr>
        <w:spacing w:after="120"/>
        <w:rPr>
          <w:lang w:val="en-US"/>
        </w:rPr>
      </w:pPr>
      <w:r w:rsidRPr="008A52E4">
        <w:rPr>
          <w:lang w:val="en-US"/>
        </w:rPr>
        <w:t>Table A</w:t>
      </w:r>
      <w:r w:rsidR="00DB5D06" w:rsidRPr="008A52E4">
        <w:rPr>
          <w:lang w:val="en-US"/>
        </w:rPr>
        <w:t>2</w:t>
      </w:r>
      <w:r w:rsidRPr="008A52E4">
        <w:rPr>
          <w:lang w:val="en-US"/>
        </w:rPr>
        <w:t>-</w:t>
      </w:r>
      <w:r w:rsidRPr="008A52E4">
        <w:fldChar w:fldCharType="begin"/>
      </w:r>
      <w:r w:rsidRPr="008A52E4">
        <w:rPr>
          <w:lang w:val="en-US"/>
        </w:rPr>
        <w:instrText xml:space="preserve"> SEQ Table \* ARABIC </w:instrText>
      </w:r>
      <w:r w:rsidRPr="008A52E4">
        <w:fldChar w:fldCharType="separate"/>
      </w:r>
      <w:r w:rsidR="00C006A4">
        <w:rPr>
          <w:noProof/>
          <w:lang w:val="en-US"/>
        </w:rPr>
        <w:t>2</w:t>
      </w:r>
      <w:r w:rsidRPr="008A52E4">
        <w:rPr>
          <w:noProof/>
        </w:rPr>
        <w:fldChar w:fldCharType="end"/>
      </w:r>
      <w:r w:rsidRPr="008A52E4">
        <w:rPr>
          <w:lang w:val="en-US"/>
        </w:rPr>
        <w:t xml:space="preserve"> Potential HCFC-22 </w:t>
      </w:r>
      <w:r w:rsidR="00DB5D06" w:rsidRPr="008A52E4">
        <w:rPr>
          <w:lang w:val="en-US"/>
        </w:rPr>
        <w:t>a</w:t>
      </w:r>
      <w:r w:rsidRPr="008A52E4">
        <w:rPr>
          <w:lang w:val="en-US"/>
        </w:rPr>
        <w:t>lternatives</w:t>
      </w:r>
      <w:r w:rsidR="007B7EF1" w:rsidRPr="008A52E4">
        <w:rPr>
          <w:lang w:val="en-US"/>
        </w:rPr>
        <w:t xml:space="preserve">, </w:t>
      </w:r>
      <w:r w:rsidR="0033511F" w:rsidRPr="008A52E4">
        <w:rPr>
          <w:lang w:val="en-US"/>
        </w:rPr>
        <w:t xml:space="preserve">their </w:t>
      </w:r>
      <w:r w:rsidR="007B7EF1" w:rsidRPr="008A52E4">
        <w:rPr>
          <w:lang w:val="en-US"/>
        </w:rPr>
        <w:t>GWP</w:t>
      </w:r>
      <w:r w:rsidR="0033511F" w:rsidRPr="008A52E4">
        <w:rPr>
          <w:lang w:val="en-US"/>
        </w:rPr>
        <w:t>s</w:t>
      </w:r>
      <w:r w:rsidR="007B7EF1" w:rsidRPr="008A52E4">
        <w:rPr>
          <w:lang w:val="en-US"/>
        </w:rPr>
        <w:t xml:space="preserve"> and safety</w:t>
      </w:r>
      <w:r w:rsidR="007B7EF1">
        <w:rPr>
          <w:lang w:val="en-US"/>
        </w:rPr>
        <w:t xml:space="preserve"> class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88"/>
        <w:gridCol w:w="1588"/>
        <w:gridCol w:w="1134"/>
        <w:gridCol w:w="1247"/>
      </w:tblGrid>
      <w:tr w:rsidR="00146B22" w:rsidRPr="00081A6C" w:rsidTr="004C4FC8">
        <w:trPr>
          <w:trHeight w:val="280"/>
          <w:jc w:val="center"/>
        </w:trPr>
        <w:tc>
          <w:tcPr>
            <w:tcW w:w="1588" w:type="dxa"/>
            <w:tcBorders>
              <w:top w:val="single" w:sz="18" w:space="0" w:color="auto"/>
              <w:bottom w:val="single" w:sz="18" w:space="0" w:color="auto"/>
            </w:tcBorders>
            <w:shd w:val="clear" w:color="auto" w:fill="auto"/>
            <w:noWrap/>
            <w:vAlign w:val="center"/>
            <w:hideMark/>
          </w:tcPr>
          <w:p w:rsidR="00146B22" w:rsidRPr="00081A6C" w:rsidRDefault="00146B22" w:rsidP="00C4455A">
            <w:pPr>
              <w:rPr>
                <w:b/>
                <w:bCs/>
                <w:sz w:val="20"/>
                <w:szCs w:val="22"/>
                <w:lang w:eastAsia="en-GB"/>
              </w:rPr>
            </w:pPr>
            <w:r w:rsidRPr="00081A6C">
              <w:rPr>
                <w:b/>
                <w:bCs/>
                <w:sz w:val="20"/>
                <w:szCs w:val="22"/>
                <w:lang w:eastAsia="en-GB"/>
              </w:rPr>
              <w:t>Refrigerant</w:t>
            </w:r>
          </w:p>
        </w:tc>
        <w:tc>
          <w:tcPr>
            <w:tcW w:w="1588" w:type="dxa"/>
            <w:tcBorders>
              <w:top w:val="single" w:sz="18" w:space="0" w:color="auto"/>
              <w:bottom w:val="single" w:sz="18" w:space="0" w:color="auto"/>
            </w:tcBorders>
            <w:shd w:val="clear" w:color="auto" w:fill="auto"/>
            <w:noWrap/>
            <w:vAlign w:val="center"/>
            <w:hideMark/>
          </w:tcPr>
          <w:p w:rsidR="00146B22" w:rsidRPr="00081A6C" w:rsidRDefault="00146B22" w:rsidP="00C4455A">
            <w:pPr>
              <w:jc w:val="center"/>
              <w:rPr>
                <w:b/>
                <w:bCs/>
                <w:sz w:val="20"/>
                <w:szCs w:val="22"/>
                <w:lang w:eastAsia="en-GB"/>
              </w:rPr>
            </w:pPr>
            <w:r w:rsidRPr="00081A6C">
              <w:rPr>
                <w:b/>
                <w:bCs/>
                <w:sz w:val="20"/>
                <w:szCs w:val="22"/>
                <w:lang w:eastAsia="en-GB"/>
              </w:rPr>
              <w:t>Normal</w:t>
            </w:r>
          </w:p>
          <w:p w:rsidR="00146B22" w:rsidRPr="00081A6C" w:rsidRDefault="00146B22" w:rsidP="00C4455A">
            <w:pPr>
              <w:jc w:val="center"/>
              <w:rPr>
                <w:b/>
                <w:bCs/>
                <w:sz w:val="20"/>
                <w:szCs w:val="22"/>
                <w:lang w:eastAsia="en-GB"/>
              </w:rPr>
            </w:pPr>
            <w:r w:rsidRPr="00081A6C">
              <w:rPr>
                <w:b/>
                <w:bCs/>
                <w:sz w:val="20"/>
                <w:szCs w:val="22"/>
                <w:lang w:eastAsia="en-GB"/>
              </w:rPr>
              <w:t>Boiling Point</w:t>
            </w:r>
          </w:p>
          <w:p w:rsidR="00146B22" w:rsidRPr="00081A6C" w:rsidRDefault="00202ABD" w:rsidP="00C4455A">
            <w:pPr>
              <w:jc w:val="center"/>
              <w:rPr>
                <w:b/>
                <w:bCs/>
                <w:sz w:val="20"/>
                <w:szCs w:val="22"/>
                <w:lang w:eastAsia="en-GB"/>
              </w:rPr>
            </w:pPr>
            <w:r w:rsidRPr="00081A6C">
              <w:rPr>
                <w:b/>
                <w:bCs/>
                <w:sz w:val="20"/>
                <w:szCs w:val="22"/>
                <w:lang w:eastAsia="en-GB"/>
              </w:rPr>
              <w:t>(</w:t>
            </w:r>
            <w:r w:rsidR="00146B22" w:rsidRPr="00081A6C">
              <w:rPr>
                <w:b/>
                <w:bCs/>
                <w:sz w:val="20"/>
                <w:szCs w:val="22"/>
                <w:lang w:eastAsia="en-GB"/>
              </w:rPr>
              <w:t>°C</w:t>
            </w:r>
            <w:r w:rsidRPr="00081A6C">
              <w:rPr>
                <w:b/>
                <w:bCs/>
                <w:sz w:val="20"/>
                <w:szCs w:val="22"/>
                <w:lang w:eastAsia="en-GB"/>
              </w:rPr>
              <w:t>)</w:t>
            </w:r>
          </w:p>
        </w:tc>
        <w:tc>
          <w:tcPr>
            <w:tcW w:w="1134" w:type="dxa"/>
            <w:tcBorders>
              <w:top w:val="single" w:sz="18" w:space="0" w:color="auto"/>
              <w:bottom w:val="single" w:sz="18" w:space="0" w:color="auto"/>
            </w:tcBorders>
            <w:shd w:val="clear" w:color="auto" w:fill="auto"/>
            <w:noWrap/>
            <w:vAlign w:val="center"/>
            <w:hideMark/>
          </w:tcPr>
          <w:p w:rsidR="00146B22" w:rsidRPr="00081A6C" w:rsidRDefault="00146B22" w:rsidP="00C4455A">
            <w:pPr>
              <w:jc w:val="center"/>
              <w:rPr>
                <w:b/>
                <w:bCs/>
                <w:sz w:val="20"/>
                <w:szCs w:val="22"/>
                <w:lang w:eastAsia="en-GB"/>
              </w:rPr>
            </w:pPr>
            <w:r w:rsidRPr="00081A6C">
              <w:rPr>
                <w:b/>
                <w:bCs/>
                <w:sz w:val="20"/>
                <w:szCs w:val="22"/>
                <w:lang w:eastAsia="en-GB"/>
              </w:rPr>
              <w:t>GWP</w:t>
            </w:r>
          </w:p>
          <w:p w:rsidR="00146B22" w:rsidRPr="00081A6C" w:rsidRDefault="00146B22" w:rsidP="00C4455A">
            <w:pPr>
              <w:jc w:val="center"/>
              <w:rPr>
                <w:b/>
                <w:bCs/>
                <w:sz w:val="20"/>
                <w:szCs w:val="22"/>
                <w:lang w:eastAsia="en-GB"/>
              </w:rPr>
            </w:pPr>
            <w:r w:rsidRPr="00081A6C">
              <w:rPr>
                <w:b/>
                <w:bCs/>
                <w:sz w:val="20"/>
                <w:szCs w:val="22"/>
                <w:lang w:eastAsia="en-GB"/>
              </w:rPr>
              <w:t>100 years</w:t>
            </w:r>
          </w:p>
        </w:tc>
        <w:tc>
          <w:tcPr>
            <w:tcW w:w="1247" w:type="dxa"/>
            <w:tcBorders>
              <w:top w:val="single" w:sz="18" w:space="0" w:color="auto"/>
              <w:bottom w:val="single" w:sz="18" w:space="0" w:color="auto"/>
            </w:tcBorders>
            <w:vAlign w:val="center"/>
          </w:tcPr>
          <w:p w:rsidR="00146B22" w:rsidRPr="00081A6C" w:rsidRDefault="00146B22" w:rsidP="00C4455A">
            <w:pPr>
              <w:jc w:val="center"/>
              <w:rPr>
                <w:b/>
                <w:bCs/>
                <w:sz w:val="20"/>
                <w:szCs w:val="22"/>
                <w:lang w:eastAsia="en-GB"/>
              </w:rPr>
            </w:pPr>
            <w:r w:rsidRPr="00081A6C">
              <w:rPr>
                <w:b/>
                <w:bCs/>
                <w:sz w:val="20"/>
                <w:szCs w:val="22"/>
                <w:lang w:eastAsia="en-GB"/>
              </w:rPr>
              <w:t>Safety</w:t>
            </w:r>
          </w:p>
          <w:p w:rsidR="00146B22" w:rsidRPr="00081A6C" w:rsidRDefault="00146B22" w:rsidP="00C4455A">
            <w:pPr>
              <w:jc w:val="center"/>
              <w:rPr>
                <w:b/>
                <w:bCs/>
                <w:sz w:val="20"/>
                <w:szCs w:val="22"/>
                <w:lang w:eastAsia="en-GB"/>
              </w:rPr>
            </w:pPr>
            <w:r w:rsidRPr="00081A6C">
              <w:rPr>
                <w:b/>
                <w:bCs/>
                <w:sz w:val="20"/>
                <w:szCs w:val="22"/>
                <w:lang w:eastAsia="en-GB"/>
              </w:rPr>
              <w:t>Class</w:t>
            </w:r>
          </w:p>
        </w:tc>
      </w:tr>
      <w:tr w:rsidR="00146B22" w:rsidRPr="00081A6C" w:rsidTr="004C4FC8">
        <w:trPr>
          <w:trHeight w:val="260"/>
          <w:jc w:val="center"/>
        </w:trPr>
        <w:tc>
          <w:tcPr>
            <w:tcW w:w="1588" w:type="dxa"/>
            <w:tcBorders>
              <w:top w:val="single" w:sz="18" w:space="0" w:color="auto"/>
            </w:tcBorders>
            <w:shd w:val="clear" w:color="auto" w:fill="auto"/>
            <w:noWrap/>
            <w:vAlign w:val="center"/>
            <w:hideMark/>
          </w:tcPr>
          <w:p w:rsidR="00146B22" w:rsidRPr="00081A6C" w:rsidRDefault="00146B22" w:rsidP="00C4455A">
            <w:pPr>
              <w:spacing w:before="40" w:after="20"/>
              <w:rPr>
                <w:b/>
                <w:bCs/>
                <w:sz w:val="20"/>
                <w:szCs w:val="22"/>
                <w:lang w:eastAsia="en-GB"/>
              </w:rPr>
            </w:pPr>
            <w:r w:rsidRPr="00081A6C">
              <w:rPr>
                <w:b/>
                <w:bCs/>
                <w:sz w:val="20"/>
                <w:szCs w:val="22"/>
                <w:lang w:eastAsia="en-GB"/>
              </w:rPr>
              <w:t>HCFC-22</w:t>
            </w:r>
          </w:p>
        </w:tc>
        <w:tc>
          <w:tcPr>
            <w:tcW w:w="1588" w:type="dxa"/>
            <w:tcBorders>
              <w:top w:val="single" w:sz="18" w:space="0" w:color="auto"/>
            </w:tcBorders>
            <w:shd w:val="clear" w:color="auto" w:fill="auto"/>
            <w:noWrap/>
            <w:vAlign w:val="center"/>
            <w:hideMark/>
          </w:tcPr>
          <w:p w:rsidR="00146B22" w:rsidRPr="00081A6C" w:rsidRDefault="00146B22" w:rsidP="00C4455A">
            <w:pPr>
              <w:spacing w:before="40" w:after="20"/>
              <w:jc w:val="center"/>
              <w:rPr>
                <w:sz w:val="20"/>
                <w:szCs w:val="22"/>
                <w:lang w:eastAsia="en-GB"/>
              </w:rPr>
            </w:pPr>
            <w:r w:rsidRPr="00081A6C">
              <w:rPr>
                <w:sz w:val="20"/>
                <w:szCs w:val="22"/>
                <w:lang w:eastAsia="en-GB"/>
              </w:rPr>
              <w:t>-40.8</w:t>
            </w:r>
          </w:p>
        </w:tc>
        <w:tc>
          <w:tcPr>
            <w:tcW w:w="1134" w:type="dxa"/>
            <w:tcBorders>
              <w:top w:val="single" w:sz="18" w:space="0" w:color="auto"/>
            </w:tcBorders>
            <w:shd w:val="clear" w:color="auto" w:fill="auto"/>
            <w:noWrap/>
            <w:vAlign w:val="center"/>
            <w:hideMark/>
          </w:tcPr>
          <w:p w:rsidR="00146B22" w:rsidRPr="00081A6C" w:rsidRDefault="00146B22" w:rsidP="00C4455A">
            <w:pPr>
              <w:spacing w:before="40" w:after="20"/>
              <w:jc w:val="center"/>
              <w:rPr>
                <w:sz w:val="20"/>
                <w:szCs w:val="22"/>
                <w:lang w:eastAsia="en-GB"/>
              </w:rPr>
            </w:pPr>
            <w:r w:rsidRPr="00081A6C">
              <w:rPr>
                <w:sz w:val="20"/>
                <w:szCs w:val="22"/>
                <w:lang w:eastAsia="en-GB"/>
              </w:rPr>
              <w:t>1810</w:t>
            </w:r>
          </w:p>
        </w:tc>
        <w:tc>
          <w:tcPr>
            <w:tcW w:w="1247" w:type="dxa"/>
            <w:tcBorders>
              <w:top w:val="single" w:sz="18" w:space="0" w:color="auto"/>
            </w:tcBorders>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HFC-23</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-82,0</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12500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8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R-404A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-46.6/-45.8</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4200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R-407A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-45.2/-38.7</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2100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R-407C</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-43.8/-36.6</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1700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R-407F</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-46.1/-39.7</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1800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R-428A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-48.3/-47.5</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3700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R-448A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-45.9/-39.8</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1300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R-449A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-46.0/-39.9</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1300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R-507A</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-47.1</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4300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R-717 (NH</w:t>
            </w:r>
            <w:r w:rsidRPr="00081A6C">
              <w:rPr>
                <w:b/>
                <w:bCs/>
                <w:sz w:val="20"/>
                <w:szCs w:val="22"/>
                <w:vertAlign w:val="subscript"/>
                <w:lang w:eastAsia="en-GB"/>
              </w:rPr>
              <w:t>3</w:t>
            </w:r>
            <w:r w:rsidRPr="00081A6C">
              <w:rPr>
                <w:b/>
                <w:bCs/>
                <w:sz w:val="20"/>
                <w:szCs w:val="22"/>
                <w:lang w:eastAsia="en-GB"/>
              </w:rPr>
              <w:t>)</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-33.3</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0</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B2L</w:t>
            </w:r>
          </w:p>
        </w:tc>
      </w:tr>
      <w:tr w:rsidR="00146B22" w:rsidRPr="00081A6C" w:rsidTr="004C4FC8">
        <w:trPr>
          <w:trHeight w:val="260"/>
          <w:jc w:val="center"/>
        </w:trPr>
        <w:tc>
          <w:tcPr>
            <w:tcW w:w="1588" w:type="dxa"/>
            <w:shd w:val="clear" w:color="auto" w:fill="auto"/>
            <w:noWrap/>
            <w:vAlign w:val="center"/>
          </w:tcPr>
          <w:p w:rsidR="00146B22" w:rsidRPr="00081A6C" w:rsidRDefault="00146B22" w:rsidP="00C4455A">
            <w:pPr>
              <w:spacing w:before="40" w:after="20"/>
              <w:rPr>
                <w:b/>
                <w:bCs/>
                <w:sz w:val="20"/>
                <w:szCs w:val="22"/>
                <w:lang w:eastAsia="en-GB"/>
              </w:rPr>
            </w:pPr>
            <w:r w:rsidRPr="00081A6C">
              <w:rPr>
                <w:b/>
                <w:bCs/>
                <w:sz w:val="20"/>
                <w:szCs w:val="22"/>
                <w:lang w:eastAsia="en-GB"/>
              </w:rPr>
              <w:t>R-744 (CO</w:t>
            </w:r>
            <w:r w:rsidRPr="00081A6C">
              <w:rPr>
                <w:b/>
                <w:bCs/>
                <w:sz w:val="20"/>
                <w:szCs w:val="22"/>
                <w:vertAlign w:val="subscript"/>
                <w:lang w:eastAsia="en-GB"/>
              </w:rPr>
              <w:t>2</w:t>
            </w:r>
            <w:r w:rsidRPr="00081A6C">
              <w:rPr>
                <w:b/>
                <w:bCs/>
                <w:sz w:val="20"/>
                <w:szCs w:val="22"/>
                <w:lang w:eastAsia="en-GB"/>
              </w:rPr>
              <w:t>)</w:t>
            </w:r>
          </w:p>
        </w:tc>
        <w:tc>
          <w:tcPr>
            <w:tcW w:w="1588"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-78*</w:t>
            </w:r>
          </w:p>
        </w:tc>
        <w:tc>
          <w:tcPr>
            <w:tcW w:w="1134" w:type="dxa"/>
            <w:shd w:val="clear" w:color="auto" w:fill="auto"/>
            <w:noWrap/>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1</w:t>
            </w:r>
          </w:p>
        </w:tc>
        <w:tc>
          <w:tcPr>
            <w:tcW w:w="1247" w:type="dxa"/>
            <w:vAlign w:val="center"/>
          </w:tcPr>
          <w:p w:rsidR="00146B22" w:rsidRPr="00081A6C" w:rsidRDefault="00146B22" w:rsidP="00C4455A">
            <w:pPr>
              <w:spacing w:before="40" w:after="20"/>
              <w:jc w:val="center"/>
              <w:rPr>
                <w:sz w:val="20"/>
                <w:szCs w:val="22"/>
                <w:lang w:eastAsia="en-GB"/>
              </w:rPr>
            </w:pPr>
            <w:r w:rsidRPr="00081A6C">
              <w:rPr>
                <w:sz w:val="20"/>
                <w:szCs w:val="22"/>
                <w:lang w:eastAsia="en-GB"/>
              </w:rPr>
              <w:t>A1</w:t>
            </w:r>
          </w:p>
        </w:tc>
      </w:tr>
    </w:tbl>
    <w:p w:rsidR="00146B22" w:rsidRPr="00D82F26" w:rsidRDefault="00146B22" w:rsidP="008A52E4">
      <w:pPr>
        <w:ind w:firstLine="720"/>
        <w:jc w:val="center"/>
        <w:rPr>
          <w:sz w:val="20"/>
          <w:szCs w:val="20"/>
          <w:lang w:eastAsia="en-GB"/>
        </w:rPr>
      </w:pPr>
      <w:r w:rsidRPr="00D82F26">
        <w:rPr>
          <w:sz w:val="20"/>
          <w:szCs w:val="20"/>
        </w:rPr>
        <w:t>*Sublimation point in atmosphere of CO</w:t>
      </w:r>
      <w:r w:rsidRPr="00D82F26">
        <w:rPr>
          <w:sz w:val="20"/>
          <w:szCs w:val="20"/>
          <w:vertAlign w:val="subscript"/>
        </w:rPr>
        <w:t>2</w:t>
      </w:r>
      <w:r w:rsidRPr="00D82F26">
        <w:rPr>
          <w:sz w:val="20"/>
          <w:szCs w:val="20"/>
        </w:rPr>
        <w:t xml:space="preserve">. Triple point is </w:t>
      </w:r>
      <w:hyperlink r:id="rId75" w:history="1">
        <w:r w:rsidRPr="00D82F26">
          <w:rPr>
            <w:rStyle w:val="Hyperlink"/>
            <w:color w:val="auto"/>
            <w:sz w:val="20"/>
            <w:szCs w:val="20"/>
            <w:u w:val="none"/>
          </w:rPr>
          <w:t>-56.2°C@5.2</w:t>
        </w:r>
      </w:hyperlink>
      <w:r w:rsidRPr="00D82F26">
        <w:rPr>
          <w:rStyle w:val="Hyperlink"/>
          <w:color w:val="auto"/>
          <w:sz w:val="20"/>
          <w:szCs w:val="20"/>
          <w:u w:val="none"/>
        </w:rPr>
        <w:t xml:space="preserve"> </w:t>
      </w:r>
      <w:r w:rsidRPr="00D82F26">
        <w:rPr>
          <w:sz w:val="20"/>
          <w:szCs w:val="20"/>
        </w:rPr>
        <w:t>bar.</w:t>
      </w:r>
    </w:p>
    <w:p w:rsidR="006A6FCA" w:rsidRPr="00166609" w:rsidRDefault="006A6FCA" w:rsidP="006A6FCA">
      <w:pPr>
        <w:spacing w:after="120"/>
        <w:ind w:left="1440"/>
        <w:rPr>
          <w:sz w:val="18"/>
          <w:szCs w:val="20"/>
          <w:lang w:eastAsia="en-GB"/>
        </w:rPr>
      </w:pPr>
      <w:r w:rsidRPr="00166609">
        <w:rPr>
          <w:rFonts w:eastAsia="Arial"/>
          <w:bCs/>
          <w:sz w:val="20"/>
          <w:szCs w:val="22"/>
          <w:lang w:eastAsia="en-GB"/>
        </w:rPr>
        <w:t xml:space="preserve">** Even if it classified of lower-toxicity </w:t>
      </w:r>
      <w:r>
        <w:rPr>
          <w:rFonts w:eastAsia="Arial"/>
          <w:bCs/>
          <w:sz w:val="20"/>
          <w:szCs w:val="22"/>
          <w:lang w:eastAsia="en-GB"/>
        </w:rPr>
        <w:t>(</w:t>
      </w:r>
      <w:r w:rsidRPr="00166609">
        <w:rPr>
          <w:rFonts w:eastAsia="Arial"/>
          <w:bCs/>
          <w:sz w:val="20"/>
          <w:szCs w:val="22"/>
          <w:lang w:eastAsia="en-GB"/>
        </w:rPr>
        <w:t>A1</w:t>
      </w:r>
      <w:r>
        <w:rPr>
          <w:rFonts w:eastAsia="Arial"/>
          <w:bCs/>
          <w:sz w:val="20"/>
          <w:szCs w:val="22"/>
          <w:lang w:eastAsia="en-GB"/>
        </w:rPr>
        <w:t>)</w:t>
      </w:r>
      <w:r w:rsidRPr="00166609">
        <w:rPr>
          <w:rFonts w:eastAsia="Arial"/>
          <w:bCs/>
          <w:sz w:val="20"/>
          <w:szCs w:val="22"/>
          <w:lang w:eastAsia="en-GB"/>
        </w:rPr>
        <w:t xml:space="preserve"> it can present human health hazards when operating in enclosed spaces such as vessels: such risks have to be prevented with specific safety measures (it should be noted though, that these risks are present also with HCFC,HFC, HFO and HCFO refrigerants).</w:t>
      </w:r>
    </w:p>
    <w:p w:rsidR="0012364B" w:rsidRDefault="0012364B" w:rsidP="0012364B">
      <w:pPr>
        <w:numPr>
          <w:ilvl w:val="0"/>
          <w:numId w:val="59"/>
        </w:numPr>
        <w:spacing w:after="120"/>
        <w:rPr>
          <w:szCs w:val="22"/>
          <w:lang w:eastAsia="en-GB"/>
        </w:rPr>
      </w:pPr>
      <w:r>
        <w:rPr>
          <w:szCs w:val="22"/>
          <w:lang w:eastAsia="en-GB"/>
        </w:rPr>
        <w:t>If the entire vessel is approaching the end of its operating life and is going to be retired soon, then no refrigeration plant upgrade is worthwhile. Before going to the scrapyard, proper recover of remaining refrigerant is the most important operation to be scheduled for the refrigeration plant.</w:t>
      </w:r>
    </w:p>
    <w:p w:rsidR="0012364B" w:rsidRDefault="0012364B" w:rsidP="0012364B">
      <w:pPr>
        <w:numPr>
          <w:ilvl w:val="0"/>
          <w:numId w:val="59"/>
        </w:numPr>
        <w:spacing w:after="120"/>
        <w:rPr>
          <w:szCs w:val="22"/>
          <w:lang w:eastAsia="en-GB"/>
        </w:rPr>
      </w:pPr>
      <w:r>
        <w:rPr>
          <w:szCs w:val="22"/>
          <w:lang w:eastAsia="en-GB"/>
        </w:rPr>
        <w:t xml:space="preserve">If the ship has a long life ahead but the refrigeration plant needs a major overhaul, then the change of refrigerant is a reasonable operation to be implemented. The new refrigerant has to be chosen with care. Change of refrigerant may involve a complete refurbishment of the refrigeration plant: converting an halocarbon plant to ammonia, for example, will require disposing of all copper-nickel equipment and substitution with steel (often with stainless steel because of sea water). </w:t>
      </w:r>
    </w:p>
    <w:p w:rsidR="00146B22" w:rsidRDefault="00146B22" w:rsidP="00DF1E74">
      <w:pPr>
        <w:numPr>
          <w:ilvl w:val="0"/>
          <w:numId w:val="59"/>
        </w:numPr>
        <w:spacing w:after="120"/>
        <w:rPr>
          <w:szCs w:val="22"/>
          <w:lang w:eastAsia="en-GB"/>
        </w:rPr>
      </w:pPr>
      <w:r>
        <w:rPr>
          <w:szCs w:val="22"/>
          <w:lang w:eastAsia="en-GB"/>
        </w:rPr>
        <w:t xml:space="preserve">If the HCFC-22 equipped refrigeration plant is relatively young (less than 10-15 years) then retrofitting it with a drop-in solution can be the right option. Rapidly evolving situations in the development of low-GWP HFO/HFC blends makes </w:t>
      </w:r>
      <w:r w:rsidR="00D40B4C">
        <w:rPr>
          <w:szCs w:val="22"/>
          <w:lang w:eastAsia="en-GB"/>
        </w:rPr>
        <w:t xml:space="preserve">it </w:t>
      </w:r>
      <w:r>
        <w:rPr>
          <w:szCs w:val="22"/>
          <w:lang w:eastAsia="en-GB"/>
        </w:rPr>
        <w:t xml:space="preserve">highly probable that in a few years a satisfactory solution also for this specific problem </w:t>
      </w:r>
      <w:r w:rsidR="00D40B4C">
        <w:rPr>
          <w:szCs w:val="22"/>
          <w:lang w:eastAsia="en-GB"/>
        </w:rPr>
        <w:t xml:space="preserve">could </w:t>
      </w:r>
      <w:r>
        <w:rPr>
          <w:szCs w:val="22"/>
          <w:lang w:eastAsia="en-GB"/>
        </w:rPr>
        <w:t>be at hand.</w:t>
      </w:r>
    </w:p>
    <w:p w:rsidR="00146B22" w:rsidRPr="003A33EC" w:rsidRDefault="00146B22" w:rsidP="00DF1E74">
      <w:pPr>
        <w:numPr>
          <w:ilvl w:val="0"/>
          <w:numId w:val="59"/>
        </w:numPr>
        <w:spacing w:after="120"/>
        <w:rPr>
          <w:szCs w:val="22"/>
          <w:lang w:eastAsia="en-GB"/>
        </w:rPr>
      </w:pPr>
      <w:r>
        <w:rPr>
          <w:szCs w:val="22"/>
          <w:lang w:eastAsia="en-GB"/>
        </w:rPr>
        <w:t>For new ships, several options are available nowadays: all of them are environmentally benign in terms of ozone depletion and climate change and are also economically feasible.</w:t>
      </w:r>
    </w:p>
    <w:p w:rsidR="00146B22" w:rsidRPr="003A33EC" w:rsidRDefault="00146B22" w:rsidP="00067930">
      <w:pPr>
        <w:spacing w:after="240"/>
        <w:rPr>
          <w:szCs w:val="22"/>
          <w:lang w:eastAsia="en-GB"/>
        </w:rPr>
      </w:pPr>
      <w:r w:rsidRPr="003A33EC">
        <w:rPr>
          <w:szCs w:val="22"/>
          <w:lang w:eastAsia="en-GB"/>
        </w:rPr>
        <w:t>In the</w:t>
      </w:r>
      <w:r>
        <w:rPr>
          <w:szCs w:val="22"/>
          <w:lang w:eastAsia="en-GB"/>
        </w:rPr>
        <w:t xml:space="preserve"> following a number of feasible options for the main applications of fishing vessels refrigeration will be described and critically analysed. At the end of the paragraph a </w:t>
      </w:r>
      <w:r w:rsidR="0012364B">
        <w:rPr>
          <w:szCs w:val="22"/>
          <w:lang w:eastAsia="en-GB"/>
        </w:rPr>
        <w:t xml:space="preserve">summary </w:t>
      </w:r>
      <w:r w:rsidRPr="00054A12">
        <w:rPr>
          <w:szCs w:val="22"/>
          <w:lang w:eastAsia="en-GB"/>
        </w:rPr>
        <w:t xml:space="preserve">table </w:t>
      </w:r>
      <w:r w:rsidR="00202ABD">
        <w:rPr>
          <w:szCs w:val="22"/>
          <w:lang w:eastAsia="en-GB"/>
        </w:rPr>
        <w:t>(</w:t>
      </w:r>
      <w:r w:rsidRPr="00054A12">
        <w:rPr>
          <w:szCs w:val="22"/>
          <w:lang w:eastAsia="en-GB"/>
        </w:rPr>
        <w:t>FRDC, 2013</w:t>
      </w:r>
      <w:r w:rsidR="00202ABD">
        <w:rPr>
          <w:szCs w:val="22"/>
          <w:lang w:eastAsia="en-GB"/>
        </w:rPr>
        <w:t>)</w:t>
      </w:r>
      <w:r w:rsidRPr="00054A12">
        <w:rPr>
          <w:szCs w:val="22"/>
          <w:lang w:eastAsia="en-GB"/>
        </w:rPr>
        <w:t xml:space="preserve"> </w:t>
      </w:r>
      <w:r w:rsidR="0012364B">
        <w:rPr>
          <w:szCs w:val="22"/>
          <w:lang w:eastAsia="en-GB"/>
        </w:rPr>
        <w:t xml:space="preserve">is provided to </w:t>
      </w:r>
      <w:r w:rsidRPr="00054A12">
        <w:rPr>
          <w:szCs w:val="22"/>
          <w:lang w:eastAsia="en-GB"/>
        </w:rPr>
        <w:t xml:space="preserve">allow </w:t>
      </w:r>
      <w:r w:rsidR="0012364B">
        <w:rPr>
          <w:szCs w:val="22"/>
          <w:lang w:eastAsia="en-GB"/>
        </w:rPr>
        <w:t xml:space="preserve">for </w:t>
      </w:r>
      <w:r w:rsidRPr="00054A12">
        <w:rPr>
          <w:szCs w:val="22"/>
          <w:lang w:eastAsia="en-GB"/>
        </w:rPr>
        <w:t>comparison</w:t>
      </w:r>
      <w:r w:rsidR="0012364B">
        <w:rPr>
          <w:szCs w:val="22"/>
          <w:lang w:eastAsia="en-GB"/>
        </w:rPr>
        <w:t>s</w:t>
      </w:r>
      <w:r w:rsidRPr="00054A12">
        <w:rPr>
          <w:szCs w:val="22"/>
          <w:lang w:eastAsia="en-GB"/>
        </w:rPr>
        <w:t>. A s</w:t>
      </w:r>
      <w:r w:rsidR="0012364B">
        <w:rPr>
          <w:szCs w:val="22"/>
          <w:lang w:eastAsia="en-GB"/>
        </w:rPr>
        <w:t xml:space="preserve">eparate </w:t>
      </w:r>
      <w:r w:rsidRPr="00054A12">
        <w:rPr>
          <w:szCs w:val="22"/>
          <w:lang w:eastAsia="en-GB"/>
        </w:rPr>
        <w:t>paragraph will then be devoted to</w:t>
      </w:r>
      <w:r>
        <w:rPr>
          <w:szCs w:val="22"/>
          <w:lang w:eastAsia="en-GB"/>
        </w:rPr>
        <w:t xml:space="preserve"> Ultra-low temperature applications, which require particular technology.</w:t>
      </w:r>
    </w:p>
    <w:p w:rsidR="00146B22" w:rsidRDefault="00146B22" w:rsidP="00146B22">
      <w:pPr>
        <w:pStyle w:val="Heading3"/>
        <w:spacing w:line="240" w:lineRule="auto"/>
      </w:pPr>
      <w:bookmarkStart w:id="154" w:name="_Toc451252567"/>
      <w:bookmarkStart w:id="155" w:name="_Toc452653426"/>
      <w:r>
        <w:lastRenderedPageBreak/>
        <w:t>A</w:t>
      </w:r>
      <w:r w:rsidR="00DB5D06">
        <w:t>2</w:t>
      </w:r>
      <w:r>
        <w:t>.4.2</w:t>
      </w:r>
      <w:r>
        <w:tab/>
        <w:t>Option 1 – Non-halocarbon refrigerants</w:t>
      </w:r>
      <w:bookmarkEnd w:id="154"/>
      <w:r w:rsidR="00D40B4C">
        <w:t xml:space="preserve"> (R-717 and R-744)</w:t>
      </w:r>
      <w:bookmarkEnd w:id="155"/>
    </w:p>
    <w:p w:rsidR="00146B22" w:rsidRDefault="00146B22" w:rsidP="00146B22">
      <w:pPr>
        <w:autoSpaceDE w:val="0"/>
        <w:autoSpaceDN w:val="0"/>
        <w:adjustRightInd w:val="0"/>
        <w:spacing w:after="120"/>
        <w:rPr>
          <w:rFonts w:eastAsia="Arial"/>
          <w:bCs/>
          <w:szCs w:val="22"/>
          <w:lang w:eastAsia="en-GB"/>
        </w:rPr>
      </w:pPr>
      <w:r>
        <w:rPr>
          <w:rFonts w:eastAsia="Arial"/>
          <w:bCs/>
          <w:szCs w:val="22"/>
          <w:lang w:eastAsia="en-GB"/>
        </w:rPr>
        <w:t>Ammonia (R-717) and carbon dioxide (R-744) (</w:t>
      </w:r>
      <w:r>
        <w:rPr>
          <w:szCs w:val="22"/>
          <w:lang w:eastAsia="en-GB"/>
        </w:rPr>
        <w:t>so called “natural” refrigerants</w:t>
      </w:r>
      <w:r>
        <w:rPr>
          <w:rFonts w:eastAsia="Arial"/>
          <w:bCs/>
          <w:szCs w:val="22"/>
          <w:lang w:eastAsia="en-GB"/>
        </w:rPr>
        <w:t>) are fit, from a thermodynamic point of view, for the refrigeration plants aboard fishing vessels.</w:t>
      </w:r>
    </w:p>
    <w:p w:rsidR="00146B22" w:rsidRDefault="00146B22" w:rsidP="002C627E">
      <w:pPr>
        <w:spacing w:after="120"/>
        <w:rPr>
          <w:rFonts w:eastAsia="Arial"/>
          <w:bCs/>
          <w:szCs w:val="22"/>
          <w:lang w:eastAsia="en-GB"/>
        </w:rPr>
      </w:pPr>
      <w:r>
        <w:rPr>
          <w:rFonts w:eastAsia="Arial"/>
          <w:bCs/>
          <w:szCs w:val="22"/>
          <w:lang w:eastAsia="en-GB"/>
        </w:rPr>
        <w:t xml:space="preserve">Ammonia is </w:t>
      </w:r>
      <w:r w:rsidR="00FD6BC8">
        <w:rPr>
          <w:rFonts w:eastAsia="Arial"/>
          <w:bCs/>
          <w:szCs w:val="22"/>
          <w:lang w:eastAsia="en-GB"/>
        </w:rPr>
        <w:t xml:space="preserve">lower </w:t>
      </w:r>
      <w:r>
        <w:rPr>
          <w:rFonts w:eastAsia="Arial"/>
          <w:bCs/>
          <w:szCs w:val="22"/>
          <w:lang w:eastAsia="en-GB"/>
        </w:rPr>
        <w:t xml:space="preserve">flammable and toxic: its application requires considerable safety requirements (sensors and alarms, ammonia concentration meters, extensive signage, training, breathing apparatus </w:t>
      </w:r>
      <w:r w:rsidRPr="00CA37D6">
        <w:rPr>
          <w:rFonts w:eastAsia="Arial"/>
          <w:bCs/>
          <w:szCs w:val="22"/>
          <w:lang w:eastAsia="en-GB"/>
        </w:rPr>
        <w:t xml:space="preserve">etc.) and the systems must be run by skilled personnel. Carbon dioxide is non-flammable, colourless, odourless and tasteless. Even if it classified of lower-toxicity (safety classification A1 according to ASHRAE standard 34) it can present human health hazards when operating in enclosed spaces such as vessels: such risks have to be prevented with specific safety measures (it should be noted though, </w:t>
      </w:r>
      <w:r w:rsidRPr="00C935B8">
        <w:rPr>
          <w:rFonts w:eastAsia="Arial"/>
          <w:bCs/>
          <w:szCs w:val="22"/>
          <w:lang w:eastAsia="en-GB"/>
        </w:rPr>
        <w:t xml:space="preserve">that these risks are present also with HCFC and HFC refrigerants) </w:t>
      </w:r>
      <w:r w:rsidR="00202ABD">
        <w:rPr>
          <w:rFonts w:eastAsia="Arial"/>
          <w:bCs/>
          <w:szCs w:val="22"/>
          <w:lang w:eastAsia="en-GB"/>
        </w:rPr>
        <w:t>(</w:t>
      </w:r>
      <w:r w:rsidRPr="00C935B8">
        <w:rPr>
          <w:rFonts w:eastAsia="Arial"/>
          <w:bCs/>
          <w:szCs w:val="22"/>
          <w:lang w:eastAsia="en-GB"/>
        </w:rPr>
        <w:t>FRDC, 2013</w:t>
      </w:r>
      <w:r w:rsidR="00202ABD">
        <w:rPr>
          <w:rFonts w:eastAsia="Arial"/>
          <w:bCs/>
          <w:szCs w:val="22"/>
          <w:lang w:eastAsia="en-GB"/>
        </w:rPr>
        <w:t>)</w:t>
      </w:r>
      <w:r w:rsidRPr="00C935B8">
        <w:rPr>
          <w:rFonts w:eastAsia="Arial"/>
          <w:bCs/>
          <w:szCs w:val="22"/>
          <w:lang w:eastAsia="en-GB"/>
        </w:rPr>
        <w:t>.</w:t>
      </w:r>
    </w:p>
    <w:p w:rsidR="00146B22" w:rsidRPr="003A33EC" w:rsidRDefault="00146B22" w:rsidP="00146B22">
      <w:pPr>
        <w:autoSpaceDE w:val="0"/>
        <w:autoSpaceDN w:val="0"/>
        <w:adjustRightInd w:val="0"/>
        <w:spacing w:after="120"/>
        <w:rPr>
          <w:rFonts w:eastAsia="Arial"/>
          <w:bCs/>
          <w:szCs w:val="22"/>
          <w:lang w:eastAsia="en-GB"/>
        </w:rPr>
      </w:pPr>
      <w:r>
        <w:rPr>
          <w:rFonts w:eastAsia="Arial"/>
          <w:bCs/>
          <w:szCs w:val="22"/>
          <w:lang w:eastAsia="en-GB"/>
        </w:rPr>
        <w:t>When the safety issues can be properly addressed and skilled personnel is available, then a R-717 plant can be the right choice, from both technical and economical points of view.</w:t>
      </w:r>
    </w:p>
    <w:p w:rsidR="00146B22" w:rsidRPr="00C935B8" w:rsidRDefault="00146B22" w:rsidP="00146B22">
      <w:pPr>
        <w:spacing w:after="120"/>
        <w:rPr>
          <w:szCs w:val="22"/>
          <w:lang w:eastAsia="en-GB"/>
        </w:rPr>
      </w:pPr>
      <w:r>
        <w:rPr>
          <w:szCs w:val="22"/>
          <w:lang w:eastAsia="en-GB"/>
        </w:rPr>
        <w:t>When safety may become an issue</w:t>
      </w:r>
      <w:r w:rsidR="0012364B">
        <w:rPr>
          <w:szCs w:val="22"/>
          <w:lang w:eastAsia="en-GB"/>
        </w:rPr>
        <w:t xml:space="preserve">, </w:t>
      </w:r>
      <w:r>
        <w:rPr>
          <w:szCs w:val="22"/>
          <w:lang w:eastAsia="en-GB"/>
        </w:rPr>
        <w:t xml:space="preserve">the main priority is to reduce the mass of R-717 charged in the plant: confining ammonia only in one machine room, for example, can reduce the safety requirements considerably. This can be done by adopting a </w:t>
      </w:r>
      <w:r w:rsidRPr="003A33EC">
        <w:rPr>
          <w:szCs w:val="22"/>
          <w:lang w:eastAsia="en-GB"/>
        </w:rPr>
        <w:t>NH</w:t>
      </w:r>
      <w:r w:rsidRPr="003A33EC">
        <w:rPr>
          <w:szCs w:val="22"/>
          <w:vertAlign w:val="subscript"/>
          <w:lang w:eastAsia="en-GB"/>
        </w:rPr>
        <w:t>3/</w:t>
      </w:r>
      <w:r w:rsidRPr="003A33EC">
        <w:rPr>
          <w:szCs w:val="22"/>
          <w:lang w:eastAsia="en-GB"/>
        </w:rPr>
        <w:t>CO</w:t>
      </w:r>
      <w:r w:rsidRPr="003A33EC">
        <w:rPr>
          <w:szCs w:val="22"/>
          <w:vertAlign w:val="subscript"/>
          <w:lang w:eastAsia="en-GB"/>
        </w:rPr>
        <w:t>2</w:t>
      </w:r>
      <w:r>
        <w:rPr>
          <w:szCs w:val="22"/>
          <w:lang w:eastAsia="en-GB"/>
        </w:rPr>
        <w:t xml:space="preserve"> (R-717/R-744) cascade system: ammonia is the high-temperature fluid and carbon dioxide is the low-temperature fluid. The high-temperature side of the plant is confined to the machine room while the </w:t>
      </w:r>
      <w:r w:rsidRPr="00C935B8">
        <w:rPr>
          <w:szCs w:val="22"/>
          <w:lang w:eastAsia="en-GB"/>
        </w:rPr>
        <w:t xml:space="preserve">low temperature fluid is sent to all the plant terminals throughout the ship </w:t>
      </w:r>
      <w:r w:rsidR="00202ABD">
        <w:rPr>
          <w:szCs w:val="22"/>
          <w:lang w:eastAsia="en-GB"/>
        </w:rPr>
        <w:t>(</w:t>
      </w:r>
      <w:r w:rsidRPr="00C935B8">
        <w:rPr>
          <w:szCs w:val="22"/>
          <w:lang w:eastAsia="en-GB"/>
        </w:rPr>
        <w:t>Kawamura, 2015</w:t>
      </w:r>
      <w:r w:rsidR="00202ABD">
        <w:rPr>
          <w:szCs w:val="22"/>
          <w:lang w:eastAsia="en-GB"/>
        </w:rPr>
        <w:t>)</w:t>
      </w:r>
      <w:r w:rsidRPr="00C935B8">
        <w:rPr>
          <w:szCs w:val="22"/>
          <w:lang w:eastAsia="en-GB"/>
        </w:rPr>
        <w:t>.</w:t>
      </w:r>
    </w:p>
    <w:p w:rsidR="00146B22" w:rsidRPr="00C935B8" w:rsidRDefault="00146B22" w:rsidP="00146B22">
      <w:pPr>
        <w:spacing w:after="120"/>
        <w:rPr>
          <w:szCs w:val="22"/>
          <w:lang w:eastAsia="en-GB"/>
        </w:rPr>
      </w:pPr>
      <w:r w:rsidRPr="00C935B8">
        <w:rPr>
          <w:szCs w:val="22"/>
          <w:lang w:eastAsia="en-GB"/>
        </w:rPr>
        <w:t>One of the first NH</w:t>
      </w:r>
      <w:r w:rsidRPr="00C935B8">
        <w:rPr>
          <w:szCs w:val="22"/>
          <w:vertAlign w:val="subscript"/>
          <w:lang w:eastAsia="en-GB"/>
        </w:rPr>
        <w:t>3/</w:t>
      </w:r>
      <w:r w:rsidRPr="00C935B8">
        <w:rPr>
          <w:szCs w:val="22"/>
          <w:lang w:eastAsia="en-GB"/>
        </w:rPr>
        <w:t>CO</w:t>
      </w:r>
      <w:r w:rsidRPr="00C935B8">
        <w:rPr>
          <w:szCs w:val="22"/>
          <w:vertAlign w:val="subscript"/>
          <w:lang w:eastAsia="en-GB"/>
        </w:rPr>
        <w:t>2</w:t>
      </w:r>
      <w:r w:rsidRPr="00C935B8">
        <w:rPr>
          <w:szCs w:val="22"/>
          <w:lang w:eastAsia="en-GB"/>
        </w:rPr>
        <w:t xml:space="preserve"> (R-717/R-744) cascade systems was presented in 2003 at the IIAR conference </w:t>
      </w:r>
      <w:r w:rsidR="00202ABD">
        <w:rPr>
          <w:szCs w:val="22"/>
          <w:lang w:eastAsia="en-GB"/>
        </w:rPr>
        <w:t>(</w:t>
      </w:r>
      <w:r w:rsidRPr="00C935B8">
        <w:rPr>
          <w:szCs w:val="22"/>
          <w:lang w:eastAsia="en-GB"/>
        </w:rPr>
        <w:t>Nielsen, 2003</w:t>
      </w:r>
      <w:r w:rsidR="00202ABD">
        <w:rPr>
          <w:szCs w:val="22"/>
          <w:lang w:eastAsia="en-GB"/>
        </w:rPr>
        <w:t>)</w:t>
      </w:r>
      <w:r w:rsidRPr="00C935B8">
        <w:rPr>
          <w:szCs w:val="22"/>
          <w:lang w:eastAsia="en-GB"/>
        </w:rPr>
        <w:t>. The paper describes a 75m long purse seiner with a freezing capacity of 210 tons of fish per day. The system consists of 11 vertical plate freezers, a vertical flake ice freezer, and CO</w:t>
      </w:r>
      <w:r w:rsidRPr="00C935B8">
        <w:rPr>
          <w:szCs w:val="22"/>
          <w:vertAlign w:val="subscript"/>
          <w:lang w:eastAsia="en-GB"/>
        </w:rPr>
        <w:t>2</w:t>
      </w:r>
      <w:r w:rsidRPr="00C935B8">
        <w:rPr>
          <w:szCs w:val="22"/>
          <w:lang w:eastAsia="en-GB"/>
        </w:rPr>
        <w:t xml:space="preserve"> air-coolers for 3 cargo holds.</w:t>
      </w:r>
    </w:p>
    <w:p w:rsidR="00146B22" w:rsidRPr="003A33EC" w:rsidRDefault="00146B22" w:rsidP="00146B22">
      <w:pPr>
        <w:spacing w:after="120"/>
        <w:rPr>
          <w:szCs w:val="22"/>
          <w:lang w:eastAsia="en-GB"/>
        </w:rPr>
      </w:pPr>
      <w:r w:rsidRPr="00C935B8">
        <w:rPr>
          <w:szCs w:val="22"/>
          <w:lang w:eastAsia="en-GB"/>
        </w:rPr>
        <w:t xml:space="preserve">A cascade system is very efficient for low temperature operations (down to -48°C). It is also cost effective, as compressors and piping are small if compared to those needed for other fluids. Moreover, sending to the plant terminals R-744 instead than R-717 reduces the risks due to flammability and toxicity </w:t>
      </w:r>
      <w:r w:rsidR="00202ABD">
        <w:rPr>
          <w:szCs w:val="22"/>
          <w:lang w:eastAsia="en-GB"/>
        </w:rPr>
        <w:t>(de Larminat</w:t>
      </w:r>
      <w:r w:rsidRPr="00C935B8">
        <w:rPr>
          <w:szCs w:val="22"/>
          <w:lang w:eastAsia="en-GB"/>
        </w:rPr>
        <w:t>, 2015</w:t>
      </w:r>
      <w:r w:rsidR="00202ABD">
        <w:rPr>
          <w:szCs w:val="22"/>
          <w:lang w:eastAsia="en-GB"/>
        </w:rPr>
        <w:t>)</w:t>
      </w:r>
      <w:r w:rsidR="00661226">
        <w:rPr>
          <w:szCs w:val="22"/>
          <w:lang w:eastAsia="en-GB"/>
        </w:rPr>
        <w:t>.</w:t>
      </w:r>
    </w:p>
    <w:p w:rsidR="00146B22" w:rsidRPr="003A33EC" w:rsidRDefault="00146B22" w:rsidP="00146B22">
      <w:pPr>
        <w:spacing w:after="120"/>
        <w:rPr>
          <w:rFonts w:eastAsia="Arial"/>
          <w:bCs/>
          <w:szCs w:val="22"/>
          <w:lang w:eastAsia="en-GB"/>
        </w:rPr>
      </w:pPr>
      <w:r>
        <w:rPr>
          <w:szCs w:val="22"/>
          <w:lang w:eastAsia="en-GB"/>
        </w:rPr>
        <w:t>Also on board ships</w:t>
      </w:r>
      <w:r w:rsidR="0012364B">
        <w:rPr>
          <w:szCs w:val="22"/>
          <w:lang w:eastAsia="en-GB"/>
        </w:rPr>
        <w:t>,</w:t>
      </w:r>
      <w:r>
        <w:rPr>
          <w:szCs w:val="22"/>
          <w:lang w:eastAsia="en-GB"/>
        </w:rPr>
        <w:t xml:space="preserve"> the use of R-744 as the sole refrigerant can be a technically feasible option. </w:t>
      </w:r>
      <w:r w:rsidRPr="00C935B8">
        <w:rPr>
          <w:szCs w:val="22"/>
          <w:lang w:eastAsia="en-GB"/>
        </w:rPr>
        <w:t xml:space="preserve">Recently a trawler using only R-744 as a working fluid has been built and put into operation </w:t>
      </w:r>
      <w:r w:rsidR="00202ABD">
        <w:rPr>
          <w:szCs w:val="22"/>
          <w:lang w:eastAsia="en-GB"/>
        </w:rPr>
        <w:t>(</w:t>
      </w:r>
      <w:r w:rsidRPr="00C935B8">
        <w:rPr>
          <w:szCs w:val="22"/>
          <w:lang w:eastAsia="en-GB"/>
        </w:rPr>
        <w:t>Hafner, 2016</w:t>
      </w:r>
      <w:r w:rsidR="00202ABD">
        <w:rPr>
          <w:szCs w:val="22"/>
          <w:lang w:eastAsia="en-GB"/>
        </w:rPr>
        <w:t>)</w:t>
      </w:r>
      <w:r w:rsidRPr="00C935B8">
        <w:rPr>
          <w:szCs w:val="22"/>
          <w:lang w:eastAsia="en-GB"/>
        </w:rPr>
        <w:t xml:space="preserve">. </w:t>
      </w:r>
      <w:r w:rsidRPr="00C935B8">
        <w:rPr>
          <w:rFonts w:eastAsia="Arial"/>
          <w:bCs/>
          <w:szCs w:val="22"/>
          <w:lang w:eastAsia="en-GB"/>
        </w:rPr>
        <w:t>Systems</w:t>
      </w:r>
      <w:r w:rsidRPr="003A33EC">
        <w:rPr>
          <w:rFonts w:eastAsia="Arial"/>
          <w:bCs/>
          <w:szCs w:val="22"/>
          <w:lang w:eastAsia="en-GB"/>
        </w:rPr>
        <w:t xml:space="preserve"> using only R-744 as</w:t>
      </w:r>
      <w:r>
        <w:rPr>
          <w:rFonts w:eastAsia="Arial"/>
          <w:bCs/>
          <w:szCs w:val="22"/>
          <w:lang w:eastAsia="en-GB"/>
        </w:rPr>
        <w:t xml:space="preserve"> a</w:t>
      </w:r>
      <w:r w:rsidRPr="003A33EC">
        <w:rPr>
          <w:rFonts w:eastAsia="Arial"/>
          <w:bCs/>
          <w:szCs w:val="22"/>
          <w:lang w:eastAsia="en-GB"/>
        </w:rPr>
        <w:t xml:space="preserve"> refrigerant could potentially have a challenge to maintain the high energy efficiency when sea water temperatures are high. It is however expected that ejector-assisted systems can be utilised to overcome this challenge, in the same way as the ongoing development within commercial refrigeration systems using R-744 as refrigerant. Some such systems are already installed and under testing.</w:t>
      </w:r>
    </w:p>
    <w:p w:rsidR="00146B22" w:rsidRDefault="00146B22" w:rsidP="00146B22">
      <w:pPr>
        <w:spacing w:after="120"/>
        <w:rPr>
          <w:szCs w:val="22"/>
          <w:lang w:eastAsia="en-GB"/>
        </w:rPr>
      </w:pPr>
      <w:r w:rsidRPr="003A33EC">
        <w:rPr>
          <w:szCs w:val="22"/>
          <w:lang w:eastAsia="en-GB"/>
        </w:rPr>
        <w:t>One of the advantages of the lower evaporation temperature (</w:t>
      </w:r>
      <w:r>
        <w:rPr>
          <w:szCs w:val="22"/>
          <w:lang w:eastAsia="en-GB"/>
        </w:rPr>
        <w:t>-48°C</w:t>
      </w:r>
      <w:r w:rsidRPr="003A33EC">
        <w:rPr>
          <w:szCs w:val="22"/>
          <w:lang w:eastAsia="en-GB"/>
        </w:rPr>
        <w:t xml:space="preserve">) obtained with </w:t>
      </w:r>
      <w:r w:rsidR="00DC6912">
        <w:rPr>
          <w:szCs w:val="22"/>
          <w:lang w:eastAsia="en-GB"/>
        </w:rPr>
        <w:t>R-744</w:t>
      </w:r>
      <w:r w:rsidRPr="003A33EC">
        <w:rPr>
          <w:szCs w:val="22"/>
          <w:lang w:eastAsia="en-GB"/>
        </w:rPr>
        <w:t xml:space="preserve"> as </w:t>
      </w:r>
      <w:r>
        <w:rPr>
          <w:szCs w:val="22"/>
          <w:lang w:eastAsia="en-GB"/>
        </w:rPr>
        <w:t xml:space="preserve">a </w:t>
      </w:r>
      <w:r w:rsidRPr="003A33EC">
        <w:rPr>
          <w:szCs w:val="22"/>
          <w:lang w:eastAsia="en-GB"/>
        </w:rPr>
        <w:t xml:space="preserve">refrigerant is a quicker freezing time and less damage </w:t>
      </w:r>
      <w:r>
        <w:rPr>
          <w:szCs w:val="22"/>
          <w:lang w:eastAsia="en-GB"/>
        </w:rPr>
        <w:t>to</w:t>
      </w:r>
      <w:r w:rsidRPr="003A33EC">
        <w:rPr>
          <w:szCs w:val="22"/>
          <w:lang w:eastAsia="en-GB"/>
        </w:rPr>
        <w:t xml:space="preserve"> the fish at the surface due to softening of the surface during defrosting of the plate freezers. These benefits </w:t>
      </w:r>
      <w:r>
        <w:rPr>
          <w:szCs w:val="22"/>
          <w:lang w:eastAsia="en-GB"/>
        </w:rPr>
        <w:t xml:space="preserve">in fish quality </w:t>
      </w:r>
      <w:r w:rsidRPr="003A33EC">
        <w:rPr>
          <w:szCs w:val="22"/>
          <w:lang w:eastAsia="en-GB"/>
        </w:rPr>
        <w:t>are very much appreciated and therefore many ships are now converted to this solution especially in Europe, but now also in the US.</w:t>
      </w:r>
    </w:p>
    <w:p w:rsidR="00146B22" w:rsidRDefault="00146B22" w:rsidP="00146B22">
      <w:pPr>
        <w:spacing w:after="120"/>
        <w:rPr>
          <w:szCs w:val="22"/>
          <w:lang w:eastAsia="en-GB"/>
        </w:rPr>
      </w:pPr>
      <w:r>
        <w:rPr>
          <w:szCs w:val="22"/>
          <w:lang w:eastAsia="en-GB"/>
        </w:rPr>
        <w:t>Hydrocarbons are also technically feasible refrigerants for on-board refrigeration, but the strict safety concerns and large refrigerant charge required make the practical application of flammable refrigerants aboard vessels unlikely.</w:t>
      </w:r>
    </w:p>
    <w:p w:rsidR="00D40B4C" w:rsidRPr="00C935B8" w:rsidRDefault="00D40B4C" w:rsidP="00D40B4C">
      <w:pPr>
        <w:spacing w:after="120"/>
        <w:rPr>
          <w:szCs w:val="22"/>
          <w:lang w:eastAsia="en-GB"/>
        </w:rPr>
      </w:pPr>
      <w:r>
        <w:rPr>
          <w:szCs w:val="22"/>
          <w:lang w:eastAsia="en-GB"/>
        </w:rPr>
        <w:t xml:space="preserve">The use of R-717 or R-744 in one of the three plant options analysed here is viable also in terms of overall climate change impact: when considering both the direct and indirect GHG emissions involved with the use of such plant alternatives (through TEWI, Total Equivalent Warming Impact) the assessment gives an impact reduction with respect to the existing </w:t>
      </w:r>
      <w:r w:rsidRPr="00C935B8">
        <w:rPr>
          <w:szCs w:val="22"/>
          <w:lang w:eastAsia="en-GB"/>
        </w:rPr>
        <w:t xml:space="preserve">situation </w:t>
      </w:r>
      <w:r>
        <w:rPr>
          <w:szCs w:val="22"/>
          <w:lang w:eastAsia="en-GB"/>
        </w:rPr>
        <w:t>(</w:t>
      </w:r>
      <w:r w:rsidRPr="00C935B8">
        <w:rPr>
          <w:szCs w:val="22"/>
          <w:lang w:eastAsia="en-GB"/>
        </w:rPr>
        <w:t>FRDC, 2013</w:t>
      </w:r>
      <w:r>
        <w:rPr>
          <w:szCs w:val="22"/>
          <w:lang w:eastAsia="en-GB"/>
        </w:rPr>
        <w:t>)</w:t>
      </w:r>
      <w:r w:rsidRPr="00C935B8">
        <w:rPr>
          <w:szCs w:val="22"/>
          <w:lang w:eastAsia="en-GB"/>
        </w:rPr>
        <w:t>.</w:t>
      </w:r>
    </w:p>
    <w:p w:rsidR="00D40B4C" w:rsidRPr="00C935B8" w:rsidRDefault="00D40B4C" w:rsidP="00D40B4C">
      <w:pPr>
        <w:spacing w:after="120"/>
        <w:rPr>
          <w:szCs w:val="22"/>
          <w:lang w:eastAsia="en-GB"/>
        </w:rPr>
      </w:pPr>
      <w:r w:rsidRPr="00C935B8">
        <w:rPr>
          <w:szCs w:val="22"/>
          <w:lang w:eastAsia="en-GB"/>
        </w:rPr>
        <w:lastRenderedPageBreak/>
        <w:t xml:space="preserve">In any case, </w:t>
      </w:r>
      <w:r>
        <w:rPr>
          <w:szCs w:val="22"/>
          <w:lang w:eastAsia="en-GB"/>
        </w:rPr>
        <w:t>R-717</w:t>
      </w:r>
      <w:r w:rsidRPr="00C935B8">
        <w:rPr>
          <w:szCs w:val="22"/>
          <w:lang w:eastAsia="en-GB"/>
        </w:rPr>
        <w:t xml:space="preserve"> cannot be considered a viable solution for the replacement or retrofit of refrigeration plants on existing vessels</w:t>
      </w:r>
      <w:r>
        <w:rPr>
          <w:szCs w:val="22"/>
          <w:lang w:eastAsia="en-GB"/>
        </w:rPr>
        <w:t xml:space="preserve"> without rebuilding</w:t>
      </w:r>
      <w:r w:rsidRPr="00C935B8">
        <w:rPr>
          <w:szCs w:val="22"/>
          <w:lang w:eastAsia="en-GB"/>
        </w:rPr>
        <w:t xml:space="preserve">. On the contrary, </w:t>
      </w:r>
      <w:r>
        <w:rPr>
          <w:szCs w:val="22"/>
          <w:lang w:eastAsia="en-GB"/>
        </w:rPr>
        <w:t>its</w:t>
      </w:r>
      <w:r w:rsidRPr="00C935B8">
        <w:rPr>
          <w:szCs w:val="22"/>
          <w:lang w:eastAsia="en-GB"/>
        </w:rPr>
        <w:t xml:space="preserve"> choice is probably the right one when new ships are involved.</w:t>
      </w:r>
      <w:r>
        <w:rPr>
          <w:szCs w:val="22"/>
          <w:lang w:eastAsia="en-GB"/>
        </w:rPr>
        <w:t xml:space="preserve"> R-744, on the contrary, can be a viable solutions both for new ships and for plant refurbishment in existing vessels, as some recent experiences have demonstrated (Hafner, 2016)</w:t>
      </w:r>
    </w:p>
    <w:p w:rsidR="00D40B4C" w:rsidRDefault="00D40B4C" w:rsidP="00D40B4C">
      <w:pPr>
        <w:spacing w:after="240"/>
        <w:rPr>
          <w:szCs w:val="22"/>
          <w:lang w:eastAsia="en-GB"/>
        </w:rPr>
      </w:pPr>
      <w:r w:rsidRPr="00C935B8">
        <w:rPr>
          <w:szCs w:val="22"/>
          <w:lang w:eastAsia="en-GB"/>
        </w:rPr>
        <w:t xml:space="preserve">Just for sake of reference, the cost of an on-board R-717/R-744 cascade plant is estimated at 500k AUS$ for a new ship whose cost is 2.5M AUS$ or more </w:t>
      </w:r>
      <w:r>
        <w:rPr>
          <w:szCs w:val="22"/>
          <w:lang w:eastAsia="en-GB"/>
        </w:rPr>
        <w:t>(</w:t>
      </w:r>
      <w:r w:rsidRPr="00C935B8">
        <w:rPr>
          <w:szCs w:val="22"/>
          <w:lang w:eastAsia="en-GB"/>
        </w:rPr>
        <w:t>FRDC, 2013</w:t>
      </w:r>
      <w:r>
        <w:rPr>
          <w:szCs w:val="22"/>
          <w:lang w:eastAsia="en-GB"/>
        </w:rPr>
        <w:t>)</w:t>
      </w:r>
      <w:r w:rsidRPr="00C935B8">
        <w:rPr>
          <w:szCs w:val="22"/>
          <w:lang w:eastAsia="en-GB"/>
        </w:rPr>
        <w:t>.</w:t>
      </w:r>
      <w:r>
        <w:rPr>
          <w:szCs w:val="22"/>
          <w:lang w:eastAsia="en-GB"/>
        </w:rPr>
        <w:t xml:space="preserve"> In the markets where these plants are sold, the cost is on the same level as for HFC plants.</w:t>
      </w:r>
    </w:p>
    <w:p w:rsidR="00D40B4C" w:rsidRDefault="00D40B4C" w:rsidP="00D40B4C">
      <w:pPr>
        <w:rPr>
          <w:szCs w:val="22"/>
          <w:lang w:eastAsia="en-GB"/>
        </w:rPr>
      </w:pPr>
      <w:r>
        <w:rPr>
          <w:szCs w:val="22"/>
          <w:lang w:eastAsia="en-GB"/>
        </w:rPr>
        <w:br w:type="page"/>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D40B4C" w:rsidRPr="00A729D3" w:rsidTr="00791040">
        <w:trPr>
          <w:trHeight w:val="227"/>
          <w:jc w:val="center"/>
        </w:trPr>
        <w:tc>
          <w:tcPr>
            <w:tcW w:w="2155" w:type="dxa"/>
            <w:vMerge w:val="restart"/>
            <w:tcBorders>
              <w:top w:val="single" w:sz="18" w:space="0" w:color="auto"/>
              <w:bottom w:val="single" w:sz="4" w:space="0" w:color="auto"/>
            </w:tcBorders>
            <w:shd w:val="clear" w:color="auto" w:fill="auto"/>
          </w:tcPr>
          <w:p w:rsidR="00D40B4C" w:rsidRPr="00A729D3" w:rsidRDefault="00D40B4C"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Financial considerations</w:t>
            </w:r>
          </w:p>
        </w:tc>
        <w:tc>
          <w:tcPr>
            <w:tcW w:w="2098" w:type="dxa"/>
            <w:vMerge w:val="restart"/>
            <w:tcBorders>
              <w:top w:val="single" w:sz="18" w:space="0" w:color="auto"/>
              <w:bottom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Technology risk</w:t>
            </w:r>
          </w:p>
          <w:p w:rsidR="00D40B4C" w:rsidRPr="00A729D3" w:rsidRDefault="00D40B4C" w:rsidP="00791040">
            <w:pPr>
              <w:jc w:val="center"/>
              <w:rPr>
                <w:szCs w:val="22"/>
                <w:lang w:eastAsia="en-GB"/>
              </w:rPr>
            </w:pPr>
            <w:r w:rsidRPr="00A729D3">
              <w:rPr>
                <w:szCs w:val="22"/>
                <w:lang w:eastAsia="en-GB"/>
              </w:rPr>
              <w:t>(Complexity and performance)</w:t>
            </w:r>
          </w:p>
        </w:tc>
        <w:tc>
          <w:tcPr>
            <w:tcW w:w="1985" w:type="dxa"/>
            <w:vMerge w:val="restart"/>
            <w:tcBorders>
              <w:top w:val="single" w:sz="18" w:space="0" w:color="auto"/>
              <w:bottom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Regulatory and environmental risk</w:t>
            </w:r>
          </w:p>
          <w:p w:rsidR="00D40B4C" w:rsidRPr="00A729D3" w:rsidRDefault="00D40B4C" w:rsidP="00791040">
            <w:pPr>
              <w:jc w:val="center"/>
              <w:rPr>
                <w:szCs w:val="22"/>
                <w:lang w:eastAsia="en-GB"/>
              </w:rPr>
            </w:pPr>
            <w:r w:rsidRPr="00A729D3">
              <w:rPr>
                <w:szCs w:val="22"/>
                <w:lang w:eastAsia="en-GB"/>
              </w:rPr>
              <w:t>(10 years horizon)</w:t>
            </w:r>
          </w:p>
        </w:tc>
      </w:tr>
      <w:tr w:rsidR="00D40B4C" w:rsidRPr="00A729D3" w:rsidTr="00791040">
        <w:trPr>
          <w:trHeight w:val="517"/>
          <w:jc w:val="center"/>
        </w:trPr>
        <w:tc>
          <w:tcPr>
            <w:tcW w:w="2155" w:type="dxa"/>
            <w:vMerge/>
            <w:tcBorders>
              <w:top w:val="single" w:sz="4" w:space="0" w:color="auto"/>
              <w:bottom w:val="single" w:sz="18" w:space="0" w:color="auto"/>
            </w:tcBorders>
            <w:shd w:val="clear" w:color="auto" w:fill="auto"/>
          </w:tcPr>
          <w:p w:rsidR="00D40B4C" w:rsidRPr="00A729D3" w:rsidRDefault="00D40B4C" w:rsidP="00791040">
            <w:pPr>
              <w:rPr>
                <w:szCs w:val="22"/>
                <w:lang w:eastAsia="en-GB"/>
              </w:rPr>
            </w:pPr>
          </w:p>
        </w:tc>
        <w:tc>
          <w:tcPr>
            <w:tcW w:w="1418" w:type="dxa"/>
            <w:tcBorders>
              <w:top w:val="single" w:sz="4" w:space="0" w:color="auto"/>
              <w:bottom w:val="single" w:sz="18"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18"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Operating</w:t>
            </w:r>
          </w:p>
          <w:p w:rsidR="00D40B4C" w:rsidRPr="00A729D3" w:rsidRDefault="00D40B4C" w:rsidP="00791040">
            <w:pPr>
              <w:jc w:val="center"/>
              <w:rPr>
                <w:szCs w:val="22"/>
                <w:lang w:eastAsia="en-GB"/>
              </w:rPr>
            </w:pPr>
            <w:r w:rsidRPr="00A729D3">
              <w:rPr>
                <w:szCs w:val="22"/>
                <w:lang w:eastAsia="en-GB"/>
              </w:rPr>
              <w:t>expenses</w:t>
            </w:r>
          </w:p>
        </w:tc>
        <w:tc>
          <w:tcPr>
            <w:tcW w:w="2098" w:type="dxa"/>
            <w:vMerge/>
            <w:tcBorders>
              <w:top w:val="single" w:sz="4" w:space="0" w:color="auto"/>
              <w:bottom w:val="single" w:sz="18" w:space="0" w:color="auto"/>
            </w:tcBorders>
            <w:shd w:val="clear" w:color="auto" w:fill="auto"/>
          </w:tcPr>
          <w:p w:rsidR="00D40B4C" w:rsidRPr="00A729D3" w:rsidRDefault="00D40B4C" w:rsidP="00791040">
            <w:pPr>
              <w:jc w:val="center"/>
              <w:rPr>
                <w:szCs w:val="22"/>
                <w:lang w:eastAsia="en-GB"/>
              </w:rPr>
            </w:pPr>
          </w:p>
        </w:tc>
        <w:tc>
          <w:tcPr>
            <w:tcW w:w="1985" w:type="dxa"/>
            <w:vMerge/>
            <w:tcBorders>
              <w:top w:val="single" w:sz="4" w:space="0" w:color="auto"/>
              <w:bottom w:val="single" w:sz="18" w:space="0" w:color="auto"/>
            </w:tcBorders>
            <w:shd w:val="clear" w:color="auto" w:fill="auto"/>
          </w:tcPr>
          <w:p w:rsidR="00D40B4C" w:rsidRPr="00A729D3" w:rsidRDefault="00D40B4C" w:rsidP="00791040">
            <w:pPr>
              <w:jc w:val="center"/>
              <w:rPr>
                <w:szCs w:val="22"/>
                <w:lang w:eastAsia="en-GB"/>
              </w:rPr>
            </w:pPr>
          </w:p>
        </w:tc>
      </w:tr>
      <w:tr w:rsidR="00D40B4C" w:rsidRPr="00A729D3" w:rsidTr="00791040">
        <w:trPr>
          <w:jc w:val="center"/>
        </w:trPr>
        <w:tc>
          <w:tcPr>
            <w:tcW w:w="9074" w:type="dxa"/>
            <w:gridSpan w:val="5"/>
            <w:tcBorders>
              <w:top w:val="single" w:sz="4" w:space="0" w:color="auto"/>
              <w:bottom w:val="single" w:sz="4" w:space="0" w:color="auto"/>
            </w:tcBorders>
            <w:shd w:val="clear" w:color="auto" w:fill="auto"/>
          </w:tcPr>
          <w:p w:rsidR="00D40B4C" w:rsidRDefault="00D40B4C" w:rsidP="00791040">
            <w:pPr>
              <w:rPr>
                <w:szCs w:val="22"/>
                <w:lang w:eastAsia="en-GB"/>
              </w:rPr>
            </w:pPr>
            <w:r w:rsidRPr="00A729D3">
              <w:rPr>
                <w:b/>
                <w:i/>
                <w:szCs w:val="22"/>
                <w:lang w:eastAsia="en-GB"/>
              </w:rPr>
              <w:t>Option 1 – N</w:t>
            </w:r>
            <w:r>
              <w:rPr>
                <w:b/>
                <w:i/>
                <w:szCs w:val="22"/>
                <w:lang w:eastAsia="en-GB"/>
              </w:rPr>
              <w:t>on-halocarbon</w:t>
            </w:r>
            <w:r w:rsidRPr="00A729D3">
              <w:rPr>
                <w:b/>
                <w:i/>
                <w:szCs w:val="22"/>
                <w:lang w:eastAsia="en-GB"/>
              </w:rPr>
              <w:t xml:space="preserve"> refrigerants</w:t>
            </w:r>
          </w:p>
        </w:tc>
      </w:tr>
      <w:tr w:rsidR="00D40B4C" w:rsidRPr="00A729D3" w:rsidTr="00791040">
        <w:trPr>
          <w:jc w:val="center"/>
        </w:trPr>
        <w:tc>
          <w:tcPr>
            <w:tcW w:w="2155" w:type="dxa"/>
            <w:vMerge w:val="restart"/>
            <w:tcBorders>
              <w:top w:val="single" w:sz="4" w:space="0" w:color="auto"/>
            </w:tcBorders>
            <w:shd w:val="clear" w:color="auto" w:fill="auto"/>
          </w:tcPr>
          <w:p w:rsidR="00D40B4C" w:rsidRPr="00A729D3" w:rsidRDefault="00D40B4C" w:rsidP="00791040">
            <w:pPr>
              <w:rPr>
                <w:szCs w:val="22"/>
                <w:lang w:eastAsia="en-GB"/>
              </w:rPr>
            </w:pPr>
            <w:r w:rsidRPr="00A729D3">
              <w:rPr>
                <w:szCs w:val="22"/>
                <w:lang w:eastAsia="en-GB"/>
              </w:rPr>
              <w:t>R-717</w:t>
            </w:r>
            <w:r>
              <w:rPr>
                <w:szCs w:val="22"/>
                <w:lang w:eastAsia="en-GB"/>
              </w:rPr>
              <w:t xml:space="preserve"> </w:t>
            </w:r>
            <w:r w:rsidRPr="00A729D3">
              <w:rPr>
                <w:szCs w:val="22"/>
                <w:lang w:eastAsia="en-GB"/>
              </w:rPr>
              <w:t>system</w:t>
            </w:r>
          </w:p>
        </w:tc>
        <w:tc>
          <w:tcPr>
            <w:tcW w:w="1418" w:type="dxa"/>
            <w:tcBorders>
              <w:top w:val="single" w:sz="4" w:space="0" w:color="auto"/>
              <w:bottom w:val="single" w:sz="4" w:space="0" w:color="auto"/>
            </w:tcBorders>
            <w:shd w:val="clear" w:color="auto" w:fill="FFC000"/>
            <w:vAlign w:val="center"/>
          </w:tcPr>
          <w:p w:rsidR="00D40B4C" w:rsidRPr="00A729D3" w:rsidRDefault="00D40B4C" w:rsidP="00791040">
            <w:pPr>
              <w:jc w:val="center"/>
              <w:rPr>
                <w:szCs w:val="22"/>
                <w:lang w:eastAsia="en-GB"/>
              </w:rPr>
            </w:pPr>
            <w:r>
              <w:rPr>
                <w:szCs w:val="22"/>
                <w:lang w:eastAsia="en-GB"/>
              </w:rPr>
              <w:t>Medium</w:t>
            </w:r>
          </w:p>
        </w:tc>
        <w:tc>
          <w:tcPr>
            <w:tcW w:w="1418" w:type="dxa"/>
            <w:tcBorders>
              <w:top w:val="single" w:sz="4" w:space="0" w:color="auto"/>
              <w:bottom w:val="single" w:sz="4" w:space="0" w:color="auto"/>
            </w:tcBorders>
            <w:shd w:val="clear" w:color="auto" w:fill="FFC000"/>
            <w:vAlign w:val="center"/>
          </w:tcPr>
          <w:p w:rsidR="00D40B4C" w:rsidRPr="00A729D3" w:rsidRDefault="00D40B4C" w:rsidP="00791040">
            <w:pPr>
              <w:jc w:val="center"/>
              <w:rPr>
                <w:szCs w:val="22"/>
                <w:lang w:eastAsia="en-GB"/>
              </w:rPr>
            </w:pPr>
            <w:r>
              <w:rPr>
                <w:szCs w:val="22"/>
                <w:lang w:eastAsia="en-GB"/>
              </w:rPr>
              <w:t>Medium</w:t>
            </w:r>
          </w:p>
        </w:tc>
        <w:tc>
          <w:tcPr>
            <w:tcW w:w="2098" w:type="dxa"/>
            <w:tcBorders>
              <w:top w:val="single" w:sz="4" w:space="0" w:color="auto"/>
              <w:bottom w:val="single" w:sz="4" w:space="0" w:color="auto"/>
            </w:tcBorders>
            <w:shd w:val="clear" w:color="auto" w:fill="FF0000"/>
            <w:vAlign w:val="center"/>
          </w:tcPr>
          <w:p w:rsidR="00D40B4C" w:rsidRPr="00A729D3" w:rsidRDefault="00D40B4C" w:rsidP="00791040">
            <w:pPr>
              <w:jc w:val="center"/>
              <w:rPr>
                <w:szCs w:val="22"/>
                <w:lang w:eastAsia="en-GB"/>
              </w:rPr>
            </w:pPr>
            <w:r>
              <w:rPr>
                <w:szCs w:val="22"/>
                <w:lang w:eastAsia="en-GB"/>
              </w:rPr>
              <w:t>High</w:t>
            </w:r>
          </w:p>
        </w:tc>
        <w:tc>
          <w:tcPr>
            <w:tcW w:w="1985" w:type="dxa"/>
            <w:tcBorders>
              <w:top w:val="single" w:sz="4" w:space="0" w:color="auto"/>
              <w:bottom w:val="single" w:sz="4" w:space="0" w:color="auto"/>
            </w:tcBorders>
            <w:shd w:val="clear" w:color="auto" w:fill="92D050"/>
            <w:vAlign w:val="center"/>
          </w:tcPr>
          <w:p w:rsidR="00D40B4C" w:rsidRPr="00A729D3" w:rsidRDefault="00D40B4C" w:rsidP="00791040">
            <w:pPr>
              <w:jc w:val="center"/>
              <w:rPr>
                <w:szCs w:val="22"/>
                <w:lang w:eastAsia="en-GB"/>
              </w:rPr>
            </w:pPr>
            <w:r>
              <w:rPr>
                <w:szCs w:val="22"/>
                <w:lang w:eastAsia="en-GB"/>
              </w:rPr>
              <w:t>Nil</w:t>
            </w:r>
          </w:p>
        </w:tc>
      </w:tr>
      <w:tr w:rsidR="00D40B4C" w:rsidRPr="00A729D3" w:rsidTr="00791040">
        <w:trPr>
          <w:jc w:val="center"/>
        </w:trPr>
        <w:tc>
          <w:tcPr>
            <w:tcW w:w="2155" w:type="dxa"/>
            <w:vMerge/>
            <w:tcBorders>
              <w:bottom w:val="single" w:sz="18" w:space="0" w:color="auto"/>
            </w:tcBorders>
            <w:shd w:val="clear" w:color="auto" w:fill="auto"/>
          </w:tcPr>
          <w:p w:rsidR="00D40B4C" w:rsidRPr="00A729D3" w:rsidRDefault="00D40B4C" w:rsidP="00791040">
            <w:pPr>
              <w:rPr>
                <w:szCs w:val="22"/>
                <w:lang w:eastAsia="en-GB"/>
              </w:rPr>
            </w:pPr>
          </w:p>
        </w:tc>
        <w:tc>
          <w:tcPr>
            <w:tcW w:w="1418" w:type="dxa"/>
            <w:tcBorders>
              <w:bottom w:val="single" w:sz="18" w:space="0" w:color="auto"/>
            </w:tcBorders>
            <w:shd w:val="clear" w:color="auto" w:fill="auto"/>
          </w:tcPr>
          <w:p w:rsidR="00D40B4C" w:rsidRPr="00A729D3" w:rsidRDefault="00D40B4C" w:rsidP="00791040">
            <w:pPr>
              <w:rPr>
                <w:szCs w:val="22"/>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bottom w:val="single" w:sz="18" w:space="0" w:color="auto"/>
            </w:tcBorders>
            <w:shd w:val="clear" w:color="auto" w:fill="auto"/>
            <w:vAlign w:val="center"/>
          </w:tcPr>
          <w:p w:rsidR="00D40B4C" w:rsidRDefault="00D40B4C" w:rsidP="00791040">
            <w:pPr>
              <w:rPr>
                <w:szCs w:val="22"/>
                <w:lang w:eastAsia="en-GB"/>
              </w:rPr>
            </w:pPr>
            <w:r w:rsidRPr="00A729D3">
              <w:rPr>
                <w:szCs w:val="22"/>
                <w:lang w:eastAsia="en-GB"/>
              </w:rPr>
              <w:t>Poten</w:t>
            </w:r>
            <w:r>
              <w:rPr>
                <w:szCs w:val="22"/>
                <w:lang w:eastAsia="en-GB"/>
              </w:rPr>
              <w:t>tial improvement in efficiency.</w:t>
            </w:r>
          </w:p>
          <w:p w:rsidR="00D40B4C" w:rsidRPr="00A729D3" w:rsidRDefault="00D40B4C" w:rsidP="00791040">
            <w:pPr>
              <w:rPr>
                <w:szCs w:val="22"/>
                <w:lang w:eastAsia="en-GB"/>
              </w:rPr>
            </w:pPr>
            <w:r>
              <w:rPr>
                <w:szCs w:val="22"/>
                <w:lang w:eastAsia="en-GB"/>
              </w:rPr>
              <w:t>Require competence, but inexpensive refrigerant</w:t>
            </w:r>
          </w:p>
        </w:tc>
        <w:tc>
          <w:tcPr>
            <w:tcW w:w="2098" w:type="dxa"/>
            <w:tcBorders>
              <w:bottom w:val="single" w:sz="18" w:space="0" w:color="auto"/>
            </w:tcBorders>
            <w:shd w:val="clear" w:color="auto" w:fill="auto"/>
          </w:tcPr>
          <w:p w:rsidR="00D40B4C" w:rsidRPr="00A729D3" w:rsidRDefault="00D40B4C" w:rsidP="00791040">
            <w:pPr>
              <w:rPr>
                <w:szCs w:val="22"/>
                <w:lang w:eastAsia="en-GB"/>
              </w:rPr>
            </w:pPr>
            <w:r w:rsidRPr="00A729D3">
              <w:rPr>
                <w:szCs w:val="22"/>
                <w:lang w:eastAsia="en-GB"/>
              </w:rPr>
              <w:t>Highly complex relative to on-board capabilities.</w:t>
            </w:r>
          </w:p>
          <w:p w:rsidR="00D40B4C" w:rsidRPr="00A729D3" w:rsidRDefault="00D40B4C" w:rsidP="00FD6BC8">
            <w:pPr>
              <w:rPr>
                <w:szCs w:val="22"/>
                <w:lang w:eastAsia="en-GB"/>
              </w:rPr>
            </w:pPr>
            <w:r w:rsidRPr="00A729D3">
              <w:rPr>
                <w:szCs w:val="22"/>
                <w:lang w:eastAsia="en-GB"/>
              </w:rPr>
              <w:t>Additional safety risk of ammonia (</w:t>
            </w:r>
            <w:r w:rsidR="00FD6BC8">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bottom w:val="single" w:sz="18" w:space="0" w:color="auto"/>
            </w:tcBorders>
            <w:shd w:val="clear" w:color="auto" w:fill="auto"/>
          </w:tcPr>
          <w:p w:rsidR="00D40B4C" w:rsidRPr="00A729D3" w:rsidRDefault="00D40B4C" w:rsidP="00791040">
            <w:pPr>
              <w:rPr>
                <w:szCs w:val="22"/>
                <w:lang w:eastAsia="en-GB"/>
              </w:rPr>
            </w:pPr>
            <w:r w:rsidRPr="00A729D3">
              <w:rPr>
                <w:szCs w:val="22"/>
                <w:lang w:eastAsia="en-GB"/>
              </w:rPr>
              <w:t>No environmental policy risk throughout expected life of equipment.</w:t>
            </w:r>
          </w:p>
        </w:tc>
      </w:tr>
      <w:tr w:rsidR="00D40B4C" w:rsidRPr="00A729D3" w:rsidTr="00791040">
        <w:trPr>
          <w:jc w:val="center"/>
        </w:trPr>
        <w:tc>
          <w:tcPr>
            <w:tcW w:w="2155" w:type="dxa"/>
            <w:vMerge w:val="restart"/>
            <w:tcBorders>
              <w:top w:val="single" w:sz="18" w:space="0" w:color="auto"/>
            </w:tcBorders>
            <w:shd w:val="clear" w:color="auto" w:fill="auto"/>
          </w:tcPr>
          <w:p w:rsidR="00D40B4C" w:rsidRPr="00A729D3" w:rsidRDefault="00D40B4C" w:rsidP="00791040">
            <w:pPr>
              <w:rPr>
                <w:szCs w:val="22"/>
                <w:lang w:eastAsia="en-GB"/>
              </w:rPr>
            </w:pPr>
            <w:r w:rsidRPr="00A729D3">
              <w:rPr>
                <w:szCs w:val="22"/>
                <w:lang w:eastAsia="en-GB"/>
              </w:rPr>
              <w:t>R-717/R-744 cascade system</w:t>
            </w:r>
          </w:p>
          <w:p w:rsidR="00D40B4C" w:rsidRPr="00A729D3" w:rsidRDefault="00D40B4C" w:rsidP="00791040">
            <w:pPr>
              <w:rPr>
                <w:szCs w:val="22"/>
                <w:lang w:eastAsia="en-GB"/>
              </w:rPr>
            </w:pPr>
          </w:p>
        </w:tc>
        <w:tc>
          <w:tcPr>
            <w:tcW w:w="1418" w:type="dxa"/>
            <w:tcBorders>
              <w:top w:val="single" w:sz="18" w:space="0" w:color="auto"/>
              <w:bottom w:val="single" w:sz="4" w:space="0" w:color="auto"/>
            </w:tcBorders>
            <w:shd w:val="clear" w:color="auto" w:fill="FFC000"/>
            <w:vAlign w:val="center"/>
          </w:tcPr>
          <w:p w:rsidR="00D40B4C" w:rsidRPr="00D66824" w:rsidRDefault="00D40B4C" w:rsidP="00791040">
            <w:pPr>
              <w:jc w:val="center"/>
              <w:rPr>
                <w:szCs w:val="22"/>
                <w:shd w:val="clear" w:color="auto" w:fill="FFC000"/>
                <w:lang w:eastAsia="en-GB"/>
              </w:rPr>
            </w:pPr>
            <w:r>
              <w:rPr>
                <w:szCs w:val="22"/>
                <w:lang w:eastAsia="en-GB"/>
              </w:rPr>
              <w:t>Medium</w:t>
            </w:r>
          </w:p>
        </w:tc>
        <w:tc>
          <w:tcPr>
            <w:tcW w:w="1418" w:type="dxa"/>
            <w:tcBorders>
              <w:top w:val="single" w:sz="18" w:space="0" w:color="auto"/>
              <w:bottom w:val="single" w:sz="4" w:space="0" w:color="auto"/>
            </w:tcBorders>
            <w:shd w:val="clear" w:color="auto" w:fill="FFC000"/>
            <w:vAlign w:val="center"/>
          </w:tcPr>
          <w:p w:rsidR="00D40B4C" w:rsidRDefault="00D40B4C" w:rsidP="00791040">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0000"/>
            <w:vAlign w:val="center"/>
          </w:tcPr>
          <w:p w:rsidR="00D40B4C" w:rsidRDefault="00D40B4C" w:rsidP="00791040">
            <w:pPr>
              <w:jc w:val="center"/>
              <w:rPr>
                <w:szCs w:val="22"/>
                <w:lang w:eastAsia="en-GB"/>
              </w:rPr>
            </w:pPr>
            <w:r>
              <w:rPr>
                <w:szCs w:val="22"/>
                <w:lang w:eastAsia="en-GB"/>
              </w:rPr>
              <w:t>High</w:t>
            </w:r>
          </w:p>
        </w:tc>
        <w:tc>
          <w:tcPr>
            <w:tcW w:w="1985" w:type="dxa"/>
            <w:tcBorders>
              <w:top w:val="single" w:sz="18" w:space="0" w:color="auto"/>
              <w:bottom w:val="single" w:sz="4" w:space="0" w:color="auto"/>
            </w:tcBorders>
            <w:shd w:val="clear" w:color="auto" w:fill="92D050"/>
            <w:vAlign w:val="center"/>
          </w:tcPr>
          <w:p w:rsidR="00D40B4C" w:rsidRDefault="00D40B4C" w:rsidP="00791040">
            <w:pPr>
              <w:jc w:val="center"/>
              <w:rPr>
                <w:szCs w:val="22"/>
                <w:lang w:eastAsia="en-GB"/>
              </w:rPr>
            </w:pPr>
            <w:r>
              <w:rPr>
                <w:szCs w:val="22"/>
                <w:lang w:eastAsia="en-GB"/>
              </w:rPr>
              <w:t>Nil</w:t>
            </w:r>
          </w:p>
        </w:tc>
      </w:tr>
      <w:tr w:rsidR="00D40B4C" w:rsidRPr="00A729D3" w:rsidTr="00791040">
        <w:trPr>
          <w:jc w:val="center"/>
        </w:trPr>
        <w:tc>
          <w:tcPr>
            <w:tcW w:w="2155" w:type="dxa"/>
            <w:vMerge/>
            <w:shd w:val="clear" w:color="auto" w:fill="auto"/>
          </w:tcPr>
          <w:p w:rsidR="00D40B4C" w:rsidRDefault="00D40B4C" w:rsidP="00791040">
            <w:pPr>
              <w:rPr>
                <w:szCs w:val="22"/>
                <w:lang w:eastAsia="en-GB"/>
              </w:rPr>
            </w:pPr>
          </w:p>
        </w:tc>
        <w:tc>
          <w:tcPr>
            <w:tcW w:w="1418" w:type="dxa"/>
            <w:tcBorders>
              <w:top w:val="single" w:sz="4" w:space="0" w:color="auto"/>
              <w:bottom w:val="single" w:sz="4" w:space="0" w:color="auto"/>
            </w:tcBorders>
            <w:shd w:val="clear" w:color="auto" w:fill="auto"/>
          </w:tcPr>
          <w:p w:rsidR="00D40B4C" w:rsidRPr="00D66824" w:rsidRDefault="00D40B4C" w:rsidP="00791040">
            <w:pPr>
              <w:rPr>
                <w:szCs w:val="22"/>
                <w:shd w:val="clear" w:color="auto" w:fill="FFC000"/>
                <w:lang w:eastAsia="en-GB"/>
              </w:rPr>
            </w:pPr>
            <w:r w:rsidRPr="00A729D3">
              <w:rPr>
                <w:szCs w:val="22"/>
                <w:lang w:eastAsia="en-GB"/>
              </w:rPr>
              <w:t>Requires new ship with separate machine room</w:t>
            </w:r>
            <w:r>
              <w:rPr>
                <w:szCs w:val="22"/>
                <w:lang w:eastAsia="en-GB"/>
              </w:rPr>
              <w:t xml:space="preserve"> or rebuilding</w:t>
            </w:r>
          </w:p>
        </w:tc>
        <w:tc>
          <w:tcPr>
            <w:tcW w:w="1418" w:type="dxa"/>
            <w:tcBorders>
              <w:top w:val="single" w:sz="4" w:space="0" w:color="auto"/>
              <w:bottom w:val="single" w:sz="4" w:space="0" w:color="auto"/>
            </w:tcBorders>
            <w:shd w:val="clear" w:color="auto" w:fill="auto"/>
          </w:tcPr>
          <w:p w:rsidR="00D40B4C" w:rsidRPr="00A729D3" w:rsidRDefault="00D40B4C" w:rsidP="00791040">
            <w:pPr>
              <w:rPr>
                <w:szCs w:val="22"/>
                <w:lang w:eastAsia="en-GB"/>
              </w:rPr>
            </w:pPr>
            <w:r w:rsidRPr="00A729D3">
              <w:rPr>
                <w:szCs w:val="22"/>
                <w:lang w:eastAsia="en-GB"/>
              </w:rPr>
              <w:t>Potential improvement in efficiency.</w:t>
            </w:r>
          </w:p>
          <w:p w:rsidR="00D40B4C" w:rsidRDefault="00D40B4C" w:rsidP="00791040">
            <w:pPr>
              <w:rPr>
                <w:szCs w:val="22"/>
                <w:lang w:eastAsia="en-GB"/>
              </w:rPr>
            </w:pPr>
            <w:r w:rsidRPr="00A729D3">
              <w:rPr>
                <w:szCs w:val="22"/>
                <w:lang w:eastAsia="en-GB"/>
              </w:rPr>
              <w:t>High maintenance cost due to complexity</w:t>
            </w:r>
            <w:r>
              <w:rPr>
                <w:szCs w:val="22"/>
                <w:lang w:eastAsia="en-GB"/>
              </w:rPr>
              <w:t>. Require competence, but inexpensive refrigerant</w:t>
            </w:r>
          </w:p>
        </w:tc>
        <w:tc>
          <w:tcPr>
            <w:tcW w:w="2098" w:type="dxa"/>
            <w:tcBorders>
              <w:top w:val="single" w:sz="4" w:space="0" w:color="auto"/>
              <w:bottom w:val="single" w:sz="4" w:space="0" w:color="auto"/>
            </w:tcBorders>
            <w:shd w:val="clear" w:color="auto" w:fill="auto"/>
          </w:tcPr>
          <w:p w:rsidR="00D40B4C" w:rsidRPr="00A729D3" w:rsidRDefault="00D40B4C" w:rsidP="00791040">
            <w:pPr>
              <w:rPr>
                <w:szCs w:val="22"/>
                <w:lang w:eastAsia="en-GB"/>
              </w:rPr>
            </w:pPr>
            <w:r w:rsidRPr="00A729D3">
              <w:rPr>
                <w:szCs w:val="22"/>
                <w:lang w:eastAsia="en-GB"/>
              </w:rPr>
              <w:t>Highly complex relative to on-board capabilities.</w:t>
            </w:r>
          </w:p>
          <w:p w:rsidR="00D40B4C" w:rsidRDefault="00D40B4C" w:rsidP="00FD6BC8">
            <w:pPr>
              <w:rPr>
                <w:szCs w:val="22"/>
                <w:lang w:eastAsia="en-GB"/>
              </w:rPr>
            </w:pPr>
            <w:r w:rsidRPr="00A729D3">
              <w:rPr>
                <w:szCs w:val="22"/>
                <w:lang w:eastAsia="en-GB"/>
              </w:rPr>
              <w:t>Additional safety risk of ammonia (</w:t>
            </w:r>
            <w:r w:rsidR="00FD6BC8">
              <w:rPr>
                <w:szCs w:val="22"/>
                <w:lang w:eastAsia="en-GB"/>
              </w:rPr>
              <w:t xml:space="preserve">lower </w:t>
            </w:r>
            <w:r w:rsidRPr="00A729D3">
              <w:rPr>
                <w:szCs w:val="22"/>
                <w:lang w:eastAsia="en-GB"/>
              </w:rPr>
              <w:t>flammable and toxic)</w:t>
            </w:r>
            <w:r>
              <w:rPr>
                <w:szCs w:val="22"/>
                <w:lang w:eastAsia="en-GB"/>
              </w:rPr>
              <w:t>, Training required in new markets</w:t>
            </w:r>
          </w:p>
        </w:tc>
        <w:tc>
          <w:tcPr>
            <w:tcW w:w="1985" w:type="dxa"/>
            <w:tcBorders>
              <w:top w:val="single" w:sz="4" w:space="0" w:color="auto"/>
              <w:bottom w:val="single" w:sz="4" w:space="0" w:color="auto"/>
            </w:tcBorders>
            <w:shd w:val="clear" w:color="auto" w:fill="auto"/>
          </w:tcPr>
          <w:p w:rsidR="00D40B4C" w:rsidRDefault="00D40B4C" w:rsidP="00791040">
            <w:pPr>
              <w:rPr>
                <w:szCs w:val="22"/>
                <w:lang w:eastAsia="en-GB"/>
              </w:rPr>
            </w:pPr>
            <w:r w:rsidRPr="00A729D3">
              <w:rPr>
                <w:szCs w:val="22"/>
                <w:lang w:eastAsia="en-GB"/>
              </w:rPr>
              <w:t>No environmental policy risk throughout expected life of equipment.</w:t>
            </w:r>
          </w:p>
        </w:tc>
      </w:tr>
      <w:tr w:rsidR="00D40B4C" w:rsidRPr="00A729D3" w:rsidTr="00791040">
        <w:trPr>
          <w:jc w:val="center"/>
        </w:trPr>
        <w:tc>
          <w:tcPr>
            <w:tcW w:w="2155" w:type="dxa"/>
            <w:vMerge w:val="restart"/>
            <w:tcBorders>
              <w:top w:val="single" w:sz="18" w:space="0" w:color="auto"/>
            </w:tcBorders>
          </w:tcPr>
          <w:p w:rsidR="00D40B4C" w:rsidRPr="00A729D3" w:rsidRDefault="00D40B4C" w:rsidP="00791040">
            <w:pPr>
              <w:rPr>
                <w:szCs w:val="22"/>
                <w:lang w:eastAsia="en-GB"/>
              </w:rPr>
            </w:pPr>
            <w:r w:rsidRPr="00A729D3">
              <w:rPr>
                <w:szCs w:val="22"/>
                <w:lang w:eastAsia="en-GB"/>
              </w:rPr>
              <w:t xml:space="preserve">R-744 </w:t>
            </w:r>
            <w:r>
              <w:rPr>
                <w:szCs w:val="22"/>
                <w:lang w:eastAsia="en-GB"/>
              </w:rPr>
              <w:t>system</w:t>
            </w:r>
          </w:p>
        </w:tc>
        <w:tc>
          <w:tcPr>
            <w:tcW w:w="1418" w:type="dxa"/>
            <w:tcBorders>
              <w:top w:val="single" w:sz="18" w:space="0" w:color="auto"/>
              <w:bottom w:val="single" w:sz="4" w:space="0" w:color="auto"/>
            </w:tcBorders>
            <w:shd w:val="clear" w:color="auto" w:fill="FFC000"/>
          </w:tcPr>
          <w:p w:rsidR="00D40B4C" w:rsidRPr="00A729D3" w:rsidRDefault="00D40B4C" w:rsidP="00791040">
            <w:pPr>
              <w:jc w:val="center"/>
              <w:rPr>
                <w:szCs w:val="22"/>
                <w:lang w:eastAsia="en-GB"/>
              </w:rPr>
            </w:pPr>
            <w:r w:rsidRPr="00D66824">
              <w:rPr>
                <w:szCs w:val="22"/>
                <w:shd w:val="clear" w:color="auto" w:fill="FFC000"/>
                <w:lang w:eastAsia="en-GB"/>
              </w:rPr>
              <w:t>Medium</w:t>
            </w:r>
          </w:p>
        </w:tc>
        <w:tc>
          <w:tcPr>
            <w:tcW w:w="1418" w:type="dxa"/>
            <w:tcBorders>
              <w:top w:val="single" w:sz="18" w:space="0" w:color="auto"/>
              <w:bottom w:val="single" w:sz="4" w:space="0" w:color="auto"/>
            </w:tcBorders>
            <w:shd w:val="clear" w:color="auto" w:fill="FFC000"/>
            <w:vAlign w:val="center"/>
          </w:tcPr>
          <w:p w:rsidR="00D40B4C" w:rsidRPr="00A729D3" w:rsidRDefault="00D40B4C" w:rsidP="00791040">
            <w:pPr>
              <w:jc w:val="center"/>
              <w:rPr>
                <w:szCs w:val="22"/>
                <w:lang w:eastAsia="en-GB"/>
              </w:rPr>
            </w:pPr>
            <w:r>
              <w:rPr>
                <w:szCs w:val="22"/>
                <w:lang w:eastAsia="en-GB"/>
              </w:rPr>
              <w:t>Medium</w:t>
            </w:r>
          </w:p>
        </w:tc>
        <w:tc>
          <w:tcPr>
            <w:tcW w:w="2098" w:type="dxa"/>
            <w:tcBorders>
              <w:top w:val="single" w:sz="18" w:space="0" w:color="auto"/>
              <w:bottom w:val="single" w:sz="4" w:space="0" w:color="auto"/>
            </w:tcBorders>
            <w:shd w:val="clear" w:color="auto" w:fill="FFC000"/>
          </w:tcPr>
          <w:p w:rsidR="00D40B4C" w:rsidRPr="00A729D3" w:rsidRDefault="00D40B4C" w:rsidP="00791040">
            <w:pPr>
              <w:jc w:val="center"/>
              <w:rPr>
                <w:szCs w:val="22"/>
                <w:lang w:eastAsia="en-GB"/>
              </w:rPr>
            </w:pPr>
            <w:r>
              <w:rPr>
                <w:szCs w:val="22"/>
                <w:lang w:eastAsia="en-GB"/>
              </w:rPr>
              <w:t>Medium</w:t>
            </w:r>
          </w:p>
        </w:tc>
        <w:tc>
          <w:tcPr>
            <w:tcW w:w="1985" w:type="dxa"/>
            <w:tcBorders>
              <w:top w:val="single" w:sz="18" w:space="0" w:color="auto"/>
              <w:bottom w:val="single" w:sz="4" w:space="0" w:color="auto"/>
            </w:tcBorders>
            <w:shd w:val="clear" w:color="auto" w:fill="92D050"/>
          </w:tcPr>
          <w:p w:rsidR="00D40B4C" w:rsidRPr="00A729D3" w:rsidRDefault="00D40B4C" w:rsidP="00791040">
            <w:pPr>
              <w:jc w:val="center"/>
              <w:rPr>
                <w:szCs w:val="22"/>
                <w:lang w:eastAsia="en-GB"/>
              </w:rPr>
            </w:pPr>
            <w:r>
              <w:rPr>
                <w:szCs w:val="22"/>
                <w:lang w:eastAsia="en-GB"/>
              </w:rPr>
              <w:t>Nil</w:t>
            </w:r>
          </w:p>
        </w:tc>
      </w:tr>
      <w:tr w:rsidR="00D40B4C" w:rsidRPr="00A729D3" w:rsidTr="00791040">
        <w:trPr>
          <w:jc w:val="center"/>
        </w:trPr>
        <w:tc>
          <w:tcPr>
            <w:tcW w:w="2155" w:type="dxa"/>
            <w:vMerge/>
            <w:shd w:val="clear" w:color="auto" w:fill="auto"/>
          </w:tcPr>
          <w:p w:rsidR="00D40B4C" w:rsidRPr="00A729D3" w:rsidRDefault="00D40B4C" w:rsidP="00791040">
            <w:pPr>
              <w:rPr>
                <w:szCs w:val="22"/>
                <w:lang w:eastAsia="en-GB"/>
              </w:rPr>
            </w:pPr>
          </w:p>
        </w:tc>
        <w:tc>
          <w:tcPr>
            <w:tcW w:w="1418" w:type="dxa"/>
            <w:tcBorders>
              <w:top w:val="single" w:sz="4" w:space="0" w:color="auto"/>
            </w:tcBorders>
            <w:shd w:val="clear" w:color="auto" w:fill="auto"/>
          </w:tcPr>
          <w:p w:rsidR="00D40B4C" w:rsidRPr="00A729D3" w:rsidRDefault="00D40B4C" w:rsidP="00791040">
            <w:pPr>
              <w:rPr>
                <w:szCs w:val="22"/>
                <w:lang w:eastAsia="en-GB"/>
              </w:rPr>
            </w:pPr>
            <w:r w:rsidRPr="00A729D3">
              <w:rPr>
                <w:szCs w:val="22"/>
                <w:lang w:eastAsia="en-GB"/>
              </w:rPr>
              <w:t xml:space="preserve">Suitable for existing vessels with </w:t>
            </w:r>
            <w:r>
              <w:rPr>
                <w:szCs w:val="22"/>
                <w:lang w:eastAsia="en-GB"/>
              </w:rPr>
              <w:t>replacement of system</w:t>
            </w:r>
          </w:p>
        </w:tc>
        <w:tc>
          <w:tcPr>
            <w:tcW w:w="1418" w:type="dxa"/>
            <w:tcBorders>
              <w:top w:val="single" w:sz="4" w:space="0" w:color="auto"/>
            </w:tcBorders>
            <w:shd w:val="clear" w:color="auto" w:fill="auto"/>
          </w:tcPr>
          <w:p w:rsidR="00D40B4C" w:rsidRPr="00A729D3" w:rsidRDefault="00D40B4C" w:rsidP="00791040">
            <w:pPr>
              <w:rPr>
                <w:szCs w:val="22"/>
                <w:lang w:eastAsia="en-GB"/>
              </w:rPr>
            </w:pPr>
            <w:r w:rsidRPr="00A729D3">
              <w:rPr>
                <w:szCs w:val="22"/>
                <w:lang w:eastAsia="en-GB"/>
              </w:rPr>
              <w:t>Potential improvement in efficiency</w:t>
            </w:r>
            <w:r>
              <w:rPr>
                <w:szCs w:val="22"/>
                <w:lang w:eastAsia="en-GB"/>
              </w:rPr>
              <w:t xml:space="preserve"> at the expenses of complexity. Require competence, but inexpensive refrigerant</w:t>
            </w:r>
          </w:p>
        </w:tc>
        <w:tc>
          <w:tcPr>
            <w:tcW w:w="2098" w:type="dxa"/>
            <w:tcBorders>
              <w:top w:val="single" w:sz="4" w:space="0" w:color="auto"/>
            </w:tcBorders>
            <w:shd w:val="clear" w:color="auto" w:fill="auto"/>
          </w:tcPr>
          <w:p w:rsidR="00D40B4C" w:rsidRPr="00A729D3" w:rsidRDefault="00D40B4C" w:rsidP="00791040">
            <w:pPr>
              <w:rPr>
                <w:szCs w:val="22"/>
                <w:lang w:eastAsia="en-GB"/>
              </w:rPr>
            </w:pPr>
            <w:r>
              <w:rPr>
                <w:szCs w:val="22"/>
                <w:lang w:eastAsia="en-GB"/>
              </w:rPr>
              <w:t>Some</w:t>
            </w:r>
            <w:r w:rsidRPr="00A729D3">
              <w:rPr>
                <w:szCs w:val="22"/>
                <w:lang w:eastAsia="en-GB"/>
              </w:rPr>
              <w:t xml:space="preserve"> complex</w:t>
            </w:r>
            <w:r>
              <w:rPr>
                <w:szCs w:val="22"/>
                <w:lang w:eastAsia="en-GB"/>
              </w:rPr>
              <w:t>ity</w:t>
            </w:r>
            <w:r w:rsidRPr="00A729D3">
              <w:rPr>
                <w:szCs w:val="22"/>
                <w:lang w:eastAsia="en-GB"/>
              </w:rPr>
              <w:t xml:space="preserve"> rel</w:t>
            </w:r>
            <w:r>
              <w:rPr>
                <w:szCs w:val="22"/>
                <w:lang w:eastAsia="en-GB"/>
              </w:rPr>
              <w:t>ative to on-board capabilities. Training required in new markets</w:t>
            </w:r>
          </w:p>
        </w:tc>
        <w:tc>
          <w:tcPr>
            <w:tcW w:w="1985" w:type="dxa"/>
            <w:tcBorders>
              <w:top w:val="single" w:sz="4" w:space="0" w:color="auto"/>
            </w:tcBorders>
            <w:shd w:val="clear" w:color="auto" w:fill="auto"/>
          </w:tcPr>
          <w:p w:rsidR="00D40B4C" w:rsidRPr="00A729D3" w:rsidRDefault="00D40B4C" w:rsidP="00791040">
            <w:pPr>
              <w:rPr>
                <w:szCs w:val="22"/>
                <w:lang w:eastAsia="en-GB"/>
              </w:rPr>
            </w:pPr>
            <w:r w:rsidRPr="00A729D3">
              <w:rPr>
                <w:szCs w:val="22"/>
                <w:lang w:eastAsia="en-GB"/>
              </w:rPr>
              <w:t>No environmental policy risk throughout expected life of equipment.</w:t>
            </w:r>
          </w:p>
        </w:tc>
      </w:tr>
    </w:tbl>
    <w:p w:rsidR="00D40B4C" w:rsidRDefault="00D40B4C" w:rsidP="00D40B4C">
      <w:pPr>
        <w:rPr>
          <w:szCs w:val="22"/>
          <w:lang w:eastAsia="en-GB"/>
        </w:rPr>
      </w:pPr>
    </w:p>
    <w:p w:rsidR="00D40B4C" w:rsidRDefault="00D40B4C" w:rsidP="00D40B4C">
      <w:pPr>
        <w:pStyle w:val="Heading3"/>
        <w:spacing w:line="240" w:lineRule="auto"/>
      </w:pPr>
      <w:bookmarkStart w:id="156" w:name="_Toc451793729"/>
      <w:bookmarkStart w:id="157" w:name="_Toc452653427"/>
      <w:r>
        <w:t>A2.4.3</w:t>
      </w:r>
      <w:r>
        <w:tab/>
        <w:t>Option 2 – Refrigerant replacement with plant adjustments</w:t>
      </w:r>
      <w:bookmarkEnd w:id="156"/>
      <w:bookmarkEnd w:id="157"/>
    </w:p>
    <w:p w:rsidR="00D40B4C" w:rsidRDefault="00D40B4C" w:rsidP="00D40B4C">
      <w:pPr>
        <w:spacing w:after="120"/>
        <w:rPr>
          <w:szCs w:val="22"/>
        </w:rPr>
      </w:pPr>
      <w:r w:rsidRPr="003A33EC">
        <w:rPr>
          <w:szCs w:val="22"/>
        </w:rPr>
        <w:t>For systems with more than 10 to 15 years’ service life, it will generally not be feasible to perform</w:t>
      </w:r>
      <w:r>
        <w:rPr>
          <w:szCs w:val="22"/>
        </w:rPr>
        <w:t xml:space="preserve"> just</w:t>
      </w:r>
      <w:r w:rsidRPr="003A33EC">
        <w:rPr>
          <w:szCs w:val="22"/>
        </w:rPr>
        <w:t xml:space="preserve"> a </w:t>
      </w:r>
      <w:r>
        <w:rPr>
          <w:szCs w:val="22"/>
        </w:rPr>
        <w:t xml:space="preserve">refrigerant drop-in </w:t>
      </w:r>
      <w:r w:rsidRPr="003A33EC">
        <w:rPr>
          <w:szCs w:val="22"/>
        </w:rPr>
        <w:t xml:space="preserve">retrofit. Experience shows that compressors and other parts tend to break down shortly after a refrigerant retrofit. Replacement installations are therefore safer and more reliable. Reliability is usually one of the biggest concerns to ship owners as loss of cooling can be costly. </w:t>
      </w:r>
    </w:p>
    <w:p w:rsidR="00D40B4C" w:rsidRDefault="00D40B4C" w:rsidP="00D40B4C">
      <w:pPr>
        <w:spacing w:after="120"/>
        <w:rPr>
          <w:szCs w:val="22"/>
          <w:lang w:eastAsia="en-GB"/>
        </w:rPr>
      </w:pPr>
      <w:r w:rsidRPr="003A33EC">
        <w:rPr>
          <w:szCs w:val="22"/>
          <w:lang w:eastAsia="en-GB"/>
        </w:rPr>
        <w:t>The most fundamental conversion is when the total system is converted to a NH</w:t>
      </w:r>
      <w:r w:rsidRPr="003A33EC">
        <w:rPr>
          <w:szCs w:val="22"/>
          <w:vertAlign w:val="subscript"/>
          <w:lang w:eastAsia="en-GB"/>
        </w:rPr>
        <w:t>3</w:t>
      </w:r>
      <w:r w:rsidRPr="003A33EC">
        <w:rPr>
          <w:szCs w:val="22"/>
          <w:lang w:eastAsia="en-GB"/>
        </w:rPr>
        <w:t>/CO</w:t>
      </w:r>
      <w:r w:rsidRPr="003A33EC">
        <w:rPr>
          <w:szCs w:val="22"/>
          <w:vertAlign w:val="subscript"/>
          <w:lang w:eastAsia="en-GB"/>
        </w:rPr>
        <w:t>2</w:t>
      </w:r>
      <w:r w:rsidRPr="003A33EC">
        <w:rPr>
          <w:szCs w:val="22"/>
          <w:lang w:eastAsia="en-GB"/>
        </w:rPr>
        <w:t xml:space="preserve"> solution. </w:t>
      </w:r>
      <w:r>
        <w:rPr>
          <w:szCs w:val="22"/>
          <w:lang w:eastAsia="en-GB"/>
        </w:rPr>
        <w:t>This type of conversion requires a major overhaul, because the safety conditions change when ammonia is involved. Also material compatibility is different when transiting from halocarbon refrigerants to ammonia.</w:t>
      </w:r>
    </w:p>
    <w:p w:rsidR="00D40B4C" w:rsidRDefault="00D40B4C" w:rsidP="00D40B4C">
      <w:pPr>
        <w:spacing w:after="120"/>
        <w:rPr>
          <w:szCs w:val="22"/>
          <w:lang w:eastAsia="en-GB"/>
        </w:rPr>
      </w:pPr>
      <w:r>
        <w:rPr>
          <w:szCs w:val="22"/>
          <w:lang w:eastAsia="en-GB"/>
        </w:rPr>
        <w:t xml:space="preserve">A conversion from HCFC-22 to R-744 is a possible option as well, even if it requires a plant replacement. </w:t>
      </w:r>
    </w:p>
    <w:p w:rsidR="00D40B4C" w:rsidRDefault="00D40B4C" w:rsidP="00D40B4C">
      <w:pPr>
        <w:spacing w:after="120"/>
        <w:rPr>
          <w:szCs w:val="22"/>
          <w:lang w:eastAsia="en-GB"/>
        </w:rPr>
      </w:pPr>
      <w:r>
        <w:rPr>
          <w:szCs w:val="22"/>
          <w:lang w:eastAsia="en-GB"/>
        </w:rPr>
        <w:lastRenderedPageBreak/>
        <w:t>Experience from the markets where these conversions to R-717 and R-744 have been done is that they can be done to the same cost as for a conversion to HFC.</w:t>
      </w:r>
    </w:p>
    <w:p w:rsidR="00D40B4C" w:rsidRDefault="00D40B4C" w:rsidP="00D40B4C">
      <w:pPr>
        <w:spacing w:after="120"/>
        <w:rPr>
          <w:szCs w:val="22"/>
          <w:lang w:eastAsia="en-GB"/>
        </w:rPr>
      </w:pPr>
      <w:r>
        <w:rPr>
          <w:szCs w:val="22"/>
          <w:lang w:eastAsia="en-GB"/>
        </w:rPr>
        <w:t xml:space="preserve">A conversion to a haocarbon </w:t>
      </w:r>
      <w:r w:rsidRPr="00C935B8">
        <w:rPr>
          <w:szCs w:val="22"/>
          <w:lang w:eastAsia="en-GB"/>
        </w:rPr>
        <w:t xml:space="preserve">refrigerant </w:t>
      </w:r>
      <w:r>
        <w:rPr>
          <w:szCs w:val="22"/>
          <w:lang w:eastAsia="en-GB"/>
        </w:rPr>
        <w:t>could be</w:t>
      </w:r>
      <w:r w:rsidRPr="00C935B8">
        <w:rPr>
          <w:szCs w:val="22"/>
          <w:lang w:eastAsia="en-GB"/>
        </w:rPr>
        <w:t xml:space="preserve"> feasible. As a matter of fact</w:t>
      </w:r>
      <w:r>
        <w:rPr>
          <w:szCs w:val="22"/>
          <w:lang w:eastAsia="en-GB"/>
        </w:rPr>
        <w:t>,</w:t>
      </w:r>
      <w:r w:rsidRPr="00C935B8">
        <w:rPr>
          <w:szCs w:val="22"/>
          <w:lang w:eastAsia="en-GB"/>
        </w:rPr>
        <w:t xml:space="preserve"> the conversion from HCFC-22 to R-507A is investigated in </w:t>
      </w:r>
      <w:r>
        <w:rPr>
          <w:szCs w:val="22"/>
          <w:lang w:eastAsia="en-GB"/>
        </w:rPr>
        <w:t>(</w:t>
      </w:r>
      <w:r w:rsidRPr="00C935B8">
        <w:rPr>
          <w:szCs w:val="22"/>
          <w:lang w:eastAsia="en-GB"/>
        </w:rPr>
        <w:t>FRDC, 2013</w:t>
      </w:r>
      <w:r>
        <w:rPr>
          <w:szCs w:val="22"/>
          <w:lang w:eastAsia="en-GB"/>
        </w:rPr>
        <w:t>)</w:t>
      </w:r>
      <w:r w:rsidRPr="00C935B8">
        <w:rPr>
          <w:szCs w:val="22"/>
          <w:lang w:eastAsia="en-GB"/>
        </w:rPr>
        <w:t xml:space="preserve">. This conversion would require the change of some components and other adjustments in the refrigeration systems in order to improve the efficiency and, necessarily, would require measures for leak containment. A conversion of this type is estimated to cost in the range of 250k to 280k AUS$ for the Northern Prawn Fishery fleet. But, R-507A (together with its companion R-404A) is not a low-GWP HFC (actually, its GWP is 4300 </w:t>
      </w:r>
      <w:r>
        <w:rPr>
          <w:szCs w:val="22"/>
          <w:lang w:eastAsia="en-GB"/>
        </w:rPr>
        <w:t>(</w:t>
      </w:r>
      <w:r w:rsidRPr="00C935B8">
        <w:rPr>
          <w:szCs w:val="22"/>
          <w:lang w:eastAsia="en-GB"/>
        </w:rPr>
        <w:t>UNEP, 2014</w:t>
      </w:r>
      <w:r>
        <w:rPr>
          <w:szCs w:val="22"/>
          <w:lang w:eastAsia="en-GB"/>
        </w:rPr>
        <w:t>)</w:t>
      </w:r>
      <w:r w:rsidRPr="00C935B8">
        <w:rPr>
          <w:szCs w:val="22"/>
          <w:lang w:eastAsia="en-GB"/>
        </w:rPr>
        <w:t>) and it cannot be considered a viable substitute</w:t>
      </w:r>
      <w:r>
        <w:rPr>
          <w:szCs w:val="22"/>
          <w:lang w:eastAsia="en-GB"/>
        </w:rPr>
        <w:t xml:space="preserve"> anymore</w:t>
      </w:r>
      <w:r w:rsidRPr="00C935B8">
        <w:rPr>
          <w:szCs w:val="22"/>
          <w:lang w:eastAsia="en-GB"/>
        </w:rPr>
        <w:t xml:space="preserve">. </w:t>
      </w:r>
    </w:p>
    <w:p w:rsidR="00D40B4C" w:rsidRDefault="00D40B4C" w:rsidP="00D40B4C">
      <w:pPr>
        <w:spacing w:after="120"/>
      </w:pPr>
      <w:r w:rsidRPr="00C935B8">
        <w:rPr>
          <w:szCs w:val="22"/>
          <w:lang w:eastAsia="en-GB"/>
        </w:rPr>
        <w:t xml:space="preserve">According to </w:t>
      </w:r>
      <w:r>
        <w:rPr>
          <w:szCs w:val="22"/>
          <w:lang w:eastAsia="en-GB"/>
        </w:rPr>
        <w:t>(</w:t>
      </w:r>
      <w:r w:rsidRPr="00C935B8">
        <w:rPr>
          <w:szCs w:val="22"/>
          <w:lang w:eastAsia="en-GB"/>
        </w:rPr>
        <w:t>UNEP, 2016</w:t>
      </w:r>
      <w:r>
        <w:rPr>
          <w:szCs w:val="22"/>
          <w:lang w:eastAsia="en-GB"/>
        </w:rPr>
        <w:t>)</w:t>
      </w:r>
      <w:r w:rsidRPr="00C935B8">
        <w:rPr>
          <w:szCs w:val="22"/>
          <w:lang w:eastAsia="en-GB"/>
        </w:rPr>
        <w:t xml:space="preserve"> R-404A and R-507A are now being substituted for commercial refrigeration applications by </w:t>
      </w:r>
      <w:r w:rsidRPr="00C935B8">
        <w:t>blends such as R-448A and R-449A, which contain some HFOs and whose GWP is &lt;1500. As is well</w:t>
      </w:r>
      <w:r>
        <w:t xml:space="preserve"> known, the situation is evolving rapidly so it is not possible, at this stage, to name a refrigerant that will certainly be the definitive low-GWP substitute for R-507A or R-404A. </w:t>
      </w:r>
    </w:p>
    <w:p w:rsidR="00D40B4C" w:rsidRDefault="00D40B4C" w:rsidP="00D40B4C">
      <w:pPr>
        <w:spacing w:after="240"/>
        <w:rPr>
          <w:szCs w:val="22"/>
          <w:lang w:eastAsia="en-GB"/>
        </w:rPr>
      </w:pPr>
      <w:r>
        <w:t>It may be reasonable, nevertheless, to expect in the medium term a solution that will make feasible the above-suggested type of conversion. The economics of the operation will, of course, depend on the cost of the new refrigerant. Most likely, the possible alternatives will be flammable in category A2 or A2L, thus requiring adequate safety considerations and precautions.</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D40B4C" w:rsidRPr="00A729D3" w:rsidTr="00D40B4C">
        <w:trPr>
          <w:trHeight w:val="227"/>
          <w:jc w:val="center"/>
        </w:trPr>
        <w:tc>
          <w:tcPr>
            <w:tcW w:w="2155" w:type="dxa"/>
            <w:vMerge w:val="restart"/>
            <w:tcBorders>
              <w:top w:val="single" w:sz="18" w:space="0" w:color="auto"/>
            </w:tcBorders>
            <w:shd w:val="clear" w:color="auto" w:fill="auto"/>
          </w:tcPr>
          <w:p w:rsidR="00D40B4C" w:rsidRPr="00A729D3" w:rsidRDefault="00D40B4C"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Technology risk</w:t>
            </w:r>
          </w:p>
          <w:p w:rsidR="00D40B4C" w:rsidRPr="00A729D3" w:rsidRDefault="00D40B4C" w:rsidP="00791040">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Regulatory and environmental risk</w:t>
            </w:r>
          </w:p>
          <w:p w:rsidR="00D40B4C" w:rsidRPr="00A729D3" w:rsidRDefault="00D40B4C" w:rsidP="00791040">
            <w:pPr>
              <w:jc w:val="center"/>
              <w:rPr>
                <w:szCs w:val="22"/>
                <w:lang w:eastAsia="en-GB"/>
              </w:rPr>
            </w:pPr>
            <w:r w:rsidRPr="00A729D3">
              <w:rPr>
                <w:szCs w:val="22"/>
                <w:lang w:eastAsia="en-GB"/>
              </w:rPr>
              <w:t>(10 years horizon)</w:t>
            </w:r>
          </w:p>
        </w:tc>
      </w:tr>
      <w:tr w:rsidR="00D40B4C" w:rsidRPr="00A729D3" w:rsidTr="00D40B4C">
        <w:trPr>
          <w:trHeight w:val="517"/>
          <w:jc w:val="center"/>
        </w:trPr>
        <w:tc>
          <w:tcPr>
            <w:tcW w:w="2155" w:type="dxa"/>
            <w:vMerge/>
            <w:tcBorders>
              <w:bottom w:val="single" w:sz="4" w:space="0" w:color="auto"/>
            </w:tcBorders>
            <w:shd w:val="clear" w:color="auto" w:fill="auto"/>
          </w:tcPr>
          <w:p w:rsidR="00D40B4C" w:rsidRPr="00A729D3" w:rsidRDefault="00D40B4C" w:rsidP="00791040">
            <w:pPr>
              <w:rPr>
                <w:szCs w:val="22"/>
                <w:lang w:eastAsia="en-GB"/>
              </w:rPr>
            </w:pP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Operating</w:t>
            </w:r>
          </w:p>
          <w:p w:rsidR="00D40B4C" w:rsidRPr="00A729D3" w:rsidRDefault="00D40B4C" w:rsidP="00791040">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rsidR="00D40B4C" w:rsidRPr="00A729D3" w:rsidRDefault="00D40B4C" w:rsidP="00791040">
            <w:pPr>
              <w:jc w:val="center"/>
              <w:rPr>
                <w:szCs w:val="22"/>
                <w:lang w:eastAsia="en-GB"/>
              </w:rPr>
            </w:pPr>
          </w:p>
        </w:tc>
        <w:tc>
          <w:tcPr>
            <w:tcW w:w="1985" w:type="dxa"/>
            <w:vMerge/>
            <w:tcBorders>
              <w:bottom w:val="single" w:sz="4" w:space="0" w:color="auto"/>
            </w:tcBorders>
            <w:shd w:val="clear" w:color="auto" w:fill="auto"/>
          </w:tcPr>
          <w:p w:rsidR="00D40B4C" w:rsidRPr="00A729D3" w:rsidRDefault="00D40B4C" w:rsidP="00791040">
            <w:pPr>
              <w:jc w:val="center"/>
              <w:rPr>
                <w:szCs w:val="22"/>
                <w:lang w:eastAsia="en-GB"/>
              </w:rPr>
            </w:pPr>
          </w:p>
        </w:tc>
      </w:tr>
      <w:tr w:rsidR="00D40B4C" w:rsidRPr="00A729D3" w:rsidTr="00D40B4C">
        <w:trPr>
          <w:jc w:val="center"/>
        </w:trPr>
        <w:tc>
          <w:tcPr>
            <w:tcW w:w="2155" w:type="dxa"/>
            <w:tcBorders>
              <w:top w:val="single" w:sz="4" w:space="0" w:color="auto"/>
              <w:bottom w:val="single" w:sz="18" w:space="0" w:color="auto"/>
            </w:tcBorders>
          </w:tcPr>
          <w:p w:rsidR="00D40B4C" w:rsidRPr="00A729D3" w:rsidRDefault="00D40B4C" w:rsidP="00791040">
            <w:pPr>
              <w:rPr>
                <w:szCs w:val="22"/>
                <w:lang w:eastAsia="en-GB"/>
              </w:rPr>
            </w:pPr>
          </w:p>
        </w:tc>
        <w:tc>
          <w:tcPr>
            <w:tcW w:w="1418" w:type="dxa"/>
            <w:tcBorders>
              <w:top w:val="single" w:sz="4" w:space="0" w:color="auto"/>
              <w:bottom w:val="single" w:sz="18" w:space="0" w:color="auto"/>
            </w:tcBorders>
            <w:shd w:val="clear" w:color="auto" w:fill="FFC000"/>
            <w:vAlign w:val="center"/>
          </w:tcPr>
          <w:p w:rsidR="00D40B4C" w:rsidRDefault="00D40B4C" w:rsidP="00791040">
            <w:pPr>
              <w:jc w:val="center"/>
              <w:rPr>
                <w:szCs w:val="22"/>
                <w:lang w:eastAsia="en-GB"/>
              </w:rPr>
            </w:pPr>
            <w:r>
              <w:rPr>
                <w:szCs w:val="22"/>
                <w:lang w:eastAsia="en-GB"/>
              </w:rPr>
              <w:t>Medium</w:t>
            </w:r>
          </w:p>
        </w:tc>
        <w:tc>
          <w:tcPr>
            <w:tcW w:w="1418" w:type="dxa"/>
            <w:tcBorders>
              <w:top w:val="single" w:sz="4" w:space="0" w:color="auto"/>
              <w:bottom w:val="single" w:sz="18" w:space="0" w:color="auto"/>
            </w:tcBorders>
            <w:shd w:val="clear" w:color="auto" w:fill="FF0000"/>
            <w:vAlign w:val="center"/>
          </w:tcPr>
          <w:p w:rsidR="00D40B4C" w:rsidRDefault="00D40B4C" w:rsidP="00791040">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rsidR="00D40B4C" w:rsidRDefault="00D40B4C" w:rsidP="00791040">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rsidR="00D40B4C" w:rsidRDefault="00D40B4C" w:rsidP="00791040">
            <w:pPr>
              <w:jc w:val="center"/>
              <w:rPr>
                <w:szCs w:val="22"/>
                <w:lang w:eastAsia="en-GB"/>
              </w:rPr>
            </w:pPr>
            <w:r>
              <w:rPr>
                <w:szCs w:val="22"/>
                <w:lang w:eastAsia="en-GB"/>
              </w:rPr>
              <w:t>Unknown</w:t>
            </w:r>
          </w:p>
        </w:tc>
      </w:tr>
      <w:tr w:rsidR="00D40B4C" w:rsidRPr="00A729D3" w:rsidTr="00D40B4C">
        <w:trPr>
          <w:jc w:val="center"/>
        </w:trPr>
        <w:tc>
          <w:tcPr>
            <w:tcW w:w="9074" w:type="dxa"/>
            <w:gridSpan w:val="5"/>
            <w:tcBorders>
              <w:top w:val="single" w:sz="18" w:space="0" w:color="auto"/>
            </w:tcBorders>
            <w:shd w:val="clear" w:color="auto" w:fill="auto"/>
          </w:tcPr>
          <w:p w:rsidR="00D40B4C" w:rsidRPr="00E11535" w:rsidRDefault="00D40B4C" w:rsidP="00791040">
            <w:pPr>
              <w:rPr>
                <w:b/>
                <w:i/>
                <w:szCs w:val="22"/>
                <w:lang w:eastAsia="en-GB"/>
              </w:rPr>
            </w:pPr>
            <w:r w:rsidRPr="00E11535">
              <w:rPr>
                <w:b/>
                <w:i/>
                <w:szCs w:val="22"/>
                <w:lang w:eastAsia="en-GB"/>
              </w:rPr>
              <w:t xml:space="preserve">Option </w:t>
            </w:r>
            <w:r w:rsidRPr="00A729D3">
              <w:rPr>
                <w:b/>
                <w:i/>
                <w:szCs w:val="22"/>
                <w:lang w:eastAsia="en-GB"/>
              </w:rPr>
              <w:t>2</w:t>
            </w:r>
            <w:r w:rsidRPr="00E11535">
              <w:rPr>
                <w:b/>
                <w:i/>
                <w:szCs w:val="22"/>
                <w:lang w:eastAsia="en-GB"/>
              </w:rPr>
              <w:t xml:space="preserve"> – </w:t>
            </w:r>
            <w:r w:rsidRPr="00E11535">
              <w:rPr>
                <w:b/>
                <w:i/>
              </w:rPr>
              <w:t>Refrigerant replacement with plant adjustme</w:t>
            </w:r>
            <w:r w:rsidRPr="00D51802">
              <w:rPr>
                <w:b/>
                <w:i/>
              </w:rPr>
              <w:t>nts</w:t>
            </w:r>
          </w:p>
        </w:tc>
      </w:tr>
      <w:tr w:rsidR="00D40B4C" w:rsidRPr="00A729D3" w:rsidTr="00D40B4C">
        <w:trPr>
          <w:jc w:val="center"/>
        </w:trPr>
        <w:tc>
          <w:tcPr>
            <w:tcW w:w="2155" w:type="dxa"/>
            <w:shd w:val="clear" w:color="auto" w:fill="auto"/>
          </w:tcPr>
          <w:p w:rsidR="00D40B4C" w:rsidRPr="00A729D3" w:rsidRDefault="00D40B4C" w:rsidP="00791040">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rsidR="00D40B4C" w:rsidRPr="00A729D3" w:rsidRDefault="00D40B4C" w:rsidP="00791040">
            <w:pPr>
              <w:rPr>
                <w:szCs w:val="22"/>
                <w:lang w:eastAsia="en-GB"/>
              </w:rPr>
            </w:pPr>
            <w:r w:rsidRPr="00A729D3">
              <w:rPr>
                <w:szCs w:val="22"/>
                <w:lang w:eastAsia="en-GB"/>
              </w:rPr>
              <w:t>Suitable for existing vessels with change of components and adjustments</w:t>
            </w:r>
          </w:p>
        </w:tc>
        <w:tc>
          <w:tcPr>
            <w:tcW w:w="1418" w:type="dxa"/>
            <w:shd w:val="clear" w:color="auto" w:fill="auto"/>
          </w:tcPr>
          <w:p w:rsidR="00D40B4C" w:rsidRDefault="00D40B4C" w:rsidP="00791040">
            <w:pPr>
              <w:rPr>
                <w:szCs w:val="22"/>
                <w:lang w:eastAsia="en-GB"/>
              </w:rPr>
            </w:pPr>
            <w:r w:rsidRPr="00A729D3">
              <w:rPr>
                <w:szCs w:val="22"/>
                <w:lang w:eastAsia="en-GB"/>
              </w:rPr>
              <w:t xml:space="preserve">Cost of refrigerants at present unknown </w:t>
            </w:r>
          </w:p>
          <w:p w:rsidR="00D40B4C" w:rsidRPr="00A729D3" w:rsidRDefault="00FD6BC8" w:rsidP="00FD6BC8">
            <w:pPr>
              <w:rPr>
                <w:szCs w:val="22"/>
                <w:lang w:eastAsia="en-GB"/>
              </w:rPr>
            </w:pPr>
            <w:r>
              <w:rPr>
                <w:szCs w:val="22"/>
                <w:lang w:eastAsia="en-GB"/>
              </w:rPr>
              <w:t>f</w:t>
            </w:r>
            <w:r w:rsidR="00D40B4C">
              <w:rPr>
                <w:szCs w:val="22"/>
                <w:lang w:eastAsia="en-GB"/>
              </w:rPr>
              <w:t>lammability must be addressed</w:t>
            </w:r>
          </w:p>
        </w:tc>
        <w:tc>
          <w:tcPr>
            <w:tcW w:w="2098" w:type="dxa"/>
            <w:shd w:val="clear" w:color="auto" w:fill="auto"/>
          </w:tcPr>
          <w:p w:rsidR="00D40B4C" w:rsidRPr="00A729D3" w:rsidRDefault="00D40B4C" w:rsidP="00791040">
            <w:pPr>
              <w:rPr>
                <w:szCs w:val="22"/>
                <w:lang w:eastAsia="en-GB"/>
              </w:rPr>
            </w:pPr>
            <w:r w:rsidRPr="00A729D3">
              <w:rPr>
                <w:szCs w:val="22"/>
                <w:lang w:eastAsia="en-GB"/>
              </w:rPr>
              <w:t>No significant change in type of technology and components</w:t>
            </w:r>
          </w:p>
        </w:tc>
        <w:tc>
          <w:tcPr>
            <w:tcW w:w="1985" w:type="dxa"/>
            <w:shd w:val="clear" w:color="auto" w:fill="auto"/>
          </w:tcPr>
          <w:p w:rsidR="00D40B4C" w:rsidRPr="00A729D3" w:rsidRDefault="00D40B4C" w:rsidP="00791040">
            <w:pPr>
              <w:rPr>
                <w:szCs w:val="22"/>
                <w:lang w:eastAsia="en-GB"/>
              </w:rPr>
            </w:pPr>
            <w:r w:rsidRPr="00A729D3">
              <w:rPr>
                <w:szCs w:val="22"/>
                <w:lang w:eastAsia="en-GB"/>
              </w:rPr>
              <w:t>Environmental policy risk throughout expected life of equipment unknown at present</w:t>
            </w:r>
          </w:p>
        </w:tc>
      </w:tr>
    </w:tbl>
    <w:p w:rsidR="00D40B4C" w:rsidRPr="00E11535" w:rsidRDefault="00D40B4C" w:rsidP="00D40B4C">
      <w:pPr>
        <w:spacing w:after="120"/>
        <w:rPr>
          <w:szCs w:val="22"/>
          <w:lang w:eastAsia="en-GB"/>
        </w:rPr>
      </w:pPr>
    </w:p>
    <w:p w:rsidR="00D40B4C" w:rsidRDefault="00D40B4C" w:rsidP="00D40B4C">
      <w:pPr>
        <w:pStyle w:val="Heading3"/>
        <w:spacing w:line="240" w:lineRule="auto"/>
      </w:pPr>
      <w:bookmarkStart w:id="158" w:name="_Toc451793730"/>
      <w:bookmarkStart w:id="159" w:name="_Toc452653428"/>
      <w:r>
        <w:t>A2.4.4</w:t>
      </w:r>
      <w:r>
        <w:tab/>
        <w:t>Option 3 – Refrigerant drop-in</w:t>
      </w:r>
      <w:bookmarkEnd w:id="158"/>
      <w:bookmarkEnd w:id="159"/>
    </w:p>
    <w:p w:rsidR="00D40B4C" w:rsidRDefault="00D40B4C" w:rsidP="00D40B4C">
      <w:pPr>
        <w:spacing w:after="120"/>
        <w:rPr>
          <w:szCs w:val="22"/>
        </w:rPr>
      </w:pPr>
      <w:r w:rsidRPr="003A33EC">
        <w:rPr>
          <w:szCs w:val="22"/>
        </w:rPr>
        <w:t xml:space="preserve">For </w:t>
      </w:r>
      <w:r>
        <w:rPr>
          <w:szCs w:val="22"/>
          <w:lang w:eastAsia="en-GB"/>
        </w:rPr>
        <w:t xml:space="preserve">systems with less than 10 to 15 years’ service life, then a refrigerant drop-in retrofit becomes a feasible option, provided there is such a drop-in. </w:t>
      </w:r>
      <w:r>
        <w:rPr>
          <w:szCs w:val="22"/>
        </w:rPr>
        <w:t>At present, actually, there is no low-GWP HFC available on the market that can be used as drop-in for on-board systems.</w:t>
      </w:r>
    </w:p>
    <w:p w:rsidR="00D40B4C" w:rsidRDefault="00D40B4C" w:rsidP="00D40B4C">
      <w:pPr>
        <w:spacing w:after="120"/>
        <w:rPr>
          <w:szCs w:val="22"/>
        </w:rPr>
      </w:pPr>
      <w:r>
        <w:rPr>
          <w:szCs w:val="22"/>
        </w:rPr>
        <w:t xml:space="preserve">Some low-GWP HFC alternatives to HCFC-22 are proposed by the chemical industry as a drop-in for land-based </w:t>
      </w:r>
      <w:r w:rsidRPr="00C935B8">
        <w:rPr>
          <w:szCs w:val="22"/>
        </w:rPr>
        <w:t xml:space="preserve">applications </w:t>
      </w:r>
      <w:r>
        <w:rPr>
          <w:szCs w:val="22"/>
        </w:rPr>
        <w:t>(</w:t>
      </w:r>
      <w:r w:rsidRPr="00C935B8">
        <w:rPr>
          <w:szCs w:val="22"/>
        </w:rPr>
        <w:t>UNEP, 2015, UNEP 2016</w:t>
      </w:r>
      <w:r>
        <w:rPr>
          <w:szCs w:val="22"/>
        </w:rPr>
        <w:t>)</w:t>
      </w:r>
      <w:r w:rsidRPr="00C935B8">
        <w:rPr>
          <w:szCs w:val="22"/>
        </w:rPr>
        <w:t>. When</w:t>
      </w:r>
      <w:r>
        <w:rPr>
          <w:szCs w:val="22"/>
        </w:rPr>
        <w:t xml:space="preserve"> these alternatives become commercially available, they could be used also as HCFC-22 substitutes for on board applications. Considering the </w:t>
      </w:r>
      <w:r>
        <w:rPr>
          <w:szCs w:val="22"/>
          <w:lang w:eastAsia="en-GB"/>
        </w:rPr>
        <w:t>rapidly evolving situation in the development of low-GWP HFCs it may be probable that in a few years-time a satisfactory solution will also be available for this specific problem.</w:t>
      </w:r>
    </w:p>
    <w:p w:rsidR="00D40B4C" w:rsidRDefault="00D40B4C" w:rsidP="00D40B4C">
      <w:pPr>
        <w:spacing w:after="120"/>
        <w:rPr>
          <w:szCs w:val="22"/>
          <w:lang w:eastAsia="en-GB"/>
        </w:rPr>
      </w:pPr>
      <w:r>
        <w:rPr>
          <w:szCs w:val="22"/>
        </w:rPr>
        <w:t xml:space="preserve">One aspect to be considered in cases concerning a step-by-step transition from HCFC-22 to HCF (both high-GWP and low-GWP) is how to </w:t>
      </w:r>
      <w:r>
        <w:rPr>
          <w:szCs w:val="22"/>
          <w:lang w:eastAsia="en-GB"/>
        </w:rPr>
        <w:t>meet regulatory requirement of product importers, especially when non-flagged vessels are involved.</w:t>
      </w:r>
    </w:p>
    <w:p w:rsidR="00D40B4C" w:rsidRDefault="00D40B4C" w:rsidP="00D40B4C">
      <w:pPr>
        <w:spacing w:after="120"/>
        <w:rPr>
          <w:szCs w:val="22"/>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D40B4C" w:rsidRPr="00A729D3" w:rsidTr="00791040">
        <w:trPr>
          <w:trHeight w:val="227"/>
          <w:jc w:val="center"/>
        </w:trPr>
        <w:tc>
          <w:tcPr>
            <w:tcW w:w="2155" w:type="dxa"/>
            <w:vMerge w:val="restart"/>
            <w:tcBorders>
              <w:top w:val="single" w:sz="18" w:space="0" w:color="auto"/>
            </w:tcBorders>
            <w:shd w:val="clear" w:color="auto" w:fill="auto"/>
          </w:tcPr>
          <w:p w:rsidR="00D40B4C" w:rsidRPr="00A729D3" w:rsidRDefault="00D40B4C" w:rsidP="00271AE5">
            <w:pPr>
              <w:keepNext/>
              <w:keepLines/>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D40B4C" w:rsidRPr="00A729D3" w:rsidRDefault="00D40B4C" w:rsidP="00271AE5">
            <w:pPr>
              <w:keepNext/>
              <w:keepLines/>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rsidR="00D40B4C" w:rsidRPr="00A729D3" w:rsidRDefault="00D40B4C" w:rsidP="00271AE5">
            <w:pPr>
              <w:keepNext/>
              <w:keepLines/>
              <w:jc w:val="center"/>
              <w:rPr>
                <w:szCs w:val="22"/>
                <w:lang w:eastAsia="en-GB"/>
              </w:rPr>
            </w:pPr>
            <w:r w:rsidRPr="00A729D3">
              <w:rPr>
                <w:szCs w:val="22"/>
                <w:lang w:eastAsia="en-GB"/>
              </w:rPr>
              <w:t>Technology risk</w:t>
            </w:r>
          </w:p>
          <w:p w:rsidR="00D40B4C" w:rsidRPr="00A729D3" w:rsidRDefault="00D40B4C" w:rsidP="00271AE5">
            <w:pPr>
              <w:keepNext/>
              <w:keepLines/>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rsidR="00D40B4C" w:rsidRPr="00A729D3" w:rsidRDefault="00D40B4C" w:rsidP="00271AE5">
            <w:pPr>
              <w:keepNext/>
              <w:keepLines/>
              <w:jc w:val="center"/>
              <w:rPr>
                <w:szCs w:val="22"/>
                <w:lang w:eastAsia="en-GB"/>
              </w:rPr>
            </w:pPr>
            <w:r w:rsidRPr="00A729D3">
              <w:rPr>
                <w:szCs w:val="22"/>
                <w:lang w:eastAsia="en-GB"/>
              </w:rPr>
              <w:t>Regulatory and environmental risk</w:t>
            </w:r>
          </w:p>
          <w:p w:rsidR="00D40B4C" w:rsidRPr="00A729D3" w:rsidRDefault="00D40B4C" w:rsidP="00271AE5">
            <w:pPr>
              <w:keepNext/>
              <w:keepLines/>
              <w:jc w:val="center"/>
              <w:rPr>
                <w:szCs w:val="22"/>
                <w:lang w:eastAsia="en-GB"/>
              </w:rPr>
            </w:pPr>
            <w:r w:rsidRPr="00A729D3">
              <w:rPr>
                <w:szCs w:val="22"/>
                <w:lang w:eastAsia="en-GB"/>
              </w:rPr>
              <w:t>(10 years horizon)</w:t>
            </w:r>
          </w:p>
        </w:tc>
      </w:tr>
      <w:tr w:rsidR="00D40B4C" w:rsidRPr="00A729D3" w:rsidTr="00791040">
        <w:trPr>
          <w:trHeight w:val="517"/>
          <w:jc w:val="center"/>
        </w:trPr>
        <w:tc>
          <w:tcPr>
            <w:tcW w:w="2155" w:type="dxa"/>
            <w:vMerge/>
            <w:tcBorders>
              <w:bottom w:val="single" w:sz="4" w:space="0" w:color="auto"/>
            </w:tcBorders>
            <w:shd w:val="clear" w:color="auto" w:fill="auto"/>
          </w:tcPr>
          <w:p w:rsidR="00D40B4C" w:rsidRPr="00A729D3" w:rsidRDefault="00D40B4C" w:rsidP="00791040">
            <w:pPr>
              <w:rPr>
                <w:szCs w:val="22"/>
                <w:lang w:eastAsia="en-GB"/>
              </w:rPr>
            </w:pP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Operating</w:t>
            </w:r>
          </w:p>
          <w:p w:rsidR="00D40B4C" w:rsidRPr="00A729D3" w:rsidRDefault="00D40B4C" w:rsidP="00791040">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rsidR="00D40B4C" w:rsidRPr="00A729D3" w:rsidRDefault="00D40B4C" w:rsidP="00791040">
            <w:pPr>
              <w:jc w:val="center"/>
              <w:rPr>
                <w:szCs w:val="22"/>
                <w:lang w:eastAsia="en-GB"/>
              </w:rPr>
            </w:pPr>
          </w:p>
        </w:tc>
        <w:tc>
          <w:tcPr>
            <w:tcW w:w="1985" w:type="dxa"/>
            <w:vMerge/>
            <w:tcBorders>
              <w:bottom w:val="single" w:sz="4" w:space="0" w:color="auto"/>
            </w:tcBorders>
            <w:shd w:val="clear" w:color="auto" w:fill="auto"/>
          </w:tcPr>
          <w:p w:rsidR="00D40B4C" w:rsidRPr="00A729D3" w:rsidRDefault="00D40B4C" w:rsidP="00791040">
            <w:pPr>
              <w:jc w:val="center"/>
              <w:rPr>
                <w:szCs w:val="22"/>
                <w:lang w:eastAsia="en-GB"/>
              </w:rPr>
            </w:pPr>
          </w:p>
        </w:tc>
      </w:tr>
      <w:tr w:rsidR="00D40B4C" w:rsidRPr="00A729D3" w:rsidTr="00791040">
        <w:trPr>
          <w:jc w:val="center"/>
        </w:trPr>
        <w:tc>
          <w:tcPr>
            <w:tcW w:w="2155" w:type="dxa"/>
            <w:tcBorders>
              <w:top w:val="single" w:sz="4" w:space="0" w:color="auto"/>
              <w:bottom w:val="single" w:sz="18" w:space="0" w:color="auto"/>
            </w:tcBorders>
          </w:tcPr>
          <w:p w:rsidR="00D40B4C" w:rsidRPr="00A729D3" w:rsidRDefault="00D40B4C" w:rsidP="00791040">
            <w:pPr>
              <w:rPr>
                <w:szCs w:val="22"/>
                <w:lang w:eastAsia="en-GB"/>
              </w:rPr>
            </w:pPr>
          </w:p>
        </w:tc>
        <w:tc>
          <w:tcPr>
            <w:tcW w:w="1418" w:type="dxa"/>
            <w:tcBorders>
              <w:top w:val="single" w:sz="4" w:space="0" w:color="auto"/>
              <w:bottom w:val="single" w:sz="18" w:space="0" w:color="auto"/>
            </w:tcBorders>
            <w:shd w:val="clear" w:color="auto" w:fill="FF0000"/>
            <w:vAlign w:val="center"/>
          </w:tcPr>
          <w:p w:rsidR="00D40B4C" w:rsidRPr="004E3953" w:rsidRDefault="00D40B4C" w:rsidP="00791040">
            <w:pPr>
              <w:jc w:val="center"/>
              <w:rPr>
                <w:color w:val="FF0000"/>
                <w:szCs w:val="22"/>
                <w:lang w:eastAsia="en-GB"/>
              </w:rPr>
            </w:pPr>
            <w:r>
              <w:rPr>
                <w:szCs w:val="22"/>
                <w:lang w:eastAsia="en-GB"/>
              </w:rPr>
              <w:t>Unknown</w:t>
            </w:r>
          </w:p>
        </w:tc>
        <w:tc>
          <w:tcPr>
            <w:tcW w:w="1418" w:type="dxa"/>
            <w:tcBorders>
              <w:top w:val="single" w:sz="4" w:space="0" w:color="auto"/>
              <w:bottom w:val="single" w:sz="18" w:space="0" w:color="auto"/>
            </w:tcBorders>
            <w:shd w:val="clear" w:color="auto" w:fill="FF0000"/>
            <w:vAlign w:val="center"/>
          </w:tcPr>
          <w:p w:rsidR="00D40B4C" w:rsidRPr="00A729D3" w:rsidRDefault="00D40B4C" w:rsidP="00791040">
            <w:pPr>
              <w:jc w:val="center"/>
              <w:rPr>
                <w:szCs w:val="22"/>
                <w:lang w:eastAsia="en-GB"/>
              </w:rPr>
            </w:pPr>
            <w:r>
              <w:rPr>
                <w:szCs w:val="22"/>
                <w:lang w:eastAsia="en-GB"/>
              </w:rPr>
              <w:t>Unknown</w:t>
            </w:r>
          </w:p>
        </w:tc>
        <w:tc>
          <w:tcPr>
            <w:tcW w:w="2098" w:type="dxa"/>
            <w:tcBorders>
              <w:top w:val="single" w:sz="4" w:space="0" w:color="auto"/>
              <w:bottom w:val="single" w:sz="18" w:space="0" w:color="auto"/>
            </w:tcBorders>
            <w:shd w:val="clear" w:color="auto" w:fill="FF0000"/>
            <w:vAlign w:val="center"/>
          </w:tcPr>
          <w:p w:rsidR="00D40B4C" w:rsidRPr="00A729D3" w:rsidRDefault="00D40B4C" w:rsidP="00791040">
            <w:pPr>
              <w:jc w:val="center"/>
              <w:rPr>
                <w:szCs w:val="22"/>
                <w:lang w:eastAsia="en-GB"/>
              </w:rPr>
            </w:pPr>
            <w:r>
              <w:rPr>
                <w:szCs w:val="22"/>
                <w:lang w:eastAsia="en-GB"/>
              </w:rPr>
              <w:t>Unknown</w:t>
            </w:r>
          </w:p>
        </w:tc>
        <w:tc>
          <w:tcPr>
            <w:tcW w:w="1985" w:type="dxa"/>
            <w:tcBorders>
              <w:top w:val="single" w:sz="4" w:space="0" w:color="auto"/>
              <w:bottom w:val="single" w:sz="18" w:space="0" w:color="auto"/>
            </w:tcBorders>
            <w:shd w:val="clear" w:color="auto" w:fill="FF0000"/>
            <w:vAlign w:val="center"/>
          </w:tcPr>
          <w:p w:rsidR="00D40B4C" w:rsidRPr="00D962E0" w:rsidRDefault="00D40B4C" w:rsidP="00791040">
            <w:pPr>
              <w:jc w:val="center"/>
              <w:rPr>
                <w:color w:val="auto"/>
                <w:szCs w:val="22"/>
                <w:lang w:eastAsia="en-GB"/>
              </w:rPr>
            </w:pPr>
            <w:r>
              <w:rPr>
                <w:color w:val="auto"/>
                <w:szCs w:val="22"/>
                <w:lang w:eastAsia="en-GB"/>
              </w:rPr>
              <w:t>Unknown</w:t>
            </w:r>
          </w:p>
        </w:tc>
      </w:tr>
      <w:tr w:rsidR="00D40B4C" w:rsidRPr="00A729D3" w:rsidTr="00791040">
        <w:trPr>
          <w:jc w:val="center"/>
        </w:trPr>
        <w:tc>
          <w:tcPr>
            <w:tcW w:w="9074" w:type="dxa"/>
            <w:gridSpan w:val="5"/>
            <w:shd w:val="clear" w:color="auto" w:fill="auto"/>
          </w:tcPr>
          <w:p w:rsidR="00D40B4C" w:rsidRPr="00A729D3" w:rsidRDefault="00D40B4C" w:rsidP="00791040">
            <w:pPr>
              <w:rPr>
                <w:b/>
                <w:i/>
                <w:szCs w:val="22"/>
                <w:lang w:eastAsia="en-GB"/>
              </w:rPr>
            </w:pPr>
            <w:r w:rsidRPr="00A729D3">
              <w:rPr>
                <w:b/>
                <w:i/>
                <w:szCs w:val="22"/>
                <w:lang w:eastAsia="en-GB"/>
              </w:rPr>
              <w:t xml:space="preserve">Option 3 – </w:t>
            </w:r>
            <w:r w:rsidRPr="00A729D3">
              <w:rPr>
                <w:b/>
                <w:i/>
              </w:rPr>
              <w:t>Refrigerant</w:t>
            </w:r>
            <w:r>
              <w:t xml:space="preserve"> </w:t>
            </w:r>
            <w:r w:rsidRPr="00E11535">
              <w:rPr>
                <w:b/>
                <w:i/>
              </w:rPr>
              <w:t>drop-in</w:t>
            </w:r>
          </w:p>
        </w:tc>
      </w:tr>
      <w:tr w:rsidR="00D40B4C" w:rsidRPr="00A729D3" w:rsidTr="00791040">
        <w:trPr>
          <w:jc w:val="center"/>
        </w:trPr>
        <w:tc>
          <w:tcPr>
            <w:tcW w:w="2155" w:type="dxa"/>
            <w:shd w:val="clear" w:color="auto" w:fill="auto"/>
          </w:tcPr>
          <w:p w:rsidR="00D40B4C" w:rsidRPr="00A729D3" w:rsidRDefault="00D40B4C" w:rsidP="00791040">
            <w:pPr>
              <w:rPr>
                <w:szCs w:val="22"/>
                <w:lang w:eastAsia="en-GB"/>
              </w:rPr>
            </w:pPr>
            <w:r w:rsidRPr="00A729D3">
              <w:rPr>
                <w:szCs w:val="22"/>
                <w:lang w:eastAsia="en-GB"/>
              </w:rPr>
              <w:t>Conventional refrigeration plant system operating with low-GWP HFC blend</w:t>
            </w:r>
          </w:p>
        </w:tc>
        <w:tc>
          <w:tcPr>
            <w:tcW w:w="1418" w:type="dxa"/>
            <w:shd w:val="clear" w:color="auto" w:fill="auto"/>
          </w:tcPr>
          <w:p w:rsidR="00D40B4C" w:rsidRPr="00A729D3" w:rsidRDefault="00D40B4C" w:rsidP="00791040">
            <w:pPr>
              <w:rPr>
                <w:szCs w:val="22"/>
                <w:lang w:eastAsia="en-GB"/>
              </w:rPr>
            </w:pPr>
            <w:r w:rsidRPr="00A729D3">
              <w:rPr>
                <w:szCs w:val="22"/>
                <w:lang w:eastAsia="en-GB"/>
              </w:rPr>
              <w:t>Requires improvement of refrigerant containment</w:t>
            </w:r>
          </w:p>
        </w:tc>
        <w:tc>
          <w:tcPr>
            <w:tcW w:w="1418" w:type="dxa"/>
            <w:shd w:val="clear" w:color="auto" w:fill="auto"/>
          </w:tcPr>
          <w:p w:rsidR="00D40B4C" w:rsidRDefault="00D40B4C" w:rsidP="00791040">
            <w:pPr>
              <w:rPr>
                <w:szCs w:val="22"/>
                <w:lang w:eastAsia="en-GB"/>
              </w:rPr>
            </w:pPr>
            <w:r w:rsidRPr="00A729D3">
              <w:rPr>
                <w:szCs w:val="22"/>
                <w:lang w:eastAsia="en-GB"/>
              </w:rPr>
              <w:t xml:space="preserve">Cost of refrigerants at present unknown </w:t>
            </w:r>
          </w:p>
          <w:p w:rsidR="00D40B4C" w:rsidRPr="00A729D3" w:rsidRDefault="00FD6BC8" w:rsidP="00FD6BC8">
            <w:pPr>
              <w:rPr>
                <w:szCs w:val="22"/>
                <w:lang w:eastAsia="en-GB"/>
              </w:rPr>
            </w:pPr>
            <w:r>
              <w:rPr>
                <w:szCs w:val="22"/>
                <w:lang w:eastAsia="en-GB"/>
              </w:rPr>
              <w:t>f</w:t>
            </w:r>
            <w:r w:rsidR="00D40B4C">
              <w:rPr>
                <w:szCs w:val="22"/>
                <w:lang w:eastAsia="en-GB"/>
              </w:rPr>
              <w:t>lammability must be addressed</w:t>
            </w:r>
          </w:p>
        </w:tc>
        <w:tc>
          <w:tcPr>
            <w:tcW w:w="2098" w:type="dxa"/>
            <w:shd w:val="clear" w:color="auto" w:fill="auto"/>
          </w:tcPr>
          <w:p w:rsidR="00D40B4C" w:rsidRPr="00A729D3" w:rsidRDefault="00D40B4C" w:rsidP="00791040">
            <w:pPr>
              <w:rPr>
                <w:szCs w:val="22"/>
                <w:lang w:eastAsia="en-GB"/>
              </w:rPr>
            </w:pPr>
            <w:r w:rsidRPr="00A729D3">
              <w:rPr>
                <w:szCs w:val="22"/>
                <w:lang w:eastAsia="en-GB"/>
              </w:rPr>
              <w:t>No significant change in type of technology and components</w:t>
            </w:r>
          </w:p>
        </w:tc>
        <w:tc>
          <w:tcPr>
            <w:tcW w:w="1985" w:type="dxa"/>
            <w:shd w:val="clear" w:color="auto" w:fill="auto"/>
          </w:tcPr>
          <w:p w:rsidR="00D40B4C" w:rsidRPr="00A729D3" w:rsidRDefault="00D40B4C" w:rsidP="00791040">
            <w:pPr>
              <w:rPr>
                <w:szCs w:val="22"/>
                <w:lang w:eastAsia="en-GB"/>
              </w:rPr>
            </w:pPr>
            <w:r w:rsidRPr="00A729D3">
              <w:rPr>
                <w:szCs w:val="22"/>
                <w:lang w:eastAsia="en-GB"/>
              </w:rPr>
              <w:t>Environmental policy risk throughout expected life of equipment unknown at present</w:t>
            </w:r>
          </w:p>
        </w:tc>
      </w:tr>
    </w:tbl>
    <w:p w:rsidR="00D40B4C" w:rsidRDefault="00D40B4C" w:rsidP="00D40B4C">
      <w:pPr>
        <w:spacing w:after="120"/>
        <w:rPr>
          <w:szCs w:val="22"/>
          <w:lang w:eastAsia="en-GB"/>
        </w:rPr>
      </w:pPr>
    </w:p>
    <w:p w:rsidR="00D40B4C" w:rsidRDefault="00D40B4C" w:rsidP="00D40B4C">
      <w:pPr>
        <w:pStyle w:val="Heading3"/>
        <w:spacing w:line="240" w:lineRule="auto"/>
      </w:pPr>
      <w:bookmarkStart w:id="160" w:name="_Toc451793731"/>
      <w:bookmarkStart w:id="161" w:name="_Toc452653429"/>
      <w:r>
        <w:t>A2.4.5</w:t>
      </w:r>
      <w:r>
        <w:tab/>
        <w:t>Option 4 – Maintaining HCFC-22</w:t>
      </w:r>
      <w:bookmarkEnd w:id="160"/>
      <w:bookmarkEnd w:id="161"/>
    </w:p>
    <w:p w:rsidR="00D40B4C" w:rsidRDefault="00D40B4C" w:rsidP="00D40B4C">
      <w:pPr>
        <w:spacing w:after="120"/>
        <w:rPr>
          <w:szCs w:val="22"/>
        </w:rPr>
      </w:pPr>
      <w:r>
        <w:rPr>
          <w:szCs w:val="22"/>
        </w:rPr>
        <w:t>Considering the current problems in finding proper solutions for the retrofit of on-board systems equipped with HCFC-22, one reasonable option could be keeping it in the system for a further few years, until the end of the system or ship life</w:t>
      </w:r>
      <w:r w:rsidRPr="00C935B8">
        <w:rPr>
          <w:szCs w:val="22"/>
        </w:rPr>
        <w:t>.</w:t>
      </w:r>
    </w:p>
    <w:p w:rsidR="00D40B4C" w:rsidRDefault="00D40B4C" w:rsidP="00D40B4C">
      <w:pPr>
        <w:spacing w:after="120"/>
        <w:rPr>
          <w:szCs w:val="22"/>
        </w:rPr>
      </w:pPr>
      <w:r>
        <w:rPr>
          <w:szCs w:val="22"/>
        </w:rPr>
        <w:t>The time horizon for this type of option should be no more than 4-5 years and the target should be those on-board plants with more than 10-15 years’ service life.</w:t>
      </w:r>
    </w:p>
    <w:p w:rsidR="00D40B4C" w:rsidRDefault="00D40B4C" w:rsidP="00D40B4C">
      <w:pPr>
        <w:spacing w:after="120"/>
        <w:rPr>
          <w:szCs w:val="22"/>
        </w:rPr>
      </w:pPr>
      <w:r>
        <w:rPr>
          <w:szCs w:val="22"/>
        </w:rPr>
        <w:t>Maintaining HCFC-22 would require the contextual execution of the following operations: i) comprehensive upgrade for improved refrigerant containment, ii) increased focus on preventive maintenance regime, iii) securing sufficient stock of gas to be held in reserve, iv) planning for an inevitable capital equipment replacement program at the end of the period to a newly released low-GWP fluid to be assessed closer to the equipment replacement date. The literature source estimates the costs for this option at 30k-50k AUS$ plus the cost of gas reserves (</w:t>
      </w:r>
      <w:r w:rsidRPr="00C935B8">
        <w:rPr>
          <w:szCs w:val="22"/>
        </w:rPr>
        <w:t>FRDC, 2013</w:t>
      </w:r>
      <w:r>
        <w:rPr>
          <w:szCs w:val="22"/>
        </w:rPr>
        <w:t>).</w:t>
      </w:r>
    </w:p>
    <w:p w:rsidR="00D40B4C" w:rsidRDefault="00D40B4C" w:rsidP="00D40B4C">
      <w:pPr>
        <w:spacing w:after="240"/>
        <w:rPr>
          <w:szCs w:val="22"/>
          <w:lang w:eastAsia="en-GB"/>
        </w:rPr>
      </w:pPr>
      <w:r>
        <w:rPr>
          <w:szCs w:val="22"/>
        </w:rPr>
        <w:t xml:space="preserve">Also for this option, one aspect to be considered is how to </w:t>
      </w:r>
      <w:r>
        <w:rPr>
          <w:szCs w:val="22"/>
          <w:lang w:eastAsia="en-GB"/>
        </w:rPr>
        <w:t>meet regulatory requirement of product importers, especially when non-flagged vessels are involved.</w:t>
      </w:r>
    </w:p>
    <w:tbl>
      <w:tblPr>
        <w:tblW w:w="907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55"/>
        <w:gridCol w:w="1418"/>
        <w:gridCol w:w="1418"/>
        <w:gridCol w:w="2098"/>
        <w:gridCol w:w="1985"/>
      </w:tblGrid>
      <w:tr w:rsidR="00D40B4C" w:rsidRPr="00A729D3" w:rsidTr="00D40B4C">
        <w:trPr>
          <w:trHeight w:val="227"/>
          <w:jc w:val="center"/>
        </w:trPr>
        <w:tc>
          <w:tcPr>
            <w:tcW w:w="2155" w:type="dxa"/>
            <w:vMerge w:val="restart"/>
            <w:tcBorders>
              <w:top w:val="single" w:sz="18" w:space="0" w:color="auto"/>
            </w:tcBorders>
            <w:shd w:val="clear" w:color="auto" w:fill="auto"/>
          </w:tcPr>
          <w:p w:rsidR="00D40B4C" w:rsidRPr="00A729D3" w:rsidRDefault="00D40B4C" w:rsidP="00791040">
            <w:pPr>
              <w:rPr>
                <w:szCs w:val="22"/>
                <w:lang w:eastAsia="en-GB"/>
              </w:rPr>
            </w:pPr>
          </w:p>
        </w:tc>
        <w:tc>
          <w:tcPr>
            <w:tcW w:w="2836" w:type="dxa"/>
            <w:gridSpan w:val="2"/>
            <w:tcBorders>
              <w:top w:val="single" w:sz="18"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Financial considerations</w:t>
            </w:r>
          </w:p>
        </w:tc>
        <w:tc>
          <w:tcPr>
            <w:tcW w:w="2098" w:type="dxa"/>
            <w:vMerge w:val="restart"/>
            <w:tcBorders>
              <w:top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Technology risk</w:t>
            </w:r>
          </w:p>
          <w:p w:rsidR="00D40B4C" w:rsidRPr="00A729D3" w:rsidRDefault="00D40B4C" w:rsidP="00791040">
            <w:pPr>
              <w:jc w:val="center"/>
              <w:rPr>
                <w:szCs w:val="22"/>
                <w:lang w:eastAsia="en-GB"/>
              </w:rPr>
            </w:pPr>
            <w:r w:rsidRPr="00A729D3">
              <w:rPr>
                <w:szCs w:val="22"/>
                <w:lang w:eastAsia="en-GB"/>
              </w:rPr>
              <w:t>(Complexity and performance)</w:t>
            </w:r>
          </w:p>
        </w:tc>
        <w:tc>
          <w:tcPr>
            <w:tcW w:w="1985" w:type="dxa"/>
            <w:vMerge w:val="restart"/>
            <w:tcBorders>
              <w:top w:val="single" w:sz="18" w:space="0" w:color="auto"/>
            </w:tcBorders>
            <w:shd w:val="clear" w:color="auto" w:fill="auto"/>
          </w:tcPr>
          <w:p w:rsidR="00D40B4C" w:rsidRPr="00A729D3" w:rsidRDefault="00D40B4C" w:rsidP="00791040">
            <w:pPr>
              <w:jc w:val="center"/>
              <w:rPr>
                <w:szCs w:val="22"/>
                <w:lang w:eastAsia="en-GB"/>
              </w:rPr>
            </w:pPr>
            <w:r w:rsidRPr="00A729D3">
              <w:rPr>
                <w:szCs w:val="22"/>
                <w:lang w:eastAsia="en-GB"/>
              </w:rPr>
              <w:t>Regulatory and environmental risk</w:t>
            </w:r>
          </w:p>
          <w:p w:rsidR="00D40B4C" w:rsidRPr="00A729D3" w:rsidRDefault="00D40B4C" w:rsidP="00791040">
            <w:pPr>
              <w:jc w:val="center"/>
              <w:rPr>
                <w:szCs w:val="22"/>
                <w:lang w:eastAsia="en-GB"/>
              </w:rPr>
            </w:pPr>
            <w:r w:rsidRPr="00A729D3">
              <w:rPr>
                <w:szCs w:val="22"/>
                <w:lang w:eastAsia="en-GB"/>
              </w:rPr>
              <w:t>(10 years horizon)</w:t>
            </w:r>
          </w:p>
        </w:tc>
      </w:tr>
      <w:tr w:rsidR="00D40B4C" w:rsidRPr="00A729D3" w:rsidTr="00D40B4C">
        <w:trPr>
          <w:trHeight w:val="517"/>
          <w:jc w:val="center"/>
        </w:trPr>
        <w:tc>
          <w:tcPr>
            <w:tcW w:w="2155" w:type="dxa"/>
            <w:vMerge/>
            <w:tcBorders>
              <w:bottom w:val="single" w:sz="4" w:space="0" w:color="auto"/>
            </w:tcBorders>
            <w:shd w:val="clear" w:color="auto" w:fill="auto"/>
          </w:tcPr>
          <w:p w:rsidR="00D40B4C" w:rsidRPr="00A729D3" w:rsidRDefault="00D40B4C" w:rsidP="00791040">
            <w:pPr>
              <w:rPr>
                <w:szCs w:val="22"/>
                <w:lang w:eastAsia="en-GB"/>
              </w:rPr>
            </w:pP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Capital investment</w:t>
            </w:r>
          </w:p>
        </w:tc>
        <w:tc>
          <w:tcPr>
            <w:tcW w:w="1418" w:type="dxa"/>
            <w:tcBorders>
              <w:top w:val="single" w:sz="4" w:space="0" w:color="auto"/>
              <w:bottom w:val="single" w:sz="4" w:space="0" w:color="auto"/>
            </w:tcBorders>
            <w:shd w:val="clear" w:color="auto" w:fill="auto"/>
            <w:vAlign w:val="center"/>
          </w:tcPr>
          <w:p w:rsidR="00D40B4C" w:rsidRPr="00A729D3" w:rsidRDefault="00D40B4C" w:rsidP="00791040">
            <w:pPr>
              <w:jc w:val="center"/>
              <w:rPr>
                <w:szCs w:val="22"/>
                <w:lang w:eastAsia="en-GB"/>
              </w:rPr>
            </w:pPr>
            <w:r w:rsidRPr="00A729D3">
              <w:rPr>
                <w:szCs w:val="22"/>
                <w:lang w:eastAsia="en-GB"/>
              </w:rPr>
              <w:t>Operating</w:t>
            </w:r>
          </w:p>
          <w:p w:rsidR="00D40B4C" w:rsidRPr="00A729D3" w:rsidRDefault="00D40B4C" w:rsidP="00791040">
            <w:pPr>
              <w:jc w:val="center"/>
              <w:rPr>
                <w:szCs w:val="22"/>
                <w:lang w:eastAsia="en-GB"/>
              </w:rPr>
            </w:pPr>
            <w:r w:rsidRPr="00A729D3">
              <w:rPr>
                <w:szCs w:val="22"/>
                <w:lang w:eastAsia="en-GB"/>
              </w:rPr>
              <w:t>expenses</w:t>
            </w:r>
          </w:p>
        </w:tc>
        <w:tc>
          <w:tcPr>
            <w:tcW w:w="2098" w:type="dxa"/>
            <w:vMerge/>
            <w:tcBorders>
              <w:bottom w:val="single" w:sz="4" w:space="0" w:color="auto"/>
            </w:tcBorders>
            <w:shd w:val="clear" w:color="auto" w:fill="auto"/>
          </w:tcPr>
          <w:p w:rsidR="00D40B4C" w:rsidRPr="00A729D3" w:rsidRDefault="00D40B4C" w:rsidP="00791040">
            <w:pPr>
              <w:jc w:val="center"/>
              <w:rPr>
                <w:szCs w:val="22"/>
                <w:lang w:eastAsia="en-GB"/>
              </w:rPr>
            </w:pPr>
          </w:p>
        </w:tc>
        <w:tc>
          <w:tcPr>
            <w:tcW w:w="1985" w:type="dxa"/>
            <w:vMerge/>
            <w:tcBorders>
              <w:bottom w:val="single" w:sz="4" w:space="0" w:color="auto"/>
            </w:tcBorders>
            <w:shd w:val="clear" w:color="auto" w:fill="auto"/>
          </w:tcPr>
          <w:p w:rsidR="00D40B4C" w:rsidRPr="00A729D3" w:rsidRDefault="00D40B4C" w:rsidP="00791040">
            <w:pPr>
              <w:jc w:val="center"/>
              <w:rPr>
                <w:szCs w:val="22"/>
                <w:lang w:eastAsia="en-GB"/>
              </w:rPr>
            </w:pPr>
          </w:p>
        </w:tc>
      </w:tr>
      <w:tr w:rsidR="00D40B4C" w:rsidRPr="00A729D3" w:rsidTr="00D40B4C">
        <w:trPr>
          <w:jc w:val="center"/>
        </w:trPr>
        <w:tc>
          <w:tcPr>
            <w:tcW w:w="2155" w:type="dxa"/>
            <w:tcBorders>
              <w:top w:val="single" w:sz="4" w:space="0" w:color="auto"/>
              <w:bottom w:val="single" w:sz="18" w:space="0" w:color="auto"/>
            </w:tcBorders>
            <w:shd w:val="clear" w:color="auto" w:fill="auto"/>
          </w:tcPr>
          <w:p w:rsidR="00D40B4C" w:rsidRPr="00A729D3" w:rsidRDefault="00D40B4C" w:rsidP="00791040">
            <w:pPr>
              <w:rPr>
                <w:szCs w:val="22"/>
                <w:lang w:eastAsia="en-GB"/>
              </w:rPr>
            </w:pPr>
          </w:p>
        </w:tc>
        <w:tc>
          <w:tcPr>
            <w:tcW w:w="1418" w:type="dxa"/>
            <w:tcBorders>
              <w:top w:val="single" w:sz="4" w:space="0" w:color="auto"/>
              <w:bottom w:val="single" w:sz="18" w:space="0" w:color="auto"/>
            </w:tcBorders>
            <w:shd w:val="clear" w:color="auto" w:fill="92D050"/>
            <w:vAlign w:val="center"/>
          </w:tcPr>
          <w:p w:rsidR="00D40B4C" w:rsidRPr="00A729D3" w:rsidRDefault="00D40B4C" w:rsidP="00791040">
            <w:pPr>
              <w:jc w:val="center"/>
              <w:rPr>
                <w:szCs w:val="22"/>
                <w:lang w:eastAsia="en-GB"/>
              </w:rPr>
            </w:pPr>
            <w:r w:rsidRPr="00A729D3">
              <w:rPr>
                <w:szCs w:val="22"/>
                <w:lang w:eastAsia="en-GB"/>
              </w:rPr>
              <w:t>Low</w:t>
            </w:r>
          </w:p>
        </w:tc>
        <w:tc>
          <w:tcPr>
            <w:tcW w:w="1418" w:type="dxa"/>
            <w:tcBorders>
              <w:top w:val="single" w:sz="4" w:space="0" w:color="auto"/>
              <w:bottom w:val="single" w:sz="18" w:space="0" w:color="auto"/>
            </w:tcBorders>
            <w:shd w:val="clear" w:color="auto" w:fill="FF0000"/>
            <w:vAlign w:val="center"/>
          </w:tcPr>
          <w:p w:rsidR="00D40B4C" w:rsidRPr="00A729D3" w:rsidRDefault="00D40B4C" w:rsidP="00791040">
            <w:pPr>
              <w:jc w:val="center"/>
              <w:rPr>
                <w:szCs w:val="22"/>
                <w:lang w:eastAsia="en-GB"/>
              </w:rPr>
            </w:pPr>
            <w:r w:rsidRPr="00A729D3">
              <w:rPr>
                <w:szCs w:val="22"/>
                <w:lang w:eastAsia="en-GB"/>
              </w:rPr>
              <w:t>High</w:t>
            </w:r>
          </w:p>
        </w:tc>
        <w:tc>
          <w:tcPr>
            <w:tcW w:w="2098" w:type="dxa"/>
            <w:tcBorders>
              <w:top w:val="single" w:sz="4" w:space="0" w:color="auto"/>
              <w:bottom w:val="single" w:sz="18" w:space="0" w:color="auto"/>
            </w:tcBorders>
            <w:shd w:val="clear" w:color="auto" w:fill="92D050"/>
            <w:vAlign w:val="center"/>
          </w:tcPr>
          <w:p w:rsidR="00D40B4C" w:rsidRPr="00A729D3" w:rsidRDefault="00D40B4C" w:rsidP="00791040">
            <w:pPr>
              <w:jc w:val="center"/>
              <w:rPr>
                <w:szCs w:val="22"/>
                <w:lang w:eastAsia="en-GB"/>
              </w:rPr>
            </w:pPr>
            <w:r w:rsidRPr="00A729D3">
              <w:rPr>
                <w:szCs w:val="22"/>
                <w:lang w:eastAsia="en-GB"/>
              </w:rPr>
              <w:t>Low</w:t>
            </w:r>
          </w:p>
        </w:tc>
        <w:tc>
          <w:tcPr>
            <w:tcW w:w="1985" w:type="dxa"/>
            <w:tcBorders>
              <w:top w:val="single" w:sz="4" w:space="0" w:color="auto"/>
              <w:bottom w:val="single" w:sz="18" w:space="0" w:color="auto"/>
            </w:tcBorders>
            <w:shd w:val="clear" w:color="auto" w:fill="FF0000"/>
            <w:vAlign w:val="center"/>
          </w:tcPr>
          <w:p w:rsidR="00D40B4C" w:rsidRPr="00A729D3" w:rsidRDefault="00D40B4C" w:rsidP="00791040">
            <w:pPr>
              <w:jc w:val="center"/>
              <w:rPr>
                <w:szCs w:val="22"/>
                <w:lang w:eastAsia="en-GB"/>
              </w:rPr>
            </w:pPr>
            <w:r w:rsidRPr="00A729D3">
              <w:rPr>
                <w:szCs w:val="22"/>
                <w:lang w:eastAsia="en-GB"/>
              </w:rPr>
              <w:t>Very high</w:t>
            </w:r>
          </w:p>
        </w:tc>
      </w:tr>
      <w:tr w:rsidR="00D40B4C" w:rsidRPr="00A729D3" w:rsidTr="00D40B4C">
        <w:trPr>
          <w:jc w:val="center"/>
        </w:trPr>
        <w:tc>
          <w:tcPr>
            <w:tcW w:w="9074" w:type="dxa"/>
            <w:gridSpan w:val="5"/>
            <w:tcBorders>
              <w:top w:val="single" w:sz="18" w:space="0" w:color="auto"/>
            </w:tcBorders>
            <w:shd w:val="clear" w:color="auto" w:fill="auto"/>
          </w:tcPr>
          <w:p w:rsidR="00D40B4C" w:rsidRPr="00A729D3" w:rsidRDefault="00D40B4C" w:rsidP="00791040">
            <w:pPr>
              <w:rPr>
                <w:b/>
                <w:i/>
                <w:szCs w:val="22"/>
                <w:lang w:eastAsia="en-GB"/>
              </w:rPr>
            </w:pPr>
            <w:r w:rsidRPr="00A729D3">
              <w:rPr>
                <w:b/>
                <w:i/>
                <w:szCs w:val="22"/>
                <w:lang w:eastAsia="en-GB"/>
              </w:rPr>
              <w:t>Option 4 – Maintaining HCFC-22</w:t>
            </w:r>
          </w:p>
        </w:tc>
      </w:tr>
      <w:tr w:rsidR="00D40B4C" w:rsidRPr="00A729D3" w:rsidTr="00D40B4C">
        <w:trPr>
          <w:jc w:val="center"/>
        </w:trPr>
        <w:tc>
          <w:tcPr>
            <w:tcW w:w="2155" w:type="dxa"/>
            <w:shd w:val="clear" w:color="auto" w:fill="auto"/>
          </w:tcPr>
          <w:p w:rsidR="00D40B4C" w:rsidRPr="00A729D3" w:rsidRDefault="00D40B4C" w:rsidP="00791040">
            <w:pPr>
              <w:rPr>
                <w:szCs w:val="22"/>
                <w:lang w:eastAsia="en-GB"/>
              </w:rPr>
            </w:pPr>
            <w:r w:rsidRPr="00A729D3">
              <w:rPr>
                <w:szCs w:val="22"/>
                <w:lang w:eastAsia="en-GB"/>
              </w:rPr>
              <w:t>Existing plant, operating with HCFC-22, with improved containment</w:t>
            </w:r>
          </w:p>
          <w:p w:rsidR="00D40B4C" w:rsidRPr="00A729D3" w:rsidRDefault="00D40B4C" w:rsidP="00791040">
            <w:pPr>
              <w:rPr>
                <w:szCs w:val="22"/>
                <w:lang w:eastAsia="en-GB"/>
              </w:rPr>
            </w:pPr>
            <w:r w:rsidRPr="00A729D3">
              <w:rPr>
                <w:szCs w:val="22"/>
                <w:lang w:eastAsia="en-GB"/>
              </w:rPr>
              <w:t>Short term solution (max 4-5 years)</w:t>
            </w:r>
          </w:p>
          <w:p w:rsidR="00D40B4C" w:rsidRPr="00A729D3" w:rsidRDefault="00D40B4C" w:rsidP="00791040">
            <w:pPr>
              <w:rPr>
                <w:szCs w:val="22"/>
                <w:lang w:eastAsia="en-GB"/>
              </w:rPr>
            </w:pPr>
            <w:r w:rsidRPr="00A729D3">
              <w:rPr>
                <w:szCs w:val="22"/>
                <w:lang w:eastAsia="en-GB"/>
              </w:rPr>
              <w:t xml:space="preserve">May not be practical </w:t>
            </w:r>
            <w:r>
              <w:rPr>
                <w:szCs w:val="22"/>
                <w:lang w:eastAsia="en-GB"/>
              </w:rPr>
              <w:t>for</w:t>
            </w:r>
            <w:r w:rsidRPr="00A729D3">
              <w:rPr>
                <w:szCs w:val="22"/>
                <w:lang w:eastAsia="en-GB"/>
              </w:rPr>
              <w:t xml:space="preserve"> all vessels</w:t>
            </w:r>
          </w:p>
        </w:tc>
        <w:tc>
          <w:tcPr>
            <w:tcW w:w="1418" w:type="dxa"/>
            <w:shd w:val="clear" w:color="auto" w:fill="auto"/>
          </w:tcPr>
          <w:p w:rsidR="00D40B4C" w:rsidRPr="00A729D3" w:rsidRDefault="00D40B4C" w:rsidP="00791040">
            <w:pPr>
              <w:rPr>
                <w:szCs w:val="22"/>
                <w:lang w:eastAsia="en-GB"/>
              </w:rPr>
            </w:pPr>
            <w:r w:rsidRPr="00A729D3">
              <w:rPr>
                <w:szCs w:val="22"/>
                <w:lang w:eastAsia="en-GB"/>
              </w:rPr>
              <w:t>Requires improvement of refrigerant containment</w:t>
            </w:r>
          </w:p>
        </w:tc>
        <w:tc>
          <w:tcPr>
            <w:tcW w:w="1418" w:type="dxa"/>
            <w:shd w:val="clear" w:color="auto" w:fill="auto"/>
          </w:tcPr>
          <w:p w:rsidR="00D40B4C" w:rsidRPr="00A729D3" w:rsidRDefault="00D40B4C" w:rsidP="00791040">
            <w:pPr>
              <w:rPr>
                <w:szCs w:val="22"/>
                <w:lang w:eastAsia="en-GB"/>
              </w:rPr>
            </w:pPr>
            <w:r w:rsidRPr="00A729D3">
              <w:rPr>
                <w:szCs w:val="22"/>
                <w:lang w:eastAsia="en-GB"/>
              </w:rPr>
              <w:t>HCFC-22 price expected to increase</w:t>
            </w:r>
          </w:p>
        </w:tc>
        <w:tc>
          <w:tcPr>
            <w:tcW w:w="2098" w:type="dxa"/>
            <w:shd w:val="clear" w:color="auto" w:fill="auto"/>
          </w:tcPr>
          <w:p w:rsidR="00D40B4C" w:rsidRPr="00A729D3" w:rsidRDefault="00D40B4C" w:rsidP="00791040">
            <w:pPr>
              <w:rPr>
                <w:szCs w:val="22"/>
                <w:lang w:eastAsia="en-GB"/>
              </w:rPr>
            </w:pPr>
            <w:r w:rsidRPr="00A729D3">
              <w:rPr>
                <w:szCs w:val="22"/>
                <w:lang w:eastAsia="en-GB"/>
              </w:rPr>
              <w:t xml:space="preserve">No change in technology </w:t>
            </w:r>
          </w:p>
          <w:p w:rsidR="00D40B4C" w:rsidRPr="00A729D3" w:rsidRDefault="00D40B4C" w:rsidP="00791040">
            <w:pPr>
              <w:rPr>
                <w:szCs w:val="22"/>
                <w:lang w:eastAsia="en-GB"/>
              </w:rPr>
            </w:pPr>
            <w:r>
              <w:rPr>
                <w:szCs w:val="22"/>
                <w:lang w:eastAsia="en-GB"/>
              </w:rPr>
              <w:t>Availability</w:t>
            </w:r>
            <w:r w:rsidRPr="00A729D3">
              <w:rPr>
                <w:szCs w:val="22"/>
                <w:lang w:eastAsia="en-GB"/>
              </w:rPr>
              <w:t xml:space="preserve"> of HCFC-22 </w:t>
            </w:r>
            <w:r>
              <w:rPr>
                <w:szCs w:val="22"/>
                <w:lang w:eastAsia="en-GB"/>
              </w:rPr>
              <w:t>will decrease</w:t>
            </w:r>
          </w:p>
        </w:tc>
        <w:tc>
          <w:tcPr>
            <w:tcW w:w="1985" w:type="dxa"/>
            <w:shd w:val="clear" w:color="auto" w:fill="auto"/>
          </w:tcPr>
          <w:p w:rsidR="00D40B4C" w:rsidRPr="00A729D3" w:rsidRDefault="00D40B4C" w:rsidP="00791040">
            <w:pPr>
              <w:rPr>
                <w:szCs w:val="22"/>
                <w:lang w:eastAsia="en-GB"/>
              </w:rPr>
            </w:pPr>
            <w:r w:rsidRPr="00A729D3">
              <w:rPr>
                <w:szCs w:val="22"/>
                <w:lang w:eastAsia="en-GB"/>
              </w:rPr>
              <w:t>HFC-22 phase-out in advanced stages</w:t>
            </w:r>
          </w:p>
        </w:tc>
      </w:tr>
    </w:tbl>
    <w:p w:rsidR="0012364B" w:rsidRDefault="0012364B" w:rsidP="00146B22">
      <w:pPr>
        <w:pStyle w:val="Heading3"/>
        <w:spacing w:line="240" w:lineRule="auto"/>
      </w:pPr>
      <w:bookmarkStart w:id="162" w:name="_Toc451252571"/>
    </w:p>
    <w:p w:rsidR="00146B22" w:rsidRDefault="00146B22" w:rsidP="00146B22">
      <w:pPr>
        <w:pStyle w:val="Heading3"/>
        <w:spacing w:line="240" w:lineRule="auto"/>
      </w:pPr>
      <w:bookmarkStart w:id="163" w:name="_Toc452653430"/>
      <w:r>
        <w:t>A</w:t>
      </w:r>
      <w:r w:rsidR="00DB5D06">
        <w:t>2</w:t>
      </w:r>
      <w:r>
        <w:t>.4.6</w:t>
      </w:r>
      <w:r>
        <w:tab/>
        <w:t>Ultra-</w:t>
      </w:r>
      <w:r w:rsidR="00DB5D06">
        <w:t>l</w:t>
      </w:r>
      <w:r>
        <w:t xml:space="preserve">ow </w:t>
      </w:r>
      <w:r w:rsidR="00DB5D06">
        <w:t>t</w:t>
      </w:r>
      <w:r>
        <w:t xml:space="preserve">emperature </w:t>
      </w:r>
      <w:r w:rsidR="00DB5D06">
        <w:t>s</w:t>
      </w:r>
      <w:r>
        <w:t>olutions</w:t>
      </w:r>
      <w:bookmarkEnd w:id="162"/>
      <w:bookmarkEnd w:id="163"/>
    </w:p>
    <w:p w:rsidR="00146B22" w:rsidRDefault="00146B22" w:rsidP="00146B22">
      <w:pPr>
        <w:autoSpaceDE w:val="0"/>
        <w:autoSpaceDN w:val="0"/>
        <w:adjustRightInd w:val="0"/>
        <w:spacing w:after="120"/>
        <w:rPr>
          <w:szCs w:val="22"/>
          <w:lang w:eastAsia="en-GB"/>
        </w:rPr>
      </w:pPr>
      <w:r w:rsidRPr="003A33EC">
        <w:rPr>
          <w:szCs w:val="22"/>
          <w:lang w:eastAsia="en-GB"/>
        </w:rPr>
        <w:t xml:space="preserve">Blast freezers for low temperature </w:t>
      </w:r>
      <w:r>
        <w:rPr>
          <w:szCs w:val="22"/>
          <w:lang w:eastAsia="en-GB"/>
        </w:rPr>
        <w:t>operations (-6</w:t>
      </w:r>
      <w:r w:rsidRPr="003A33EC">
        <w:rPr>
          <w:szCs w:val="22"/>
          <w:lang w:eastAsia="en-GB"/>
        </w:rPr>
        <w:t>0°C</w:t>
      </w:r>
      <w:r>
        <w:rPr>
          <w:szCs w:val="22"/>
          <w:lang w:eastAsia="en-GB"/>
        </w:rPr>
        <w:t xml:space="preserve"> and below</w:t>
      </w:r>
      <w:r w:rsidRPr="003A33EC">
        <w:rPr>
          <w:szCs w:val="22"/>
          <w:lang w:eastAsia="en-GB"/>
        </w:rPr>
        <w:t xml:space="preserve">) </w:t>
      </w:r>
      <w:r>
        <w:rPr>
          <w:szCs w:val="22"/>
          <w:lang w:eastAsia="en-GB"/>
        </w:rPr>
        <w:t>needed for sushi or sashimi grade tuna must</w:t>
      </w:r>
      <w:r w:rsidRPr="003A33EC">
        <w:rPr>
          <w:szCs w:val="22"/>
          <w:lang w:eastAsia="en-GB"/>
        </w:rPr>
        <w:t xml:space="preserve"> use a cascade or two-stage compressor. </w:t>
      </w:r>
    </w:p>
    <w:p w:rsidR="00146B22" w:rsidRDefault="00146B22" w:rsidP="002C627E">
      <w:pPr>
        <w:autoSpaceDE w:val="0"/>
        <w:autoSpaceDN w:val="0"/>
        <w:adjustRightInd w:val="0"/>
        <w:spacing w:after="240"/>
        <w:rPr>
          <w:szCs w:val="22"/>
          <w:lang w:eastAsia="en-GB"/>
        </w:rPr>
      </w:pPr>
      <w:r w:rsidRPr="00C935B8">
        <w:rPr>
          <w:szCs w:val="22"/>
          <w:lang w:eastAsia="en-GB"/>
        </w:rPr>
        <w:t xml:space="preserve">Table </w:t>
      </w:r>
      <w:r>
        <w:rPr>
          <w:szCs w:val="22"/>
          <w:lang w:eastAsia="en-GB"/>
        </w:rPr>
        <w:t>A</w:t>
      </w:r>
      <w:r w:rsidR="00DB5D06">
        <w:rPr>
          <w:szCs w:val="22"/>
          <w:lang w:eastAsia="en-GB"/>
        </w:rPr>
        <w:t>2</w:t>
      </w:r>
      <w:r w:rsidRPr="00C935B8">
        <w:rPr>
          <w:szCs w:val="22"/>
          <w:lang w:eastAsia="en-GB"/>
        </w:rPr>
        <w:t>-</w:t>
      </w:r>
      <w:r>
        <w:rPr>
          <w:szCs w:val="22"/>
          <w:lang w:eastAsia="en-GB"/>
        </w:rPr>
        <w:t>3</w:t>
      </w:r>
      <w:r w:rsidRPr="00C935B8">
        <w:rPr>
          <w:szCs w:val="22"/>
          <w:lang w:eastAsia="en-GB"/>
        </w:rPr>
        <w:t xml:space="preserve"> </w:t>
      </w:r>
      <w:r w:rsidR="00202ABD">
        <w:rPr>
          <w:szCs w:val="22"/>
        </w:rPr>
        <w:t>(</w:t>
      </w:r>
      <w:r w:rsidRPr="00C935B8">
        <w:rPr>
          <w:szCs w:val="22"/>
        </w:rPr>
        <w:t>UNEP, 2014, UNEP, 2016</w:t>
      </w:r>
      <w:r w:rsidR="00202ABD">
        <w:rPr>
          <w:szCs w:val="22"/>
        </w:rPr>
        <w:t>)</w:t>
      </w:r>
      <w:r w:rsidRPr="00C935B8">
        <w:rPr>
          <w:szCs w:val="22"/>
        </w:rPr>
        <w:t xml:space="preserve"> </w:t>
      </w:r>
      <w:r w:rsidRPr="00C935B8">
        <w:rPr>
          <w:szCs w:val="22"/>
          <w:lang w:eastAsia="en-GB"/>
        </w:rPr>
        <w:t>shows the</w:t>
      </w:r>
      <w:r>
        <w:rPr>
          <w:szCs w:val="22"/>
          <w:lang w:eastAsia="en-GB"/>
        </w:rPr>
        <w:t xml:space="preserve"> situation of available refrigerants for cascade systems to be used on board ships.</w:t>
      </w:r>
    </w:p>
    <w:p w:rsidR="00146B22" w:rsidRPr="00DF1E74" w:rsidRDefault="00146B22" w:rsidP="00146B22">
      <w:pPr>
        <w:pStyle w:val="Caption"/>
        <w:pBdr>
          <w:bottom w:val="none" w:sz="0" w:space="0" w:color="auto"/>
        </w:pBdr>
        <w:spacing w:after="120"/>
        <w:rPr>
          <w:lang w:val="en-US"/>
        </w:rPr>
      </w:pPr>
      <w:r w:rsidRPr="00DF1E74">
        <w:rPr>
          <w:lang w:val="en-US"/>
        </w:rPr>
        <w:lastRenderedPageBreak/>
        <w:t>Table A</w:t>
      </w:r>
      <w:r w:rsidR="00DB5D06">
        <w:rPr>
          <w:lang w:val="en-US"/>
        </w:rPr>
        <w:t>2</w:t>
      </w:r>
      <w:r w:rsidRPr="00DF1E74">
        <w:rPr>
          <w:lang w:val="en-US"/>
        </w:rPr>
        <w:t>-</w:t>
      </w:r>
      <w:r w:rsidRPr="003A33EC">
        <w:fldChar w:fldCharType="begin"/>
      </w:r>
      <w:r w:rsidRPr="00DF1E74">
        <w:rPr>
          <w:lang w:val="en-US"/>
        </w:rPr>
        <w:instrText xml:space="preserve"> SEQ Table \* ARABIC </w:instrText>
      </w:r>
      <w:r w:rsidRPr="003A33EC">
        <w:fldChar w:fldCharType="separate"/>
      </w:r>
      <w:r w:rsidR="00C006A4">
        <w:rPr>
          <w:noProof/>
          <w:lang w:val="en-US"/>
        </w:rPr>
        <w:t>3</w:t>
      </w:r>
      <w:r w:rsidRPr="003A33EC">
        <w:rPr>
          <w:noProof/>
        </w:rPr>
        <w:fldChar w:fldCharType="end"/>
      </w:r>
      <w:r w:rsidRPr="00DF1E74">
        <w:rPr>
          <w:lang w:val="en-US"/>
        </w:rPr>
        <w:t xml:space="preserve"> Refrigerants used on board ship in cascade systems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361"/>
        <w:gridCol w:w="1701"/>
        <w:gridCol w:w="1814"/>
        <w:gridCol w:w="2041"/>
      </w:tblGrid>
      <w:tr w:rsidR="00146B22" w:rsidRPr="003A33EC" w:rsidTr="004C4FC8">
        <w:trPr>
          <w:jc w:val="center"/>
        </w:trPr>
        <w:tc>
          <w:tcPr>
            <w:tcW w:w="1361" w:type="dxa"/>
            <w:tcBorders>
              <w:top w:val="single" w:sz="18" w:space="0" w:color="auto"/>
              <w:bottom w:val="single" w:sz="18" w:space="0" w:color="auto"/>
            </w:tcBorders>
            <w:shd w:val="clear" w:color="auto" w:fill="auto"/>
            <w:vAlign w:val="center"/>
          </w:tcPr>
          <w:p w:rsidR="00146B22" w:rsidRPr="008B064A" w:rsidRDefault="00146B22" w:rsidP="002C627E">
            <w:pPr>
              <w:jc w:val="center"/>
              <w:rPr>
                <w:rFonts w:eastAsia="Arial"/>
                <w:b/>
                <w:bCs/>
                <w:szCs w:val="22"/>
                <w:lang w:eastAsia="en-GB"/>
              </w:rPr>
            </w:pPr>
            <w:r w:rsidRPr="008B064A">
              <w:rPr>
                <w:rFonts w:eastAsia="Arial"/>
                <w:b/>
                <w:bCs/>
                <w:szCs w:val="22"/>
                <w:lang w:eastAsia="en-GB"/>
              </w:rPr>
              <w:t>Refrigerant</w:t>
            </w:r>
          </w:p>
        </w:tc>
        <w:tc>
          <w:tcPr>
            <w:tcW w:w="1701" w:type="dxa"/>
            <w:tcBorders>
              <w:top w:val="single" w:sz="18" w:space="0" w:color="auto"/>
              <w:bottom w:val="single" w:sz="18" w:space="0" w:color="auto"/>
            </w:tcBorders>
            <w:shd w:val="clear" w:color="auto" w:fill="auto"/>
            <w:vAlign w:val="center"/>
          </w:tcPr>
          <w:p w:rsidR="00146B22" w:rsidRDefault="00146B22" w:rsidP="002C627E">
            <w:pPr>
              <w:jc w:val="center"/>
              <w:rPr>
                <w:rFonts w:eastAsia="Arial"/>
                <w:b/>
                <w:bCs/>
                <w:szCs w:val="22"/>
                <w:lang w:eastAsia="en-GB"/>
              </w:rPr>
            </w:pPr>
            <w:r w:rsidRPr="008B064A">
              <w:rPr>
                <w:rFonts w:eastAsia="Arial"/>
                <w:b/>
                <w:bCs/>
                <w:szCs w:val="22"/>
                <w:lang w:eastAsia="en-GB"/>
              </w:rPr>
              <w:t>N</w:t>
            </w:r>
            <w:r>
              <w:rPr>
                <w:rFonts w:eastAsia="Arial"/>
                <w:b/>
                <w:bCs/>
                <w:szCs w:val="22"/>
                <w:lang w:eastAsia="en-GB"/>
              </w:rPr>
              <w:t xml:space="preserve">ormal </w:t>
            </w:r>
            <w:r w:rsidRPr="008B064A">
              <w:rPr>
                <w:rFonts w:eastAsia="Arial"/>
                <w:b/>
                <w:bCs/>
                <w:szCs w:val="22"/>
                <w:lang w:eastAsia="en-GB"/>
              </w:rPr>
              <w:t>B</w:t>
            </w:r>
            <w:r>
              <w:rPr>
                <w:rFonts w:eastAsia="Arial"/>
                <w:b/>
                <w:bCs/>
                <w:szCs w:val="22"/>
                <w:lang w:eastAsia="en-GB"/>
              </w:rPr>
              <w:t xml:space="preserve">oiling </w:t>
            </w:r>
            <w:r w:rsidRPr="008B064A">
              <w:rPr>
                <w:rFonts w:eastAsia="Arial"/>
                <w:b/>
                <w:bCs/>
                <w:szCs w:val="22"/>
                <w:lang w:eastAsia="en-GB"/>
              </w:rPr>
              <w:t>P</w:t>
            </w:r>
            <w:r>
              <w:rPr>
                <w:rFonts w:eastAsia="Arial"/>
                <w:b/>
                <w:bCs/>
                <w:szCs w:val="22"/>
                <w:lang w:eastAsia="en-GB"/>
              </w:rPr>
              <w:t>oint</w:t>
            </w:r>
          </w:p>
          <w:p w:rsidR="00146B22" w:rsidRPr="008B064A" w:rsidRDefault="00202ABD" w:rsidP="002C627E">
            <w:pPr>
              <w:jc w:val="center"/>
              <w:rPr>
                <w:rFonts w:eastAsia="Arial"/>
                <w:b/>
                <w:bCs/>
                <w:szCs w:val="22"/>
                <w:lang w:eastAsia="en-GB"/>
              </w:rPr>
            </w:pPr>
            <w:r>
              <w:rPr>
                <w:rFonts w:eastAsia="Arial"/>
                <w:b/>
                <w:bCs/>
                <w:szCs w:val="22"/>
                <w:lang w:eastAsia="en-GB"/>
              </w:rPr>
              <w:t>(</w:t>
            </w:r>
            <w:r w:rsidR="00146B22" w:rsidRPr="008B064A">
              <w:rPr>
                <w:rFonts w:eastAsia="Arial"/>
                <w:b/>
                <w:bCs/>
                <w:szCs w:val="22"/>
                <w:lang w:eastAsia="en-GB"/>
              </w:rPr>
              <w:t>°C</w:t>
            </w:r>
            <w:r>
              <w:rPr>
                <w:rFonts w:eastAsia="Arial"/>
                <w:b/>
                <w:bCs/>
                <w:szCs w:val="22"/>
                <w:lang w:eastAsia="en-GB"/>
              </w:rPr>
              <w:t>)</w:t>
            </w:r>
          </w:p>
        </w:tc>
        <w:tc>
          <w:tcPr>
            <w:tcW w:w="1814" w:type="dxa"/>
            <w:tcBorders>
              <w:top w:val="single" w:sz="18" w:space="0" w:color="auto"/>
              <w:bottom w:val="single" w:sz="18" w:space="0" w:color="auto"/>
            </w:tcBorders>
            <w:shd w:val="clear" w:color="auto" w:fill="auto"/>
            <w:vAlign w:val="center"/>
          </w:tcPr>
          <w:p w:rsidR="00146B22" w:rsidRPr="008B064A" w:rsidRDefault="00146B22" w:rsidP="002C627E">
            <w:pPr>
              <w:jc w:val="center"/>
              <w:rPr>
                <w:rFonts w:eastAsia="Arial"/>
                <w:b/>
                <w:bCs/>
                <w:szCs w:val="22"/>
                <w:lang w:eastAsia="en-GB"/>
              </w:rPr>
            </w:pPr>
            <w:r w:rsidRPr="008B064A">
              <w:rPr>
                <w:rFonts w:eastAsia="Arial"/>
                <w:b/>
                <w:bCs/>
                <w:szCs w:val="22"/>
                <w:lang w:eastAsia="en-GB"/>
              </w:rPr>
              <w:t>Cascade stage</w:t>
            </w:r>
          </w:p>
        </w:tc>
        <w:tc>
          <w:tcPr>
            <w:tcW w:w="2041" w:type="dxa"/>
            <w:tcBorders>
              <w:top w:val="single" w:sz="18" w:space="0" w:color="auto"/>
              <w:bottom w:val="single" w:sz="18" w:space="0" w:color="auto"/>
            </w:tcBorders>
            <w:shd w:val="clear" w:color="auto" w:fill="auto"/>
            <w:vAlign w:val="center"/>
          </w:tcPr>
          <w:p w:rsidR="00146B22" w:rsidRDefault="00146B22" w:rsidP="002C627E">
            <w:pPr>
              <w:jc w:val="center"/>
              <w:rPr>
                <w:rFonts w:eastAsia="Arial"/>
                <w:b/>
                <w:bCs/>
                <w:szCs w:val="22"/>
                <w:lang w:eastAsia="en-GB"/>
              </w:rPr>
            </w:pPr>
            <w:r>
              <w:rPr>
                <w:rFonts w:eastAsia="Arial"/>
                <w:b/>
                <w:bCs/>
                <w:szCs w:val="22"/>
                <w:lang w:eastAsia="en-GB"/>
              </w:rPr>
              <w:t>GWP</w:t>
            </w:r>
          </w:p>
          <w:p w:rsidR="00146B22" w:rsidRPr="008B064A" w:rsidRDefault="00146B22" w:rsidP="002C627E">
            <w:pPr>
              <w:jc w:val="center"/>
              <w:rPr>
                <w:rFonts w:eastAsia="Arial"/>
                <w:b/>
                <w:bCs/>
                <w:szCs w:val="22"/>
                <w:lang w:eastAsia="en-GB"/>
              </w:rPr>
            </w:pPr>
            <w:r w:rsidRPr="008B064A">
              <w:rPr>
                <w:rFonts w:eastAsia="Arial"/>
                <w:b/>
                <w:bCs/>
                <w:szCs w:val="22"/>
                <w:lang w:eastAsia="en-GB"/>
              </w:rPr>
              <w:t>100 year</w:t>
            </w:r>
            <w:r>
              <w:rPr>
                <w:rFonts w:eastAsia="Arial"/>
                <w:b/>
                <w:bCs/>
                <w:szCs w:val="22"/>
                <w:lang w:eastAsia="en-GB"/>
              </w:rPr>
              <w:t>s</w:t>
            </w:r>
          </w:p>
        </w:tc>
      </w:tr>
      <w:tr w:rsidR="00146B22" w:rsidRPr="003A33EC" w:rsidTr="004C4FC8">
        <w:trPr>
          <w:jc w:val="center"/>
        </w:trPr>
        <w:tc>
          <w:tcPr>
            <w:tcW w:w="1361" w:type="dxa"/>
            <w:tcBorders>
              <w:top w:val="single" w:sz="18" w:space="0" w:color="auto"/>
            </w:tcBorders>
            <w:shd w:val="clear" w:color="auto" w:fill="auto"/>
            <w:vAlign w:val="center"/>
          </w:tcPr>
          <w:p w:rsidR="00146B22" w:rsidRPr="008B064A" w:rsidRDefault="00146B22" w:rsidP="002C627E">
            <w:pPr>
              <w:spacing w:before="60" w:after="20"/>
              <w:rPr>
                <w:rFonts w:eastAsia="Arial"/>
                <w:b/>
                <w:bCs/>
                <w:szCs w:val="22"/>
                <w:lang w:eastAsia="en-GB"/>
              </w:rPr>
            </w:pPr>
            <w:r>
              <w:rPr>
                <w:rFonts w:eastAsia="Arial"/>
                <w:b/>
                <w:bCs/>
                <w:szCs w:val="22"/>
                <w:lang w:eastAsia="en-GB"/>
              </w:rPr>
              <w:t>HCFC-</w:t>
            </w:r>
            <w:r w:rsidRPr="008B064A">
              <w:rPr>
                <w:rFonts w:eastAsia="Arial"/>
                <w:b/>
                <w:bCs/>
                <w:szCs w:val="22"/>
                <w:lang w:eastAsia="en-GB"/>
              </w:rPr>
              <w:t>22</w:t>
            </w:r>
          </w:p>
        </w:tc>
        <w:tc>
          <w:tcPr>
            <w:tcW w:w="1701" w:type="dxa"/>
            <w:tcBorders>
              <w:top w:val="single" w:sz="18" w:space="0" w:color="auto"/>
            </w:tcBorders>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-41</w:t>
            </w:r>
          </w:p>
        </w:tc>
        <w:tc>
          <w:tcPr>
            <w:tcW w:w="1814" w:type="dxa"/>
            <w:tcBorders>
              <w:top w:val="single" w:sz="18" w:space="0" w:color="auto"/>
            </w:tcBorders>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c>
          <w:tcPr>
            <w:tcW w:w="2041" w:type="dxa"/>
            <w:tcBorders>
              <w:top w:val="single" w:sz="18" w:space="0" w:color="auto"/>
            </w:tcBorders>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1780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R-404A</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-46.6/-45.8</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4200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w:t>
            </w:r>
            <w:r>
              <w:rPr>
                <w:rFonts w:eastAsia="Arial"/>
                <w:b/>
                <w:bCs/>
                <w:szCs w:val="22"/>
                <w:lang w:eastAsia="en-GB"/>
              </w:rPr>
              <w:t>-</w:t>
            </w:r>
            <w:r w:rsidRPr="008B064A">
              <w:rPr>
                <w:rFonts w:eastAsia="Arial"/>
                <w:b/>
                <w:bCs/>
                <w:szCs w:val="22"/>
                <w:lang w:eastAsia="en-GB"/>
              </w:rPr>
              <w:t>407F</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-46.1/-39.7</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1800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w:t>
            </w:r>
            <w:r>
              <w:rPr>
                <w:rFonts w:eastAsia="Arial"/>
                <w:b/>
                <w:bCs/>
                <w:szCs w:val="22"/>
                <w:lang w:eastAsia="en-GB"/>
              </w:rPr>
              <w:t>-</w:t>
            </w:r>
            <w:r w:rsidRPr="008B064A">
              <w:rPr>
                <w:rFonts w:eastAsia="Arial"/>
                <w:b/>
                <w:bCs/>
                <w:szCs w:val="22"/>
                <w:lang w:eastAsia="en-GB"/>
              </w:rPr>
              <w:t>507A</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-47.1</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4300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R-717</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-33.3</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Pr>
                <w:rFonts w:eastAsia="Arial"/>
                <w:b/>
                <w:bCs/>
                <w:szCs w:val="22"/>
                <w:lang w:eastAsia="en-GB"/>
              </w:rPr>
              <w:t>HFC-</w:t>
            </w:r>
            <w:r w:rsidRPr="008B064A">
              <w:rPr>
                <w:rFonts w:eastAsia="Arial"/>
                <w:b/>
                <w:bCs/>
                <w:szCs w:val="22"/>
                <w:lang w:eastAsia="en-GB"/>
              </w:rPr>
              <w:t>23</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-82</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12500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Pr>
                <w:rFonts w:eastAsia="Arial"/>
                <w:b/>
                <w:bCs/>
                <w:szCs w:val="22"/>
                <w:lang w:eastAsia="en-GB"/>
              </w:rPr>
              <w:t>R-508A</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Pr>
                <w:rFonts w:eastAsia="Arial"/>
                <w:bCs/>
                <w:szCs w:val="22"/>
                <w:lang w:eastAsia="en-GB"/>
              </w:rPr>
              <w:t>-87.4</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12000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R-508B</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Pr>
                <w:rFonts w:eastAsia="Arial"/>
                <w:bCs/>
                <w:szCs w:val="22"/>
                <w:lang w:eastAsia="en-GB"/>
              </w:rPr>
              <w:t>-87.4</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12000</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sidRPr="008B064A">
              <w:rPr>
                <w:rFonts w:eastAsia="Arial"/>
                <w:b/>
                <w:bCs/>
                <w:szCs w:val="22"/>
                <w:lang w:eastAsia="en-GB"/>
              </w:rPr>
              <w:t>R-744</w:t>
            </w:r>
          </w:p>
        </w:tc>
        <w:tc>
          <w:tcPr>
            <w:tcW w:w="1701" w:type="dxa"/>
            <w:shd w:val="clear" w:color="auto" w:fill="auto"/>
            <w:vAlign w:val="center"/>
          </w:tcPr>
          <w:p w:rsidR="00146B22" w:rsidRPr="008B064A" w:rsidRDefault="00146B22" w:rsidP="002C627E">
            <w:pPr>
              <w:spacing w:before="60" w:after="20"/>
              <w:jc w:val="center"/>
              <w:rPr>
                <w:rFonts w:eastAsia="Arial"/>
                <w:bCs/>
                <w:szCs w:val="22"/>
                <w:lang w:eastAsia="en-GB"/>
              </w:rPr>
            </w:pPr>
            <w:r>
              <w:rPr>
                <w:rFonts w:eastAsia="Arial"/>
                <w:bCs/>
                <w:szCs w:val="22"/>
                <w:lang w:eastAsia="en-GB"/>
              </w:rPr>
              <w:t>-56.2</w:t>
            </w:r>
            <w:r w:rsidRPr="008B064A">
              <w:rPr>
                <w:rFonts w:eastAsia="Arial"/>
                <w:bCs/>
                <w:szCs w:val="22"/>
                <w:lang w:eastAsia="en-GB"/>
              </w:rPr>
              <w:t>*</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2</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sidRPr="008B064A">
              <w:rPr>
                <w:rFonts w:eastAsia="Arial"/>
                <w:bCs/>
                <w:szCs w:val="22"/>
                <w:lang w:eastAsia="en-GB"/>
              </w:rPr>
              <w:t>1</w:t>
            </w:r>
          </w:p>
        </w:tc>
      </w:tr>
      <w:tr w:rsidR="00146B22" w:rsidRPr="003A33EC" w:rsidTr="004C4FC8">
        <w:trPr>
          <w:jc w:val="center"/>
        </w:trPr>
        <w:tc>
          <w:tcPr>
            <w:tcW w:w="1361" w:type="dxa"/>
            <w:shd w:val="clear" w:color="auto" w:fill="auto"/>
            <w:vAlign w:val="center"/>
          </w:tcPr>
          <w:p w:rsidR="00146B22" w:rsidRPr="008B064A" w:rsidRDefault="00146B22" w:rsidP="002C627E">
            <w:pPr>
              <w:spacing w:before="60" w:after="20"/>
              <w:rPr>
                <w:rFonts w:eastAsia="Arial"/>
                <w:b/>
                <w:bCs/>
                <w:szCs w:val="22"/>
                <w:lang w:eastAsia="en-GB"/>
              </w:rPr>
            </w:pPr>
            <w:r>
              <w:rPr>
                <w:rFonts w:eastAsia="Arial"/>
                <w:b/>
                <w:bCs/>
                <w:szCs w:val="22"/>
                <w:lang w:eastAsia="en-GB"/>
              </w:rPr>
              <w:t>HC-170</w:t>
            </w:r>
          </w:p>
        </w:tc>
        <w:tc>
          <w:tcPr>
            <w:tcW w:w="1701" w:type="dxa"/>
            <w:shd w:val="clear" w:color="auto" w:fill="auto"/>
            <w:vAlign w:val="center"/>
          </w:tcPr>
          <w:p w:rsidR="00146B22" w:rsidRDefault="00146B22" w:rsidP="002C627E">
            <w:pPr>
              <w:spacing w:before="60" w:after="20"/>
              <w:jc w:val="center"/>
              <w:rPr>
                <w:rFonts w:eastAsia="Arial"/>
                <w:bCs/>
                <w:szCs w:val="22"/>
                <w:lang w:eastAsia="en-GB"/>
              </w:rPr>
            </w:pPr>
            <w:r>
              <w:rPr>
                <w:rFonts w:eastAsia="Arial"/>
                <w:bCs/>
                <w:szCs w:val="22"/>
                <w:lang w:eastAsia="en-GB"/>
              </w:rPr>
              <w:t>-89</w:t>
            </w:r>
          </w:p>
        </w:tc>
        <w:tc>
          <w:tcPr>
            <w:tcW w:w="1814" w:type="dxa"/>
            <w:shd w:val="clear" w:color="auto" w:fill="auto"/>
            <w:vAlign w:val="center"/>
          </w:tcPr>
          <w:p w:rsidR="00146B22" w:rsidRPr="008B064A" w:rsidRDefault="00146B22" w:rsidP="002C627E">
            <w:pPr>
              <w:spacing w:before="60" w:after="20"/>
              <w:jc w:val="center"/>
              <w:rPr>
                <w:rFonts w:eastAsia="Arial"/>
                <w:bCs/>
                <w:szCs w:val="22"/>
                <w:lang w:eastAsia="en-GB"/>
              </w:rPr>
            </w:pPr>
            <w:r>
              <w:rPr>
                <w:rFonts w:eastAsia="Arial"/>
                <w:bCs/>
                <w:szCs w:val="22"/>
                <w:lang w:eastAsia="en-GB"/>
              </w:rPr>
              <w:t>2</w:t>
            </w:r>
          </w:p>
        </w:tc>
        <w:tc>
          <w:tcPr>
            <w:tcW w:w="2041" w:type="dxa"/>
            <w:shd w:val="clear" w:color="auto" w:fill="auto"/>
            <w:vAlign w:val="center"/>
          </w:tcPr>
          <w:p w:rsidR="00146B22" w:rsidRPr="008B064A" w:rsidRDefault="00146B22" w:rsidP="002C627E">
            <w:pPr>
              <w:spacing w:before="60" w:after="20"/>
              <w:jc w:val="center"/>
              <w:rPr>
                <w:rFonts w:eastAsia="Arial"/>
                <w:bCs/>
                <w:szCs w:val="22"/>
                <w:lang w:eastAsia="en-GB"/>
              </w:rPr>
            </w:pPr>
            <w:r>
              <w:rPr>
                <w:rFonts w:eastAsia="Arial"/>
                <w:bCs/>
                <w:szCs w:val="22"/>
                <w:lang w:eastAsia="en-GB"/>
              </w:rPr>
              <w:t>5.5</w:t>
            </w:r>
          </w:p>
        </w:tc>
      </w:tr>
    </w:tbl>
    <w:p w:rsidR="00146B22" w:rsidRPr="003A33EC" w:rsidRDefault="00146B22" w:rsidP="002C627E">
      <w:pPr>
        <w:spacing w:after="160"/>
        <w:jc w:val="center"/>
        <w:rPr>
          <w:szCs w:val="22"/>
          <w:lang w:eastAsia="en-GB"/>
        </w:rPr>
      </w:pPr>
      <w:r w:rsidRPr="003A33EC">
        <w:rPr>
          <w:szCs w:val="22"/>
        </w:rPr>
        <w:t>*</w:t>
      </w:r>
      <w:r w:rsidRPr="00DF1E74">
        <w:rPr>
          <w:sz w:val="20"/>
          <w:szCs w:val="20"/>
        </w:rPr>
        <w:t>CO</w:t>
      </w:r>
      <w:r w:rsidRPr="00DF1E74">
        <w:rPr>
          <w:sz w:val="20"/>
          <w:szCs w:val="20"/>
          <w:vertAlign w:val="subscript"/>
        </w:rPr>
        <w:t>2</w:t>
      </w:r>
      <w:r w:rsidRPr="00DF1E74">
        <w:rPr>
          <w:sz w:val="20"/>
          <w:szCs w:val="20"/>
        </w:rPr>
        <w:t xml:space="preserve"> triple point is </w:t>
      </w:r>
      <w:hyperlink r:id="rId76" w:history="1">
        <w:r w:rsidRPr="00DF1E74">
          <w:rPr>
            <w:rStyle w:val="Hyperlink"/>
            <w:color w:val="auto"/>
            <w:sz w:val="20"/>
            <w:szCs w:val="20"/>
            <w:u w:val="none"/>
          </w:rPr>
          <w:t>-56.2°C @ 5.2</w:t>
        </w:r>
      </w:hyperlink>
      <w:r w:rsidRPr="00DF1E74">
        <w:rPr>
          <w:rStyle w:val="Hyperlink"/>
          <w:color w:val="auto"/>
          <w:sz w:val="20"/>
          <w:szCs w:val="20"/>
          <w:u w:val="none"/>
        </w:rPr>
        <w:t xml:space="preserve"> </w:t>
      </w:r>
      <w:r w:rsidRPr="00DF1E74">
        <w:rPr>
          <w:sz w:val="20"/>
          <w:szCs w:val="20"/>
        </w:rPr>
        <w:t>bar</w:t>
      </w:r>
    </w:p>
    <w:p w:rsidR="00146B22" w:rsidRDefault="00146B22" w:rsidP="00146B22">
      <w:pPr>
        <w:autoSpaceDE w:val="0"/>
        <w:autoSpaceDN w:val="0"/>
        <w:adjustRightInd w:val="0"/>
        <w:spacing w:after="120"/>
        <w:rPr>
          <w:szCs w:val="22"/>
          <w:lang w:eastAsia="en-GB"/>
        </w:rPr>
      </w:pPr>
      <w:r w:rsidRPr="003A33EC">
        <w:rPr>
          <w:szCs w:val="22"/>
          <w:lang w:eastAsia="en-GB"/>
        </w:rPr>
        <w:t>There are no viable</w:t>
      </w:r>
      <w:r>
        <w:rPr>
          <w:szCs w:val="22"/>
          <w:lang w:eastAsia="en-GB"/>
        </w:rPr>
        <w:t xml:space="preserve"> </w:t>
      </w:r>
      <w:r w:rsidR="00DB5D06">
        <w:rPr>
          <w:szCs w:val="22"/>
          <w:lang w:eastAsia="en-GB"/>
        </w:rPr>
        <w:t>l</w:t>
      </w:r>
      <w:r>
        <w:rPr>
          <w:szCs w:val="22"/>
          <w:lang w:eastAsia="en-GB"/>
        </w:rPr>
        <w:t>ow-</w:t>
      </w:r>
      <w:r w:rsidRPr="003A33EC">
        <w:rPr>
          <w:szCs w:val="22"/>
          <w:lang w:eastAsia="en-GB"/>
        </w:rPr>
        <w:t xml:space="preserve">GWP </w:t>
      </w:r>
      <w:r>
        <w:rPr>
          <w:szCs w:val="22"/>
          <w:lang w:eastAsia="en-GB"/>
        </w:rPr>
        <w:t xml:space="preserve">HFC </w:t>
      </w:r>
      <w:r w:rsidRPr="003A33EC">
        <w:rPr>
          <w:szCs w:val="22"/>
          <w:lang w:eastAsia="en-GB"/>
        </w:rPr>
        <w:t>alternatives to R</w:t>
      </w:r>
      <w:r w:rsidR="002C627E">
        <w:rPr>
          <w:szCs w:val="22"/>
          <w:lang w:eastAsia="en-GB"/>
        </w:rPr>
        <w:t>-</w:t>
      </w:r>
      <w:r w:rsidRPr="003A33EC">
        <w:rPr>
          <w:szCs w:val="22"/>
          <w:lang w:eastAsia="en-GB"/>
        </w:rPr>
        <w:t>23</w:t>
      </w:r>
      <w:r w:rsidR="002C627E">
        <w:rPr>
          <w:szCs w:val="22"/>
          <w:lang w:eastAsia="en-GB"/>
        </w:rPr>
        <w:t xml:space="preserve">, </w:t>
      </w:r>
      <w:r w:rsidRPr="003A33EC">
        <w:rPr>
          <w:szCs w:val="22"/>
          <w:lang w:eastAsia="en-GB"/>
        </w:rPr>
        <w:t>R</w:t>
      </w:r>
      <w:r w:rsidR="002C627E">
        <w:rPr>
          <w:szCs w:val="22"/>
          <w:lang w:eastAsia="en-GB"/>
        </w:rPr>
        <w:t>-</w:t>
      </w:r>
      <w:r w:rsidRPr="003A33EC">
        <w:rPr>
          <w:szCs w:val="22"/>
          <w:lang w:eastAsia="en-GB"/>
        </w:rPr>
        <w:t>508A</w:t>
      </w:r>
      <w:r w:rsidR="002C627E">
        <w:rPr>
          <w:szCs w:val="22"/>
          <w:lang w:eastAsia="en-GB"/>
        </w:rPr>
        <w:t xml:space="preserve"> and </w:t>
      </w:r>
      <w:r w:rsidR="00E63AFD">
        <w:rPr>
          <w:szCs w:val="22"/>
          <w:lang w:eastAsia="en-GB"/>
        </w:rPr>
        <w:t>R-5</w:t>
      </w:r>
      <w:r w:rsidRPr="003A33EC">
        <w:rPr>
          <w:szCs w:val="22"/>
          <w:lang w:eastAsia="en-GB"/>
        </w:rPr>
        <w:t xml:space="preserve">08B, </w:t>
      </w:r>
      <w:r>
        <w:rPr>
          <w:szCs w:val="22"/>
          <w:lang w:eastAsia="en-GB"/>
        </w:rPr>
        <w:t xml:space="preserve">which are the refrigerants currently used in the low-temperature stage in cascade systems. </w:t>
      </w:r>
    </w:p>
    <w:p w:rsidR="00146B22" w:rsidRPr="003A33EC" w:rsidRDefault="00146B22" w:rsidP="00146B22">
      <w:pPr>
        <w:autoSpaceDE w:val="0"/>
        <w:autoSpaceDN w:val="0"/>
        <w:adjustRightInd w:val="0"/>
        <w:spacing w:after="120"/>
        <w:rPr>
          <w:rFonts w:eastAsia="Arial"/>
          <w:bCs/>
          <w:szCs w:val="22"/>
          <w:lang w:eastAsia="en-GB"/>
        </w:rPr>
      </w:pPr>
      <w:r w:rsidRPr="003A33EC">
        <w:rPr>
          <w:rFonts w:eastAsia="Arial"/>
          <w:bCs/>
          <w:szCs w:val="22"/>
          <w:lang w:eastAsia="en-GB"/>
        </w:rPr>
        <w:t xml:space="preserve">The new </w:t>
      </w:r>
      <w:r w:rsidR="002C627E">
        <w:rPr>
          <w:rFonts w:eastAsia="Arial"/>
          <w:bCs/>
          <w:szCs w:val="22"/>
          <w:lang w:eastAsia="en-GB"/>
        </w:rPr>
        <w:t>(</w:t>
      </w:r>
      <w:r w:rsidRPr="003A33EC">
        <w:rPr>
          <w:rFonts w:eastAsia="Arial"/>
          <w:bCs/>
          <w:szCs w:val="22"/>
          <w:lang w:eastAsia="en-GB"/>
        </w:rPr>
        <w:t>unsaturated HFC</w:t>
      </w:r>
      <w:r w:rsidR="002C627E">
        <w:rPr>
          <w:rFonts w:eastAsia="Arial"/>
          <w:bCs/>
          <w:szCs w:val="22"/>
          <w:lang w:eastAsia="en-GB"/>
        </w:rPr>
        <w:t>)</w:t>
      </w:r>
      <w:r w:rsidRPr="003A33EC">
        <w:rPr>
          <w:rFonts w:eastAsia="Arial"/>
          <w:bCs/>
          <w:szCs w:val="22"/>
          <w:lang w:eastAsia="en-GB"/>
        </w:rPr>
        <w:t xml:space="preserve"> </w:t>
      </w:r>
      <w:r w:rsidR="002C627E">
        <w:rPr>
          <w:rFonts w:eastAsia="Arial"/>
          <w:bCs/>
          <w:szCs w:val="22"/>
          <w:lang w:eastAsia="en-GB"/>
        </w:rPr>
        <w:t xml:space="preserve">HFO </w:t>
      </w:r>
      <w:r w:rsidRPr="003A33EC">
        <w:rPr>
          <w:rFonts w:eastAsia="Arial"/>
          <w:bCs/>
          <w:szCs w:val="22"/>
          <w:lang w:eastAsia="en-GB"/>
        </w:rPr>
        <w:t>compounds</w:t>
      </w:r>
      <w:r>
        <w:rPr>
          <w:rFonts w:eastAsia="Arial"/>
          <w:bCs/>
          <w:szCs w:val="22"/>
          <w:lang w:eastAsia="en-GB"/>
        </w:rPr>
        <w:t xml:space="preserve"> </w:t>
      </w:r>
      <w:r w:rsidRPr="003A33EC">
        <w:rPr>
          <w:rFonts w:eastAsia="Arial"/>
          <w:bCs/>
          <w:szCs w:val="22"/>
          <w:lang w:eastAsia="en-GB"/>
        </w:rPr>
        <w:t xml:space="preserve">do not offer any low temperature solutions. </w:t>
      </w:r>
    </w:p>
    <w:p w:rsidR="00146B22" w:rsidRDefault="00146B22" w:rsidP="00146B22">
      <w:pPr>
        <w:spacing w:after="120"/>
        <w:rPr>
          <w:szCs w:val="22"/>
        </w:rPr>
      </w:pPr>
      <w:r>
        <w:rPr>
          <w:szCs w:val="22"/>
        </w:rPr>
        <w:t>A possible alternative could technically be HC-</w:t>
      </w:r>
      <w:r w:rsidRPr="003A33EC">
        <w:rPr>
          <w:szCs w:val="22"/>
        </w:rPr>
        <w:t>170 (</w:t>
      </w:r>
      <w:r>
        <w:rPr>
          <w:szCs w:val="22"/>
        </w:rPr>
        <w:t xml:space="preserve">ethane, flammable, </w:t>
      </w:r>
      <w:r w:rsidRPr="003A33EC">
        <w:rPr>
          <w:szCs w:val="22"/>
        </w:rPr>
        <w:t>class A3)</w:t>
      </w:r>
      <w:r>
        <w:rPr>
          <w:szCs w:val="22"/>
        </w:rPr>
        <w:t xml:space="preserve">, but its </w:t>
      </w:r>
      <w:r w:rsidR="002C627E">
        <w:rPr>
          <w:szCs w:val="22"/>
        </w:rPr>
        <w:t xml:space="preserve">A3 </w:t>
      </w:r>
      <w:r>
        <w:rPr>
          <w:szCs w:val="22"/>
        </w:rPr>
        <w:t>flammability makes it unfeasible for on board systems</w:t>
      </w:r>
      <w:r w:rsidRPr="003A33EC">
        <w:rPr>
          <w:szCs w:val="22"/>
        </w:rPr>
        <w:t xml:space="preserve">. </w:t>
      </w:r>
    </w:p>
    <w:p w:rsidR="00146B22" w:rsidRDefault="00146B22" w:rsidP="00146B22">
      <w:pPr>
        <w:spacing w:after="120"/>
        <w:rPr>
          <w:szCs w:val="22"/>
          <w:lang w:eastAsia="en-GB"/>
        </w:rPr>
      </w:pPr>
      <w:r w:rsidRPr="003A33EC">
        <w:rPr>
          <w:szCs w:val="22"/>
          <w:lang w:eastAsia="en-GB"/>
        </w:rPr>
        <w:t xml:space="preserve">A viable low-GWP alternative with evaporation down to -55°C, but requiring an equipment exchange, is </w:t>
      </w:r>
      <w:r w:rsidR="00661226" w:rsidRPr="003A33EC">
        <w:rPr>
          <w:szCs w:val="22"/>
          <w:lang w:eastAsia="en-GB"/>
        </w:rPr>
        <w:t>an</w:t>
      </w:r>
      <w:r w:rsidRPr="003A33EC">
        <w:rPr>
          <w:szCs w:val="22"/>
          <w:lang w:eastAsia="en-GB"/>
        </w:rPr>
        <w:t xml:space="preserve"> R</w:t>
      </w:r>
      <w:r w:rsidR="002C627E">
        <w:rPr>
          <w:szCs w:val="22"/>
          <w:lang w:eastAsia="en-GB"/>
        </w:rPr>
        <w:t>-</w:t>
      </w:r>
      <w:r w:rsidRPr="003A33EC">
        <w:rPr>
          <w:szCs w:val="22"/>
          <w:lang w:eastAsia="en-GB"/>
        </w:rPr>
        <w:t>717/R</w:t>
      </w:r>
      <w:r w:rsidR="002C627E">
        <w:rPr>
          <w:szCs w:val="22"/>
          <w:lang w:eastAsia="en-GB"/>
        </w:rPr>
        <w:t>-</w:t>
      </w:r>
      <w:r w:rsidRPr="003A33EC">
        <w:rPr>
          <w:szCs w:val="22"/>
          <w:lang w:eastAsia="en-GB"/>
        </w:rPr>
        <w:t>744 cascade</w:t>
      </w:r>
      <w:r w:rsidR="002C627E">
        <w:rPr>
          <w:szCs w:val="22"/>
          <w:lang w:eastAsia="en-GB"/>
        </w:rPr>
        <w:t xml:space="preserve"> system</w:t>
      </w:r>
      <w:r w:rsidRPr="003A33EC">
        <w:rPr>
          <w:szCs w:val="22"/>
          <w:lang w:eastAsia="en-GB"/>
        </w:rPr>
        <w:t>.</w:t>
      </w:r>
    </w:p>
    <w:p w:rsidR="00146B22" w:rsidRDefault="00146B22" w:rsidP="00146B22">
      <w:pPr>
        <w:spacing w:after="120"/>
        <w:rPr>
          <w:szCs w:val="22"/>
          <w:lang w:eastAsia="en-GB"/>
        </w:rPr>
      </w:pPr>
      <w:r w:rsidRPr="005F0657">
        <w:rPr>
          <w:szCs w:val="22"/>
        </w:rPr>
        <w:t>Another option could be a cascade system using NH</w:t>
      </w:r>
      <w:r w:rsidRPr="002C627E">
        <w:rPr>
          <w:szCs w:val="22"/>
          <w:vertAlign w:val="subscript"/>
        </w:rPr>
        <w:t xml:space="preserve">3 </w:t>
      </w:r>
      <w:r w:rsidR="002C627E">
        <w:rPr>
          <w:szCs w:val="22"/>
        </w:rPr>
        <w:t>i</w:t>
      </w:r>
      <w:r w:rsidRPr="005F0657">
        <w:rPr>
          <w:szCs w:val="22"/>
        </w:rPr>
        <w:t xml:space="preserve">n the high </w:t>
      </w:r>
      <w:r w:rsidR="0012364B">
        <w:rPr>
          <w:szCs w:val="22"/>
        </w:rPr>
        <w:t xml:space="preserve">stage </w:t>
      </w:r>
      <w:r w:rsidRPr="005F0657">
        <w:rPr>
          <w:szCs w:val="22"/>
        </w:rPr>
        <w:t xml:space="preserve">and </w:t>
      </w:r>
      <w:r w:rsidR="0012364B">
        <w:rPr>
          <w:szCs w:val="22"/>
        </w:rPr>
        <w:t>HFC</w:t>
      </w:r>
      <w:r w:rsidR="002C627E">
        <w:rPr>
          <w:szCs w:val="22"/>
        </w:rPr>
        <w:t>-</w:t>
      </w:r>
      <w:r w:rsidRPr="005F0657">
        <w:rPr>
          <w:szCs w:val="22"/>
        </w:rPr>
        <w:t xml:space="preserve">32 </w:t>
      </w:r>
      <w:r w:rsidR="002C627E">
        <w:rPr>
          <w:szCs w:val="22"/>
        </w:rPr>
        <w:t xml:space="preserve">in </w:t>
      </w:r>
      <w:r w:rsidRPr="005F0657">
        <w:rPr>
          <w:szCs w:val="22"/>
        </w:rPr>
        <w:t xml:space="preserve">the low stage (the </w:t>
      </w:r>
      <w:r w:rsidR="002C627E">
        <w:rPr>
          <w:szCs w:val="22"/>
        </w:rPr>
        <w:t>n</w:t>
      </w:r>
      <w:r w:rsidRPr="005F0657">
        <w:rPr>
          <w:szCs w:val="22"/>
        </w:rPr>
        <w:t xml:space="preserve">ormal Boiling Point for </w:t>
      </w:r>
      <w:r w:rsidR="00DB5D06">
        <w:rPr>
          <w:szCs w:val="22"/>
        </w:rPr>
        <w:t>HFC-3</w:t>
      </w:r>
      <w:r w:rsidRPr="005F0657">
        <w:rPr>
          <w:szCs w:val="22"/>
        </w:rPr>
        <w:t>2 is -52</w:t>
      </w:r>
      <w:r w:rsidR="00DB5D06">
        <w:rPr>
          <w:szCs w:val="22"/>
        </w:rPr>
        <w:t>.</w:t>
      </w:r>
      <w:r w:rsidRPr="005F0657">
        <w:rPr>
          <w:szCs w:val="22"/>
        </w:rPr>
        <w:t>0°C). The disadvantage is that the system will go to negative pressure at -70°C. This is a potential risk because air that enters can cause the refrigerant to explode.</w:t>
      </w:r>
    </w:p>
    <w:p w:rsidR="00146B22" w:rsidRPr="00DF1E74" w:rsidRDefault="00146B22" w:rsidP="00146B22">
      <w:pPr>
        <w:pStyle w:val="Caption"/>
        <w:pBdr>
          <w:bottom w:val="none" w:sz="0" w:space="0" w:color="auto"/>
        </w:pBdr>
        <w:spacing w:after="120"/>
        <w:jc w:val="left"/>
        <w:rPr>
          <w:b w:val="0"/>
          <w:i w:val="0"/>
          <w:lang w:val="en-US"/>
        </w:rPr>
      </w:pPr>
      <w:r w:rsidRPr="00DF1E74">
        <w:rPr>
          <w:rFonts w:eastAsia="Arial"/>
          <w:b w:val="0"/>
          <w:i w:val="0"/>
          <w:lang w:val="en-US" w:eastAsia="en-GB"/>
        </w:rPr>
        <w:t>It is possible to use a two-stage compressor to achieve low temperature blast freezing. The l</w:t>
      </w:r>
      <w:r w:rsidRPr="00DF1E74">
        <w:rPr>
          <w:b w:val="0"/>
          <w:i w:val="0"/>
          <w:lang w:val="en-US"/>
        </w:rPr>
        <w:t>owest evaporating temperature is -65°C @ +35°C condensing temperature. Evaporation will then happen at a sub-atmospheric pressure. Below is shown the possible operating envelop for such a system operating with R-407F. Also R-410A could be used in a two-stage compressor system.</w:t>
      </w:r>
    </w:p>
    <w:p w:rsidR="00146B22" w:rsidRDefault="00146B22" w:rsidP="00146B22">
      <w:pPr>
        <w:autoSpaceDE w:val="0"/>
        <w:autoSpaceDN w:val="0"/>
        <w:adjustRightInd w:val="0"/>
        <w:spacing w:after="120"/>
        <w:rPr>
          <w:rFonts w:eastAsia="Arial"/>
          <w:bCs/>
          <w:szCs w:val="22"/>
          <w:lang w:eastAsia="en-GB"/>
        </w:rPr>
      </w:pPr>
      <w:r>
        <w:rPr>
          <w:rFonts w:eastAsia="Arial"/>
          <w:bCs/>
          <w:szCs w:val="22"/>
          <w:lang w:eastAsia="en-GB"/>
        </w:rPr>
        <w:t>In the medium term</w:t>
      </w:r>
      <w:r w:rsidR="0012364B">
        <w:rPr>
          <w:rFonts w:eastAsia="Arial"/>
          <w:bCs/>
          <w:szCs w:val="22"/>
          <w:lang w:eastAsia="en-GB"/>
        </w:rPr>
        <w:t>,</w:t>
      </w:r>
      <w:r>
        <w:rPr>
          <w:rFonts w:eastAsia="Arial"/>
          <w:bCs/>
          <w:szCs w:val="22"/>
          <w:lang w:eastAsia="en-GB"/>
        </w:rPr>
        <w:t xml:space="preserve"> a very interesting solution for the Ultra-Low temperature freezing can be the air-cycle (also known as Joule-Brayton reverse cycle). This is a non-vapour compression technology and fits better in the Not-In-Kind section, where it will be described and evaluated.</w:t>
      </w:r>
    </w:p>
    <w:p w:rsidR="00146B22" w:rsidRPr="003A33EC" w:rsidRDefault="00146B22" w:rsidP="00146B22">
      <w:pPr>
        <w:autoSpaceDE w:val="0"/>
        <w:autoSpaceDN w:val="0"/>
        <w:adjustRightInd w:val="0"/>
        <w:spacing w:after="120"/>
        <w:rPr>
          <w:rFonts w:eastAsia="Arial"/>
          <w:bCs/>
          <w:szCs w:val="22"/>
          <w:lang w:eastAsia="en-GB"/>
        </w:rPr>
      </w:pPr>
    </w:p>
    <w:p w:rsidR="00146B22" w:rsidRPr="003A33EC" w:rsidRDefault="00F712FD" w:rsidP="00146B22">
      <w:pPr>
        <w:keepNext/>
        <w:spacing w:after="120"/>
        <w:jc w:val="center"/>
        <w:rPr>
          <w:szCs w:val="22"/>
        </w:rPr>
      </w:pPr>
      <w:r w:rsidRPr="00CD0A63">
        <w:rPr>
          <w:noProof/>
          <w:szCs w:val="22"/>
          <w:lang w:val="en-US" w:eastAsia="en-US"/>
        </w:rPr>
        <w:lastRenderedPageBreak/>
        <w:drawing>
          <wp:inline distT="0" distB="0" distL="0" distR="0" wp14:anchorId="6E29D7DC" wp14:editId="564AFE11">
            <wp:extent cx="4281170" cy="2360295"/>
            <wp:effectExtent l="0" t="0" r="5080" b="1905"/>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1170" cy="2360295"/>
                    </a:xfrm>
                    <a:prstGeom prst="rect">
                      <a:avLst/>
                    </a:prstGeom>
                    <a:noFill/>
                    <a:ln>
                      <a:noFill/>
                    </a:ln>
                  </pic:spPr>
                </pic:pic>
              </a:graphicData>
            </a:graphic>
          </wp:inline>
        </w:drawing>
      </w:r>
    </w:p>
    <w:p w:rsidR="00146B22" w:rsidRPr="00F96555" w:rsidRDefault="00146B22" w:rsidP="00146B22">
      <w:pPr>
        <w:pStyle w:val="Caption"/>
        <w:pBdr>
          <w:bottom w:val="none" w:sz="0" w:space="0" w:color="auto"/>
        </w:pBdr>
        <w:spacing w:after="120"/>
        <w:rPr>
          <w:lang w:val="en-US"/>
        </w:rPr>
      </w:pPr>
      <w:r w:rsidRPr="00F96555">
        <w:rPr>
          <w:lang w:val="en-US"/>
        </w:rPr>
        <w:t>Figure A</w:t>
      </w:r>
      <w:r w:rsidR="00D82F26">
        <w:rPr>
          <w:lang w:val="en-US"/>
        </w:rPr>
        <w:t>2</w:t>
      </w:r>
      <w:r w:rsidRPr="00F96555">
        <w:rPr>
          <w:lang w:val="en-US"/>
        </w:rPr>
        <w:t>-</w:t>
      </w:r>
      <w:r w:rsidRPr="003A33EC">
        <w:fldChar w:fldCharType="begin"/>
      </w:r>
      <w:r w:rsidRPr="00F96555">
        <w:rPr>
          <w:lang w:val="en-US"/>
        </w:rPr>
        <w:instrText xml:space="preserve"> SEQ Figure \* ARABIC </w:instrText>
      </w:r>
      <w:r w:rsidRPr="003A33EC">
        <w:fldChar w:fldCharType="separate"/>
      </w:r>
      <w:r w:rsidR="00C006A4">
        <w:rPr>
          <w:noProof/>
          <w:lang w:val="en-US"/>
        </w:rPr>
        <w:t>5</w:t>
      </w:r>
      <w:r w:rsidRPr="003A33EC">
        <w:rPr>
          <w:noProof/>
        </w:rPr>
        <w:fldChar w:fldCharType="end"/>
      </w:r>
      <w:r w:rsidRPr="00F96555">
        <w:rPr>
          <w:lang w:val="en-US"/>
        </w:rPr>
        <w:t xml:space="preserve"> Limits for two stage compressor operating on </w:t>
      </w:r>
      <w:r w:rsidR="00E63AFD">
        <w:rPr>
          <w:lang w:val="en-US"/>
        </w:rPr>
        <w:t>R-4</w:t>
      </w:r>
      <w:r w:rsidRPr="00F96555">
        <w:rPr>
          <w:lang w:val="en-US"/>
        </w:rPr>
        <w:t>07F</w:t>
      </w:r>
    </w:p>
    <w:p w:rsidR="00146B22" w:rsidRPr="00520ABC" w:rsidRDefault="00146B22" w:rsidP="00146B22">
      <w:pPr>
        <w:spacing w:after="120"/>
        <w:jc w:val="center"/>
        <w:rPr>
          <w:sz w:val="8"/>
          <w:highlight w:val="yellow"/>
        </w:rPr>
      </w:pPr>
    </w:p>
    <w:p w:rsidR="00146B22" w:rsidRDefault="00146B22" w:rsidP="00146B22">
      <w:pPr>
        <w:pStyle w:val="Heading3"/>
        <w:spacing w:line="240" w:lineRule="auto"/>
      </w:pPr>
      <w:bookmarkStart w:id="164" w:name="_Toc451252572"/>
      <w:bookmarkStart w:id="165" w:name="_Toc452653431"/>
      <w:r>
        <w:t>A</w:t>
      </w:r>
      <w:r w:rsidR="00D82F26">
        <w:t>2</w:t>
      </w:r>
      <w:r>
        <w:t>.4.7</w:t>
      </w:r>
      <w:r>
        <w:tab/>
        <w:t xml:space="preserve">Land based </w:t>
      </w:r>
      <w:r w:rsidR="00D82F26">
        <w:t>e</w:t>
      </w:r>
      <w:r>
        <w:t>quipment</w:t>
      </w:r>
      <w:bookmarkEnd w:id="164"/>
      <w:bookmarkEnd w:id="165"/>
    </w:p>
    <w:p w:rsidR="00146B22" w:rsidRDefault="00146B22" w:rsidP="00146B22">
      <w:pPr>
        <w:autoSpaceDE w:val="0"/>
        <w:autoSpaceDN w:val="0"/>
        <w:adjustRightInd w:val="0"/>
        <w:spacing w:after="120"/>
        <w:rPr>
          <w:szCs w:val="22"/>
        </w:rPr>
      </w:pPr>
      <w:r>
        <w:rPr>
          <w:szCs w:val="22"/>
        </w:rPr>
        <w:t xml:space="preserve">Land based equipment for the fishing industry faces the same transition problems faced by other industrial refrigeration applications. Information on how to handle transition can be retrieved in the most recent reports produced by RTOC and TEAP Task </w:t>
      </w:r>
      <w:r w:rsidRPr="00C935B8">
        <w:rPr>
          <w:szCs w:val="22"/>
        </w:rPr>
        <w:t xml:space="preserve">Forces </w:t>
      </w:r>
      <w:r w:rsidR="00202ABD">
        <w:rPr>
          <w:szCs w:val="22"/>
        </w:rPr>
        <w:t>(</w:t>
      </w:r>
      <w:r w:rsidRPr="00C935B8">
        <w:rPr>
          <w:szCs w:val="22"/>
        </w:rPr>
        <w:t>UNEP, 2014, UNEP 2015, UNEP, 2016</w:t>
      </w:r>
      <w:r w:rsidR="00202ABD">
        <w:rPr>
          <w:szCs w:val="22"/>
        </w:rPr>
        <w:t>)</w:t>
      </w:r>
      <w:r w:rsidRPr="00C935B8">
        <w:rPr>
          <w:szCs w:val="22"/>
        </w:rPr>
        <w:t>.</w:t>
      </w:r>
    </w:p>
    <w:p w:rsidR="00146B22" w:rsidRDefault="00146B22" w:rsidP="00DF1E74">
      <w:pPr>
        <w:autoSpaceDE w:val="0"/>
        <w:autoSpaceDN w:val="0"/>
        <w:adjustRightInd w:val="0"/>
        <w:spacing w:after="240"/>
        <w:rPr>
          <w:szCs w:val="22"/>
        </w:rPr>
      </w:pPr>
      <w:r>
        <w:rPr>
          <w:szCs w:val="22"/>
        </w:rPr>
        <w:t xml:space="preserve">One peculiar characteristic of fishing industry land based installations is that all of them are inevitably </w:t>
      </w:r>
      <w:r w:rsidR="005A7CF7">
        <w:rPr>
          <w:szCs w:val="22"/>
        </w:rPr>
        <w:t xml:space="preserve">connected to </w:t>
      </w:r>
      <w:r>
        <w:rPr>
          <w:szCs w:val="22"/>
        </w:rPr>
        <w:t>a water stream (sea, lake, river)</w:t>
      </w:r>
      <w:r w:rsidR="005A7CF7">
        <w:rPr>
          <w:szCs w:val="22"/>
        </w:rPr>
        <w:t>,</w:t>
      </w:r>
      <w:r>
        <w:rPr>
          <w:szCs w:val="22"/>
        </w:rPr>
        <w:t xml:space="preserve"> which can be used as a machine coolant. This fact makes fishing industry less sensitive to </w:t>
      </w:r>
      <w:r w:rsidR="005A7CF7">
        <w:rPr>
          <w:szCs w:val="22"/>
        </w:rPr>
        <w:t>h</w:t>
      </w:r>
      <w:r>
        <w:rPr>
          <w:szCs w:val="22"/>
        </w:rPr>
        <w:t xml:space="preserve">igh </w:t>
      </w:r>
      <w:r w:rsidR="005A7CF7">
        <w:rPr>
          <w:szCs w:val="22"/>
        </w:rPr>
        <w:t>a</w:t>
      </w:r>
      <w:r>
        <w:rPr>
          <w:szCs w:val="22"/>
        </w:rPr>
        <w:t xml:space="preserve">mbient </w:t>
      </w:r>
      <w:r w:rsidR="005A7CF7">
        <w:rPr>
          <w:szCs w:val="22"/>
        </w:rPr>
        <w:t>t</w:t>
      </w:r>
      <w:r>
        <w:rPr>
          <w:szCs w:val="22"/>
        </w:rPr>
        <w:t xml:space="preserve">emperatures </w:t>
      </w:r>
      <w:r w:rsidR="005A7CF7">
        <w:rPr>
          <w:szCs w:val="22"/>
        </w:rPr>
        <w:t xml:space="preserve">(HAT) </w:t>
      </w:r>
      <w:r>
        <w:rPr>
          <w:szCs w:val="22"/>
        </w:rPr>
        <w:t xml:space="preserve">even when located in </w:t>
      </w:r>
      <w:r w:rsidR="0012364B">
        <w:rPr>
          <w:szCs w:val="22"/>
        </w:rPr>
        <w:t>Parties</w:t>
      </w:r>
      <w:r w:rsidR="005A7CF7">
        <w:rPr>
          <w:szCs w:val="22"/>
        </w:rPr>
        <w:t xml:space="preserve"> with high ambient </w:t>
      </w:r>
      <w:r w:rsidR="0012364B">
        <w:rPr>
          <w:szCs w:val="22"/>
        </w:rPr>
        <w:t xml:space="preserve">temperature </w:t>
      </w:r>
      <w:r w:rsidR="005A7CF7">
        <w:rPr>
          <w:szCs w:val="22"/>
        </w:rPr>
        <w:t>conditions</w:t>
      </w:r>
      <w:r>
        <w:rPr>
          <w:szCs w:val="22"/>
        </w:rPr>
        <w:t>.</w:t>
      </w:r>
    </w:p>
    <w:p w:rsidR="00146B22" w:rsidRDefault="00146B22" w:rsidP="00146B22">
      <w:pPr>
        <w:pStyle w:val="Heading3"/>
        <w:spacing w:line="240" w:lineRule="auto"/>
      </w:pPr>
      <w:bookmarkStart w:id="166" w:name="_Toc451252573"/>
      <w:bookmarkStart w:id="167" w:name="_Toc452653432"/>
      <w:r>
        <w:t>A</w:t>
      </w:r>
      <w:r w:rsidR="00D82F26">
        <w:t>2</w:t>
      </w:r>
      <w:r>
        <w:t>.4.8</w:t>
      </w:r>
      <w:r>
        <w:tab/>
        <w:t>Not-In-Kind technologies</w:t>
      </w:r>
      <w:bookmarkEnd w:id="166"/>
      <w:bookmarkEnd w:id="167"/>
    </w:p>
    <w:p w:rsidR="00146B22" w:rsidRDefault="00146B22" w:rsidP="00146B22">
      <w:pPr>
        <w:spacing w:after="120"/>
        <w:rPr>
          <w:szCs w:val="22"/>
        </w:rPr>
      </w:pPr>
      <w:r>
        <w:rPr>
          <w:szCs w:val="22"/>
        </w:rPr>
        <w:t>Provided that with the definition of “Not-In-Kind technologies” one refers to those refrigeration techniques which do not use vapour compression reverse cycle, there are some interesting options under study that deserve to be analysed to check if there is any possibility for their application within the fishing industry in the short term.</w:t>
      </w:r>
    </w:p>
    <w:p w:rsidR="00146B22" w:rsidRDefault="00146B22" w:rsidP="00146B22">
      <w:pPr>
        <w:spacing w:after="120"/>
        <w:rPr>
          <w:szCs w:val="22"/>
        </w:rPr>
      </w:pPr>
      <w:r w:rsidRPr="003A33EC">
        <w:rPr>
          <w:szCs w:val="22"/>
        </w:rPr>
        <w:t>For very low temperatures, air (R</w:t>
      </w:r>
      <w:r>
        <w:rPr>
          <w:szCs w:val="22"/>
        </w:rPr>
        <w:t>-</w:t>
      </w:r>
      <w:r w:rsidRPr="003A33EC">
        <w:rPr>
          <w:szCs w:val="22"/>
        </w:rPr>
        <w:t xml:space="preserve">729) can be used as </w:t>
      </w:r>
      <w:r w:rsidR="0012364B">
        <w:rPr>
          <w:szCs w:val="22"/>
        </w:rPr>
        <w:t xml:space="preserve">a </w:t>
      </w:r>
      <w:r w:rsidRPr="003A33EC">
        <w:rPr>
          <w:szCs w:val="22"/>
        </w:rPr>
        <w:t>working fluid</w:t>
      </w:r>
      <w:r>
        <w:rPr>
          <w:szCs w:val="22"/>
        </w:rPr>
        <w:t xml:space="preserve"> in the so called </w:t>
      </w:r>
      <w:r w:rsidRPr="003A33EC">
        <w:rPr>
          <w:szCs w:val="22"/>
        </w:rPr>
        <w:t>air cycle</w:t>
      </w:r>
      <w:r>
        <w:rPr>
          <w:szCs w:val="22"/>
        </w:rPr>
        <w:t>, or Joule-Brayton reverse cycle. It</w:t>
      </w:r>
      <w:r w:rsidRPr="003A33EC">
        <w:rPr>
          <w:szCs w:val="22"/>
        </w:rPr>
        <w:t xml:space="preserve"> was first proposed for ice making in 1844 by Dr. John Gorrie</w:t>
      </w:r>
      <w:r>
        <w:rPr>
          <w:szCs w:val="22"/>
        </w:rPr>
        <w:t>.</w:t>
      </w:r>
      <w:r w:rsidRPr="003A33EC">
        <w:rPr>
          <w:szCs w:val="22"/>
        </w:rPr>
        <w:t xml:space="preserve"> The cycle was used for some years and then abandoned for absorption systems and later for compression systems. </w:t>
      </w:r>
    </w:p>
    <w:p w:rsidR="00146B22" w:rsidRPr="003A33EC" w:rsidRDefault="00146B22" w:rsidP="00146B22">
      <w:pPr>
        <w:spacing w:after="120"/>
        <w:rPr>
          <w:szCs w:val="22"/>
        </w:rPr>
      </w:pPr>
      <w:r w:rsidRPr="003A33EC">
        <w:rPr>
          <w:szCs w:val="22"/>
        </w:rPr>
        <w:t>The main reason for not using air was t</w:t>
      </w:r>
      <w:r>
        <w:rPr>
          <w:szCs w:val="22"/>
        </w:rPr>
        <w:t>hat t</w:t>
      </w:r>
      <w:r w:rsidRPr="003A33EC">
        <w:rPr>
          <w:szCs w:val="22"/>
        </w:rPr>
        <w:t>he efficiency at the working conditions</w:t>
      </w:r>
      <w:r>
        <w:rPr>
          <w:szCs w:val="22"/>
        </w:rPr>
        <w:t xml:space="preserve"> of most of refrigeration applications is far lower than the vapour compression efficiency</w:t>
      </w:r>
      <w:r w:rsidRPr="003A33EC">
        <w:rPr>
          <w:szCs w:val="22"/>
        </w:rPr>
        <w:t xml:space="preserve">. With modern motors and technologies, </w:t>
      </w:r>
      <w:r>
        <w:rPr>
          <w:szCs w:val="22"/>
        </w:rPr>
        <w:t>however, t</w:t>
      </w:r>
      <w:r w:rsidRPr="003A33EC">
        <w:rPr>
          <w:szCs w:val="22"/>
        </w:rPr>
        <w:t>he air cycle can be a good solution when temperatures below -55°C are to be reached, especially if the refrigerant has to be non-fla</w:t>
      </w:r>
      <w:r>
        <w:rPr>
          <w:szCs w:val="22"/>
        </w:rPr>
        <w:t>m</w:t>
      </w:r>
      <w:r w:rsidRPr="003A33EC">
        <w:rPr>
          <w:szCs w:val="22"/>
        </w:rPr>
        <w:t xml:space="preserve">mable. </w:t>
      </w:r>
      <w:r w:rsidRPr="00C935B8">
        <w:rPr>
          <w:szCs w:val="22"/>
        </w:rPr>
        <w:t xml:space="preserve">Some interesting attempts of air cycle applications at low temperatures are available in the literature </w:t>
      </w:r>
      <w:r w:rsidR="00202ABD">
        <w:rPr>
          <w:szCs w:val="22"/>
        </w:rPr>
        <w:t>(</w:t>
      </w:r>
      <w:r w:rsidRPr="00C935B8">
        <w:rPr>
          <w:szCs w:val="22"/>
        </w:rPr>
        <w:t>Gigiel, 2006, Machida, 2011, Giannetti, 2015</w:t>
      </w:r>
      <w:r w:rsidR="00202ABD">
        <w:rPr>
          <w:szCs w:val="22"/>
        </w:rPr>
        <w:t>)</w:t>
      </w:r>
      <w:r w:rsidRPr="00C935B8">
        <w:rPr>
          <w:szCs w:val="22"/>
        </w:rPr>
        <w:t>. To be available at a commercial level the technology needs more development work and therefore it can be a feasible option only in the medium</w:t>
      </w:r>
      <w:r w:rsidR="0012364B">
        <w:rPr>
          <w:szCs w:val="22"/>
        </w:rPr>
        <w:t xml:space="preserve"> to </w:t>
      </w:r>
      <w:r w:rsidRPr="00C935B8">
        <w:rPr>
          <w:szCs w:val="22"/>
        </w:rPr>
        <w:t>long term.</w:t>
      </w:r>
    </w:p>
    <w:p w:rsidR="00146B22" w:rsidRDefault="00146B22" w:rsidP="00146B22">
      <w:pPr>
        <w:spacing w:after="120"/>
        <w:rPr>
          <w:szCs w:val="22"/>
          <w:lang w:eastAsia="en-GB"/>
        </w:rPr>
      </w:pPr>
      <w:r>
        <w:rPr>
          <w:rFonts w:eastAsia="Arial"/>
          <w:bCs/>
          <w:szCs w:val="22"/>
          <w:lang w:eastAsia="en-GB"/>
        </w:rPr>
        <w:t xml:space="preserve">Absorption systems could also be a viable alternative to vapour compression, down to </w:t>
      </w:r>
      <w:r w:rsidRPr="003A33EC">
        <w:rPr>
          <w:szCs w:val="22"/>
          <w:lang w:eastAsia="en-GB"/>
        </w:rPr>
        <w:t xml:space="preserve">temperatures </w:t>
      </w:r>
      <w:r>
        <w:rPr>
          <w:szCs w:val="22"/>
          <w:lang w:eastAsia="en-GB"/>
        </w:rPr>
        <w:t>of -55°C. Systems could use the water (R-718)/ammonia (R-717) pair where water acts as solvent and ammonia as refrigerant. The same safety problems encountered with the application of vapour compression ammonia systems are to be faced here. Technology is mature and consolidated: t</w:t>
      </w:r>
      <w:r w:rsidRPr="003A33EC">
        <w:rPr>
          <w:szCs w:val="22"/>
          <w:lang w:eastAsia="en-GB"/>
        </w:rPr>
        <w:t>he main problem with the absorption systems is the</w:t>
      </w:r>
      <w:r>
        <w:rPr>
          <w:szCs w:val="22"/>
          <w:lang w:eastAsia="en-GB"/>
        </w:rPr>
        <w:t xml:space="preserve"> size and space needed on-board and</w:t>
      </w:r>
      <w:r w:rsidRPr="003A33EC">
        <w:rPr>
          <w:szCs w:val="22"/>
          <w:lang w:eastAsia="en-GB"/>
        </w:rPr>
        <w:t xml:space="preserve"> the sensitivity to roll and pitch of a ship</w:t>
      </w:r>
      <w:r>
        <w:rPr>
          <w:szCs w:val="22"/>
          <w:lang w:eastAsia="en-GB"/>
        </w:rPr>
        <w:t>.</w:t>
      </w:r>
    </w:p>
    <w:p w:rsidR="00146B22" w:rsidRDefault="00146B22" w:rsidP="00146B22">
      <w:pPr>
        <w:spacing w:after="120"/>
        <w:rPr>
          <w:szCs w:val="22"/>
          <w:lang w:eastAsia="en-GB"/>
        </w:rPr>
      </w:pPr>
      <w:r>
        <w:rPr>
          <w:szCs w:val="22"/>
          <w:lang w:eastAsia="en-GB"/>
        </w:rPr>
        <w:lastRenderedPageBreak/>
        <w:t>An important challenge for on board applications comes from the fact that driving energy is waste heat from engine and therefore there is a possible</w:t>
      </w:r>
      <w:r w:rsidRPr="003A33EC">
        <w:rPr>
          <w:szCs w:val="22"/>
          <w:lang w:eastAsia="en-GB"/>
        </w:rPr>
        <w:t xml:space="preserve"> lack of cooling capacity if the ship</w:t>
      </w:r>
      <w:r>
        <w:rPr>
          <w:szCs w:val="22"/>
          <w:lang w:eastAsia="en-GB"/>
        </w:rPr>
        <w:t>’</w:t>
      </w:r>
      <w:r w:rsidRPr="003A33EC">
        <w:rPr>
          <w:szCs w:val="22"/>
          <w:lang w:eastAsia="en-GB"/>
        </w:rPr>
        <w:t>s engine</w:t>
      </w:r>
      <w:r>
        <w:rPr>
          <w:szCs w:val="22"/>
          <w:lang w:eastAsia="en-GB"/>
        </w:rPr>
        <w:t xml:space="preserve"> is not working e.g. in </w:t>
      </w:r>
      <w:r w:rsidRPr="00C935B8">
        <w:rPr>
          <w:szCs w:val="22"/>
          <w:lang w:eastAsia="en-GB"/>
        </w:rPr>
        <w:t xml:space="preserve">harbour </w:t>
      </w:r>
      <w:r w:rsidR="00202ABD">
        <w:rPr>
          <w:szCs w:val="22"/>
          <w:lang w:eastAsia="en-GB"/>
        </w:rPr>
        <w:t>(</w:t>
      </w:r>
      <w:r w:rsidRPr="00C935B8">
        <w:rPr>
          <w:szCs w:val="22"/>
          <w:lang w:eastAsia="en-GB"/>
        </w:rPr>
        <w:t>Fernandez, 1998</w:t>
      </w:r>
      <w:r w:rsidR="00202ABD">
        <w:rPr>
          <w:szCs w:val="22"/>
          <w:lang w:eastAsia="en-GB"/>
        </w:rPr>
        <w:t>)</w:t>
      </w:r>
    </w:p>
    <w:p w:rsidR="00146B22" w:rsidRPr="003A33EC" w:rsidRDefault="00146B22" w:rsidP="00D40B4C">
      <w:pPr>
        <w:spacing w:after="240"/>
        <w:rPr>
          <w:szCs w:val="22"/>
          <w:lang w:eastAsia="en-GB"/>
        </w:rPr>
      </w:pPr>
      <w:r w:rsidRPr="003A33EC">
        <w:rPr>
          <w:szCs w:val="22"/>
          <w:lang w:eastAsia="en-GB"/>
        </w:rPr>
        <w:t xml:space="preserve">A lot of research in magnetic cooling is ongoing. The capacities </w:t>
      </w:r>
      <w:r>
        <w:rPr>
          <w:szCs w:val="22"/>
          <w:lang w:eastAsia="en-GB"/>
        </w:rPr>
        <w:t>with improving</w:t>
      </w:r>
      <w:r w:rsidRPr="003A33EC">
        <w:rPr>
          <w:szCs w:val="22"/>
          <w:lang w:eastAsia="en-GB"/>
        </w:rPr>
        <w:t xml:space="preserve"> technology are increasing. </w:t>
      </w:r>
      <w:r w:rsidR="0012364B">
        <w:rPr>
          <w:szCs w:val="22"/>
          <w:lang w:eastAsia="en-GB"/>
        </w:rPr>
        <w:t>It is a bit early in the development cycle to determine w</w:t>
      </w:r>
      <w:r w:rsidRPr="003A33EC">
        <w:rPr>
          <w:szCs w:val="22"/>
          <w:lang w:eastAsia="en-GB"/>
        </w:rPr>
        <w:t xml:space="preserve">hether </w:t>
      </w:r>
      <w:r w:rsidR="0012364B">
        <w:rPr>
          <w:szCs w:val="22"/>
          <w:lang w:eastAsia="en-GB"/>
        </w:rPr>
        <w:t xml:space="preserve">or not </w:t>
      </w:r>
      <w:r w:rsidRPr="003A33EC">
        <w:rPr>
          <w:szCs w:val="22"/>
          <w:lang w:eastAsia="en-GB"/>
        </w:rPr>
        <w:t>the cooling capacity will be sufficient and at the temperature differences needed on</w:t>
      </w:r>
      <w:r>
        <w:rPr>
          <w:szCs w:val="22"/>
          <w:lang w:eastAsia="en-GB"/>
        </w:rPr>
        <w:t xml:space="preserve"> </w:t>
      </w:r>
      <w:r w:rsidRPr="003A33EC">
        <w:rPr>
          <w:szCs w:val="22"/>
          <w:lang w:eastAsia="en-GB"/>
        </w:rPr>
        <w:t>board modern fishing ships</w:t>
      </w:r>
      <w:r w:rsidR="0012364B">
        <w:rPr>
          <w:szCs w:val="22"/>
          <w:lang w:eastAsia="en-GB"/>
        </w:rPr>
        <w:t>.</w:t>
      </w:r>
      <w:r w:rsidRPr="003A33EC">
        <w:rPr>
          <w:szCs w:val="22"/>
          <w:lang w:eastAsia="en-GB"/>
        </w:rPr>
        <w:t xml:space="preserve"> </w:t>
      </w:r>
    </w:p>
    <w:p w:rsidR="00146B22" w:rsidRPr="00A06A50" w:rsidRDefault="00146B22" w:rsidP="00723652">
      <w:pPr>
        <w:pStyle w:val="Heading2"/>
        <w:tabs>
          <w:tab w:val="clear" w:pos="578"/>
        </w:tabs>
        <w:spacing w:line="240" w:lineRule="auto"/>
        <w:ind w:left="1080" w:hanging="1080"/>
      </w:pPr>
      <w:bookmarkStart w:id="168" w:name="_Toc451252574"/>
      <w:bookmarkStart w:id="169" w:name="_Toc452653433"/>
      <w:r>
        <w:t>A</w:t>
      </w:r>
      <w:r w:rsidR="00D82F26">
        <w:t>2</w:t>
      </w:r>
      <w:r w:rsidRPr="00A06A50">
        <w:t>.</w:t>
      </w:r>
      <w:r>
        <w:t>5</w:t>
      </w:r>
      <w:r>
        <w:tab/>
      </w:r>
      <w:r>
        <w:tab/>
        <w:t>References</w:t>
      </w:r>
      <w:bookmarkEnd w:id="168"/>
      <w:bookmarkEnd w:id="169"/>
    </w:p>
    <w:p w:rsidR="00146B22" w:rsidRDefault="00146B22" w:rsidP="00146B22">
      <w:pPr>
        <w:spacing w:after="120"/>
        <w:ind w:left="2127" w:hanging="2127"/>
        <w:rPr>
          <w:bCs/>
          <w:szCs w:val="22"/>
          <w:lang w:eastAsia="en-GB"/>
        </w:rPr>
      </w:pPr>
      <w:r>
        <w:rPr>
          <w:bCs/>
          <w:szCs w:val="22"/>
          <w:lang w:eastAsia="en-GB"/>
        </w:rPr>
        <w:t>Awira, 2014</w:t>
      </w:r>
      <w:r>
        <w:rPr>
          <w:bCs/>
          <w:szCs w:val="22"/>
          <w:lang w:eastAsia="en-GB"/>
        </w:rPr>
        <w:tab/>
        <w:t>R.</w:t>
      </w:r>
      <w:r w:rsidR="00FD0ADA">
        <w:rPr>
          <w:bCs/>
          <w:szCs w:val="22"/>
          <w:lang w:eastAsia="en-GB"/>
        </w:rPr>
        <w:t xml:space="preserve"> </w:t>
      </w:r>
      <w:r>
        <w:rPr>
          <w:bCs/>
          <w:szCs w:val="22"/>
          <w:lang w:eastAsia="en-GB"/>
        </w:rPr>
        <w:t>Awira, A.</w:t>
      </w:r>
      <w:r w:rsidR="00FD0ADA">
        <w:rPr>
          <w:bCs/>
          <w:szCs w:val="22"/>
          <w:lang w:eastAsia="en-GB"/>
        </w:rPr>
        <w:t xml:space="preserve"> </w:t>
      </w:r>
      <w:r>
        <w:rPr>
          <w:bCs/>
          <w:szCs w:val="22"/>
          <w:lang w:eastAsia="en-GB"/>
        </w:rPr>
        <w:t>Dubrie, L.</w:t>
      </w:r>
      <w:r w:rsidR="00FD0ADA">
        <w:rPr>
          <w:bCs/>
          <w:szCs w:val="22"/>
          <w:lang w:eastAsia="en-GB"/>
        </w:rPr>
        <w:t xml:space="preserve"> </w:t>
      </w:r>
      <w:r>
        <w:rPr>
          <w:bCs/>
          <w:szCs w:val="22"/>
          <w:lang w:eastAsia="en-GB"/>
        </w:rPr>
        <w:t xml:space="preserve">Rodwell, Refrigerant Consumption in Fishing Vessels operating in the Waters of Pacific islands Countries, OzonAction Special Issue 2014, available at: </w:t>
      </w:r>
      <w:hyperlink r:id="rId78" w:history="1">
        <w:r w:rsidRPr="00A373AC">
          <w:rPr>
            <w:rStyle w:val="Hyperlink"/>
            <w:bCs/>
            <w:szCs w:val="22"/>
            <w:lang w:eastAsia="en-GB"/>
          </w:rPr>
          <w:t>http://www.unep.org/ozonaction/Portals/105/documents/events/MOP26/OASI%202014%20low%20resolution.pdf</w:t>
        </w:r>
      </w:hyperlink>
      <w:r>
        <w:rPr>
          <w:bCs/>
          <w:szCs w:val="22"/>
          <w:lang w:eastAsia="en-GB"/>
        </w:rPr>
        <w:t xml:space="preserve"> </w:t>
      </w:r>
    </w:p>
    <w:p w:rsidR="00146B22" w:rsidRDefault="00146B22" w:rsidP="00146B22">
      <w:pPr>
        <w:spacing w:after="120"/>
        <w:ind w:left="2127" w:hanging="2127"/>
        <w:rPr>
          <w:bCs/>
          <w:szCs w:val="22"/>
          <w:lang w:eastAsia="en-GB"/>
        </w:rPr>
      </w:pPr>
      <w:r>
        <w:rPr>
          <w:bCs/>
          <w:szCs w:val="22"/>
          <w:lang w:eastAsia="en-GB"/>
        </w:rPr>
        <w:t>Awira, 2015</w:t>
      </w:r>
      <w:r>
        <w:rPr>
          <w:bCs/>
          <w:szCs w:val="22"/>
          <w:lang w:eastAsia="en-GB"/>
        </w:rPr>
        <w:tab/>
        <w:t>R.</w:t>
      </w:r>
      <w:r w:rsidR="00D82F26">
        <w:rPr>
          <w:bCs/>
          <w:szCs w:val="22"/>
          <w:lang w:eastAsia="en-GB"/>
        </w:rPr>
        <w:t xml:space="preserve"> </w:t>
      </w:r>
      <w:r>
        <w:rPr>
          <w:bCs/>
          <w:szCs w:val="22"/>
          <w:lang w:eastAsia="en-GB"/>
        </w:rPr>
        <w:t xml:space="preserve">Awira, Refrigerant Consumption in Fishing Vessels operating in the Waters of Pacific Islands Countries, MOP27 Side Event, November 1, 2015, Conrad Hotel, Dubai, UAE, available at: </w:t>
      </w:r>
      <w:hyperlink r:id="rId79" w:history="1">
        <w:r w:rsidRPr="00A373AC">
          <w:rPr>
            <w:rStyle w:val="Hyperlink"/>
            <w:bCs/>
            <w:szCs w:val="22"/>
            <w:lang w:eastAsia="en-GB"/>
          </w:rPr>
          <w:t>http://www.unep.org/ozonaction/Portals/105/documents/events/MOP27/MOP27_RibanataakeAwira_PacificIslandsFisheriesForum-01Nov2015.pdf</w:t>
        </w:r>
      </w:hyperlink>
      <w:r>
        <w:rPr>
          <w:bCs/>
          <w:szCs w:val="22"/>
          <w:lang w:eastAsia="en-GB"/>
        </w:rPr>
        <w:t xml:space="preserve"> </w:t>
      </w:r>
    </w:p>
    <w:p w:rsidR="00146B22" w:rsidRDefault="00202ABD" w:rsidP="00146B22">
      <w:pPr>
        <w:spacing w:after="120"/>
        <w:ind w:left="2127" w:hanging="2127"/>
        <w:rPr>
          <w:bCs/>
          <w:szCs w:val="22"/>
          <w:lang w:eastAsia="en-GB"/>
        </w:rPr>
      </w:pPr>
      <w:r>
        <w:rPr>
          <w:bCs/>
          <w:szCs w:val="22"/>
          <w:lang w:eastAsia="en-GB"/>
        </w:rPr>
        <w:t>de Larminat</w:t>
      </w:r>
      <w:r w:rsidR="00146B22">
        <w:rPr>
          <w:bCs/>
          <w:szCs w:val="22"/>
          <w:lang w:eastAsia="en-GB"/>
        </w:rPr>
        <w:t>, 2015</w:t>
      </w:r>
      <w:r w:rsidR="00146B22">
        <w:rPr>
          <w:bCs/>
          <w:szCs w:val="22"/>
          <w:lang w:eastAsia="en-GB"/>
        </w:rPr>
        <w:tab/>
        <w:t>P.</w:t>
      </w:r>
      <w:r w:rsidR="00D82F26">
        <w:rPr>
          <w:bCs/>
          <w:szCs w:val="22"/>
          <w:lang w:eastAsia="en-GB"/>
        </w:rPr>
        <w:t xml:space="preserve"> </w:t>
      </w:r>
      <w:r w:rsidR="00146B22">
        <w:rPr>
          <w:bCs/>
          <w:szCs w:val="22"/>
          <w:lang w:eastAsia="en-GB"/>
        </w:rPr>
        <w:t xml:space="preserve">de Larminat, The cold chain in the fishery sector. Refrigeration Technology Review, MOP27 Side Event, November 1, 2015, Conrad Hotel, Dubai, UAE, available at: </w:t>
      </w:r>
      <w:hyperlink r:id="rId80" w:history="1">
        <w:r w:rsidR="005313F7" w:rsidRPr="00DF1E74">
          <w:rPr>
            <w:rStyle w:val="Hyperlink"/>
            <w:bCs/>
            <w:szCs w:val="22"/>
            <w:lang w:eastAsia="en-GB"/>
          </w:rPr>
          <w:t>http://www.unep.org/ozonaction/Portals/105/documents/events/MOP27/MOP-27_PauldeLarminat_Fisheries-01Nov2015.pdf</w:t>
        </w:r>
      </w:hyperlink>
      <w:r w:rsidR="00146B22">
        <w:rPr>
          <w:bCs/>
          <w:szCs w:val="22"/>
          <w:lang w:eastAsia="en-GB"/>
        </w:rPr>
        <w:t xml:space="preserve"> </w:t>
      </w:r>
    </w:p>
    <w:p w:rsidR="00146B22" w:rsidRDefault="00146B22" w:rsidP="00146B22">
      <w:pPr>
        <w:spacing w:after="120"/>
        <w:ind w:left="2127" w:hanging="2127"/>
        <w:rPr>
          <w:bCs/>
          <w:szCs w:val="22"/>
          <w:lang w:eastAsia="en-GB"/>
        </w:rPr>
      </w:pPr>
      <w:r>
        <w:rPr>
          <w:bCs/>
          <w:szCs w:val="22"/>
          <w:lang w:eastAsia="en-GB"/>
        </w:rPr>
        <w:t>EUROSTAT, 2014</w:t>
      </w:r>
      <w:r>
        <w:rPr>
          <w:bCs/>
          <w:szCs w:val="22"/>
          <w:lang w:eastAsia="en-GB"/>
        </w:rPr>
        <w:tab/>
      </w:r>
      <w:r w:rsidRPr="003A33EC">
        <w:rPr>
          <w:bCs/>
          <w:szCs w:val="22"/>
          <w:lang w:eastAsia="en-GB"/>
        </w:rPr>
        <w:t>Agriculture, forestry and fishery statistics; Eurostat, 2014 edition</w:t>
      </w:r>
    </w:p>
    <w:p w:rsidR="00146B22" w:rsidRPr="005F0657" w:rsidRDefault="00146B22" w:rsidP="00146B22">
      <w:pPr>
        <w:spacing w:after="120"/>
        <w:ind w:left="2127" w:hanging="2127"/>
      </w:pPr>
      <w:r>
        <w:rPr>
          <w:szCs w:val="22"/>
          <w:lang w:eastAsia="en-GB"/>
        </w:rPr>
        <w:t>Faber, 2009</w:t>
      </w:r>
      <w:r>
        <w:rPr>
          <w:szCs w:val="22"/>
          <w:lang w:eastAsia="en-GB"/>
        </w:rPr>
        <w:tab/>
      </w:r>
      <w:r>
        <w:t xml:space="preserve">J. Faber et al.: Technical support for European action to reducing Greenhouse Gas Emissions from International maritime transport, Tender DG ENV.C3/ATA/2008/0016, available at: </w:t>
      </w:r>
      <w:hyperlink r:id="rId81" w:history="1">
        <w:r w:rsidRPr="00884B6F">
          <w:rPr>
            <w:rStyle w:val="Hyperlink"/>
          </w:rPr>
          <w:t>http://ec.europa.eu/clima/policies/transport/shipping/docs/ghg_ships_report_en.pdf</w:t>
        </w:r>
      </w:hyperlink>
      <w:r>
        <w:t xml:space="preserve"> </w:t>
      </w:r>
    </w:p>
    <w:p w:rsidR="00146B22" w:rsidRDefault="00146B22" w:rsidP="00146B22">
      <w:pPr>
        <w:spacing w:after="120"/>
        <w:ind w:left="2127" w:hanging="2127"/>
        <w:rPr>
          <w:rStyle w:val="Hyperlink"/>
          <w:color w:val="auto"/>
          <w:szCs w:val="22"/>
        </w:rPr>
      </w:pPr>
      <w:r>
        <w:rPr>
          <w:szCs w:val="22"/>
          <w:lang w:eastAsia="en-GB"/>
        </w:rPr>
        <w:t>FAO, 2014</w:t>
      </w:r>
      <w:r>
        <w:rPr>
          <w:szCs w:val="22"/>
          <w:lang w:eastAsia="en-GB"/>
        </w:rPr>
        <w:tab/>
        <w:t xml:space="preserve">FAO, </w:t>
      </w:r>
      <w:r w:rsidRPr="003A33EC">
        <w:rPr>
          <w:szCs w:val="22"/>
        </w:rPr>
        <w:t xml:space="preserve">World Review of Fisheries and Aquaculture, Part 1, </w:t>
      </w:r>
      <w:r>
        <w:rPr>
          <w:szCs w:val="22"/>
        </w:rPr>
        <w:t xml:space="preserve">2014, available at: </w:t>
      </w:r>
      <w:hyperlink r:id="rId82" w:history="1">
        <w:r w:rsidRPr="00FD4904">
          <w:rPr>
            <w:rStyle w:val="Hyperlink"/>
            <w:szCs w:val="22"/>
          </w:rPr>
          <w:t>http://www.fao.org/3/a-i3720e/i3720e01.pdf</w:t>
        </w:r>
      </w:hyperlink>
      <w:r>
        <w:rPr>
          <w:rStyle w:val="Hyperlink"/>
          <w:color w:val="auto"/>
          <w:szCs w:val="22"/>
        </w:rPr>
        <w:t xml:space="preserve"> </w:t>
      </w:r>
    </w:p>
    <w:p w:rsidR="00146B22" w:rsidRPr="00511EC7" w:rsidRDefault="00146B22" w:rsidP="00146B22">
      <w:pPr>
        <w:spacing w:after="120"/>
        <w:ind w:left="2127" w:hanging="2127"/>
        <w:rPr>
          <w:szCs w:val="22"/>
          <w:lang w:eastAsia="en-GB"/>
        </w:rPr>
      </w:pPr>
      <w:r w:rsidRPr="00511EC7">
        <w:rPr>
          <w:szCs w:val="22"/>
          <w:lang w:eastAsia="en-GB"/>
        </w:rPr>
        <w:t>Fernandez, 1998</w:t>
      </w:r>
      <w:r w:rsidRPr="00511EC7">
        <w:rPr>
          <w:szCs w:val="22"/>
          <w:lang w:eastAsia="en-GB"/>
        </w:rPr>
        <w:tab/>
        <w:t>J.</w:t>
      </w:r>
      <w:r w:rsidR="00FD0ADA">
        <w:rPr>
          <w:szCs w:val="22"/>
          <w:lang w:eastAsia="en-GB"/>
        </w:rPr>
        <w:t xml:space="preserve"> </w:t>
      </w:r>
      <w:r w:rsidRPr="00511EC7">
        <w:rPr>
          <w:szCs w:val="22"/>
          <w:lang w:eastAsia="en-GB"/>
        </w:rPr>
        <w:t>Fernandez-Seara, A.</w:t>
      </w:r>
      <w:r w:rsidR="00FD0ADA">
        <w:rPr>
          <w:szCs w:val="22"/>
          <w:lang w:eastAsia="en-GB"/>
        </w:rPr>
        <w:t xml:space="preserve"> </w:t>
      </w:r>
      <w:r w:rsidRPr="00511EC7">
        <w:rPr>
          <w:szCs w:val="22"/>
          <w:lang w:eastAsia="en-GB"/>
        </w:rPr>
        <w:t>Vales, M.</w:t>
      </w:r>
      <w:r w:rsidR="00FD0ADA">
        <w:rPr>
          <w:szCs w:val="22"/>
          <w:lang w:eastAsia="en-GB"/>
        </w:rPr>
        <w:t xml:space="preserve"> </w:t>
      </w:r>
      <w:r w:rsidRPr="00511EC7">
        <w:rPr>
          <w:szCs w:val="22"/>
          <w:lang w:eastAsia="en-GB"/>
        </w:rPr>
        <w:t>Vasquez, He</w:t>
      </w:r>
      <w:r>
        <w:rPr>
          <w:szCs w:val="22"/>
          <w:lang w:eastAsia="en-GB"/>
        </w:rPr>
        <w:t>at Recovery System to Power an Onboard NH</w:t>
      </w:r>
      <w:r w:rsidRPr="00FD0ADA">
        <w:rPr>
          <w:szCs w:val="22"/>
          <w:vertAlign w:val="subscript"/>
          <w:lang w:eastAsia="en-GB"/>
        </w:rPr>
        <w:t>3</w:t>
      </w:r>
      <w:r>
        <w:rPr>
          <w:szCs w:val="22"/>
          <w:lang w:eastAsia="en-GB"/>
        </w:rPr>
        <w:t>-H</w:t>
      </w:r>
      <w:r w:rsidRPr="00FD0ADA">
        <w:rPr>
          <w:szCs w:val="22"/>
          <w:vertAlign w:val="subscript"/>
          <w:lang w:eastAsia="en-GB"/>
        </w:rPr>
        <w:t>2</w:t>
      </w:r>
      <w:r>
        <w:rPr>
          <w:szCs w:val="22"/>
          <w:lang w:eastAsia="en-GB"/>
        </w:rPr>
        <w:t>O Absorption Plant in Trawler Chiller Fishing Vessel, Applied Thermal Engineering, Vol.18, pp.1189-1205, 1998</w:t>
      </w:r>
    </w:p>
    <w:p w:rsidR="00146B22" w:rsidRDefault="00146B22" w:rsidP="00146B22">
      <w:pPr>
        <w:autoSpaceDE w:val="0"/>
        <w:autoSpaceDN w:val="0"/>
        <w:adjustRightInd w:val="0"/>
        <w:spacing w:after="120"/>
        <w:ind w:left="2127" w:hanging="2127"/>
        <w:rPr>
          <w:szCs w:val="22"/>
        </w:rPr>
      </w:pPr>
      <w:r>
        <w:rPr>
          <w:szCs w:val="22"/>
        </w:rPr>
        <w:t>FRDC, 2013</w:t>
      </w:r>
      <w:r>
        <w:rPr>
          <w:szCs w:val="22"/>
        </w:rPr>
        <w:tab/>
        <w:t xml:space="preserve">Fisheries Research and Development Corporation, A study of refrigeration technology options for the Northern Prawn Fishery fleet and the Sydney Fish Market, FRDC 2013/227, November 2013, available at: </w:t>
      </w:r>
      <w:hyperlink r:id="rId83" w:history="1">
        <w:r w:rsidRPr="00FD4904">
          <w:rPr>
            <w:rStyle w:val="Hyperlink"/>
            <w:szCs w:val="22"/>
          </w:rPr>
          <w:t>http://frdc.com.au/research/Final_Reports/2013-227-DLD%20Appendix%20report.pdf</w:t>
        </w:r>
      </w:hyperlink>
      <w:r>
        <w:rPr>
          <w:szCs w:val="22"/>
        </w:rPr>
        <w:t xml:space="preserve"> </w:t>
      </w:r>
    </w:p>
    <w:p w:rsidR="00146B22" w:rsidRPr="00E475D0" w:rsidRDefault="00146B22" w:rsidP="00146B22">
      <w:pPr>
        <w:autoSpaceDE w:val="0"/>
        <w:autoSpaceDN w:val="0"/>
        <w:adjustRightInd w:val="0"/>
        <w:spacing w:after="120"/>
        <w:ind w:left="2127" w:hanging="2127"/>
        <w:rPr>
          <w:rFonts w:ascii="Times-Roman" w:hAnsi="Times-Roman" w:cs="Times-Roman"/>
          <w:color w:val="auto"/>
          <w:szCs w:val="22"/>
          <w:lang w:eastAsia="it-IT"/>
        </w:rPr>
      </w:pPr>
      <w:r>
        <w:rPr>
          <w:szCs w:val="22"/>
        </w:rPr>
        <w:t>Giannetti, 2015</w:t>
      </w:r>
      <w:r>
        <w:rPr>
          <w:szCs w:val="22"/>
        </w:rPr>
        <w:tab/>
        <w:t>N.</w:t>
      </w:r>
      <w:r w:rsidRPr="00E475D0">
        <w:rPr>
          <w:rFonts w:ascii="Times-Roman" w:hAnsi="Times-Roman" w:cs="Times-Roman"/>
          <w:color w:val="auto"/>
          <w:szCs w:val="22"/>
          <w:lang w:eastAsia="it-IT"/>
        </w:rPr>
        <w:t xml:space="preserve">Giannetti, </w:t>
      </w:r>
      <w:r>
        <w:rPr>
          <w:rFonts w:ascii="Times-Roman" w:hAnsi="Times-Roman" w:cs="Times-Roman"/>
          <w:color w:val="auto"/>
          <w:szCs w:val="22"/>
          <w:lang w:eastAsia="it-IT"/>
        </w:rPr>
        <w:t>A.</w:t>
      </w:r>
      <w:r w:rsidRPr="00E475D0">
        <w:rPr>
          <w:rFonts w:ascii="Times-Roman" w:hAnsi="Times-Roman" w:cs="Times-Roman"/>
          <w:color w:val="auto"/>
          <w:szCs w:val="22"/>
          <w:lang w:eastAsia="it-IT"/>
        </w:rPr>
        <w:t>Milazzo</w:t>
      </w:r>
      <w:r>
        <w:rPr>
          <w:rFonts w:ascii="Times-Roman" w:hAnsi="Times-Roman" w:cs="Times-Roman"/>
          <w:color w:val="auto"/>
          <w:szCs w:val="22"/>
          <w:lang w:eastAsia="it-IT"/>
        </w:rPr>
        <w:t>,</w:t>
      </w:r>
      <w:r w:rsidRPr="00E475D0">
        <w:rPr>
          <w:rFonts w:ascii="Times-Roman" w:hAnsi="Times-Roman" w:cs="Times-Roman"/>
          <w:color w:val="auto"/>
          <w:szCs w:val="22"/>
          <w:lang w:eastAsia="it-IT"/>
        </w:rPr>
        <w:t xml:space="preserve"> A.</w:t>
      </w:r>
      <w:r>
        <w:rPr>
          <w:rFonts w:ascii="Times-Roman" w:hAnsi="Times-Roman" w:cs="Times-Roman"/>
          <w:color w:val="auto"/>
          <w:szCs w:val="22"/>
          <w:lang w:eastAsia="it-IT"/>
        </w:rPr>
        <w:t xml:space="preserve">Rocchetti, Cascvade Refrigeration System with Inverse Brayton Cycle on the Cold Side, </w:t>
      </w:r>
      <w:r>
        <w:t>Proc. of 24</w:t>
      </w:r>
      <w:r w:rsidRPr="00BE3659">
        <w:rPr>
          <w:vertAlign w:val="superscript"/>
        </w:rPr>
        <w:t>th</w:t>
      </w:r>
      <w:r>
        <w:t xml:space="preserve"> International Congress of Refrigeration, Yokohama, Japan, 2015</w:t>
      </w:r>
    </w:p>
    <w:p w:rsidR="00146B22" w:rsidRDefault="00146B22" w:rsidP="00146B22">
      <w:pPr>
        <w:spacing w:after="120"/>
        <w:ind w:left="2127" w:hanging="2127"/>
        <w:rPr>
          <w:szCs w:val="22"/>
        </w:rPr>
      </w:pPr>
      <w:r w:rsidRPr="00E475D0">
        <w:rPr>
          <w:szCs w:val="22"/>
        </w:rPr>
        <w:t>Gigiel, 2006</w:t>
      </w:r>
      <w:r w:rsidRPr="00E475D0">
        <w:rPr>
          <w:szCs w:val="22"/>
        </w:rPr>
        <w:tab/>
        <w:t>A.</w:t>
      </w:r>
      <w:r w:rsidRPr="00E475D0">
        <w:rPr>
          <w:rFonts w:ascii="Times-Roman" w:hAnsi="Times-Roman" w:cs="Times-Roman"/>
          <w:color w:val="auto"/>
          <w:szCs w:val="22"/>
          <w:lang w:eastAsia="it-IT"/>
        </w:rPr>
        <w:t>Gigiel, G.</w:t>
      </w:r>
      <w:r w:rsidR="00C4455A">
        <w:rPr>
          <w:rFonts w:ascii="Times-Roman" w:hAnsi="Times-Roman" w:cs="Times-Roman"/>
          <w:color w:val="auto"/>
          <w:szCs w:val="22"/>
          <w:lang w:eastAsia="it-IT"/>
        </w:rPr>
        <w:t xml:space="preserve"> </w:t>
      </w:r>
      <w:r w:rsidRPr="00E475D0">
        <w:rPr>
          <w:rFonts w:ascii="Times-Roman" w:hAnsi="Times-Roman" w:cs="Times-Roman"/>
          <w:color w:val="auto"/>
          <w:szCs w:val="22"/>
          <w:lang w:eastAsia="it-IT"/>
        </w:rPr>
        <w:t>Giuliani, C.</w:t>
      </w:r>
      <w:r w:rsidR="00C4455A">
        <w:rPr>
          <w:rFonts w:ascii="Times-Roman" w:hAnsi="Times-Roman" w:cs="Times-Roman"/>
          <w:color w:val="auto"/>
          <w:szCs w:val="22"/>
          <w:lang w:eastAsia="it-IT"/>
        </w:rPr>
        <w:t xml:space="preserve"> </w:t>
      </w:r>
      <w:r w:rsidRPr="00E475D0">
        <w:rPr>
          <w:rFonts w:ascii="Times-Roman" w:hAnsi="Times-Roman" w:cs="Times-Roman"/>
          <w:color w:val="auto"/>
          <w:szCs w:val="22"/>
          <w:lang w:eastAsia="it-IT"/>
        </w:rPr>
        <w:t>Vitale, F.</w:t>
      </w:r>
      <w:r w:rsidR="00C4455A">
        <w:rPr>
          <w:rFonts w:ascii="Times-Roman" w:hAnsi="Times-Roman" w:cs="Times-Roman"/>
          <w:color w:val="auto"/>
          <w:szCs w:val="22"/>
          <w:lang w:eastAsia="it-IT"/>
        </w:rPr>
        <w:t xml:space="preserve"> </w:t>
      </w:r>
      <w:r w:rsidRPr="00E475D0">
        <w:rPr>
          <w:rFonts w:ascii="Times-Roman" w:hAnsi="Times-Roman" w:cs="Times-Roman"/>
          <w:color w:val="auto"/>
          <w:szCs w:val="22"/>
          <w:lang w:eastAsia="it-IT"/>
        </w:rPr>
        <w:t xml:space="preserve">Polonara, </w:t>
      </w:r>
      <w:r>
        <w:rPr>
          <w:rFonts w:ascii="Times-Roman" w:hAnsi="Times-Roman" w:cs="Times-Roman"/>
          <w:color w:val="auto"/>
          <w:szCs w:val="22"/>
          <w:lang w:eastAsia="it-IT"/>
        </w:rPr>
        <w:t xml:space="preserve">An open air cycle freezer, </w:t>
      </w:r>
      <w:r w:rsidR="009C2ACF">
        <w:rPr>
          <w:rFonts w:ascii="Times-Roman" w:hAnsi="Times-Roman" w:cs="Times-Roman"/>
          <w:color w:val="auto"/>
          <w:szCs w:val="22"/>
          <w:lang w:eastAsia="it-IT"/>
        </w:rPr>
        <w:t xml:space="preserve"> </w:t>
      </w:r>
      <w:r>
        <w:rPr>
          <w:rFonts w:ascii="Times-Roman" w:hAnsi="Times-Roman" w:cs="Times-Roman"/>
          <w:color w:val="auto"/>
          <w:szCs w:val="22"/>
          <w:lang w:eastAsia="it-IT"/>
        </w:rPr>
        <w:t>Proc. of 7</w:t>
      </w:r>
      <w:r w:rsidRPr="00E475D0">
        <w:rPr>
          <w:rFonts w:ascii="Times-Roman" w:hAnsi="Times-Roman" w:cs="Times-Roman"/>
          <w:color w:val="auto"/>
          <w:szCs w:val="22"/>
          <w:vertAlign w:val="superscript"/>
          <w:lang w:eastAsia="it-IT"/>
        </w:rPr>
        <w:t>th</w:t>
      </w:r>
      <w:r>
        <w:rPr>
          <w:rFonts w:ascii="Times-Roman" w:hAnsi="Times-Roman" w:cs="Times-Roman"/>
          <w:color w:val="auto"/>
          <w:szCs w:val="22"/>
          <w:lang w:eastAsia="it-IT"/>
        </w:rPr>
        <w:t xml:space="preserve"> Gustav Lorentzen Conf. on. Nat. Work. Fluids, pp. 325-328, Trondheim, Norway, 2006</w:t>
      </w:r>
    </w:p>
    <w:p w:rsidR="00146B22" w:rsidRPr="003A33EC" w:rsidRDefault="00146B22" w:rsidP="00146B22">
      <w:pPr>
        <w:spacing w:after="120"/>
        <w:ind w:left="2127" w:hanging="2127"/>
        <w:rPr>
          <w:bCs/>
          <w:szCs w:val="22"/>
          <w:lang w:eastAsia="en-GB"/>
        </w:rPr>
      </w:pPr>
      <w:r>
        <w:rPr>
          <w:szCs w:val="22"/>
        </w:rPr>
        <w:lastRenderedPageBreak/>
        <w:t>Gillet, 2011</w:t>
      </w:r>
      <w:r>
        <w:rPr>
          <w:szCs w:val="22"/>
        </w:rPr>
        <w:tab/>
      </w:r>
      <w:r w:rsidRPr="003A33EC">
        <w:rPr>
          <w:szCs w:val="22"/>
        </w:rPr>
        <w:t>Gillett, R., Fisheries of the Pacific I</w:t>
      </w:r>
      <w:r>
        <w:rPr>
          <w:szCs w:val="22"/>
        </w:rPr>
        <w:t>slands. RAP Publication 2011/03. Bangkok, 2011. ISBN: 978-92-5-106792-5</w:t>
      </w:r>
    </w:p>
    <w:p w:rsidR="00146B22" w:rsidRPr="00CA48B7" w:rsidRDefault="00146B22" w:rsidP="00146B22">
      <w:pPr>
        <w:autoSpaceDE w:val="0"/>
        <w:autoSpaceDN w:val="0"/>
        <w:adjustRightInd w:val="0"/>
        <w:spacing w:after="120"/>
        <w:ind w:left="2127" w:hanging="2127"/>
        <w:rPr>
          <w:bCs/>
          <w:szCs w:val="22"/>
          <w:lang w:eastAsia="en-GB"/>
        </w:rPr>
      </w:pPr>
      <w:r>
        <w:rPr>
          <w:bCs/>
          <w:szCs w:val="22"/>
          <w:lang w:eastAsia="en-GB"/>
        </w:rPr>
        <w:t>Graham, 1992</w:t>
      </w:r>
      <w:r>
        <w:rPr>
          <w:bCs/>
          <w:szCs w:val="22"/>
          <w:lang w:eastAsia="en-GB"/>
        </w:rPr>
        <w:tab/>
      </w:r>
      <w:r w:rsidRPr="00CA48B7">
        <w:rPr>
          <w:bCs/>
          <w:szCs w:val="22"/>
          <w:lang w:eastAsia="en-GB"/>
        </w:rPr>
        <w:t>J</w:t>
      </w:r>
      <w:r w:rsidRPr="00A556BC">
        <w:rPr>
          <w:bCs/>
          <w:color w:val="auto"/>
          <w:szCs w:val="22"/>
          <w:lang w:eastAsia="it-IT"/>
        </w:rPr>
        <w:t xml:space="preserve">. Graham, W. A. Johnston </w:t>
      </w:r>
      <w:r w:rsidRPr="00A556BC">
        <w:rPr>
          <w:color w:val="auto"/>
          <w:szCs w:val="22"/>
          <w:lang w:eastAsia="it-IT"/>
        </w:rPr>
        <w:t xml:space="preserve">and </w:t>
      </w:r>
      <w:r w:rsidRPr="00A556BC">
        <w:rPr>
          <w:bCs/>
          <w:color w:val="auto"/>
          <w:szCs w:val="22"/>
          <w:lang w:eastAsia="it-IT"/>
        </w:rPr>
        <w:t>F. J. Nicholson</w:t>
      </w:r>
      <w:r w:rsidRPr="00CA48B7">
        <w:rPr>
          <w:bCs/>
          <w:szCs w:val="22"/>
          <w:lang w:eastAsia="en-GB"/>
        </w:rPr>
        <w:t xml:space="preserve">, Ice Fisheries, FAO, 1992, </w:t>
      </w:r>
      <w:r w:rsidRPr="00A556BC">
        <w:rPr>
          <w:bCs/>
          <w:color w:val="auto"/>
          <w:szCs w:val="22"/>
          <w:lang w:eastAsia="it-IT"/>
        </w:rPr>
        <w:t xml:space="preserve">ISBN 92-5-103280-7, available at: </w:t>
      </w:r>
      <w:hyperlink r:id="rId84" w:history="1">
        <w:r w:rsidRPr="00A556BC">
          <w:rPr>
            <w:rStyle w:val="Hyperlink"/>
            <w:bCs/>
            <w:szCs w:val="22"/>
            <w:lang w:eastAsia="it-IT"/>
          </w:rPr>
          <w:t>http://www.fao.org/docrep/T0713E/T0713E00.htm</w:t>
        </w:r>
      </w:hyperlink>
      <w:r w:rsidRPr="00A556BC">
        <w:rPr>
          <w:bCs/>
          <w:color w:val="auto"/>
          <w:szCs w:val="22"/>
          <w:lang w:eastAsia="it-IT"/>
        </w:rPr>
        <w:t xml:space="preserve"> </w:t>
      </w:r>
    </w:p>
    <w:p w:rsidR="00146B22" w:rsidRDefault="00146B22" w:rsidP="00146B22">
      <w:pPr>
        <w:spacing w:after="120"/>
        <w:ind w:left="2127" w:hanging="2127"/>
        <w:rPr>
          <w:bCs/>
          <w:szCs w:val="22"/>
          <w:lang w:eastAsia="en-GB"/>
        </w:rPr>
      </w:pPr>
      <w:r>
        <w:rPr>
          <w:bCs/>
          <w:szCs w:val="22"/>
          <w:lang w:eastAsia="en-GB"/>
        </w:rPr>
        <w:t>Hafner, 2016</w:t>
      </w:r>
      <w:r>
        <w:rPr>
          <w:bCs/>
          <w:szCs w:val="22"/>
          <w:lang w:eastAsia="en-GB"/>
        </w:rPr>
        <w:tab/>
        <w:t>A.</w:t>
      </w:r>
      <w:r w:rsidR="00C4455A">
        <w:rPr>
          <w:bCs/>
          <w:szCs w:val="22"/>
          <w:lang w:eastAsia="en-GB"/>
        </w:rPr>
        <w:t xml:space="preserve"> </w:t>
      </w:r>
      <w:r>
        <w:rPr>
          <w:bCs/>
          <w:szCs w:val="22"/>
          <w:lang w:eastAsia="en-GB"/>
        </w:rPr>
        <w:t>Hafner, Natural refrigerants, a complete solution – Latest technological advancements for warm climates, ATMOsphere Europe, Barcelona, Spain, 19-20 April 2016</w:t>
      </w:r>
    </w:p>
    <w:p w:rsidR="00146B22" w:rsidRDefault="00146B22" w:rsidP="00146B22">
      <w:pPr>
        <w:spacing w:after="120"/>
        <w:ind w:left="2127" w:hanging="2127"/>
        <w:rPr>
          <w:szCs w:val="22"/>
        </w:rPr>
      </w:pPr>
      <w:r>
        <w:rPr>
          <w:bCs/>
          <w:szCs w:val="22"/>
          <w:lang w:eastAsia="en-GB"/>
        </w:rPr>
        <w:t>Honolulu, 2015</w:t>
      </w:r>
      <w:r>
        <w:rPr>
          <w:bCs/>
          <w:szCs w:val="22"/>
          <w:lang w:eastAsia="en-GB"/>
        </w:rPr>
        <w:tab/>
      </w:r>
      <w:r w:rsidRPr="003A33EC">
        <w:rPr>
          <w:szCs w:val="22"/>
        </w:rPr>
        <w:t>Draft Report of the Western and Central Pacific Ocean Purse Seine Bigeye Management Workshop, Honolulu, Hawaii, Western Pacific Regional Fishery Management Council. April 8-10, 2015</w:t>
      </w:r>
    </w:p>
    <w:p w:rsidR="00146B22" w:rsidRDefault="00146B22" w:rsidP="00146B22">
      <w:pPr>
        <w:spacing w:after="120"/>
        <w:ind w:left="2127" w:hanging="2127"/>
        <w:rPr>
          <w:szCs w:val="22"/>
        </w:rPr>
      </w:pPr>
      <w:r>
        <w:rPr>
          <w:szCs w:val="22"/>
        </w:rPr>
        <w:t>Kawamura, 2015</w:t>
      </w:r>
      <w:r>
        <w:rPr>
          <w:szCs w:val="22"/>
        </w:rPr>
        <w:tab/>
        <w:t xml:space="preserve">K, Kawamura, </w:t>
      </w:r>
      <w:r>
        <w:t>Experiences in renewal of cold storage facilities from R22 to NH3/CO2 in Japan, Proc. of 24</w:t>
      </w:r>
      <w:r w:rsidRPr="00BE3659">
        <w:rPr>
          <w:vertAlign w:val="superscript"/>
        </w:rPr>
        <w:t>th</w:t>
      </w:r>
      <w:r>
        <w:t xml:space="preserve"> International Congress of Refrigeration, Yokohama, Japan, 2015</w:t>
      </w:r>
    </w:p>
    <w:p w:rsidR="00146B22" w:rsidRDefault="00146B22" w:rsidP="00146B22">
      <w:pPr>
        <w:spacing w:after="120"/>
        <w:ind w:left="2127" w:hanging="2127"/>
        <w:rPr>
          <w:szCs w:val="22"/>
        </w:rPr>
      </w:pPr>
      <w:r>
        <w:rPr>
          <w:szCs w:val="22"/>
        </w:rPr>
        <w:t>Machida, 2011</w:t>
      </w:r>
      <w:r>
        <w:rPr>
          <w:szCs w:val="22"/>
        </w:rPr>
        <w:tab/>
        <w:t>A.Machida and J.Boone, Development of Air Refrigeration System “Pascal Air”, Proc. of 23</w:t>
      </w:r>
      <w:r w:rsidRPr="00DC0DD1">
        <w:rPr>
          <w:szCs w:val="22"/>
          <w:vertAlign w:val="superscript"/>
        </w:rPr>
        <w:t>rd</w:t>
      </w:r>
      <w:r>
        <w:rPr>
          <w:szCs w:val="22"/>
        </w:rPr>
        <w:t xml:space="preserve"> International Congress of refrigeration, Prague, Czech Republic, 2011, ID:933</w:t>
      </w:r>
    </w:p>
    <w:p w:rsidR="00146B22" w:rsidRDefault="00146B22" w:rsidP="00146B22">
      <w:pPr>
        <w:spacing w:after="120"/>
        <w:ind w:left="2127" w:hanging="2127"/>
        <w:rPr>
          <w:bCs/>
          <w:szCs w:val="22"/>
          <w:lang w:eastAsia="en-GB"/>
        </w:rPr>
      </w:pPr>
      <w:r>
        <w:rPr>
          <w:szCs w:val="22"/>
        </w:rPr>
        <w:t>Nielsen, 2003</w:t>
      </w:r>
      <w:r>
        <w:rPr>
          <w:szCs w:val="22"/>
        </w:rPr>
        <w:tab/>
        <w:t>P.S.Nielsen et al., Introducing a new Ammonia/CO2 Cascade Concept for Large Fishing Vessels, 2003 International Institute of Ammonia Refrigeration Conference, Albuquerque, N.M.</w:t>
      </w:r>
    </w:p>
    <w:p w:rsidR="00146B22" w:rsidRDefault="00146B22" w:rsidP="00146B22">
      <w:pPr>
        <w:spacing w:after="120"/>
        <w:ind w:left="2127" w:hanging="2127"/>
        <w:rPr>
          <w:bCs/>
          <w:szCs w:val="22"/>
          <w:lang w:eastAsia="en-GB"/>
        </w:rPr>
      </w:pPr>
      <w:r>
        <w:rPr>
          <w:bCs/>
          <w:szCs w:val="22"/>
          <w:lang w:eastAsia="en-GB"/>
        </w:rPr>
        <w:t>Pachai, 2013</w:t>
      </w:r>
      <w:r>
        <w:rPr>
          <w:bCs/>
          <w:szCs w:val="22"/>
          <w:lang w:eastAsia="en-GB"/>
        </w:rPr>
        <w:tab/>
        <w:t>A.C.</w:t>
      </w:r>
      <w:r w:rsidRPr="003A33EC">
        <w:rPr>
          <w:szCs w:val="22"/>
        </w:rPr>
        <w:t xml:space="preserve">Pachai, </w:t>
      </w:r>
      <w:r w:rsidRPr="003A33EC">
        <w:rPr>
          <w:szCs w:val="22"/>
          <w:lang w:eastAsia="en-GB"/>
        </w:rPr>
        <w:t xml:space="preserve">From cradle to table </w:t>
      </w:r>
      <w:r w:rsidRPr="003A33EC">
        <w:rPr>
          <w:rFonts w:ascii="Cambria Math" w:hAnsi="Cambria Math" w:cs="Cambria Math"/>
          <w:szCs w:val="22"/>
          <w:lang w:eastAsia="en-GB"/>
        </w:rPr>
        <w:t>‐</w:t>
      </w:r>
      <w:r w:rsidRPr="003A33EC">
        <w:rPr>
          <w:szCs w:val="22"/>
          <w:lang w:eastAsia="en-GB"/>
        </w:rPr>
        <w:t xml:space="preserve"> Cooling and freezing of food, ICCC 2013, </w:t>
      </w:r>
      <w:r w:rsidRPr="003A33EC">
        <w:rPr>
          <w:bCs/>
          <w:szCs w:val="22"/>
          <w:lang w:eastAsia="en-GB"/>
        </w:rPr>
        <w:t xml:space="preserve">PARIS </w:t>
      </w:r>
      <w:r w:rsidRPr="003A33EC">
        <w:rPr>
          <w:rFonts w:ascii="Cambria Math" w:hAnsi="Cambria Math" w:cs="Cambria Math"/>
          <w:bCs/>
          <w:szCs w:val="22"/>
          <w:lang w:eastAsia="en-GB"/>
        </w:rPr>
        <w:t>‐</w:t>
      </w:r>
      <w:r w:rsidRPr="003A33EC">
        <w:rPr>
          <w:bCs/>
          <w:szCs w:val="22"/>
          <w:lang w:eastAsia="en-GB"/>
        </w:rPr>
        <w:t xml:space="preserve"> April 2</w:t>
      </w:r>
      <w:r w:rsidRPr="003A33EC">
        <w:rPr>
          <w:rFonts w:ascii="Cambria Math" w:hAnsi="Cambria Math" w:cs="Cambria Math"/>
          <w:bCs/>
          <w:szCs w:val="22"/>
          <w:lang w:eastAsia="en-GB"/>
        </w:rPr>
        <w:t>‐</w:t>
      </w:r>
      <w:r w:rsidRPr="003A33EC">
        <w:rPr>
          <w:bCs/>
          <w:szCs w:val="22"/>
          <w:lang w:eastAsia="en-GB"/>
        </w:rPr>
        <w:t>4, 2013</w:t>
      </w:r>
    </w:p>
    <w:p w:rsidR="00146B22" w:rsidRPr="00200A45" w:rsidRDefault="00146B22" w:rsidP="00146B22">
      <w:pPr>
        <w:spacing w:after="120"/>
        <w:ind w:left="2127" w:hanging="2127"/>
        <w:rPr>
          <w:szCs w:val="22"/>
        </w:rPr>
      </w:pPr>
      <w:r>
        <w:rPr>
          <w:szCs w:val="22"/>
        </w:rPr>
        <w:t>The Pacific Community</w:t>
      </w:r>
      <w:r>
        <w:rPr>
          <w:szCs w:val="22"/>
        </w:rPr>
        <w:tab/>
      </w:r>
      <w:r w:rsidRPr="005F0657">
        <w:rPr>
          <w:color w:val="auto"/>
          <w:szCs w:val="22"/>
        </w:rPr>
        <w:t>The Pacific Community (SPC); FDS</w:t>
      </w:r>
      <w:r w:rsidR="00C4455A">
        <w:rPr>
          <w:color w:val="auto"/>
          <w:szCs w:val="22"/>
        </w:rPr>
        <w:t xml:space="preserve"> </w:t>
      </w:r>
      <w:r w:rsidRPr="005F0657">
        <w:rPr>
          <w:color w:val="auto"/>
          <w:szCs w:val="22"/>
        </w:rPr>
        <w:t>Manual chapter</w:t>
      </w:r>
      <w:r w:rsidR="00E63AFD">
        <w:rPr>
          <w:color w:val="auto"/>
          <w:szCs w:val="22"/>
        </w:rPr>
        <w:t xml:space="preserve"> </w:t>
      </w:r>
      <w:r w:rsidRPr="005F0657">
        <w:rPr>
          <w:color w:val="auto"/>
          <w:szCs w:val="22"/>
        </w:rPr>
        <w:t>4; available at:</w:t>
      </w:r>
      <w:r>
        <w:rPr>
          <w:color w:val="333333"/>
          <w:szCs w:val="22"/>
        </w:rPr>
        <w:t xml:space="preserve"> </w:t>
      </w:r>
      <w:hyperlink r:id="rId85" w:history="1">
        <w:r w:rsidRPr="005F0657">
          <w:rPr>
            <w:rStyle w:val="Hyperlink"/>
            <w:szCs w:val="22"/>
          </w:rPr>
          <w:t>https://www.spc.int/coastfish/Sections/Development/FDSPublications/FDSManuals/HLL/HLL4s.pdf</w:t>
        </w:r>
      </w:hyperlink>
    </w:p>
    <w:p w:rsidR="00146B22" w:rsidRPr="003A33EC" w:rsidRDefault="00146B22" w:rsidP="00146B22">
      <w:pPr>
        <w:spacing w:after="120"/>
        <w:ind w:left="2127" w:hanging="2127"/>
        <w:rPr>
          <w:szCs w:val="22"/>
          <w:lang w:eastAsia="en-GB"/>
        </w:rPr>
      </w:pPr>
      <w:r w:rsidRPr="003A33EC">
        <w:rPr>
          <w:szCs w:val="22"/>
        </w:rPr>
        <w:t>UN</w:t>
      </w:r>
      <w:r>
        <w:rPr>
          <w:szCs w:val="22"/>
        </w:rPr>
        <w:t>, 2010</w:t>
      </w:r>
      <w:r>
        <w:rPr>
          <w:szCs w:val="22"/>
        </w:rPr>
        <w:tab/>
      </w:r>
      <w:r w:rsidRPr="003A33EC">
        <w:rPr>
          <w:szCs w:val="22"/>
          <w:lang w:eastAsia="en-GB"/>
        </w:rPr>
        <w:t>Resumed Review Confer</w:t>
      </w:r>
      <w:r>
        <w:rPr>
          <w:szCs w:val="22"/>
          <w:lang w:eastAsia="en-GB"/>
        </w:rPr>
        <w:t xml:space="preserve">ence on the Agreement Relating </w:t>
      </w:r>
      <w:r w:rsidRPr="003A33EC">
        <w:rPr>
          <w:szCs w:val="22"/>
          <w:lang w:eastAsia="en-GB"/>
        </w:rPr>
        <w:t>to the Conservation and Management of Straddling Fish Stocks and Highly Migratory Fish Stocks</w:t>
      </w:r>
      <w:r>
        <w:rPr>
          <w:szCs w:val="22"/>
          <w:lang w:eastAsia="en-GB"/>
        </w:rPr>
        <w:t xml:space="preserve">, </w:t>
      </w:r>
      <w:r w:rsidRPr="003A33EC">
        <w:rPr>
          <w:szCs w:val="22"/>
          <w:lang w:eastAsia="en-GB"/>
        </w:rPr>
        <w:t>New York, 24 – 28 May 2010</w:t>
      </w:r>
    </w:p>
    <w:p w:rsidR="00146B22" w:rsidRDefault="00146B22" w:rsidP="00146B22">
      <w:pPr>
        <w:spacing w:after="120"/>
        <w:ind w:left="2127" w:hanging="2127"/>
        <w:rPr>
          <w:szCs w:val="22"/>
        </w:rPr>
      </w:pPr>
      <w:r>
        <w:rPr>
          <w:szCs w:val="22"/>
        </w:rPr>
        <w:t>UNEP, 2014</w:t>
      </w:r>
      <w:r>
        <w:rPr>
          <w:szCs w:val="22"/>
        </w:rPr>
        <w:tab/>
      </w:r>
      <w:r w:rsidRPr="00D6777F">
        <w:rPr>
          <w:sz w:val="21"/>
          <w:szCs w:val="21"/>
        </w:rPr>
        <w:t>UNEP, Refrigeration, AC and Heat Pumps Technical Options Committee, 2010 Assessment Re</w:t>
      </w:r>
      <w:r>
        <w:rPr>
          <w:sz w:val="21"/>
          <w:szCs w:val="21"/>
        </w:rPr>
        <w:t xml:space="preserve">port, ISBN </w:t>
      </w:r>
      <w:r>
        <w:rPr>
          <w:szCs w:val="22"/>
        </w:rPr>
        <w:t>978-9966-076-09-0</w:t>
      </w:r>
    </w:p>
    <w:p w:rsidR="00146B22" w:rsidRDefault="00146B22" w:rsidP="00146B22">
      <w:pPr>
        <w:spacing w:after="120"/>
        <w:ind w:left="2127" w:hanging="2127"/>
        <w:rPr>
          <w:szCs w:val="22"/>
        </w:rPr>
      </w:pPr>
      <w:r>
        <w:rPr>
          <w:szCs w:val="22"/>
        </w:rPr>
        <w:t>UNEP, 2015</w:t>
      </w:r>
      <w:r>
        <w:rPr>
          <w:szCs w:val="22"/>
        </w:rPr>
        <w:tab/>
        <w:t>UNEP, Decision XXVI/9 Task Force Report – Additional Information on Alternatives to ozone Depleting Substances, March 2016, ISBN 978-9966-076-14-4</w:t>
      </w:r>
    </w:p>
    <w:p w:rsidR="001B2FAF" w:rsidRDefault="00146B22" w:rsidP="00146B22">
      <w:pPr>
        <w:spacing w:after="120"/>
        <w:ind w:left="2127" w:hanging="2127"/>
        <w:rPr>
          <w:szCs w:val="22"/>
        </w:rPr>
      </w:pPr>
      <w:r>
        <w:rPr>
          <w:szCs w:val="22"/>
        </w:rPr>
        <w:t>UNEP, 2016</w:t>
      </w:r>
      <w:r>
        <w:rPr>
          <w:szCs w:val="22"/>
        </w:rPr>
        <w:tab/>
        <w:t xml:space="preserve">UNEP, Decision XXVII/4 Task Force Report – Further Information on Alternatives to ozone Depleting Substances, March 2016, ISBN 978-9966-078-17-5 </w:t>
      </w:r>
    </w:p>
    <w:p w:rsidR="00AB35FC" w:rsidRDefault="00AB35FC" w:rsidP="0012364B">
      <w:pPr>
        <w:spacing w:after="120"/>
        <w:ind w:left="2127" w:hanging="2127"/>
        <w:rPr>
          <w:szCs w:val="22"/>
        </w:rPr>
        <w:sectPr w:rsidR="00AB35FC" w:rsidSect="00C32CE4">
          <w:headerReference w:type="even" r:id="rId86"/>
          <w:type w:val="oddPage"/>
          <w:pgSz w:w="11900" w:h="16840"/>
          <w:pgMar w:top="1440" w:right="1800" w:bottom="1440" w:left="1800" w:header="708" w:footer="708" w:gutter="0"/>
          <w:cols w:space="708"/>
          <w:docGrid w:linePitch="360"/>
        </w:sectPr>
      </w:pPr>
    </w:p>
    <w:p w:rsidR="00757860" w:rsidRDefault="009F4B9C" w:rsidP="001B2FAF">
      <w:pPr>
        <w:pStyle w:val="Heading1"/>
      </w:pPr>
      <w:bookmarkStart w:id="170" w:name="_Toc452653434"/>
      <w:r>
        <w:lastRenderedPageBreak/>
        <w:t xml:space="preserve">Annex 3 - </w:t>
      </w:r>
      <w:r w:rsidR="00757860" w:rsidRPr="00B90D31">
        <w:t>EU (F-gas, MAC Directive)</w:t>
      </w:r>
      <w:r w:rsidR="00757860">
        <w:t>,</w:t>
      </w:r>
      <w:r w:rsidR="00757860" w:rsidRPr="00B90D31">
        <w:t xml:space="preserve"> USA (</w:t>
      </w:r>
      <w:r w:rsidR="00757860">
        <w:t xml:space="preserve">EPA </w:t>
      </w:r>
      <w:r w:rsidR="00757860" w:rsidRPr="00B90D31">
        <w:t xml:space="preserve">SNAP Program) </w:t>
      </w:r>
      <w:r w:rsidR="00757860">
        <w:t xml:space="preserve">and Japan </w:t>
      </w:r>
      <w:r w:rsidR="00757860" w:rsidRPr="00B90D31">
        <w:t>Regulatory Prohibitions</w:t>
      </w:r>
      <w:r w:rsidR="00757860">
        <w:t xml:space="preserve"> (Ch. 6)</w:t>
      </w:r>
      <w:bookmarkEnd w:id="170"/>
    </w:p>
    <w:p w:rsidR="00757860" w:rsidRPr="00E3615C" w:rsidRDefault="00757860" w:rsidP="00757860">
      <w:pPr>
        <w:spacing w:line="216" w:lineRule="auto"/>
      </w:pPr>
    </w:p>
    <w:tbl>
      <w:tblPr>
        <w:tblW w:w="48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
        <w:gridCol w:w="1510"/>
        <w:gridCol w:w="1331"/>
        <w:gridCol w:w="1334"/>
        <w:gridCol w:w="1783"/>
        <w:gridCol w:w="1868"/>
        <w:gridCol w:w="1331"/>
        <w:gridCol w:w="1422"/>
        <w:gridCol w:w="890"/>
        <w:gridCol w:w="907"/>
      </w:tblGrid>
      <w:tr w:rsidR="00757860" w:rsidRPr="008064DA" w:rsidTr="001B2FAF">
        <w:trPr>
          <w:tblHeader/>
        </w:trPr>
        <w:tc>
          <w:tcPr>
            <w:tcW w:w="509" w:type="pct"/>
            <w:tcBorders>
              <w:top w:val="single" w:sz="18" w:space="0" w:color="auto"/>
              <w:left w:val="single" w:sz="18" w:space="0" w:color="auto"/>
              <w:bottom w:val="double" w:sz="4" w:space="0" w:color="auto"/>
              <w:right w:val="double" w:sz="4" w:space="0" w:color="auto"/>
            </w:tcBorders>
            <w:shd w:val="clear" w:color="auto" w:fill="auto"/>
          </w:tcPr>
          <w:p w:rsidR="00757860" w:rsidRPr="008064DA" w:rsidRDefault="00757860" w:rsidP="001B2FAF">
            <w:pPr>
              <w:spacing w:line="216" w:lineRule="auto"/>
              <w:rPr>
                <w:rFonts w:cs="Calibri"/>
                <w:b/>
                <w:sz w:val="24"/>
              </w:rPr>
            </w:pPr>
          </w:p>
        </w:tc>
        <w:tc>
          <w:tcPr>
            <w:tcW w:w="1515" w:type="pct"/>
            <w:gridSpan w:val="3"/>
            <w:tcBorders>
              <w:top w:val="single" w:sz="18" w:space="0" w:color="auto"/>
              <w:left w:val="double" w:sz="4" w:space="0" w:color="auto"/>
              <w:bottom w:val="double" w:sz="4" w:space="0" w:color="auto"/>
              <w:right w:val="double" w:sz="4" w:space="0" w:color="auto"/>
            </w:tcBorders>
            <w:shd w:val="clear" w:color="auto" w:fill="auto"/>
          </w:tcPr>
          <w:p w:rsidR="00757860" w:rsidRPr="008064DA" w:rsidRDefault="00757860" w:rsidP="001B2FAF">
            <w:pPr>
              <w:spacing w:before="60"/>
              <w:jc w:val="center"/>
              <w:rPr>
                <w:rFonts w:cs="Calibri"/>
                <w:b/>
                <w:sz w:val="24"/>
              </w:rPr>
            </w:pPr>
            <w:r w:rsidRPr="008064DA">
              <w:rPr>
                <w:rFonts w:cs="Calibri"/>
                <w:b/>
                <w:sz w:val="24"/>
              </w:rPr>
              <w:t>European Union</w:t>
            </w:r>
          </w:p>
        </w:tc>
        <w:tc>
          <w:tcPr>
            <w:tcW w:w="1808" w:type="pct"/>
            <w:gridSpan w:val="3"/>
            <w:tcBorders>
              <w:top w:val="single" w:sz="18" w:space="0" w:color="auto"/>
              <w:left w:val="double" w:sz="4" w:space="0" w:color="auto"/>
              <w:bottom w:val="double" w:sz="4" w:space="0" w:color="auto"/>
              <w:right w:val="double" w:sz="4" w:space="0" w:color="auto"/>
            </w:tcBorders>
            <w:shd w:val="clear" w:color="auto" w:fill="auto"/>
          </w:tcPr>
          <w:p w:rsidR="00757860" w:rsidRPr="008064DA" w:rsidRDefault="00757860" w:rsidP="001B2FAF">
            <w:pPr>
              <w:spacing w:before="60"/>
              <w:jc w:val="center"/>
              <w:rPr>
                <w:rFonts w:cs="Calibri"/>
                <w:b/>
                <w:sz w:val="24"/>
              </w:rPr>
            </w:pPr>
            <w:r w:rsidRPr="008064DA">
              <w:rPr>
                <w:rFonts w:cs="Calibri"/>
                <w:b/>
                <w:sz w:val="24"/>
              </w:rPr>
              <w:t>United States</w:t>
            </w:r>
          </w:p>
        </w:tc>
        <w:tc>
          <w:tcPr>
            <w:tcW w:w="1168" w:type="pct"/>
            <w:gridSpan w:val="3"/>
            <w:tcBorders>
              <w:top w:val="single" w:sz="18" w:space="0" w:color="auto"/>
              <w:left w:val="double" w:sz="4" w:space="0" w:color="auto"/>
              <w:right w:val="single" w:sz="18" w:space="0" w:color="auto"/>
            </w:tcBorders>
            <w:shd w:val="clear" w:color="auto" w:fill="auto"/>
          </w:tcPr>
          <w:p w:rsidR="00757860" w:rsidRPr="008064DA" w:rsidRDefault="00757860" w:rsidP="001B2FAF">
            <w:pPr>
              <w:spacing w:before="60"/>
              <w:jc w:val="center"/>
              <w:rPr>
                <w:rFonts w:cs="Calibri"/>
                <w:b/>
                <w:sz w:val="24"/>
              </w:rPr>
            </w:pPr>
            <w:r w:rsidRPr="008064DA">
              <w:rPr>
                <w:rFonts w:cs="Calibri"/>
                <w:b/>
                <w:sz w:val="24"/>
              </w:rPr>
              <w:t>Japan</w:t>
            </w:r>
          </w:p>
        </w:tc>
      </w:tr>
      <w:tr w:rsidR="00757860" w:rsidRPr="008064DA" w:rsidTr="001B2FAF">
        <w:trPr>
          <w:tblHeader/>
        </w:trPr>
        <w:tc>
          <w:tcPr>
            <w:tcW w:w="509" w:type="pct"/>
            <w:tcBorders>
              <w:top w:val="double" w:sz="4" w:space="0" w:color="auto"/>
              <w:left w:val="single" w:sz="18" w:space="0" w:color="auto"/>
              <w:right w:val="double" w:sz="4" w:space="0" w:color="auto"/>
            </w:tcBorders>
            <w:shd w:val="clear" w:color="auto" w:fill="auto"/>
          </w:tcPr>
          <w:p w:rsidR="00757860" w:rsidRPr="00DF1E74" w:rsidRDefault="00757860" w:rsidP="001B2FAF">
            <w:pPr>
              <w:spacing w:before="20" w:line="216" w:lineRule="auto"/>
              <w:rPr>
                <w:rFonts w:cs="Calibri"/>
                <w:b/>
                <w:szCs w:val="22"/>
              </w:rPr>
            </w:pPr>
            <w:r w:rsidRPr="00DF1E74">
              <w:rPr>
                <w:rFonts w:cs="Calibri"/>
                <w:b/>
                <w:szCs w:val="22"/>
              </w:rPr>
              <w:t>Typical Historical Zero-ODP Option</w:t>
            </w:r>
          </w:p>
        </w:tc>
        <w:tc>
          <w:tcPr>
            <w:tcW w:w="548" w:type="pct"/>
            <w:tcBorders>
              <w:top w:val="double" w:sz="4" w:space="0" w:color="auto"/>
              <w:left w:val="double" w:sz="4" w:space="0" w:color="auto"/>
              <w:right w:val="single" w:sz="4" w:space="0" w:color="auto"/>
            </w:tcBorders>
            <w:shd w:val="clear" w:color="auto" w:fill="auto"/>
          </w:tcPr>
          <w:p w:rsidR="00757860" w:rsidRPr="00DF1E74" w:rsidRDefault="00757860" w:rsidP="001B2FAF">
            <w:pPr>
              <w:spacing w:before="20" w:line="216" w:lineRule="auto"/>
              <w:rPr>
                <w:rFonts w:cs="Calibri"/>
                <w:b/>
                <w:szCs w:val="22"/>
              </w:rPr>
            </w:pPr>
            <w:r w:rsidRPr="00DF1E74">
              <w:rPr>
                <w:rFonts w:cs="Calibri"/>
                <w:b/>
                <w:szCs w:val="22"/>
              </w:rPr>
              <w:t>Applications and Products</w:t>
            </w:r>
          </w:p>
        </w:tc>
        <w:tc>
          <w:tcPr>
            <w:tcW w:w="483" w:type="pct"/>
            <w:tcBorders>
              <w:top w:val="double" w:sz="4" w:space="0" w:color="auto"/>
              <w:left w:val="sing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GWP</w:t>
            </w:r>
            <w:r>
              <w:rPr>
                <w:rFonts w:cs="Calibri"/>
                <w:b/>
                <w:szCs w:val="22"/>
              </w:rPr>
              <w:t xml:space="preserve">     </w:t>
            </w:r>
            <w:r w:rsidRPr="00DF1E74">
              <w:rPr>
                <w:rFonts w:cs="Calibri"/>
                <w:b/>
                <w:szCs w:val="22"/>
              </w:rPr>
              <w:t xml:space="preserve">Max Limit, </w:t>
            </w:r>
            <w:r>
              <w:rPr>
                <w:rFonts w:cs="Calibri"/>
                <w:b/>
                <w:szCs w:val="22"/>
              </w:rPr>
              <w:t xml:space="preserve">      </w:t>
            </w:r>
            <w:r w:rsidRPr="00DF1E74">
              <w:rPr>
                <w:rFonts w:cs="Calibri"/>
                <w:b/>
                <w:szCs w:val="22"/>
              </w:rPr>
              <w:t>F-gas Prohibited</w:t>
            </w:r>
          </w:p>
        </w:tc>
        <w:tc>
          <w:tcPr>
            <w:tcW w:w="484" w:type="pct"/>
            <w:tcBorders>
              <w:top w:val="double" w:sz="4" w:space="0" w:color="auto"/>
              <w:right w:val="doub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Effective Date of Prohibition</w:t>
            </w:r>
          </w:p>
        </w:tc>
        <w:tc>
          <w:tcPr>
            <w:tcW w:w="647" w:type="pct"/>
            <w:tcBorders>
              <w:top w:val="double" w:sz="4" w:space="0" w:color="auto"/>
              <w:left w:val="doub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Applications and Products</w:t>
            </w:r>
          </w:p>
        </w:tc>
        <w:tc>
          <w:tcPr>
            <w:tcW w:w="678" w:type="pct"/>
            <w:tcBorders>
              <w:top w:val="doub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 xml:space="preserve">Unacceptable examples (GWP) </w:t>
            </w:r>
          </w:p>
        </w:tc>
        <w:tc>
          <w:tcPr>
            <w:tcW w:w="483" w:type="pct"/>
            <w:tcBorders>
              <w:top w:val="double" w:sz="4" w:space="0" w:color="auto"/>
              <w:right w:val="doub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Date of Prohibition</w:t>
            </w:r>
          </w:p>
        </w:tc>
        <w:tc>
          <w:tcPr>
            <w:tcW w:w="516" w:type="pct"/>
            <w:tcBorders>
              <w:top w:val="double" w:sz="4" w:space="0" w:color="auto"/>
              <w:left w:val="double" w:sz="4" w:space="0" w:color="auto"/>
              <w:right w:val="sing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Designated Products</w:t>
            </w:r>
          </w:p>
        </w:tc>
        <w:tc>
          <w:tcPr>
            <w:tcW w:w="323" w:type="pct"/>
            <w:tcBorders>
              <w:top w:val="double" w:sz="4" w:space="0" w:color="auto"/>
              <w:left w:val="single" w:sz="4" w:space="0" w:color="auto"/>
              <w:right w:val="single" w:sz="4"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 xml:space="preserve">Target GWP </w:t>
            </w:r>
          </w:p>
        </w:tc>
        <w:tc>
          <w:tcPr>
            <w:tcW w:w="329" w:type="pct"/>
            <w:tcBorders>
              <w:top w:val="double" w:sz="4" w:space="0" w:color="auto"/>
              <w:left w:val="single" w:sz="4" w:space="0" w:color="auto"/>
              <w:right w:val="single" w:sz="18" w:space="0" w:color="auto"/>
            </w:tcBorders>
            <w:shd w:val="clear" w:color="auto" w:fill="auto"/>
          </w:tcPr>
          <w:p w:rsidR="00757860" w:rsidRPr="00DF1E74" w:rsidRDefault="00757860" w:rsidP="001B2FAF">
            <w:pPr>
              <w:spacing w:before="60"/>
              <w:rPr>
                <w:rFonts w:cs="Calibri"/>
                <w:b/>
                <w:szCs w:val="22"/>
              </w:rPr>
            </w:pPr>
            <w:r w:rsidRPr="00DF1E74">
              <w:rPr>
                <w:rFonts w:cs="Calibri"/>
                <w:b/>
                <w:szCs w:val="22"/>
              </w:rPr>
              <w:t>Target Year</w:t>
            </w:r>
          </w:p>
        </w:tc>
      </w:tr>
      <w:tr w:rsidR="00757860" w:rsidRPr="008064DA" w:rsidTr="001B2FAF">
        <w:tc>
          <w:tcPr>
            <w:tcW w:w="5000" w:type="pct"/>
            <w:gridSpan w:val="10"/>
            <w:tcBorders>
              <w:left w:val="single" w:sz="18" w:space="0" w:color="auto"/>
              <w:right w:val="single" w:sz="18" w:space="0" w:color="auto"/>
            </w:tcBorders>
            <w:shd w:val="clear" w:color="auto" w:fill="D9D9D9"/>
          </w:tcPr>
          <w:p w:rsidR="00757860" w:rsidRPr="008064DA" w:rsidRDefault="00757860" w:rsidP="001B2FAF">
            <w:pPr>
              <w:spacing w:before="60"/>
              <w:jc w:val="center"/>
              <w:rPr>
                <w:rFonts w:cs="Calibri"/>
                <w:b/>
              </w:rPr>
            </w:pPr>
            <w:r w:rsidRPr="008064DA">
              <w:rPr>
                <w:rFonts w:cs="Calibri"/>
                <w:b/>
                <w:sz w:val="24"/>
              </w:rPr>
              <w:t>Mobile Air Conditioning</w:t>
            </w: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HFC-134a</w:t>
            </w:r>
          </w:p>
        </w:tc>
        <w:tc>
          <w:tcPr>
            <w:tcW w:w="548" w:type="pct"/>
            <w:tcBorders>
              <w:lef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Mobile Air Conditioners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2013 (new types); </w:t>
            </w:r>
          </w:p>
          <w:p w:rsidR="00757860" w:rsidRPr="008064DA" w:rsidRDefault="00757860" w:rsidP="001B2FAF">
            <w:pPr>
              <w:spacing w:before="60"/>
              <w:rPr>
                <w:rFonts w:cs="Calibri"/>
              </w:rPr>
            </w:pPr>
            <w:r w:rsidRPr="008064DA">
              <w:rPr>
                <w:rFonts w:cs="Calibri"/>
              </w:rPr>
              <w:t>2017 (all)</w:t>
            </w:r>
          </w:p>
        </w:tc>
        <w:tc>
          <w:tcPr>
            <w:tcW w:w="647" w:type="pc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Light-Duty Motor Vehicle Air Conditioners</w:t>
            </w:r>
          </w:p>
        </w:tc>
        <w:tc>
          <w:tcPr>
            <w:tcW w:w="678" w:type="pct"/>
            <w:shd w:val="clear" w:color="auto" w:fill="auto"/>
          </w:tcPr>
          <w:p w:rsidR="00757860" w:rsidRPr="008064DA" w:rsidRDefault="00757860" w:rsidP="001B2FAF">
            <w:pPr>
              <w:spacing w:before="60"/>
              <w:rPr>
                <w:rFonts w:cs="Calibri"/>
              </w:rPr>
            </w:pPr>
          </w:p>
        </w:tc>
        <w:tc>
          <w:tcPr>
            <w:tcW w:w="483"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MY 2021 (~1/6/2020)</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Mobile Air Conditioners</w:t>
            </w: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r w:rsidRPr="008064DA">
              <w:rPr>
                <w:rFonts w:cs="Calibri"/>
              </w:rPr>
              <w:t>2023</w:t>
            </w:r>
          </w:p>
        </w:tc>
      </w:tr>
      <w:tr w:rsidR="00757860" w:rsidRPr="008064DA" w:rsidTr="001B2FAF">
        <w:tc>
          <w:tcPr>
            <w:tcW w:w="5000" w:type="pct"/>
            <w:gridSpan w:val="10"/>
            <w:tcBorders>
              <w:left w:val="single" w:sz="18" w:space="0" w:color="auto"/>
              <w:right w:val="single" w:sz="18" w:space="0" w:color="auto"/>
            </w:tcBorders>
            <w:shd w:val="clear" w:color="auto" w:fill="D9D9D9"/>
          </w:tcPr>
          <w:p w:rsidR="00757860" w:rsidRPr="008064DA" w:rsidRDefault="00757860" w:rsidP="001B2FAF">
            <w:pPr>
              <w:spacing w:before="60"/>
              <w:jc w:val="center"/>
              <w:rPr>
                <w:rFonts w:cs="Calibri"/>
                <w:b/>
              </w:rPr>
            </w:pPr>
            <w:r w:rsidRPr="008064DA">
              <w:rPr>
                <w:rFonts w:cs="Calibri"/>
                <w:b/>
                <w:sz w:val="24"/>
              </w:rPr>
              <w:t>Stationary Air Conditioning and Refrigeration</w:t>
            </w: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 xml:space="preserve">HFC-134a, </w:t>
            </w:r>
          </w:p>
          <w:p w:rsidR="00757860" w:rsidRPr="008064DA" w:rsidRDefault="00757860" w:rsidP="001B2FAF">
            <w:pPr>
              <w:spacing w:before="60" w:line="216" w:lineRule="auto"/>
              <w:rPr>
                <w:rFonts w:cs="Calibri"/>
              </w:rPr>
            </w:pPr>
            <w:r w:rsidRPr="008064DA">
              <w:rPr>
                <w:rFonts w:cs="Calibri"/>
              </w:rPr>
              <w:t>HC-600a</w:t>
            </w:r>
          </w:p>
        </w:tc>
        <w:tc>
          <w:tcPr>
            <w:tcW w:w="548" w:type="pct"/>
            <w:tcBorders>
              <w:left w:val="double" w:sz="4" w:space="0" w:color="auto"/>
            </w:tcBorders>
            <w:shd w:val="clear" w:color="auto" w:fill="auto"/>
          </w:tcPr>
          <w:p w:rsidR="00757860" w:rsidRPr="008064DA" w:rsidRDefault="00757860" w:rsidP="001B2FAF">
            <w:pPr>
              <w:spacing w:before="60" w:line="216" w:lineRule="auto"/>
            </w:pPr>
            <w:r w:rsidRPr="008064DA">
              <w:rPr>
                <w:rFonts w:cs="Calibri"/>
              </w:rPr>
              <w:t xml:space="preserve">Domestic refrigerators &amp; freezers </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60"/>
            </w:pPr>
            <w:r w:rsidRPr="008064DA">
              <w:rPr>
                <w:rFonts w:cs="Calibri"/>
              </w:rPr>
              <w:t>2015</w:t>
            </w:r>
          </w:p>
        </w:tc>
        <w:tc>
          <w:tcPr>
            <w:tcW w:w="647" w:type="pct"/>
            <w:tcBorders>
              <w:left w:val="double" w:sz="4" w:space="0" w:color="auto"/>
            </w:tcBorders>
            <w:shd w:val="clear" w:color="auto" w:fill="auto"/>
          </w:tcPr>
          <w:p w:rsidR="00757860" w:rsidRPr="008064DA" w:rsidRDefault="00757860" w:rsidP="001B2FAF">
            <w:pPr>
              <w:spacing w:before="60"/>
              <w:rPr>
                <w:rFonts w:cs="Calibri"/>
                <w:i/>
              </w:rPr>
            </w:pPr>
            <w:r w:rsidRPr="008064DA">
              <w:rPr>
                <w:rFonts w:cs="Calibri"/>
                <w:i/>
              </w:rPr>
              <w:t>Household refrigerators and freezers (Proposed)</w:t>
            </w:r>
          </w:p>
        </w:tc>
        <w:tc>
          <w:tcPr>
            <w:tcW w:w="678" w:type="pct"/>
            <w:shd w:val="clear" w:color="auto" w:fill="auto"/>
          </w:tcPr>
          <w:p w:rsidR="00757860" w:rsidRPr="008064DA" w:rsidRDefault="00757860" w:rsidP="001B2FAF">
            <w:pPr>
              <w:spacing w:before="60"/>
              <w:rPr>
                <w:rFonts w:cs="Calibri"/>
                <w:i/>
              </w:rPr>
            </w:pPr>
          </w:p>
        </w:tc>
        <w:tc>
          <w:tcPr>
            <w:tcW w:w="483" w:type="pct"/>
            <w:tcBorders>
              <w:right w:val="double" w:sz="4" w:space="0" w:color="auto"/>
            </w:tcBorders>
            <w:shd w:val="clear" w:color="auto" w:fill="auto"/>
          </w:tcPr>
          <w:p w:rsidR="00757860" w:rsidRPr="008064DA" w:rsidRDefault="00757860" w:rsidP="001B2FAF">
            <w:pPr>
              <w:spacing w:before="60"/>
              <w:rPr>
                <w:rFonts w:cs="Calibri"/>
                <w:i/>
              </w:rPr>
            </w:pPr>
            <w:r w:rsidRPr="008064DA">
              <w:rPr>
                <w:rFonts w:cs="Calibri"/>
                <w:i/>
              </w:rPr>
              <w:t>2021</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rPr>
          <w:trHeight w:val="431"/>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 xml:space="preserve">HFC-134a, </w:t>
            </w:r>
          </w:p>
          <w:p w:rsidR="00757860" w:rsidRPr="008064DA" w:rsidRDefault="00757860" w:rsidP="001B2FAF">
            <w:pPr>
              <w:spacing w:before="60" w:line="216" w:lineRule="auto"/>
              <w:rPr>
                <w:rFonts w:cs="Calibri"/>
              </w:rPr>
            </w:pPr>
            <w:r w:rsidRPr="008064DA">
              <w:rPr>
                <w:rFonts w:cs="Calibri"/>
              </w:rPr>
              <w:t>R-404A</w:t>
            </w:r>
          </w:p>
        </w:tc>
        <w:tc>
          <w:tcPr>
            <w:tcW w:w="548" w:type="pct"/>
            <w:vMerge w:val="restart"/>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Commercial refrigerators and freezers (hermetically sealed systems)</w:t>
            </w:r>
          </w:p>
        </w:tc>
        <w:tc>
          <w:tcPr>
            <w:tcW w:w="483" w:type="pct"/>
            <w:vMerge w:val="restar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2500</w:t>
            </w:r>
          </w:p>
        </w:tc>
        <w:tc>
          <w:tcPr>
            <w:tcW w:w="484" w:type="pct"/>
            <w:vMerge w:val="restart"/>
            <w:tcBorders>
              <w:left w:val="single" w:sz="4"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2020</w:t>
            </w:r>
          </w:p>
        </w:tc>
        <w:tc>
          <w:tcPr>
            <w:tcW w:w="647" w:type="pc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Stand-alone Low-Temperature</w:t>
            </w:r>
          </w:p>
        </w:tc>
        <w:tc>
          <w:tcPr>
            <w:tcW w:w="678" w:type="pct"/>
            <w:shd w:val="clear" w:color="auto" w:fill="auto"/>
          </w:tcPr>
          <w:p w:rsidR="00757860" w:rsidRPr="008064DA" w:rsidRDefault="00757860" w:rsidP="001B2FAF">
            <w:pPr>
              <w:spacing w:before="60"/>
              <w:rPr>
                <w:rFonts w:cs="Calibri"/>
              </w:rPr>
            </w:pPr>
            <w:r w:rsidRPr="008064DA">
              <w:rPr>
                <w:rFonts w:cs="Calibri"/>
              </w:rPr>
              <w:t>R-404A (3922)</w:t>
            </w:r>
          </w:p>
        </w:tc>
        <w:tc>
          <w:tcPr>
            <w:tcW w:w="483"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2020</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rPr>
          <w:trHeight w:val="431"/>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 xml:space="preserve">HFC-134a, </w:t>
            </w:r>
          </w:p>
          <w:p w:rsidR="00757860" w:rsidRPr="008064DA" w:rsidRDefault="00757860" w:rsidP="001B2FAF">
            <w:pPr>
              <w:spacing w:before="60" w:line="216" w:lineRule="auto"/>
              <w:rPr>
                <w:rFonts w:cs="Calibri"/>
              </w:rPr>
            </w:pPr>
            <w:r w:rsidRPr="008064DA">
              <w:rPr>
                <w:rFonts w:cs="Calibri"/>
              </w:rPr>
              <w:t>R-404A</w:t>
            </w:r>
          </w:p>
        </w:tc>
        <w:tc>
          <w:tcPr>
            <w:tcW w:w="548" w:type="pct"/>
            <w:vMerge/>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p>
        </w:tc>
        <w:tc>
          <w:tcPr>
            <w:tcW w:w="483" w:type="pct"/>
            <w:vMerge/>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484" w:type="pct"/>
            <w:vMerge/>
            <w:tcBorders>
              <w:left w:val="single" w:sz="4" w:space="0" w:color="auto"/>
              <w:right w:val="double" w:sz="4" w:space="0" w:color="auto"/>
            </w:tcBorders>
            <w:shd w:val="clear" w:color="auto" w:fill="auto"/>
          </w:tcPr>
          <w:p w:rsidR="00757860" w:rsidRPr="008064DA" w:rsidRDefault="00757860" w:rsidP="001B2FAF">
            <w:pPr>
              <w:spacing w:before="60"/>
              <w:rPr>
                <w:rFonts w:cs="Calibri"/>
              </w:rPr>
            </w:pPr>
          </w:p>
        </w:tc>
        <w:tc>
          <w:tcPr>
            <w:tcW w:w="647" w:type="pct"/>
            <w:tcBorders>
              <w:left w:val="double" w:sz="4" w:space="0" w:color="auto"/>
            </w:tcBorders>
            <w:shd w:val="clear" w:color="auto" w:fill="auto"/>
          </w:tcPr>
          <w:p w:rsidR="00757860" w:rsidRPr="008064DA" w:rsidRDefault="00757860" w:rsidP="001B2FAF">
            <w:pPr>
              <w:spacing w:before="60"/>
              <w:rPr>
                <w:rFonts w:cs="Calibri"/>
                <w:i/>
              </w:rPr>
            </w:pPr>
            <w:r w:rsidRPr="008064DA">
              <w:rPr>
                <w:rFonts w:cs="Calibri"/>
                <w:i/>
              </w:rPr>
              <w:t>Refrigerated Food Processing and Dispensing (Proposed)</w:t>
            </w:r>
          </w:p>
        </w:tc>
        <w:tc>
          <w:tcPr>
            <w:tcW w:w="678" w:type="pct"/>
            <w:shd w:val="clear" w:color="auto" w:fill="auto"/>
          </w:tcPr>
          <w:p w:rsidR="00757860" w:rsidRPr="008064DA" w:rsidRDefault="00757860" w:rsidP="001B2FAF">
            <w:pPr>
              <w:spacing w:before="60"/>
              <w:rPr>
                <w:rFonts w:cs="Calibri"/>
                <w:i/>
              </w:rPr>
            </w:pPr>
          </w:p>
        </w:tc>
        <w:tc>
          <w:tcPr>
            <w:tcW w:w="483" w:type="pct"/>
            <w:tcBorders>
              <w:right w:val="double" w:sz="4" w:space="0" w:color="auto"/>
            </w:tcBorders>
            <w:shd w:val="clear" w:color="auto" w:fill="auto"/>
          </w:tcPr>
          <w:p w:rsidR="00757860" w:rsidRPr="008064DA" w:rsidRDefault="00757860" w:rsidP="001B2FAF">
            <w:pPr>
              <w:spacing w:before="60"/>
              <w:rPr>
                <w:rFonts w:cs="Calibri"/>
                <w:i/>
              </w:rPr>
            </w:pPr>
            <w:r w:rsidRPr="008064DA">
              <w:rPr>
                <w:rFonts w:cs="Calibri"/>
                <w:i/>
              </w:rPr>
              <w:t>2021</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rPr>
          <w:trHeight w:val="467"/>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HFC-134a</w:t>
            </w:r>
          </w:p>
        </w:tc>
        <w:tc>
          <w:tcPr>
            <w:tcW w:w="548" w:type="pct"/>
            <w:vMerge/>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p>
        </w:tc>
        <w:tc>
          <w:tcPr>
            <w:tcW w:w="483" w:type="pct"/>
            <w:vMerge w:val="restar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vMerge w:val="restart"/>
            <w:tcBorders>
              <w:left w:val="single" w:sz="4"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2022</w:t>
            </w:r>
          </w:p>
        </w:tc>
        <w:tc>
          <w:tcPr>
            <w:tcW w:w="647" w:type="pc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Stand-alone Medium-Temperature</w:t>
            </w:r>
          </w:p>
        </w:tc>
        <w:tc>
          <w:tcPr>
            <w:tcW w:w="678" w:type="pct"/>
            <w:shd w:val="clear" w:color="auto" w:fill="auto"/>
          </w:tcPr>
          <w:p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2019 (&lt;0.64 kW); </w:t>
            </w:r>
          </w:p>
          <w:p w:rsidR="00757860" w:rsidRPr="008064DA" w:rsidRDefault="00757860" w:rsidP="001B2FAF">
            <w:pPr>
              <w:spacing w:before="60"/>
              <w:rPr>
                <w:rFonts w:cs="Calibri"/>
              </w:rPr>
            </w:pPr>
            <w:r w:rsidRPr="008064DA">
              <w:rPr>
                <w:rFonts w:cs="Calibri"/>
              </w:rPr>
              <w:t>2020 (rest)</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rPr>
          <w:trHeight w:val="466"/>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HFC-134a</w:t>
            </w:r>
          </w:p>
        </w:tc>
        <w:tc>
          <w:tcPr>
            <w:tcW w:w="548" w:type="pct"/>
            <w:vMerge/>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p>
        </w:tc>
        <w:tc>
          <w:tcPr>
            <w:tcW w:w="483" w:type="pct"/>
            <w:vMerge/>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484" w:type="pct"/>
            <w:vMerge/>
            <w:tcBorders>
              <w:left w:val="single" w:sz="4" w:space="0" w:color="auto"/>
              <w:right w:val="double" w:sz="4" w:space="0" w:color="auto"/>
            </w:tcBorders>
            <w:shd w:val="clear" w:color="auto" w:fill="auto"/>
          </w:tcPr>
          <w:p w:rsidR="00757860" w:rsidRPr="008064DA" w:rsidRDefault="00757860" w:rsidP="001B2FAF">
            <w:pPr>
              <w:spacing w:before="60"/>
              <w:rPr>
                <w:rFonts w:cs="Calibri"/>
              </w:rPr>
            </w:pPr>
          </w:p>
        </w:tc>
        <w:tc>
          <w:tcPr>
            <w:tcW w:w="647" w:type="pc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Vending Machines</w:t>
            </w:r>
          </w:p>
        </w:tc>
        <w:tc>
          <w:tcPr>
            <w:tcW w:w="678" w:type="pct"/>
            <w:shd w:val="clear" w:color="auto" w:fill="auto"/>
          </w:tcPr>
          <w:p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2019</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rPr>
          <w:trHeight w:val="1855"/>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lastRenderedPageBreak/>
              <w:t xml:space="preserve">R-404A, </w:t>
            </w:r>
          </w:p>
          <w:p w:rsidR="00757860" w:rsidRPr="008064DA" w:rsidRDefault="00757860" w:rsidP="001B2FAF">
            <w:pPr>
              <w:spacing w:before="60"/>
              <w:rPr>
                <w:rFonts w:cs="Calibri"/>
              </w:rPr>
            </w:pPr>
            <w:r w:rsidRPr="008064DA">
              <w:rPr>
                <w:rFonts w:cs="Calibri"/>
              </w:rPr>
              <w:t xml:space="preserve">R-407A, </w:t>
            </w:r>
          </w:p>
          <w:p w:rsidR="00757860" w:rsidRPr="008064DA" w:rsidRDefault="00757860" w:rsidP="001B2FAF">
            <w:pPr>
              <w:spacing w:before="60"/>
              <w:rPr>
                <w:rFonts w:cs="Calibri"/>
              </w:rPr>
            </w:pPr>
            <w:r w:rsidRPr="008064DA">
              <w:rPr>
                <w:rFonts w:cs="Calibri"/>
              </w:rPr>
              <w:t>R-507</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Retail Food/ Supermarkets (Multipack centralized commercial refrigeration systems with a capacity 40kW or more)</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2022</w:t>
            </w:r>
          </w:p>
        </w:tc>
        <w:tc>
          <w:tcPr>
            <w:tcW w:w="647" w:type="pct"/>
            <w:vMerge w:val="restar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Retail food refrigeration (supermarket systems)</w:t>
            </w:r>
          </w:p>
        </w:tc>
        <w:tc>
          <w:tcPr>
            <w:tcW w:w="678" w:type="pct"/>
            <w:vMerge w:val="restart"/>
            <w:shd w:val="clear" w:color="auto" w:fill="auto"/>
          </w:tcPr>
          <w:p w:rsidR="00757860" w:rsidRPr="008064DA" w:rsidRDefault="00757860" w:rsidP="001B2FAF">
            <w:pPr>
              <w:spacing w:before="60"/>
              <w:rPr>
                <w:rFonts w:cs="Calibri"/>
              </w:rPr>
            </w:pPr>
            <w:r w:rsidRPr="008064DA">
              <w:rPr>
                <w:rFonts w:cs="Calibri"/>
              </w:rPr>
              <w:t xml:space="preserve">R-404A (3922), </w:t>
            </w:r>
          </w:p>
          <w:p w:rsidR="00757860" w:rsidRPr="008064DA" w:rsidRDefault="00757860" w:rsidP="001B2FAF">
            <w:pPr>
              <w:spacing w:before="60"/>
              <w:rPr>
                <w:rFonts w:cs="Calibri"/>
              </w:rPr>
            </w:pPr>
            <w:r w:rsidRPr="008064DA">
              <w:rPr>
                <w:rFonts w:cs="Calibri"/>
              </w:rPr>
              <w:t>R-507A (3985)</w:t>
            </w:r>
          </w:p>
        </w:tc>
        <w:tc>
          <w:tcPr>
            <w:tcW w:w="483" w:type="pct"/>
            <w:vMerge w:val="restar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2017</w:t>
            </w:r>
          </w:p>
        </w:tc>
        <w:tc>
          <w:tcPr>
            <w:tcW w:w="516" w:type="pct"/>
            <w:vMerge w:val="restart"/>
            <w:tcBorders>
              <w:left w:val="double" w:sz="4" w:space="0" w:color="auto"/>
              <w:right w:val="single" w:sz="4" w:space="0" w:color="auto"/>
            </w:tcBorders>
            <w:shd w:val="clear" w:color="auto" w:fill="auto"/>
          </w:tcPr>
          <w:p w:rsidR="00757860" w:rsidRPr="008064DA" w:rsidRDefault="00757860" w:rsidP="001B2FAF">
            <w:pPr>
              <w:spacing w:line="216" w:lineRule="auto"/>
              <w:rPr>
                <w:rFonts w:cs="Calibri"/>
              </w:rPr>
            </w:pPr>
            <w:r w:rsidRPr="008064DA">
              <w:rPr>
                <w:rFonts w:cs="Calibri"/>
              </w:rPr>
              <w:t>Condensing Unit and Refrigerating Unit (for separate type showcases, etc.)</w:t>
            </w:r>
          </w:p>
        </w:tc>
        <w:tc>
          <w:tcPr>
            <w:tcW w:w="323" w:type="pct"/>
            <w:vMerge w:val="restar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r w:rsidRPr="008064DA">
              <w:rPr>
                <w:rFonts w:cs="Calibri"/>
              </w:rPr>
              <w:t>1500</w:t>
            </w:r>
          </w:p>
        </w:tc>
        <w:tc>
          <w:tcPr>
            <w:tcW w:w="329" w:type="pct"/>
            <w:vMerge w:val="restar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r w:rsidRPr="008064DA">
              <w:rPr>
                <w:rFonts w:cs="Calibri"/>
              </w:rPr>
              <w:t>2025</w:t>
            </w:r>
          </w:p>
        </w:tc>
      </w:tr>
      <w:tr w:rsidR="00757860" w:rsidRPr="008064DA" w:rsidTr="001B2FAF">
        <w:trPr>
          <w:trHeight w:val="1854"/>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R-404A</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line="216" w:lineRule="auto"/>
              <w:rPr>
                <w:rFonts w:cs="Calibri"/>
              </w:rPr>
            </w:pPr>
            <w:r w:rsidRPr="008064DA">
              <w:rPr>
                <w:rFonts w:cs="Calibri"/>
              </w:rPr>
              <w:t>Retail Food/ Supermarkets (primary circuit of cascade systems)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2022</w:t>
            </w:r>
          </w:p>
        </w:tc>
        <w:tc>
          <w:tcPr>
            <w:tcW w:w="647" w:type="pct"/>
            <w:vMerge/>
            <w:tcBorders>
              <w:left w:val="double" w:sz="4" w:space="0" w:color="auto"/>
            </w:tcBorders>
            <w:shd w:val="clear" w:color="auto" w:fill="auto"/>
          </w:tcPr>
          <w:p w:rsidR="00757860" w:rsidRPr="008064DA" w:rsidRDefault="00757860" w:rsidP="001B2FAF">
            <w:pPr>
              <w:spacing w:before="60"/>
              <w:rPr>
                <w:rFonts w:cs="Calibri"/>
              </w:rPr>
            </w:pPr>
          </w:p>
        </w:tc>
        <w:tc>
          <w:tcPr>
            <w:tcW w:w="678" w:type="pct"/>
            <w:vMerge/>
            <w:shd w:val="clear" w:color="auto" w:fill="auto"/>
          </w:tcPr>
          <w:p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rsidR="00757860" w:rsidRPr="008064DA" w:rsidRDefault="00757860" w:rsidP="001B2FAF">
            <w:pPr>
              <w:spacing w:before="60"/>
              <w:rPr>
                <w:rFonts w:cs="Calibri"/>
              </w:rPr>
            </w:pPr>
          </w:p>
        </w:tc>
        <w:tc>
          <w:tcPr>
            <w:tcW w:w="516" w:type="pct"/>
            <w:vMerge/>
            <w:tcBorders>
              <w:left w:val="doub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3" w:type="pct"/>
            <w:vMerge/>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rPr>
          <w:trHeight w:val="213"/>
        </w:trPr>
        <w:tc>
          <w:tcPr>
            <w:tcW w:w="509" w:type="pct"/>
            <w:tcBorders>
              <w:left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R-717</w:t>
            </w:r>
          </w:p>
        </w:tc>
        <w:tc>
          <w:tcPr>
            <w:tcW w:w="548" w:type="pct"/>
            <w:tcBorders>
              <w:left w:val="double" w:sz="4" w:space="0" w:color="auto"/>
              <w:right w:val="single" w:sz="4" w:space="0" w:color="auto"/>
            </w:tcBorders>
            <w:shd w:val="clear" w:color="auto" w:fill="auto"/>
          </w:tcPr>
          <w:p w:rsidR="00757860" w:rsidRPr="00DF1E74" w:rsidRDefault="00757860" w:rsidP="001B2FAF">
            <w:pPr>
              <w:spacing w:before="40" w:line="216" w:lineRule="auto"/>
              <w:rPr>
                <w:rFonts w:cs="Calibri"/>
                <w:i/>
              </w:rPr>
            </w:pPr>
            <w:r w:rsidRPr="00DF1E74">
              <w:rPr>
                <w:rFonts w:cs="Calibri"/>
                <w:i/>
              </w:rPr>
              <w:t>Cold Storage</w:t>
            </w:r>
          </w:p>
        </w:tc>
        <w:tc>
          <w:tcPr>
            <w:tcW w:w="483" w:type="pct"/>
            <w:tcBorders>
              <w:left w:val="single" w:sz="4" w:space="0" w:color="auto"/>
            </w:tcBorders>
            <w:shd w:val="clear" w:color="auto" w:fill="auto"/>
          </w:tcPr>
          <w:p w:rsidR="00757860" w:rsidRPr="008064DA" w:rsidRDefault="00757860" w:rsidP="001B2FAF">
            <w:pPr>
              <w:spacing w:before="40" w:line="216" w:lineRule="auto"/>
              <w:rPr>
                <w:rFonts w:cs="Calibri"/>
              </w:rPr>
            </w:pPr>
          </w:p>
        </w:tc>
        <w:tc>
          <w:tcPr>
            <w:tcW w:w="484" w:type="pct"/>
            <w:tcBorders>
              <w:right w:val="double" w:sz="4" w:space="0" w:color="auto"/>
            </w:tcBorders>
            <w:shd w:val="clear" w:color="auto" w:fill="auto"/>
          </w:tcPr>
          <w:p w:rsidR="00757860" w:rsidRPr="008064DA" w:rsidRDefault="00757860" w:rsidP="001B2FAF">
            <w:pPr>
              <w:spacing w:before="40" w:line="216" w:lineRule="auto"/>
              <w:rPr>
                <w:rFonts w:cs="Calibri"/>
              </w:rPr>
            </w:pPr>
          </w:p>
        </w:tc>
        <w:tc>
          <w:tcPr>
            <w:tcW w:w="647" w:type="pct"/>
            <w:tcBorders>
              <w:left w:val="double" w:sz="4" w:space="0" w:color="auto"/>
            </w:tcBorders>
            <w:shd w:val="clear" w:color="auto" w:fill="auto"/>
          </w:tcPr>
          <w:p w:rsidR="00757860" w:rsidRPr="008064DA" w:rsidRDefault="00757860" w:rsidP="001B2FAF">
            <w:pPr>
              <w:spacing w:before="40" w:line="216" w:lineRule="auto"/>
              <w:rPr>
                <w:rFonts w:cs="Calibri"/>
                <w:i/>
              </w:rPr>
            </w:pPr>
            <w:r w:rsidRPr="008064DA">
              <w:rPr>
                <w:rFonts w:cs="Calibri"/>
                <w:i/>
              </w:rPr>
              <w:t>Cold Storage Warehouses (Proposed)</w:t>
            </w:r>
          </w:p>
        </w:tc>
        <w:tc>
          <w:tcPr>
            <w:tcW w:w="678" w:type="pct"/>
            <w:shd w:val="clear" w:color="auto" w:fill="auto"/>
          </w:tcPr>
          <w:p w:rsidR="00757860" w:rsidRPr="008064DA" w:rsidRDefault="00757860" w:rsidP="001B2FAF">
            <w:pPr>
              <w:spacing w:before="40" w:line="216" w:lineRule="auto"/>
              <w:rPr>
                <w:rFonts w:cs="Calibri"/>
                <w:i/>
              </w:rPr>
            </w:pPr>
            <w:r w:rsidRPr="008064DA">
              <w:rPr>
                <w:rFonts w:cs="Calibri"/>
                <w:i/>
              </w:rPr>
              <w:t xml:space="preserve">R-404A (3922), </w:t>
            </w:r>
          </w:p>
          <w:p w:rsidR="00757860" w:rsidRPr="008064DA" w:rsidRDefault="00757860" w:rsidP="001B2FAF">
            <w:pPr>
              <w:spacing w:before="40" w:line="216" w:lineRule="auto"/>
              <w:rPr>
                <w:rFonts w:cs="Calibri"/>
                <w:i/>
              </w:rPr>
            </w:pPr>
            <w:r w:rsidRPr="008064DA">
              <w:rPr>
                <w:rFonts w:cs="Calibri"/>
                <w:i/>
              </w:rPr>
              <w:t xml:space="preserve">R-407A (2107), </w:t>
            </w:r>
          </w:p>
          <w:p w:rsidR="00757860" w:rsidRPr="008064DA" w:rsidRDefault="00757860" w:rsidP="001B2FAF">
            <w:pPr>
              <w:spacing w:before="40" w:line="216" w:lineRule="auto"/>
              <w:rPr>
                <w:rFonts w:cs="Calibri"/>
                <w:i/>
              </w:rPr>
            </w:pPr>
            <w:r w:rsidRPr="008064DA">
              <w:rPr>
                <w:rFonts w:cs="Calibri"/>
                <w:i/>
              </w:rPr>
              <w:t xml:space="preserve">R-410A (2088), </w:t>
            </w:r>
          </w:p>
          <w:p w:rsidR="00757860" w:rsidRPr="008064DA" w:rsidRDefault="00757860" w:rsidP="001B2FAF">
            <w:pPr>
              <w:spacing w:before="40" w:line="216" w:lineRule="auto"/>
              <w:rPr>
                <w:rFonts w:cs="Calibri"/>
                <w:i/>
              </w:rPr>
            </w:pPr>
            <w:r w:rsidRPr="008064DA">
              <w:rPr>
                <w:rFonts w:cs="Calibri"/>
                <w:i/>
              </w:rPr>
              <w:t>R-507 (3985)</w:t>
            </w:r>
          </w:p>
        </w:tc>
        <w:tc>
          <w:tcPr>
            <w:tcW w:w="483" w:type="pct"/>
            <w:tcBorders>
              <w:right w:val="double" w:sz="4" w:space="0" w:color="auto"/>
            </w:tcBorders>
            <w:shd w:val="clear" w:color="auto" w:fill="auto"/>
          </w:tcPr>
          <w:p w:rsidR="00757860" w:rsidRPr="008064DA" w:rsidRDefault="00757860" w:rsidP="001B2FAF">
            <w:pPr>
              <w:spacing w:before="40" w:line="216" w:lineRule="auto"/>
              <w:rPr>
                <w:rFonts w:cs="Calibri"/>
                <w:i/>
              </w:rPr>
            </w:pPr>
            <w:r w:rsidRPr="008064DA">
              <w:rPr>
                <w:rFonts w:cs="Calibri"/>
                <w:i/>
              </w:rPr>
              <w:t>2023</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Cold Storage Warehouses (&gt;50,000 m</w:t>
            </w:r>
            <w:r w:rsidRPr="008064DA">
              <w:rPr>
                <w:rFonts w:cs="Calibri"/>
                <w:vertAlign w:val="superscript"/>
              </w:rPr>
              <w:t>3</w:t>
            </w:r>
            <w:r w:rsidRPr="008064DA">
              <w:rPr>
                <w:rFonts w:cs="Calibri"/>
              </w:rPr>
              <w:t>)</w:t>
            </w:r>
          </w:p>
        </w:tc>
        <w:tc>
          <w:tcPr>
            <w:tcW w:w="323" w:type="pct"/>
            <w:tcBorders>
              <w:left w:val="sing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100</w:t>
            </w: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40" w:line="216" w:lineRule="auto"/>
              <w:rPr>
                <w:rFonts w:cs="Calibri"/>
              </w:rPr>
            </w:pPr>
            <w:r w:rsidRPr="008064DA">
              <w:rPr>
                <w:rFonts w:cs="Calibri"/>
              </w:rPr>
              <w:t>2019</w:t>
            </w:r>
          </w:p>
        </w:tc>
      </w:tr>
      <w:tr w:rsidR="00757860" w:rsidRPr="008064DA" w:rsidTr="001B2FAF">
        <w:trPr>
          <w:trHeight w:val="213"/>
        </w:trPr>
        <w:tc>
          <w:tcPr>
            <w:tcW w:w="509" w:type="pct"/>
            <w:tcBorders>
              <w:left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HFC-134a</w:t>
            </w:r>
          </w:p>
        </w:tc>
        <w:tc>
          <w:tcPr>
            <w:tcW w:w="548" w:type="pct"/>
            <w:vMerge w:val="restart"/>
            <w:tcBorders>
              <w:left w:val="double" w:sz="4" w:space="0" w:color="auto"/>
              <w:right w:val="single" w:sz="4" w:space="0" w:color="auto"/>
            </w:tcBorders>
            <w:shd w:val="clear" w:color="auto" w:fill="auto"/>
          </w:tcPr>
          <w:p w:rsidR="00757860" w:rsidRPr="00DF1E74" w:rsidRDefault="00757860" w:rsidP="001B2FAF">
            <w:pPr>
              <w:spacing w:before="40" w:line="216" w:lineRule="auto"/>
              <w:rPr>
                <w:rFonts w:cs="Calibri"/>
                <w:i/>
              </w:rPr>
            </w:pPr>
            <w:r w:rsidRPr="00DF1E74">
              <w:rPr>
                <w:rFonts w:cs="Calibri"/>
                <w:i/>
              </w:rPr>
              <w:t>Chillers</w:t>
            </w:r>
          </w:p>
        </w:tc>
        <w:tc>
          <w:tcPr>
            <w:tcW w:w="483" w:type="pct"/>
            <w:tcBorders>
              <w:left w:val="single" w:sz="4" w:space="0" w:color="auto"/>
            </w:tcBorders>
            <w:shd w:val="clear" w:color="auto" w:fill="auto"/>
          </w:tcPr>
          <w:p w:rsidR="00757860" w:rsidRPr="008064DA" w:rsidRDefault="00757860" w:rsidP="001B2FAF">
            <w:pPr>
              <w:spacing w:before="40" w:line="216" w:lineRule="auto"/>
              <w:rPr>
                <w:rFonts w:cs="Calibri"/>
              </w:rPr>
            </w:pPr>
          </w:p>
        </w:tc>
        <w:tc>
          <w:tcPr>
            <w:tcW w:w="484" w:type="pct"/>
            <w:tcBorders>
              <w:right w:val="double" w:sz="4" w:space="0" w:color="auto"/>
            </w:tcBorders>
            <w:shd w:val="clear" w:color="auto" w:fill="auto"/>
          </w:tcPr>
          <w:p w:rsidR="00757860" w:rsidRPr="008064DA" w:rsidRDefault="00757860" w:rsidP="001B2FAF">
            <w:pPr>
              <w:spacing w:before="40" w:line="216" w:lineRule="auto"/>
              <w:rPr>
                <w:rFonts w:cs="Calibri"/>
              </w:rPr>
            </w:pPr>
          </w:p>
        </w:tc>
        <w:tc>
          <w:tcPr>
            <w:tcW w:w="647" w:type="pct"/>
            <w:tcBorders>
              <w:left w:val="double" w:sz="4" w:space="0" w:color="auto"/>
            </w:tcBorders>
            <w:shd w:val="clear" w:color="auto" w:fill="auto"/>
          </w:tcPr>
          <w:p w:rsidR="00757860" w:rsidRPr="008064DA" w:rsidRDefault="00757860" w:rsidP="001B2FAF">
            <w:pPr>
              <w:spacing w:before="40" w:line="216" w:lineRule="auto"/>
              <w:rPr>
                <w:rFonts w:cs="Calibri"/>
                <w:i/>
              </w:rPr>
            </w:pPr>
            <w:r w:rsidRPr="008064DA">
              <w:rPr>
                <w:rFonts w:cs="Calibri"/>
                <w:i/>
              </w:rPr>
              <w:t>Centrifugal Chillers (Proposed)</w:t>
            </w:r>
          </w:p>
        </w:tc>
        <w:tc>
          <w:tcPr>
            <w:tcW w:w="678" w:type="pct"/>
            <w:shd w:val="clear" w:color="auto" w:fill="auto"/>
          </w:tcPr>
          <w:p w:rsidR="00757860" w:rsidRPr="008064DA" w:rsidRDefault="00757860" w:rsidP="001B2FAF">
            <w:pPr>
              <w:spacing w:before="40" w:line="216" w:lineRule="auto"/>
              <w:rPr>
                <w:rFonts w:cs="Calibri"/>
                <w:i/>
              </w:rPr>
            </w:pPr>
            <w:r w:rsidRPr="008064DA">
              <w:rPr>
                <w:rFonts w:cs="Calibri"/>
                <w:i/>
              </w:rPr>
              <w:t>HFC-134a (1430)</w:t>
            </w:r>
          </w:p>
        </w:tc>
        <w:tc>
          <w:tcPr>
            <w:tcW w:w="483" w:type="pct"/>
            <w:tcBorders>
              <w:right w:val="double" w:sz="4" w:space="0" w:color="auto"/>
            </w:tcBorders>
            <w:shd w:val="clear" w:color="auto" w:fill="auto"/>
          </w:tcPr>
          <w:p w:rsidR="00757860" w:rsidRPr="008064DA" w:rsidRDefault="00757860" w:rsidP="001B2FAF">
            <w:pPr>
              <w:spacing w:before="40" w:line="216" w:lineRule="auto"/>
              <w:rPr>
                <w:rFonts w:cs="Calibri"/>
                <w:i/>
              </w:rPr>
            </w:pPr>
            <w:r w:rsidRPr="008064DA">
              <w:rPr>
                <w:rFonts w:cs="Calibri"/>
                <w:i/>
              </w:rPr>
              <w:t>2024</w:t>
            </w:r>
          </w:p>
        </w:tc>
        <w:tc>
          <w:tcPr>
            <w:tcW w:w="516" w:type="pct"/>
            <w:vMerge w:val="restar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 xml:space="preserve">Commercial Air Conditioning (for offices and stores) </w:t>
            </w:r>
            <w:r w:rsidRPr="008064DA">
              <w:rPr>
                <w:rFonts w:cs="Calibri"/>
              </w:rPr>
              <w:lastRenderedPageBreak/>
              <w:t>[chillers, rooftop units, larger split systems]</w:t>
            </w:r>
          </w:p>
        </w:tc>
        <w:tc>
          <w:tcPr>
            <w:tcW w:w="323" w:type="pct"/>
            <w:vMerge w:val="restart"/>
            <w:tcBorders>
              <w:left w:val="sing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lastRenderedPageBreak/>
              <w:t>750</w:t>
            </w:r>
          </w:p>
        </w:tc>
        <w:tc>
          <w:tcPr>
            <w:tcW w:w="329" w:type="pct"/>
            <w:vMerge w:val="restart"/>
            <w:tcBorders>
              <w:left w:val="single" w:sz="4" w:space="0" w:color="auto"/>
              <w:right w:val="single" w:sz="18"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2020</w:t>
            </w:r>
          </w:p>
        </w:tc>
      </w:tr>
      <w:tr w:rsidR="00757860" w:rsidRPr="008064DA" w:rsidTr="001B2FAF">
        <w:trPr>
          <w:trHeight w:val="213"/>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HFC-134a, </w:t>
            </w:r>
          </w:p>
          <w:p w:rsidR="00757860" w:rsidRPr="008064DA" w:rsidRDefault="00757860" w:rsidP="001B2FAF">
            <w:pPr>
              <w:spacing w:before="60"/>
              <w:rPr>
                <w:rFonts w:cs="Calibri"/>
              </w:rPr>
            </w:pPr>
            <w:r w:rsidRPr="008064DA">
              <w:rPr>
                <w:rFonts w:cs="Calibri"/>
              </w:rPr>
              <w:t xml:space="preserve">R-407C </w:t>
            </w:r>
          </w:p>
          <w:p w:rsidR="00757860" w:rsidRPr="008064DA" w:rsidRDefault="00757860" w:rsidP="001B2FAF">
            <w:pPr>
              <w:spacing w:before="60"/>
              <w:rPr>
                <w:rFonts w:cs="Calibri"/>
              </w:rPr>
            </w:pPr>
            <w:r w:rsidRPr="008064DA">
              <w:rPr>
                <w:rFonts w:cs="Calibri"/>
              </w:rPr>
              <w:lastRenderedPageBreak/>
              <w:t>R-410A</w:t>
            </w:r>
          </w:p>
        </w:tc>
        <w:tc>
          <w:tcPr>
            <w:tcW w:w="548" w:type="pct"/>
            <w:vMerge/>
            <w:tcBorders>
              <w:left w:val="double" w:sz="4" w:space="0" w:color="auto"/>
              <w:right w:val="single" w:sz="4" w:space="0" w:color="auto"/>
            </w:tcBorders>
            <w:shd w:val="clear" w:color="auto" w:fill="auto"/>
          </w:tcPr>
          <w:p w:rsidR="00757860" w:rsidRPr="008064DA" w:rsidRDefault="00757860" w:rsidP="001B2FAF">
            <w:pPr>
              <w:spacing w:before="60"/>
              <w:rPr>
                <w:rFonts w:cs="Calibri"/>
                <w:b/>
                <w:i/>
              </w:rPr>
            </w:pPr>
          </w:p>
        </w:tc>
        <w:tc>
          <w:tcPr>
            <w:tcW w:w="483" w:type="pct"/>
            <w:tcBorders>
              <w:left w:val="single" w:sz="4" w:space="0" w:color="auto"/>
            </w:tcBorders>
            <w:shd w:val="clear" w:color="auto" w:fill="auto"/>
          </w:tcPr>
          <w:p w:rsidR="00757860" w:rsidRPr="008064DA" w:rsidRDefault="00757860" w:rsidP="001B2FAF">
            <w:pPr>
              <w:spacing w:before="60"/>
              <w:rPr>
                <w:rFonts w:cs="Calibri"/>
              </w:rPr>
            </w:pPr>
          </w:p>
        </w:tc>
        <w:tc>
          <w:tcPr>
            <w:tcW w:w="484" w:type="pct"/>
            <w:tcBorders>
              <w:right w:val="double" w:sz="4" w:space="0" w:color="auto"/>
            </w:tcBorders>
            <w:shd w:val="clear" w:color="auto" w:fill="auto"/>
          </w:tcPr>
          <w:p w:rsidR="00757860" w:rsidRPr="008064DA" w:rsidRDefault="00757860" w:rsidP="001B2FAF">
            <w:pPr>
              <w:spacing w:before="60"/>
              <w:rPr>
                <w:rFonts w:cs="Calibri"/>
              </w:rPr>
            </w:pPr>
          </w:p>
        </w:tc>
        <w:tc>
          <w:tcPr>
            <w:tcW w:w="647" w:type="pct"/>
            <w:tcBorders>
              <w:left w:val="double" w:sz="4" w:space="0" w:color="auto"/>
            </w:tcBorders>
            <w:shd w:val="clear" w:color="auto" w:fill="auto"/>
          </w:tcPr>
          <w:p w:rsidR="00757860" w:rsidRPr="008064DA" w:rsidRDefault="00757860" w:rsidP="001B2FAF">
            <w:pPr>
              <w:spacing w:before="60"/>
              <w:rPr>
                <w:rFonts w:cs="Calibri"/>
                <w:i/>
              </w:rPr>
            </w:pPr>
            <w:r w:rsidRPr="008064DA">
              <w:rPr>
                <w:rFonts w:cs="Calibri"/>
                <w:i/>
              </w:rPr>
              <w:t xml:space="preserve">Positive Displacement </w:t>
            </w:r>
            <w:r w:rsidRPr="008064DA">
              <w:rPr>
                <w:rFonts w:cs="Calibri"/>
                <w:i/>
              </w:rPr>
              <w:lastRenderedPageBreak/>
              <w:t>Chillers (Proposed)</w:t>
            </w:r>
          </w:p>
        </w:tc>
        <w:tc>
          <w:tcPr>
            <w:tcW w:w="678" w:type="pct"/>
            <w:shd w:val="clear" w:color="auto" w:fill="auto"/>
          </w:tcPr>
          <w:p w:rsidR="00757860" w:rsidRPr="008064DA" w:rsidRDefault="00757860" w:rsidP="001B2FAF">
            <w:pPr>
              <w:spacing w:before="60"/>
              <w:rPr>
                <w:rFonts w:cs="Calibri"/>
                <w:i/>
              </w:rPr>
            </w:pPr>
            <w:r w:rsidRPr="008064DA">
              <w:rPr>
                <w:rFonts w:cs="Calibri"/>
                <w:i/>
              </w:rPr>
              <w:lastRenderedPageBreak/>
              <w:t>HFC-134a (1430),</w:t>
            </w:r>
          </w:p>
          <w:p w:rsidR="00757860" w:rsidRPr="008064DA" w:rsidRDefault="00757860" w:rsidP="001B2FAF">
            <w:pPr>
              <w:spacing w:before="60"/>
              <w:rPr>
                <w:rFonts w:cs="Calibri"/>
                <w:i/>
              </w:rPr>
            </w:pPr>
            <w:r w:rsidRPr="008064DA">
              <w:rPr>
                <w:rFonts w:cs="Calibri"/>
                <w:i/>
              </w:rPr>
              <w:t xml:space="preserve">R-407C (1744), </w:t>
            </w:r>
          </w:p>
          <w:p w:rsidR="00757860" w:rsidRPr="008064DA" w:rsidRDefault="00757860" w:rsidP="001B2FAF">
            <w:pPr>
              <w:spacing w:before="60"/>
              <w:rPr>
                <w:rFonts w:cs="Calibri"/>
                <w:i/>
              </w:rPr>
            </w:pPr>
            <w:r w:rsidRPr="008064DA">
              <w:rPr>
                <w:rFonts w:cs="Calibri"/>
                <w:i/>
              </w:rPr>
              <w:lastRenderedPageBreak/>
              <w:t>R-410A (2088)</w:t>
            </w:r>
          </w:p>
        </w:tc>
        <w:tc>
          <w:tcPr>
            <w:tcW w:w="483" w:type="pct"/>
            <w:tcBorders>
              <w:right w:val="double" w:sz="4" w:space="0" w:color="auto"/>
            </w:tcBorders>
            <w:shd w:val="clear" w:color="auto" w:fill="auto"/>
          </w:tcPr>
          <w:p w:rsidR="00757860" w:rsidRPr="008064DA" w:rsidRDefault="00757860" w:rsidP="001B2FAF">
            <w:pPr>
              <w:spacing w:before="60"/>
              <w:rPr>
                <w:rFonts w:cs="Calibri"/>
                <w:i/>
              </w:rPr>
            </w:pPr>
            <w:r w:rsidRPr="008064DA">
              <w:rPr>
                <w:rFonts w:cs="Calibri"/>
                <w:i/>
              </w:rPr>
              <w:lastRenderedPageBreak/>
              <w:t>2024</w:t>
            </w:r>
          </w:p>
        </w:tc>
        <w:tc>
          <w:tcPr>
            <w:tcW w:w="516" w:type="pct"/>
            <w:vMerge/>
            <w:tcBorders>
              <w:left w:val="doub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3" w:type="pct"/>
            <w:vMerge/>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i/>
              </w:rPr>
            </w:pPr>
          </w:p>
        </w:tc>
        <w:tc>
          <w:tcPr>
            <w:tcW w:w="329" w:type="pct"/>
            <w:vMerge/>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rPr>
          <w:trHeight w:val="213"/>
        </w:trPr>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lastRenderedPageBreak/>
              <w:t>R-410A</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Rooftop Units, Larger Split Systems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p>
        </w:tc>
        <w:tc>
          <w:tcPr>
            <w:tcW w:w="484" w:type="pct"/>
            <w:tcBorders>
              <w:right w:val="double" w:sz="4" w:space="0" w:color="auto"/>
            </w:tcBorders>
            <w:shd w:val="clear" w:color="auto" w:fill="auto"/>
          </w:tcPr>
          <w:p w:rsidR="00757860" w:rsidRPr="008064DA" w:rsidRDefault="00757860" w:rsidP="001B2FAF">
            <w:pPr>
              <w:spacing w:before="60"/>
              <w:rPr>
                <w:rFonts w:cs="Calibri"/>
              </w:rPr>
            </w:pPr>
          </w:p>
        </w:tc>
        <w:tc>
          <w:tcPr>
            <w:tcW w:w="647" w:type="pct"/>
            <w:tcBorders>
              <w:left w:val="double" w:sz="4" w:space="0" w:color="auto"/>
            </w:tcBorders>
            <w:shd w:val="clear" w:color="auto" w:fill="auto"/>
          </w:tcPr>
          <w:p w:rsidR="00757860" w:rsidRPr="008064DA" w:rsidRDefault="00757860" w:rsidP="001B2FAF">
            <w:pPr>
              <w:spacing w:before="60"/>
              <w:rPr>
                <w:rFonts w:cs="Calibri"/>
                <w:i/>
              </w:rPr>
            </w:pPr>
          </w:p>
        </w:tc>
        <w:tc>
          <w:tcPr>
            <w:tcW w:w="678" w:type="pct"/>
            <w:shd w:val="clear" w:color="auto" w:fill="auto"/>
          </w:tcPr>
          <w:p w:rsidR="00757860" w:rsidRPr="008064DA" w:rsidRDefault="00757860" w:rsidP="001B2FAF">
            <w:pPr>
              <w:spacing w:before="60"/>
              <w:rPr>
                <w:rFonts w:cs="Calibri"/>
                <w:i/>
              </w:rPr>
            </w:pPr>
          </w:p>
        </w:tc>
        <w:tc>
          <w:tcPr>
            <w:tcW w:w="483" w:type="pct"/>
            <w:tcBorders>
              <w:right w:val="double" w:sz="4" w:space="0" w:color="auto"/>
            </w:tcBorders>
            <w:shd w:val="clear" w:color="auto" w:fill="auto"/>
          </w:tcPr>
          <w:p w:rsidR="00757860" w:rsidRPr="008064DA" w:rsidRDefault="00757860" w:rsidP="001B2FAF">
            <w:pPr>
              <w:spacing w:before="60"/>
              <w:rPr>
                <w:rFonts w:cs="Calibri"/>
                <w:i/>
              </w:rPr>
            </w:pPr>
          </w:p>
        </w:tc>
        <w:tc>
          <w:tcPr>
            <w:tcW w:w="516" w:type="pct"/>
            <w:vMerge/>
            <w:tcBorders>
              <w:left w:val="doub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3" w:type="pct"/>
            <w:vMerge/>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i/>
              </w:rPr>
            </w:pPr>
          </w:p>
        </w:tc>
        <w:tc>
          <w:tcPr>
            <w:tcW w:w="329" w:type="pct"/>
            <w:vMerge/>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R-410A</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Movable room air conditioning appliances (e.g. portable air conditioners, window units)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2020</w:t>
            </w:r>
          </w:p>
        </w:tc>
        <w:tc>
          <w:tcPr>
            <w:tcW w:w="647" w:type="pct"/>
            <w:tcBorders>
              <w:left w:val="double" w:sz="4" w:space="0" w:color="auto"/>
            </w:tcBorders>
            <w:shd w:val="clear" w:color="auto" w:fill="auto"/>
          </w:tcPr>
          <w:p w:rsidR="00757860" w:rsidRPr="008064DA" w:rsidRDefault="00757860" w:rsidP="001B2FAF">
            <w:pPr>
              <w:spacing w:before="60"/>
              <w:rPr>
                <w:rFonts w:cs="Calibri"/>
              </w:rPr>
            </w:pPr>
          </w:p>
        </w:tc>
        <w:tc>
          <w:tcPr>
            <w:tcW w:w="678" w:type="pct"/>
            <w:shd w:val="clear" w:color="auto" w:fill="auto"/>
          </w:tcPr>
          <w:p w:rsidR="00757860" w:rsidRPr="008064DA" w:rsidRDefault="00757860" w:rsidP="001B2FAF">
            <w:pPr>
              <w:spacing w:before="60"/>
              <w:rPr>
                <w:rFonts w:cs="Calibri"/>
              </w:rPr>
            </w:pPr>
          </w:p>
        </w:tc>
        <w:tc>
          <w:tcPr>
            <w:tcW w:w="483" w:type="pct"/>
            <w:tcBorders>
              <w:right w:val="double" w:sz="4" w:space="0" w:color="auto"/>
            </w:tcBorders>
            <w:shd w:val="clear" w:color="auto" w:fill="auto"/>
          </w:tcPr>
          <w:p w:rsidR="00757860" w:rsidRPr="008064DA" w:rsidRDefault="00757860" w:rsidP="001B2FAF">
            <w:pPr>
              <w:spacing w:before="60"/>
              <w:rPr>
                <w:rFonts w:cs="Calibri"/>
              </w:rPr>
            </w:pPr>
          </w:p>
        </w:tc>
        <w:tc>
          <w:tcPr>
            <w:tcW w:w="516" w:type="pct"/>
            <w:vMerge w:val="restar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Room Air Conditioning</w:t>
            </w:r>
          </w:p>
        </w:tc>
        <w:tc>
          <w:tcPr>
            <w:tcW w:w="323" w:type="pct"/>
            <w:vMerge w:val="restar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r w:rsidRPr="008064DA">
              <w:rPr>
                <w:rFonts w:cs="Calibri"/>
              </w:rPr>
              <w:t>750</w:t>
            </w:r>
          </w:p>
        </w:tc>
        <w:tc>
          <w:tcPr>
            <w:tcW w:w="329" w:type="pct"/>
            <w:vMerge w:val="restar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r w:rsidRPr="008064DA">
              <w:rPr>
                <w:rFonts w:cs="Calibri"/>
              </w:rPr>
              <w:t>2018</w:t>
            </w: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R-410A</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 xml:space="preserve">Single split air conditioning systems containing &lt; 3 kg of F-gases </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750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2025</w:t>
            </w:r>
          </w:p>
        </w:tc>
        <w:tc>
          <w:tcPr>
            <w:tcW w:w="647" w:type="pct"/>
            <w:tcBorders>
              <w:left w:val="double" w:sz="4" w:space="0" w:color="auto"/>
            </w:tcBorders>
            <w:shd w:val="clear" w:color="auto" w:fill="auto"/>
          </w:tcPr>
          <w:p w:rsidR="00757860" w:rsidRPr="008064DA" w:rsidRDefault="00757860" w:rsidP="001B2FAF">
            <w:pPr>
              <w:spacing w:before="60"/>
              <w:rPr>
                <w:rFonts w:cs="Calibri"/>
              </w:rPr>
            </w:pPr>
          </w:p>
        </w:tc>
        <w:tc>
          <w:tcPr>
            <w:tcW w:w="678" w:type="pct"/>
            <w:shd w:val="clear" w:color="auto" w:fill="auto"/>
          </w:tcPr>
          <w:p w:rsidR="00757860" w:rsidRPr="008064DA" w:rsidRDefault="00757860" w:rsidP="001B2FAF">
            <w:pPr>
              <w:spacing w:before="60"/>
              <w:rPr>
                <w:rFonts w:cs="Calibri"/>
              </w:rPr>
            </w:pPr>
          </w:p>
        </w:tc>
        <w:tc>
          <w:tcPr>
            <w:tcW w:w="483" w:type="pct"/>
            <w:tcBorders>
              <w:right w:val="double" w:sz="4" w:space="0" w:color="auto"/>
            </w:tcBorders>
            <w:shd w:val="clear" w:color="auto" w:fill="auto"/>
          </w:tcPr>
          <w:p w:rsidR="00757860" w:rsidRPr="008064DA" w:rsidRDefault="00757860" w:rsidP="001B2FAF">
            <w:pPr>
              <w:spacing w:before="60"/>
              <w:rPr>
                <w:rFonts w:cs="Calibri"/>
              </w:rPr>
            </w:pPr>
          </w:p>
        </w:tc>
        <w:tc>
          <w:tcPr>
            <w:tcW w:w="516" w:type="pct"/>
            <w:vMerge/>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vMerge/>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c>
          <w:tcPr>
            <w:tcW w:w="5000" w:type="pct"/>
            <w:gridSpan w:val="10"/>
            <w:tcBorders>
              <w:left w:val="single" w:sz="18" w:space="0" w:color="auto"/>
              <w:right w:val="single" w:sz="18" w:space="0" w:color="auto"/>
            </w:tcBorders>
            <w:shd w:val="clear" w:color="auto" w:fill="D9D9D9"/>
          </w:tcPr>
          <w:p w:rsidR="00757860" w:rsidRPr="008064DA" w:rsidRDefault="00757860" w:rsidP="00081A6C">
            <w:pPr>
              <w:keepNext/>
              <w:keepLines/>
              <w:spacing w:before="60"/>
              <w:jc w:val="center"/>
              <w:rPr>
                <w:rFonts w:cs="Calibri"/>
                <w:b/>
              </w:rPr>
            </w:pPr>
            <w:r w:rsidRPr="008064DA">
              <w:rPr>
                <w:rFonts w:cs="Calibri"/>
                <w:b/>
                <w:sz w:val="24"/>
              </w:rPr>
              <w:t>Fire Protection</w:t>
            </w:r>
          </w:p>
        </w:tc>
      </w:tr>
      <w:tr w:rsidR="00757860" w:rsidRPr="008064DA" w:rsidTr="001B2FAF">
        <w:trPr>
          <w:trHeight w:val="835"/>
        </w:trPr>
        <w:tc>
          <w:tcPr>
            <w:tcW w:w="509" w:type="pct"/>
            <w:vMerge w:val="restar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HFC-227ea, </w:t>
            </w:r>
          </w:p>
          <w:p w:rsidR="00757860" w:rsidRPr="008064DA" w:rsidRDefault="00757860" w:rsidP="001B2FAF">
            <w:pPr>
              <w:spacing w:before="60"/>
              <w:rPr>
                <w:rFonts w:cs="Calibri"/>
              </w:rPr>
            </w:pPr>
            <w:r w:rsidRPr="008064DA">
              <w:rPr>
                <w:rFonts w:cs="Calibri"/>
              </w:rPr>
              <w:t>CO</w:t>
            </w:r>
            <w:r w:rsidRPr="008064DA">
              <w:rPr>
                <w:rFonts w:cs="Calibri"/>
                <w:vertAlign w:val="subscript"/>
              </w:rPr>
              <w:t>2</w:t>
            </w:r>
            <w:r w:rsidRPr="008064DA">
              <w:rPr>
                <w:rFonts w:cs="Calibri"/>
              </w:rPr>
              <w:t xml:space="preserve">, Water, </w:t>
            </w:r>
          </w:p>
          <w:p w:rsidR="00757860" w:rsidRPr="008064DA" w:rsidRDefault="00757860" w:rsidP="001B2FAF">
            <w:pPr>
              <w:spacing w:before="60"/>
              <w:rPr>
                <w:rFonts w:cs="Calibri"/>
              </w:rPr>
            </w:pPr>
            <w:r w:rsidRPr="008064DA">
              <w:rPr>
                <w:rFonts w:cs="Calibri"/>
              </w:rPr>
              <w:lastRenderedPageBreak/>
              <w:t>Dry Powder</w:t>
            </w:r>
          </w:p>
        </w:tc>
        <w:tc>
          <w:tcPr>
            <w:tcW w:w="548" w:type="pct"/>
            <w:vMerge w:val="restar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lastRenderedPageBreak/>
              <w:t xml:space="preserve">Fire protection systems &amp; fire </w:t>
            </w:r>
            <w:r w:rsidRPr="008064DA">
              <w:rPr>
                <w:rFonts w:cs="Calibri"/>
              </w:rPr>
              <w:lastRenderedPageBreak/>
              <w:t>extinguishers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lastRenderedPageBreak/>
              <w:t>HFC-23</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2016</w:t>
            </w:r>
          </w:p>
        </w:tc>
        <w:tc>
          <w:tcPr>
            <w:tcW w:w="647" w:type="pct"/>
            <w:tcBorders>
              <w:left w:val="double" w:sz="4" w:space="0" w:color="auto"/>
            </w:tcBorders>
            <w:shd w:val="clear" w:color="auto" w:fill="auto"/>
          </w:tcPr>
          <w:p w:rsidR="00757860" w:rsidRPr="008064DA" w:rsidRDefault="00757860" w:rsidP="00081A6C">
            <w:pPr>
              <w:keepNext/>
              <w:keepLines/>
              <w:spacing w:before="60"/>
              <w:rPr>
                <w:rFonts w:cs="Calibri"/>
              </w:rPr>
            </w:pPr>
          </w:p>
        </w:tc>
        <w:tc>
          <w:tcPr>
            <w:tcW w:w="678" w:type="pct"/>
            <w:shd w:val="clear" w:color="auto" w:fill="auto"/>
          </w:tcPr>
          <w:p w:rsidR="00757860" w:rsidRPr="008064DA" w:rsidRDefault="00757860" w:rsidP="001B2FAF">
            <w:pPr>
              <w:spacing w:before="60"/>
              <w:rPr>
                <w:rFonts w:cs="Calibri"/>
              </w:rPr>
            </w:pPr>
          </w:p>
        </w:tc>
        <w:tc>
          <w:tcPr>
            <w:tcW w:w="483" w:type="pct"/>
            <w:tcBorders>
              <w:right w:val="double" w:sz="4" w:space="0" w:color="auto"/>
            </w:tcBorders>
            <w:shd w:val="clear" w:color="auto" w:fill="auto"/>
          </w:tcPr>
          <w:p w:rsidR="00757860" w:rsidRPr="008064DA" w:rsidRDefault="00757860" w:rsidP="001B2FAF">
            <w:pPr>
              <w:spacing w:before="60"/>
              <w:rPr>
                <w:rFonts w:cs="Calibri"/>
              </w:rPr>
            </w:pP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rPr>
          <w:trHeight w:val="835"/>
        </w:trPr>
        <w:tc>
          <w:tcPr>
            <w:tcW w:w="509" w:type="pct"/>
            <w:vMerge/>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p>
        </w:tc>
        <w:tc>
          <w:tcPr>
            <w:tcW w:w="548" w:type="pct"/>
            <w:vMerge/>
            <w:tcBorders>
              <w:left w:val="double" w:sz="4" w:space="0" w:color="auto"/>
            </w:tcBorders>
            <w:shd w:val="clear" w:color="auto" w:fill="auto"/>
          </w:tcPr>
          <w:p w:rsidR="00757860" w:rsidRPr="008064DA" w:rsidRDefault="00757860" w:rsidP="001B2FAF">
            <w:pPr>
              <w:spacing w:before="60"/>
              <w:rPr>
                <w:rFonts w:cs="Calibri"/>
              </w:rPr>
            </w:pPr>
          </w:p>
        </w:tc>
        <w:tc>
          <w:tcPr>
            <w:tcW w:w="483" w:type="pct"/>
            <w:tcBorders>
              <w:left w:val="single" w:sz="4" w:space="0" w:color="auto"/>
            </w:tcBorders>
            <w:shd w:val="clear" w:color="auto" w:fill="auto"/>
          </w:tcPr>
          <w:p w:rsidR="00757860" w:rsidRPr="008064DA" w:rsidRDefault="00757860" w:rsidP="001B2FAF">
            <w:pPr>
              <w:spacing w:before="60"/>
              <w:rPr>
                <w:rFonts w:cs="Calibri"/>
              </w:rPr>
            </w:pPr>
          </w:p>
        </w:tc>
        <w:tc>
          <w:tcPr>
            <w:tcW w:w="484" w:type="pct"/>
            <w:tcBorders>
              <w:right w:val="double" w:sz="4" w:space="0" w:color="auto"/>
            </w:tcBorders>
            <w:shd w:val="clear" w:color="auto" w:fill="auto"/>
          </w:tcPr>
          <w:p w:rsidR="00757860" w:rsidRPr="008064DA" w:rsidRDefault="00757860" w:rsidP="001B2FAF">
            <w:pPr>
              <w:spacing w:before="60"/>
              <w:rPr>
                <w:rFonts w:cs="Calibri"/>
              </w:rPr>
            </w:pPr>
          </w:p>
        </w:tc>
        <w:tc>
          <w:tcPr>
            <w:tcW w:w="647" w:type="pct"/>
            <w:tcBorders>
              <w:left w:val="double" w:sz="4" w:space="0" w:color="auto"/>
            </w:tcBorders>
            <w:shd w:val="clear" w:color="auto" w:fill="auto"/>
          </w:tcPr>
          <w:p w:rsidR="00757860" w:rsidRPr="008064DA" w:rsidRDefault="00757860" w:rsidP="001B2FAF">
            <w:pPr>
              <w:spacing w:before="60"/>
              <w:rPr>
                <w:rFonts w:cs="Calibri"/>
                <w:i/>
              </w:rPr>
            </w:pPr>
            <w:r w:rsidRPr="008064DA">
              <w:rPr>
                <w:rFonts w:cs="Calibri"/>
                <w:i/>
              </w:rPr>
              <w:t>Total flooding systems using C</w:t>
            </w:r>
            <w:r w:rsidRPr="008064DA">
              <w:rPr>
                <w:rFonts w:cs="Calibri"/>
                <w:i/>
                <w:vertAlign w:val="subscript"/>
              </w:rPr>
              <w:t>3</w:t>
            </w:r>
            <w:r w:rsidRPr="008064DA">
              <w:rPr>
                <w:rFonts w:cs="Calibri"/>
                <w:i/>
              </w:rPr>
              <w:t>F</w:t>
            </w:r>
            <w:r w:rsidRPr="008064DA">
              <w:rPr>
                <w:rFonts w:cs="Calibri"/>
                <w:i/>
                <w:vertAlign w:val="subscript"/>
              </w:rPr>
              <w:t>8</w:t>
            </w:r>
            <w:r w:rsidRPr="008064DA">
              <w:rPr>
                <w:rFonts w:cs="Calibri"/>
                <w:i/>
              </w:rPr>
              <w:t xml:space="preserve"> or C</w:t>
            </w:r>
            <w:r w:rsidRPr="008064DA">
              <w:rPr>
                <w:rFonts w:cs="Calibri"/>
                <w:i/>
                <w:vertAlign w:val="subscript"/>
              </w:rPr>
              <w:t>4</w:t>
            </w:r>
            <w:r w:rsidRPr="008064DA">
              <w:rPr>
                <w:rFonts w:cs="Calibri"/>
                <w:i/>
              </w:rPr>
              <w:t>F</w:t>
            </w:r>
            <w:r w:rsidRPr="008064DA">
              <w:rPr>
                <w:rFonts w:cs="Calibri"/>
                <w:i/>
                <w:vertAlign w:val="subscript"/>
              </w:rPr>
              <w:t>10</w:t>
            </w:r>
            <w:r w:rsidRPr="008064DA">
              <w:rPr>
                <w:rFonts w:cs="Calibri"/>
                <w:i/>
              </w:rPr>
              <w:t xml:space="preserve"> (Proposed)</w:t>
            </w:r>
          </w:p>
        </w:tc>
        <w:tc>
          <w:tcPr>
            <w:tcW w:w="678" w:type="pct"/>
            <w:shd w:val="clear" w:color="auto" w:fill="auto"/>
          </w:tcPr>
          <w:p w:rsidR="00757860" w:rsidRPr="008064DA" w:rsidRDefault="00757860" w:rsidP="001B2FAF">
            <w:pPr>
              <w:spacing w:before="60"/>
              <w:rPr>
                <w:rFonts w:cs="Calibri"/>
                <w:i/>
              </w:rPr>
            </w:pPr>
            <w:r w:rsidRPr="008064DA">
              <w:rPr>
                <w:rFonts w:cs="Calibri"/>
                <w:i/>
              </w:rPr>
              <w:t xml:space="preserve">PFC-218 (8830); </w:t>
            </w:r>
          </w:p>
          <w:p w:rsidR="00757860" w:rsidRPr="008064DA" w:rsidRDefault="00757860" w:rsidP="001B2FAF">
            <w:pPr>
              <w:spacing w:before="60"/>
              <w:rPr>
                <w:rFonts w:cs="Calibri"/>
                <w:i/>
              </w:rPr>
            </w:pPr>
            <w:r w:rsidRPr="008064DA">
              <w:rPr>
                <w:rFonts w:cs="Calibri"/>
                <w:i/>
              </w:rPr>
              <w:t>PFC-3-1-10 (8860)</w:t>
            </w:r>
          </w:p>
        </w:tc>
        <w:tc>
          <w:tcPr>
            <w:tcW w:w="483" w:type="pct"/>
            <w:tcBorders>
              <w:right w:val="double" w:sz="4" w:space="0" w:color="auto"/>
            </w:tcBorders>
            <w:shd w:val="clear" w:color="auto" w:fill="auto"/>
          </w:tcPr>
          <w:p w:rsidR="00757860" w:rsidRPr="008064DA" w:rsidRDefault="00757860" w:rsidP="001B2FAF">
            <w:pPr>
              <w:spacing w:before="60"/>
              <w:rPr>
                <w:rFonts w:cs="Calibri"/>
                <w:i/>
              </w:rPr>
            </w:pPr>
            <w:r w:rsidRPr="008064DA">
              <w:rPr>
                <w:rFonts w:cs="Calibri"/>
                <w:i/>
              </w:rPr>
              <w:t>2018</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c>
          <w:tcPr>
            <w:tcW w:w="5000" w:type="pct"/>
            <w:gridSpan w:val="10"/>
            <w:tcBorders>
              <w:left w:val="single" w:sz="18" w:space="0" w:color="auto"/>
              <w:right w:val="single" w:sz="18" w:space="0" w:color="auto"/>
            </w:tcBorders>
            <w:shd w:val="clear" w:color="auto" w:fill="D9D9D9"/>
          </w:tcPr>
          <w:p w:rsidR="00757860" w:rsidRPr="008064DA" w:rsidRDefault="00757860" w:rsidP="001B2FAF">
            <w:pPr>
              <w:spacing w:before="60"/>
              <w:jc w:val="center"/>
              <w:rPr>
                <w:rFonts w:cs="Calibri"/>
                <w:b/>
              </w:rPr>
            </w:pP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HCs, </w:t>
            </w:r>
          </w:p>
          <w:p w:rsidR="00757860" w:rsidRPr="008064DA" w:rsidRDefault="00757860" w:rsidP="001B2FAF">
            <w:pPr>
              <w:spacing w:before="60"/>
              <w:rPr>
                <w:rFonts w:cs="Calibri"/>
              </w:rPr>
            </w:pPr>
            <w:r w:rsidRPr="008064DA">
              <w:rPr>
                <w:rFonts w:cs="Calibri"/>
              </w:rPr>
              <w:t>HFC-134a</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60"/>
            </w:pPr>
            <w:r w:rsidRPr="008064DA">
              <w:t>Tire Inflators</w:t>
            </w: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 xml:space="preserve">SF6, </w:t>
            </w:r>
          </w:p>
          <w:p w:rsidR="00757860" w:rsidRPr="008064DA" w:rsidRDefault="00757860" w:rsidP="001B2FAF">
            <w:pPr>
              <w:spacing w:before="60"/>
              <w:rPr>
                <w:rFonts w:cs="Calibri"/>
              </w:rPr>
            </w:pPr>
            <w:r w:rsidRPr="008064DA">
              <w:rPr>
                <w:rFonts w:cs="Calibri"/>
              </w:rPr>
              <w:t>all HFCs</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4/7/2007</w:t>
            </w:r>
          </w:p>
        </w:tc>
        <w:tc>
          <w:tcPr>
            <w:tcW w:w="647" w:type="pc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Tire Inflators </w:t>
            </w:r>
          </w:p>
        </w:tc>
        <w:tc>
          <w:tcPr>
            <w:tcW w:w="678" w:type="pct"/>
            <w:shd w:val="clear" w:color="auto" w:fill="auto"/>
          </w:tcPr>
          <w:p w:rsidR="00757860" w:rsidRPr="008064DA" w:rsidRDefault="00757860" w:rsidP="001B2FAF">
            <w:pPr>
              <w:spacing w:before="60"/>
              <w:rPr>
                <w:rFonts w:cs="Calibri"/>
              </w:rPr>
            </w:pPr>
            <w:r w:rsidRPr="008064DA">
              <w:rPr>
                <w:rFonts w:cs="Calibri"/>
              </w:rPr>
              <w:t>HFC-134a (1430)</w:t>
            </w:r>
          </w:p>
        </w:tc>
        <w:tc>
          <w:tcPr>
            <w:tcW w:w="483"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20/7/2016</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rPr>
          <w:trHeight w:val="608"/>
        </w:trPr>
        <w:tc>
          <w:tcPr>
            <w:tcW w:w="509" w:type="pct"/>
            <w:vMerge w:val="restar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HFC-134a, HFC-152a</w:t>
            </w:r>
          </w:p>
        </w:tc>
        <w:tc>
          <w:tcPr>
            <w:tcW w:w="548" w:type="pct"/>
            <w:vMerge w:val="restar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t>Consumer product aerosols for entertainment and decorative purposes</w:t>
            </w:r>
          </w:p>
        </w:tc>
        <w:tc>
          <w:tcPr>
            <w:tcW w:w="483" w:type="pct"/>
            <w:vMerge w:val="restar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vMerge w:val="restar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4/7/2009</w:t>
            </w:r>
          </w:p>
        </w:tc>
        <w:tc>
          <w:tcPr>
            <w:tcW w:w="647" w:type="pct"/>
            <w:vMerge w:val="restart"/>
            <w:tcBorders>
              <w:lef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Consumer aerosols, with some exceptions for technical and medical aerosols </w:t>
            </w:r>
          </w:p>
        </w:tc>
        <w:tc>
          <w:tcPr>
            <w:tcW w:w="678" w:type="pct"/>
            <w:vMerge w:val="restart"/>
            <w:shd w:val="clear" w:color="auto" w:fill="auto"/>
          </w:tcPr>
          <w:p w:rsidR="00757860" w:rsidRPr="008064DA" w:rsidRDefault="00757860" w:rsidP="001B2FAF">
            <w:pPr>
              <w:spacing w:before="60"/>
              <w:rPr>
                <w:rFonts w:cs="Calibri"/>
              </w:rPr>
            </w:pPr>
            <w:r w:rsidRPr="008064DA">
              <w:rPr>
                <w:rFonts w:cs="Calibri"/>
              </w:rPr>
              <w:t>HFC-134a (1430)</w:t>
            </w: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p w:rsidR="00757860" w:rsidRPr="008064DA" w:rsidRDefault="00757860" w:rsidP="001B2FAF">
            <w:pPr>
              <w:spacing w:before="60"/>
              <w:rPr>
                <w:rFonts w:cs="Calibri"/>
              </w:rPr>
            </w:pPr>
          </w:p>
        </w:tc>
        <w:tc>
          <w:tcPr>
            <w:tcW w:w="483" w:type="pct"/>
            <w:vMerge w:val="restar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2016</w:t>
            </w: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Dust Blowers</w:t>
            </w: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r w:rsidRPr="008064DA">
              <w:rPr>
                <w:rFonts w:cs="Calibri"/>
              </w:rPr>
              <w:t>10</w:t>
            </w: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r w:rsidRPr="008064DA">
              <w:rPr>
                <w:rFonts w:cs="Calibri"/>
              </w:rPr>
              <w:t>2019</w:t>
            </w:r>
          </w:p>
        </w:tc>
      </w:tr>
      <w:tr w:rsidR="00757860" w:rsidRPr="008064DA" w:rsidTr="001B2FAF">
        <w:trPr>
          <w:trHeight w:val="607"/>
        </w:trPr>
        <w:tc>
          <w:tcPr>
            <w:tcW w:w="509" w:type="pct"/>
            <w:vMerge/>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p>
        </w:tc>
        <w:tc>
          <w:tcPr>
            <w:tcW w:w="548" w:type="pct"/>
            <w:vMerge/>
            <w:tcBorders>
              <w:left w:val="double" w:sz="4" w:space="0" w:color="auto"/>
              <w:right w:val="single" w:sz="4" w:space="0" w:color="auto"/>
            </w:tcBorders>
            <w:shd w:val="clear" w:color="auto" w:fill="auto"/>
          </w:tcPr>
          <w:p w:rsidR="00757860" w:rsidRPr="008064DA" w:rsidRDefault="00757860" w:rsidP="001B2FAF">
            <w:pPr>
              <w:spacing w:before="60"/>
            </w:pPr>
          </w:p>
        </w:tc>
        <w:tc>
          <w:tcPr>
            <w:tcW w:w="483" w:type="pct"/>
            <w:vMerge/>
            <w:tcBorders>
              <w:left w:val="single" w:sz="4" w:space="0" w:color="auto"/>
            </w:tcBorders>
            <w:shd w:val="clear" w:color="auto" w:fill="auto"/>
          </w:tcPr>
          <w:p w:rsidR="00757860" w:rsidRPr="008064DA" w:rsidRDefault="00757860" w:rsidP="001B2FAF">
            <w:pPr>
              <w:spacing w:before="60"/>
              <w:rPr>
                <w:rFonts w:cs="Calibri"/>
              </w:rPr>
            </w:pPr>
          </w:p>
        </w:tc>
        <w:tc>
          <w:tcPr>
            <w:tcW w:w="484" w:type="pct"/>
            <w:vMerge/>
            <w:tcBorders>
              <w:right w:val="double" w:sz="4" w:space="0" w:color="auto"/>
            </w:tcBorders>
            <w:shd w:val="clear" w:color="auto" w:fill="auto"/>
          </w:tcPr>
          <w:p w:rsidR="00757860" w:rsidRPr="008064DA" w:rsidRDefault="00757860" w:rsidP="001B2FAF">
            <w:pPr>
              <w:spacing w:before="60"/>
              <w:rPr>
                <w:rFonts w:cs="Calibri"/>
              </w:rPr>
            </w:pPr>
          </w:p>
        </w:tc>
        <w:tc>
          <w:tcPr>
            <w:tcW w:w="647" w:type="pct"/>
            <w:vMerge/>
            <w:tcBorders>
              <w:left w:val="double" w:sz="4" w:space="0" w:color="auto"/>
            </w:tcBorders>
            <w:shd w:val="clear" w:color="auto" w:fill="auto"/>
          </w:tcPr>
          <w:p w:rsidR="00757860" w:rsidRPr="008064DA" w:rsidRDefault="00757860" w:rsidP="001B2FAF">
            <w:pPr>
              <w:spacing w:before="60"/>
              <w:rPr>
                <w:rFonts w:cs="Calibri"/>
              </w:rPr>
            </w:pPr>
          </w:p>
        </w:tc>
        <w:tc>
          <w:tcPr>
            <w:tcW w:w="678" w:type="pct"/>
            <w:vMerge/>
            <w:shd w:val="clear" w:color="auto" w:fill="auto"/>
          </w:tcPr>
          <w:p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rsidR="00757860" w:rsidRPr="008064DA" w:rsidRDefault="00757860" w:rsidP="001B2FAF">
            <w:pPr>
              <w:spacing w:before="60"/>
              <w:rPr>
                <w:rFonts w:cs="Calibri"/>
              </w:rPr>
            </w:pP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60"/>
              <w:rPr>
                <w:rFonts w:cs="Calibri"/>
              </w:rPr>
            </w:pPr>
            <w:r w:rsidRPr="008064DA">
              <w:rPr>
                <w:rFonts w:cs="Calibri"/>
              </w:rPr>
              <w:t xml:space="preserve">HFC-134a, </w:t>
            </w:r>
          </w:p>
          <w:p w:rsidR="00757860" w:rsidRPr="008064DA" w:rsidRDefault="00757860" w:rsidP="001B2FAF">
            <w:pPr>
              <w:spacing w:before="60"/>
              <w:rPr>
                <w:rFonts w:cs="Calibri"/>
              </w:rPr>
            </w:pPr>
            <w:r w:rsidRPr="008064DA">
              <w:rPr>
                <w:rFonts w:cs="Calibri"/>
              </w:rPr>
              <w:t>HFC-227ea (MDIs)</w:t>
            </w:r>
          </w:p>
        </w:tc>
        <w:tc>
          <w:tcPr>
            <w:tcW w:w="548" w:type="pct"/>
            <w:tcBorders>
              <w:left w:val="double" w:sz="4" w:space="0" w:color="auto"/>
              <w:right w:val="single" w:sz="4" w:space="0" w:color="auto"/>
            </w:tcBorders>
            <w:shd w:val="clear" w:color="auto" w:fill="auto"/>
          </w:tcPr>
          <w:p w:rsidR="00757860" w:rsidRDefault="00757860" w:rsidP="001B2FAF">
            <w:pPr>
              <w:spacing w:before="60"/>
              <w:rPr>
                <w:rFonts w:cs="Calibri"/>
              </w:rPr>
            </w:pPr>
            <w:r w:rsidRPr="008064DA">
              <w:rPr>
                <w:rFonts w:cs="Calibri"/>
              </w:rPr>
              <w:t>Technical aerosols (unless required to meet national safety standards or medical applications)</w:t>
            </w:r>
          </w:p>
          <w:p w:rsidR="00757860" w:rsidRPr="008064DA" w:rsidRDefault="00757860" w:rsidP="001B2FAF">
            <w:pPr>
              <w:spacing w:before="60"/>
              <w:rPr>
                <w:rFonts w:cs="Calibri"/>
              </w:rPr>
            </w:pPr>
          </w:p>
        </w:tc>
        <w:tc>
          <w:tcPr>
            <w:tcW w:w="483" w:type="pct"/>
            <w:tcBorders>
              <w:left w:val="single" w:sz="4" w:space="0" w:color="auto"/>
            </w:tcBorders>
            <w:shd w:val="clear" w:color="auto" w:fill="auto"/>
          </w:tcPr>
          <w:p w:rsidR="00757860" w:rsidRPr="008064DA" w:rsidRDefault="00757860" w:rsidP="001B2FAF">
            <w:pPr>
              <w:spacing w:before="60"/>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60"/>
              <w:rPr>
                <w:rFonts w:cs="Calibri"/>
              </w:rPr>
            </w:pPr>
            <w:r w:rsidRPr="008064DA">
              <w:rPr>
                <w:rFonts w:cs="Calibri"/>
              </w:rPr>
              <w:t>2018</w:t>
            </w:r>
          </w:p>
        </w:tc>
        <w:tc>
          <w:tcPr>
            <w:tcW w:w="647" w:type="pct"/>
            <w:vMerge/>
            <w:tcBorders>
              <w:left w:val="double" w:sz="4" w:space="0" w:color="auto"/>
            </w:tcBorders>
            <w:shd w:val="clear" w:color="auto" w:fill="auto"/>
          </w:tcPr>
          <w:p w:rsidR="00757860" w:rsidRPr="008064DA" w:rsidRDefault="00757860" w:rsidP="001B2FAF">
            <w:pPr>
              <w:spacing w:before="60"/>
              <w:rPr>
                <w:rFonts w:cs="Calibri"/>
              </w:rPr>
            </w:pPr>
          </w:p>
        </w:tc>
        <w:tc>
          <w:tcPr>
            <w:tcW w:w="678" w:type="pct"/>
            <w:vMerge/>
            <w:shd w:val="clear" w:color="auto" w:fill="auto"/>
          </w:tcPr>
          <w:p w:rsidR="00757860" w:rsidRPr="008064DA" w:rsidRDefault="00757860" w:rsidP="001B2FAF">
            <w:pPr>
              <w:spacing w:before="60"/>
              <w:rPr>
                <w:rFonts w:cs="Calibri"/>
              </w:rPr>
            </w:pPr>
          </w:p>
        </w:tc>
        <w:tc>
          <w:tcPr>
            <w:tcW w:w="483" w:type="pct"/>
            <w:vMerge/>
            <w:tcBorders>
              <w:right w:val="double" w:sz="4" w:space="0" w:color="auto"/>
            </w:tcBorders>
            <w:shd w:val="clear" w:color="auto" w:fill="auto"/>
          </w:tcPr>
          <w:p w:rsidR="00757860" w:rsidRPr="008064DA" w:rsidRDefault="00757860" w:rsidP="001B2FAF">
            <w:pPr>
              <w:spacing w:before="60"/>
              <w:rPr>
                <w:rFonts w:cs="Calibri"/>
              </w:rPr>
            </w:pPr>
          </w:p>
        </w:tc>
        <w:tc>
          <w:tcPr>
            <w:tcW w:w="516" w:type="pct"/>
            <w:tcBorders>
              <w:left w:val="double" w:sz="4" w:space="0" w:color="auto"/>
              <w:right w:val="single" w:sz="4" w:space="0" w:color="auto"/>
            </w:tcBorders>
            <w:shd w:val="clear" w:color="auto" w:fill="auto"/>
          </w:tcPr>
          <w:p w:rsidR="00757860" w:rsidRPr="008064DA" w:rsidRDefault="00757860" w:rsidP="001B2FAF">
            <w:pPr>
              <w:spacing w:before="60"/>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before="60"/>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before="60"/>
              <w:rPr>
                <w:rFonts w:cs="Calibri"/>
              </w:rPr>
            </w:pPr>
          </w:p>
        </w:tc>
      </w:tr>
      <w:tr w:rsidR="00757860" w:rsidRPr="008064DA" w:rsidTr="001B2FAF">
        <w:tc>
          <w:tcPr>
            <w:tcW w:w="5000" w:type="pct"/>
            <w:gridSpan w:val="10"/>
            <w:tcBorders>
              <w:left w:val="single" w:sz="18" w:space="0" w:color="auto"/>
              <w:right w:val="single" w:sz="18" w:space="0" w:color="auto"/>
            </w:tcBorders>
            <w:shd w:val="clear" w:color="auto" w:fill="D9D9D9"/>
          </w:tcPr>
          <w:p w:rsidR="00757860" w:rsidRPr="008064DA" w:rsidRDefault="00757860" w:rsidP="001B2FAF">
            <w:pPr>
              <w:spacing w:line="216" w:lineRule="auto"/>
              <w:jc w:val="center"/>
              <w:rPr>
                <w:rFonts w:cs="Calibri"/>
                <w:b/>
              </w:rPr>
            </w:pPr>
            <w:r w:rsidRPr="008064DA">
              <w:rPr>
                <w:rFonts w:cs="Calibri"/>
                <w:b/>
                <w:sz w:val="24"/>
              </w:rPr>
              <w:t>Foams</w:t>
            </w: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lastRenderedPageBreak/>
              <w:t xml:space="preserve">HFC-134a, </w:t>
            </w:r>
          </w:p>
          <w:p w:rsidR="00757860" w:rsidRPr="008064DA" w:rsidRDefault="00757860" w:rsidP="001B2FAF">
            <w:pPr>
              <w:spacing w:before="40" w:line="216" w:lineRule="auto"/>
              <w:rPr>
                <w:rFonts w:cs="Calibri"/>
              </w:rPr>
            </w:pPr>
            <w:r w:rsidRPr="008064DA">
              <w:rPr>
                <w:rFonts w:cs="Calibri"/>
              </w:rPr>
              <w:t xml:space="preserve">HFC-245fa, </w:t>
            </w:r>
          </w:p>
          <w:p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XPS Foams with HFCs</w:t>
            </w:r>
          </w:p>
        </w:tc>
        <w:tc>
          <w:tcPr>
            <w:tcW w:w="483" w:type="pct"/>
            <w:tcBorders>
              <w:lef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2023</w:t>
            </w:r>
          </w:p>
        </w:tc>
        <w:tc>
          <w:tcPr>
            <w:tcW w:w="647" w:type="pct"/>
            <w:tcBorders>
              <w:left w:val="double" w:sz="4" w:space="0" w:color="auto"/>
            </w:tcBorders>
            <w:shd w:val="clear" w:color="auto" w:fill="auto"/>
          </w:tcPr>
          <w:p w:rsidR="00757860" w:rsidRPr="008064DA" w:rsidRDefault="00757860" w:rsidP="001B2FAF">
            <w:pPr>
              <w:spacing w:before="40"/>
              <w:rPr>
                <w:rFonts w:cs="Calibri"/>
              </w:rPr>
            </w:pPr>
            <w:r w:rsidRPr="008064DA">
              <w:rPr>
                <w:rFonts w:cs="Calibri"/>
              </w:rPr>
              <w:t>Polystyrene Extruded Boardstock and Billet (XPS)</w:t>
            </w:r>
          </w:p>
        </w:tc>
        <w:tc>
          <w:tcPr>
            <w:tcW w:w="678" w:type="pct"/>
            <w:shd w:val="clear" w:color="auto" w:fill="auto"/>
          </w:tcPr>
          <w:p w:rsidR="00757860" w:rsidRPr="008064DA" w:rsidRDefault="00757860" w:rsidP="001B2FAF">
            <w:pPr>
              <w:spacing w:before="40" w:line="216" w:lineRule="auto"/>
              <w:rPr>
                <w:rFonts w:cs="Calibri"/>
              </w:rPr>
            </w:pPr>
            <w:r w:rsidRPr="008064DA">
              <w:rPr>
                <w:rFonts w:cs="Calibri"/>
              </w:rPr>
              <w:t>HFC-134a (1430)</w:t>
            </w:r>
          </w:p>
          <w:p w:rsidR="00757860" w:rsidRPr="008064DA" w:rsidRDefault="00757860" w:rsidP="001B2FAF">
            <w:pPr>
              <w:spacing w:before="40" w:line="216" w:lineRule="auto"/>
              <w:rPr>
                <w:rFonts w:cs="Calibri"/>
              </w:rPr>
            </w:pPr>
          </w:p>
        </w:tc>
        <w:tc>
          <w:tcPr>
            <w:tcW w:w="483" w:type="pct"/>
            <w:tcBorders>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2021</w:t>
            </w:r>
          </w:p>
        </w:tc>
        <w:tc>
          <w:tcPr>
            <w:tcW w:w="516" w:type="pct"/>
            <w:tcBorders>
              <w:left w:val="doub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3" w:type="pct"/>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 xml:space="preserve">HCs, </w:t>
            </w:r>
          </w:p>
          <w:p w:rsidR="00757860" w:rsidRPr="008064DA" w:rsidRDefault="00757860" w:rsidP="001B2FAF">
            <w:pPr>
              <w:spacing w:before="40" w:line="216" w:lineRule="auto"/>
              <w:rPr>
                <w:rFonts w:cs="Calibri"/>
              </w:rPr>
            </w:pPr>
            <w:r w:rsidRPr="008064DA">
              <w:rPr>
                <w:rFonts w:cs="Calibri"/>
              </w:rPr>
              <w:t>HFC-134a</w:t>
            </w:r>
          </w:p>
          <w:p w:rsidR="00757860" w:rsidRPr="008064DA" w:rsidRDefault="00757860" w:rsidP="001B2FAF">
            <w:pPr>
              <w:spacing w:before="40" w:line="216" w:lineRule="auto"/>
              <w:rPr>
                <w:rFonts w:cs="Calibri"/>
              </w:rPr>
            </w:pPr>
          </w:p>
        </w:tc>
        <w:tc>
          <w:tcPr>
            <w:tcW w:w="548" w:type="pc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i/>
              </w:rPr>
            </w:pPr>
            <w:r w:rsidRPr="008064DA">
              <w:t>One-component foams</w:t>
            </w:r>
          </w:p>
        </w:tc>
        <w:tc>
          <w:tcPr>
            <w:tcW w:w="483" w:type="pct"/>
            <w:tcBorders>
              <w:lef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4/7/2008</w:t>
            </w:r>
          </w:p>
        </w:tc>
        <w:tc>
          <w:tcPr>
            <w:tcW w:w="647" w:type="pct"/>
            <w:vMerge w:val="restart"/>
            <w:tcBorders>
              <w:left w:val="double" w:sz="4" w:space="0" w:color="auto"/>
            </w:tcBorders>
            <w:shd w:val="clear" w:color="auto" w:fill="auto"/>
          </w:tcPr>
          <w:p w:rsidR="00757860" w:rsidRPr="008064DA" w:rsidRDefault="00757860" w:rsidP="001B2FAF">
            <w:pPr>
              <w:spacing w:before="40"/>
              <w:rPr>
                <w:rFonts w:cs="Calibri"/>
              </w:rPr>
            </w:pPr>
            <w:r w:rsidRPr="008064DA">
              <w:rPr>
                <w:rFonts w:cs="Calibri"/>
              </w:rPr>
              <w:t>Polyisocyanurate Laminated Boardstock, Polystyrene Extruded Sheet, Phenolic Insulation Board and Bunstock, Polyolefin, and several types of Polyurethane foams</w:t>
            </w:r>
          </w:p>
        </w:tc>
        <w:tc>
          <w:tcPr>
            <w:tcW w:w="678" w:type="pct"/>
            <w:vMerge w:val="restart"/>
            <w:shd w:val="clear" w:color="auto" w:fill="auto"/>
          </w:tcPr>
          <w:p w:rsidR="00757860" w:rsidRPr="008064DA" w:rsidRDefault="00757860" w:rsidP="001B2FAF">
            <w:pPr>
              <w:spacing w:before="40" w:line="216" w:lineRule="auto"/>
              <w:rPr>
                <w:rFonts w:cs="Calibri"/>
              </w:rPr>
            </w:pPr>
            <w:r w:rsidRPr="008064DA">
              <w:rPr>
                <w:rFonts w:cs="Calibri"/>
              </w:rPr>
              <w:t xml:space="preserve">HFC-134a (1430), </w:t>
            </w:r>
          </w:p>
          <w:p w:rsidR="00757860" w:rsidRPr="008064DA" w:rsidRDefault="00757860" w:rsidP="001B2FAF">
            <w:pPr>
              <w:spacing w:before="40" w:line="216" w:lineRule="auto"/>
              <w:rPr>
                <w:rFonts w:cs="Calibri"/>
              </w:rPr>
            </w:pPr>
            <w:r w:rsidRPr="008064DA">
              <w:rPr>
                <w:rFonts w:cs="Calibri"/>
              </w:rPr>
              <w:t xml:space="preserve">HFC-245fa (1030), </w:t>
            </w:r>
          </w:p>
          <w:p w:rsidR="00757860" w:rsidRPr="008064DA" w:rsidRDefault="00757860" w:rsidP="001B2FAF">
            <w:pPr>
              <w:spacing w:before="40" w:line="216" w:lineRule="auto"/>
              <w:rPr>
                <w:rFonts w:cs="Calibri"/>
              </w:rPr>
            </w:pPr>
            <w:r w:rsidRPr="008064DA">
              <w:rPr>
                <w:rFonts w:cs="Calibri"/>
              </w:rPr>
              <w:t>HFC-365mfc (794)</w:t>
            </w:r>
          </w:p>
        </w:tc>
        <w:tc>
          <w:tcPr>
            <w:tcW w:w="483" w:type="pct"/>
            <w:vMerge w:val="restart"/>
            <w:tcBorders>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2017-2020</w:t>
            </w:r>
          </w:p>
        </w:tc>
        <w:tc>
          <w:tcPr>
            <w:tcW w:w="516" w:type="pct"/>
            <w:vMerge w:val="restar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Urethane Foam (house construction materials)</w:t>
            </w:r>
          </w:p>
        </w:tc>
        <w:tc>
          <w:tcPr>
            <w:tcW w:w="323" w:type="pct"/>
            <w:vMerge w:val="restart"/>
            <w:tcBorders>
              <w:left w:val="sing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100</w:t>
            </w:r>
          </w:p>
        </w:tc>
        <w:tc>
          <w:tcPr>
            <w:tcW w:w="329" w:type="pct"/>
            <w:vMerge w:val="restart"/>
            <w:tcBorders>
              <w:left w:val="single" w:sz="4" w:space="0" w:color="auto"/>
              <w:right w:val="single" w:sz="18"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2020</w:t>
            </w:r>
          </w:p>
        </w:tc>
      </w:tr>
      <w:tr w:rsidR="00757860" w:rsidRPr="008064DA" w:rsidTr="001B2FAF">
        <w:tc>
          <w:tcPr>
            <w:tcW w:w="509" w:type="pct"/>
            <w:tcBorders>
              <w:left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 xml:space="preserve">HCs, </w:t>
            </w:r>
          </w:p>
          <w:p w:rsidR="00757860" w:rsidRPr="008064DA" w:rsidRDefault="00757860" w:rsidP="001B2FAF">
            <w:pPr>
              <w:spacing w:before="40" w:line="216" w:lineRule="auto"/>
              <w:rPr>
                <w:rFonts w:cs="Calibri"/>
              </w:rPr>
            </w:pPr>
            <w:r w:rsidRPr="008064DA">
              <w:rPr>
                <w:rFonts w:cs="Calibri"/>
              </w:rPr>
              <w:t xml:space="preserve">HFC-134a, </w:t>
            </w:r>
          </w:p>
          <w:p w:rsidR="00757860" w:rsidRPr="008064DA" w:rsidRDefault="00757860" w:rsidP="001B2FAF">
            <w:pPr>
              <w:spacing w:before="40" w:line="216" w:lineRule="auto"/>
              <w:rPr>
                <w:rFonts w:cs="Calibri"/>
              </w:rPr>
            </w:pPr>
            <w:r w:rsidRPr="008064DA">
              <w:rPr>
                <w:rFonts w:cs="Calibri"/>
              </w:rPr>
              <w:t xml:space="preserve">HFC-245fa, </w:t>
            </w:r>
          </w:p>
          <w:p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Other Foams with HFCs</w:t>
            </w:r>
          </w:p>
        </w:tc>
        <w:tc>
          <w:tcPr>
            <w:tcW w:w="483" w:type="pct"/>
            <w:tcBorders>
              <w:lef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150</w:t>
            </w:r>
          </w:p>
        </w:tc>
        <w:tc>
          <w:tcPr>
            <w:tcW w:w="484" w:type="pct"/>
            <w:tcBorders>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2020</w:t>
            </w:r>
          </w:p>
        </w:tc>
        <w:tc>
          <w:tcPr>
            <w:tcW w:w="647" w:type="pct"/>
            <w:vMerge/>
            <w:tcBorders>
              <w:left w:val="double" w:sz="4" w:space="0" w:color="auto"/>
            </w:tcBorders>
            <w:shd w:val="clear" w:color="auto" w:fill="auto"/>
          </w:tcPr>
          <w:p w:rsidR="00757860" w:rsidRPr="008064DA" w:rsidRDefault="00757860" w:rsidP="001B2FAF">
            <w:pPr>
              <w:spacing w:line="216" w:lineRule="auto"/>
              <w:rPr>
                <w:rFonts w:cs="Calibri"/>
              </w:rPr>
            </w:pPr>
          </w:p>
        </w:tc>
        <w:tc>
          <w:tcPr>
            <w:tcW w:w="678" w:type="pct"/>
            <w:vMerge/>
            <w:shd w:val="clear" w:color="auto" w:fill="auto"/>
          </w:tcPr>
          <w:p w:rsidR="00757860" w:rsidRPr="008064DA" w:rsidRDefault="00757860" w:rsidP="001B2FAF">
            <w:pPr>
              <w:spacing w:line="216" w:lineRule="auto"/>
              <w:rPr>
                <w:rFonts w:cs="Calibri"/>
              </w:rPr>
            </w:pPr>
          </w:p>
        </w:tc>
        <w:tc>
          <w:tcPr>
            <w:tcW w:w="483" w:type="pct"/>
            <w:vMerge/>
            <w:tcBorders>
              <w:right w:val="double" w:sz="4" w:space="0" w:color="auto"/>
            </w:tcBorders>
            <w:shd w:val="clear" w:color="auto" w:fill="auto"/>
          </w:tcPr>
          <w:p w:rsidR="00757860" w:rsidRPr="008064DA" w:rsidRDefault="00757860" w:rsidP="001B2FAF">
            <w:pPr>
              <w:spacing w:line="216" w:lineRule="auto"/>
              <w:rPr>
                <w:rFonts w:cs="Calibri"/>
              </w:rPr>
            </w:pPr>
          </w:p>
        </w:tc>
        <w:tc>
          <w:tcPr>
            <w:tcW w:w="516" w:type="pct"/>
            <w:vMerge/>
            <w:tcBorders>
              <w:left w:val="doub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3" w:type="pct"/>
            <w:vMerge/>
            <w:tcBorders>
              <w:left w:val="single" w:sz="4" w:space="0" w:color="auto"/>
              <w:right w:val="single" w:sz="4" w:space="0" w:color="auto"/>
            </w:tcBorders>
            <w:shd w:val="clear" w:color="auto" w:fill="auto"/>
          </w:tcPr>
          <w:p w:rsidR="00757860" w:rsidRPr="008064DA" w:rsidRDefault="00757860" w:rsidP="001B2FAF">
            <w:pPr>
              <w:spacing w:line="216" w:lineRule="auto"/>
              <w:rPr>
                <w:rFonts w:cs="Calibri"/>
              </w:rPr>
            </w:pPr>
          </w:p>
        </w:tc>
        <w:tc>
          <w:tcPr>
            <w:tcW w:w="329" w:type="pct"/>
            <w:vMerge/>
            <w:tcBorders>
              <w:left w:val="single" w:sz="4" w:space="0" w:color="auto"/>
              <w:right w:val="single" w:sz="18" w:space="0" w:color="auto"/>
            </w:tcBorders>
            <w:shd w:val="clear" w:color="auto" w:fill="auto"/>
          </w:tcPr>
          <w:p w:rsidR="00757860" w:rsidRPr="008064DA" w:rsidRDefault="00757860" w:rsidP="001B2FAF">
            <w:pPr>
              <w:spacing w:line="216" w:lineRule="auto"/>
              <w:rPr>
                <w:rFonts w:cs="Calibri"/>
              </w:rPr>
            </w:pPr>
          </w:p>
        </w:tc>
      </w:tr>
      <w:tr w:rsidR="00757860" w:rsidRPr="008064DA" w:rsidTr="001B2FAF">
        <w:trPr>
          <w:trHeight w:val="2119"/>
        </w:trPr>
        <w:tc>
          <w:tcPr>
            <w:tcW w:w="509" w:type="pct"/>
            <w:tcBorders>
              <w:left w:val="single" w:sz="18" w:space="0" w:color="auto"/>
              <w:bottom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 xml:space="preserve">HFC-134a, </w:t>
            </w:r>
          </w:p>
          <w:p w:rsidR="00757860" w:rsidRPr="008064DA" w:rsidRDefault="00757860" w:rsidP="001B2FAF">
            <w:pPr>
              <w:spacing w:before="40" w:line="216" w:lineRule="auto"/>
              <w:rPr>
                <w:rFonts w:cs="Calibri"/>
              </w:rPr>
            </w:pPr>
            <w:r w:rsidRPr="008064DA">
              <w:rPr>
                <w:rFonts w:cs="Calibri"/>
              </w:rPr>
              <w:t xml:space="preserve">HFC-245fa, </w:t>
            </w:r>
          </w:p>
          <w:p w:rsidR="00757860" w:rsidRPr="008064DA" w:rsidRDefault="00757860" w:rsidP="001B2FAF">
            <w:pPr>
              <w:spacing w:before="40" w:line="216" w:lineRule="auto"/>
              <w:rPr>
                <w:rFonts w:cs="Calibri"/>
              </w:rPr>
            </w:pPr>
            <w:r w:rsidRPr="008064DA">
              <w:rPr>
                <w:rFonts w:cs="Calibri"/>
              </w:rPr>
              <w:t>HFC-365mfc</w:t>
            </w:r>
          </w:p>
        </w:tc>
        <w:tc>
          <w:tcPr>
            <w:tcW w:w="548" w:type="pct"/>
            <w:tcBorders>
              <w:left w:val="double" w:sz="4" w:space="0" w:color="auto"/>
              <w:bottom w:val="single" w:sz="18" w:space="0" w:color="auto"/>
              <w:right w:val="sing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Other Foams (Rigid PU Spray Foam)</w:t>
            </w:r>
          </w:p>
        </w:tc>
        <w:tc>
          <w:tcPr>
            <w:tcW w:w="483" w:type="pct"/>
            <w:tcBorders>
              <w:left w:val="single" w:sz="4" w:space="0" w:color="auto"/>
              <w:bottom w:val="single" w:sz="18" w:space="0" w:color="auto"/>
            </w:tcBorders>
            <w:shd w:val="clear" w:color="auto" w:fill="auto"/>
          </w:tcPr>
          <w:p w:rsidR="00757860" w:rsidRPr="008064DA" w:rsidRDefault="00757860" w:rsidP="001B2FAF">
            <w:pPr>
              <w:spacing w:before="40" w:line="216" w:lineRule="auto"/>
              <w:rPr>
                <w:rFonts w:cs="Calibri"/>
              </w:rPr>
            </w:pPr>
            <w:r w:rsidRPr="008064DA">
              <w:rPr>
                <w:rFonts w:cs="Calibri"/>
              </w:rPr>
              <w:t>150</w:t>
            </w:r>
          </w:p>
        </w:tc>
        <w:tc>
          <w:tcPr>
            <w:tcW w:w="484" w:type="pct"/>
            <w:tcBorders>
              <w:bottom w:val="single" w:sz="18" w:space="0" w:color="auto"/>
              <w:right w:val="double" w:sz="4" w:space="0" w:color="auto"/>
            </w:tcBorders>
            <w:shd w:val="clear" w:color="auto" w:fill="auto"/>
          </w:tcPr>
          <w:p w:rsidR="00757860" w:rsidRPr="008064DA" w:rsidRDefault="00757860" w:rsidP="001B2FAF">
            <w:pPr>
              <w:spacing w:before="40" w:line="216" w:lineRule="auto"/>
              <w:rPr>
                <w:rFonts w:cs="Calibri"/>
              </w:rPr>
            </w:pPr>
            <w:r w:rsidRPr="008064DA">
              <w:rPr>
                <w:rFonts w:cs="Calibri"/>
              </w:rPr>
              <w:t>2020</w:t>
            </w:r>
          </w:p>
        </w:tc>
        <w:tc>
          <w:tcPr>
            <w:tcW w:w="647" w:type="pct"/>
            <w:tcBorders>
              <w:left w:val="double" w:sz="4" w:space="0" w:color="auto"/>
              <w:bottom w:val="single" w:sz="18" w:space="0" w:color="auto"/>
            </w:tcBorders>
            <w:shd w:val="clear" w:color="auto" w:fill="auto"/>
          </w:tcPr>
          <w:p w:rsidR="00757860" w:rsidRPr="008064DA" w:rsidRDefault="00757860" w:rsidP="001B2FAF">
            <w:pPr>
              <w:spacing w:before="40"/>
              <w:rPr>
                <w:rFonts w:cs="Calibri"/>
                <w:i/>
              </w:rPr>
            </w:pPr>
            <w:r w:rsidRPr="008064DA">
              <w:rPr>
                <w:rFonts w:cs="Calibri"/>
                <w:i/>
              </w:rPr>
              <w:t>Rigid PU Spray Foam (Proposed)</w:t>
            </w:r>
          </w:p>
        </w:tc>
        <w:tc>
          <w:tcPr>
            <w:tcW w:w="678" w:type="pct"/>
            <w:tcBorders>
              <w:bottom w:val="single" w:sz="18" w:space="0" w:color="auto"/>
            </w:tcBorders>
            <w:shd w:val="clear" w:color="auto" w:fill="auto"/>
          </w:tcPr>
          <w:p w:rsidR="00757860" w:rsidRPr="008064DA" w:rsidRDefault="00757860" w:rsidP="001B2FAF">
            <w:pPr>
              <w:spacing w:before="40" w:line="216" w:lineRule="auto"/>
              <w:rPr>
                <w:rFonts w:cs="Calibri"/>
              </w:rPr>
            </w:pPr>
            <w:r w:rsidRPr="008064DA">
              <w:rPr>
                <w:rFonts w:cs="Calibri"/>
              </w:rPr>
              <w:t xml:space="preserve">HFC-134a (1430), </w:t>
            </w:r>
          </w:p>
          <w:p w:rsidR="00757860" w:rsidRPr="008064DA" w:rsidRDefault="00757860" w:rsidP="001B2FAF">
            <w:pPr>
              <w:spacing w:before="40" w:line="216" w:lineRule="auto"/>
              <w:rPr>
                <w:rFonts w:cs="Calibri"/>
              </w:rPr>
            </w:pPr>
            <w:r w:rsidRPr="008064DA">
              <w:rPr>
                <w:rFonts w:cs="Calibri"/>
              </w:rPr>
              <w:t xml:space="preserve">HFC-245fa (1030), </w:t>
            </w:r>
          </w:p>
          <w:p w:rsidR="00757860" w:rsidRPr="008064DA" w:rsidRDefault="00757860" w:rsidP="001B2FAF">
            <w:pPr>
              <w:spacing w:before="40" w:line="216" w:lineRule="auto"/>
              <w:rPr>
                <w:rFonts w:cs="Calibri"/>
                <w:i/>
              </w:rPr>
            </w:pPr>
            <w:r w:rsidRPr="008064DA">
              <w:rPr>
                <w:rFonts w:cs="Calibri"/>
              </w:rPr>
              <w:t>HFC-365mfc (794)</w:t>
            </w:r>
          </w:p>
        </w:tc>
        <w:tc>
          <w:tcPr>
            <w:tcW w:w="483" w:type="pct"/>
            <w:tcBorders>
              <w:bottom w:val="single" w:sz="18" w:space="0" w:color="auto"/>
              <w:right w:val="double" w:sz="4" w:space="0" w:color="auto"/>
            </w:tcBorders>
            <w:shd w:val="clear" w:color="auto" w:fill="auto"/>
          </w:tcPr>
          <w:p w:rsidR="00757860" w:rsidRPr="008064DA" w:rsidRDefault="00757860" w:rsidP="001B2FAF">
            <w:pPr>
              <w:spacing w:before="40" w:line="216" w:lineRule="auto"/>
              <w:rPr>
                <w:rFonts w:cs="Calibri"/>
                <w:i/>
              </w:rPr>
            </w:pPr>
            <w:r w:rsidRPr="008064DA">
              <w:rPr>
                <w:rFonts w:cs="Calibri"/>
                <w:i/>
              </w:rPr>
              <w:t>2020-2021</w:t>
            </w:r>
          </w:p>
        </w:tc>
        <w:tc>
          <w:tcPr>
            <w:tcW w:w="516" w:type="pct"/>
            <w:vMerge/>
            <w:tcBorders>
              <w:left w:val="double" w:sz="4" w:space="0" w:color="auto"/>
              <w:bottom w:val="single" w:sz="18" w:space="0" w:color="auto"/>
              <w:right w:val="single" w:sz="4" w:space="0" w:color="auto"/>
            </w:tcBorders>
            <w:shd w:val="clear" w:color="auto" w:fill="auto"/>
          </w:tcPr>
          <w:p w:rsidR="00757860" w:rsidRPr="008064DA" w:rsidRDefault="00757860" w:rsidP="001B2FAF">
            <w:pPr>
              <w:spacing w:line="216" w:lineRule="auto"/>
              <w:rPr>
                <w:rFonts w:cs="Calibri"/>
                <w:i/>
              </w:rPr>
            </w:pPr>
          </w:p>
        </w:tc>
        <w:tc>
          <w:tcPr>
            <w:tcW w:w="323" w:type="pct"/>
            <w:vMerge/>
            <w:tcBorders>
              <w:left w:val="single" w:sz="4" w:space="0" w:color="auto"/>
              <w:bottom w:val="single" w:sz="18" w:space="0" w:color="auto"/>
              <w:right w:val="single" w:sz="4" w:space="0" w:color="auto"/>
            </w:tcBorders>
            <w:shd w:val="clear" w:color="auto" w:fill="auto"/>
          </w:tcPr>
          <w:p w:rsidR="00757860" w:rsidRPr="008064DA" w:rsidRDefault="00757860" w:rsidP="001B2FAF">
            <w:pPr>
              <w:spacing w:line="216" w:lineRule="auto"/>
              <w:rPr>
                <w:rFonts w:cs="Calibri"/>
                <w:i/>
              </w:rPr>
            </w:pPr>
          </w:p>
        </w:tc>
        <w:tc>
          <w:tcPr>
            <w:tcW w:w="329" w:type="pct"/>
            <w:vMerge/>
            <w:tcBorders>
              <w:left w:val="single" w:sz="4" w:space="0" w:color="auto"/>
              <w:bottom w:val="single" w:sz="18" w:space="0" w:color="auto"/>
              <w:right w:val="single" w:sz="18" w:space="0" w:color="auto"/>
            </w:tcBorders>
            <w:shd w:val="clear" w:color="auto" w:fill="auto"/>
          </w:tcPr>
          <w:p w:rsidR="00757860" w:rsidRPr="008064DA" w:rsidRDefault="00757860" w:rsidP="001B2FAF">
            <w:pPr>
              <w:spacing w:line="216" w:lineRule="auto"/>
              <w:rPr>
                <w:rFonts w:cs="Calibri"/>
              </w:rPr>
            </w:pPr>
          </w:p>
        </w:tc>
      </w:tr>
    </w:tbl>
    <w:p w:rsidR="00757860" w:rsidRPr="00177D58" w:rsidRDefault="00757860" w:rsidP="00757860">
      <w:r w:rsidRPr="00084C24">
        <w:rPr>
          <w:sz w:val="2"/>
        </w:rPr>
        <w:t>A</w:t>
      </w:r>
      <w:r>
        <w:rPr>
          <w:sz w:val="2"/>
        </w:rPr>
        <w:t>n</w:t>
      </w:r>
    </w:p>
    <w:p w:rsidR="00757860" w:rsidRDefault="00757860" w:rsidP="00757860">
      <w:r w:rsidRPr="00177D58">
        <w:t>Notes</w:t>
      </w:r>
      <w:r>
        <w:t>:</w:t>
      </w:r>
    </w:p>
    <w:p w:rsidR="00757860" w:rsidRPr="00DF1E74" w:rsidRDefault="00757860" w:rsidP="00757860">
      <w:pPr>
        <w:pStyle w:val="ListParagraph"/>
        <w:numPr>
          <w:ilvl w:val="0"/>
          <w:numId w:val="63"/>
        </w:numPr>
        <w:autoSpaceDE/>
        <w:autoSpaceDN/>
        <w:spacing w:after="240"/>
        <w:ind w:left="714" w:hanging="357"/>
        <w:contextualSpacing/>
        <w:rPr>
          <w:rFonts w:ascii="Times New Roman" w:hAnsi="Times New Roman"/>
        </w:rPr>
      </w:pPr>
      <w:r w:rsidRPr="00DF1E74">
        <w:rPr>
          <w:rFonts w:ascii="Times New Roman" w:hAnsi="Times New Roman"/>
        </w:rPr>
        <w:lastRenderedPageBreak/>
        <w:t>GWPs are AR4 values (IPCC, 2007)</w:t>
      </w:r>
    </w:p>
    <w:p w:rsidR="00757860" w:rsidRPr="00DF1E74" w:rsidRDefault="00757860" w:rsidP="00757860">
      <w:pPr>
        <w:pStyle w:val="ListParagraph"/>
        <w:numPr>
          <w:ilvl w:val="0"/>
          <w:numId w:val="63"/>
        </w:numPr>
        <w:autoSpaceDE/>
        <w:autoSpaceDN/>
        <w:spacing w:after="240"/>
        <w:ind w:left="714" w:hanging="357"/>
        <w:contextualSpacing/>
        <w:rPr>
          <w:rFonts w:ascii="Times New Roman" w:hAnsi="Times New Roman"/>
        </w:rPr>
      </w:pPr>
      <w:r w:rsidRPr="00DF1E74">
        <w:rPr>
          <w:rFonts w:ascii="Times New Roman" w:hAnsi="Times New Roman"/>
        </w:rPr>
        <w:t>Prohibition dates January 1</w:t>
      </w:r>
      <w:r w:rsidRPr="00DF1E74">
        <w:rPr>
          <w:rFonts w:ascii="Times New Roman" w:hAnsi="Times New Roman"/>
          <w:vertAlign w:val="superscript"/>
        </w:rPr>
        <w:t>st</w:t>
      </w:r>
      <w:r w:rsidRPr="00DF1E74">
        <w:rPr>
          <w:rFonts w:ascii="Times New Roman" w:hAnsi="Times New Roman"/>
        </w:rPr>
        <w:t xml:space="preserve"> unless otherwise noted and shown as day/month/year.</w:t>
      </w:r>
    </w:p>
    <w:p w:rsidR="00757860" w:rsidRPr="00DF1E74" w:rsidRDefault="00757860" w:rsidP="00757860">
      <w:pPr>
        <w:pStyle w:val="ListParagraph"/>
        <w:numPr>
          <w:ilvl w:val="0"/>
          <w:numId w:val="63"/>
        </w:numPr>
        <w:autoSpaceDE/>
        <w:autoSpaceDN/>
        <w:spacing w:after="240"/>
        <w:ind w:left="714" w:hanging="357"/>
        <w:contextualSpacing/>
        <w:rPr>
          <w:rFonts w:ascii="Times New Roman" w:hAnsi="Times New Roman"/>
        </w:rPr>
      </w:pPr>
      <w:r w:rsidRPr="00DF1E74">
        <w:rPr>
          <w:rFonts w:ascii="Times New Roman" w:hAnsi="Times New Roman"/>
        </w:rPr>
        <w:t xml:space="preserve">Proposed USA prohibitions in </w:t>
      </w:r>
      <w:r w:rsidRPr="00DF1E74">
        <w:rPr>
          <w:rFonts w:ascii="Times New Roman" w:hAnsi="Times New Roman"/>
          <w:i/>
        </w:rPr>
        <w:t>italics</w:t>
      </w:r>
      <w:r w:rsidRPr="00DF1E74">
        <w:rPr>
          <w:rFonts w:ascii="Times New Roman" w:hAnsi="Times New Roman"/>
        </w:rPr>
        <w:t>; dates assume as proposed with a final rule published 1/1/2017.</w:t>
      </w:r>
    </w:p>
    <w:p w:rsidR="00757860" w:rsidRPr="00DF1E74" w:rsidRDefault="00757860" w:rsidP="00757860">
      <w:pPr>
        <w:pStyle w:val="ListParagraph"/>
        <w:numPr>
          <w:ilvl w:val="0"/>
          <w:numId w:val="63"/>
        </w:numPr>
        <w:autoSpaceDE/>
        <w:autoSpaceDN/>
        <w:spacing w:after="240"/>
        <w:ind w:left="714" w:hanging="357"/>
        <w:contextualSpacing/>
        <w:rPr>
          <w:rFonts w:ascii="Times New Roman" w:hAnsi="Times New Roman"/>
        </w:rPr>
      </w:pPr>
      <w:r w:rsidRPr="00DF1E74">
        <w:rPr>
          <w:rFonts w:ascii="Times New Roman" w:hAnsi="Times New Roman"/>
        </w:rPr>
        <w:t xml:space="preserve">Exceptions include, </w:t>
      </w:r>
      <w:r w:rsidRPr="00DF1E74">
        <w:rPr>
          <w:rFonts w:ascii="Times New Roman" w:hAnsi="Times New Roman"/>
          <w:i/>
        </w:rPr>
        <w:t>inter alia</w:t>
      </w:r>
      <w:r w:rsidRPr="00DF1E74">
        <w:rPr>
          <w:rFonts w:ascii="Times New Roman" w:hAnsi="Times New Roman"/>
        </w:rPr>
        <w:t>, US mobile AC for export to markets lacking service infrastructure, EU stationary refrigeration products below -50 C, USA chillers for military vessels and human-rated spacecraft, EU foams where required to meet national safety standards, USA foams until 1/1/2022 (existing) or 1/1/2025 (proposed) for space- and aeronautics–related applications, and Japan exceptions to designated products.</w:t>
      </w:r>
    </w:p>
    <w:p w:rsidR="00757860" w:rsidRPr="00DF1E74" w:rsidRDefault="00757860" w:rsidP="00757860">
      <w:pPr>
        <w:rPr>
          <w:sz w:val="21"/>
          <w:szCs w:val="21"/>
        </w:rPr>
      </w:pPr>
    </w:p>
    <w:p w:rsidR="00757860" w:rsidRPr="00DF1E74" w:rsidRDefault="00757860" w:rsidP="00757860">
      <w:pPr>
        <w:rPr>
          <w:sz w:val="21"/>
          <w:szCs w:val="21"/>
        </w:rPr>
      </w:pPr>
    </w:p>
    <w:p w:rsidR="00757860" w:rsidRPr="00DF1E74" w:rsidRDefault="00757860" w:rsidP="00757860">
      <w:pPr>
        <w:pStyle w:val="Heading1"/>
        <w:ind w:left="0" w:firstLine="0"/>
        <w:sectPr w:rsidR="00757860" w:rsidRPr="00DF1E74" w:rsidSect="00DF1E74">
          <w:footerReference w:type="even" r:id="rId87"/>
          <w:footerReference w:type="default" r:id="rId88"/>
          <w:pgSz w:w="16840" w:h="11900" w:orient="landscape"/>
          <w:pgMar w:top="1800" w:right="1440" w:bottom="1800" w:left="1440" w:header="708" w:footer="708" w:gutter="0"/>
          <w:cols w:space="708"/>
          <w:docGrid w:linePitch="360"/>
        </w:sectPr>
      </w:pPr>
    </w:p>
    <w:p w:rsidR="0034620F" w:rsidRPr="00315D48" w:rsidRDefault="00A31EB2" w:rsidP="009F4B9C">
      <w:pPr>
        <w:pStyle w:val="Heading1"/>
        <w:ind w:left="1440" w:hanging="1440"/>
      </w:pPr>
      <w:bookmarkStart w:id="171" w:name="_Toc452653435"/>
      <w:bookmarkStart w:id="172" w:name="_GoBack"/>
      <w:bookmarkEnd w:id="172"/>
      <w:r>
        <w:lastRenderedPageBreak/>
        <w:t xml:space="preserve">Annex </w:t>
      </w:r>
      <w:r w:rsidR="00757860">
        <w:t>4</w:t>
      </w:r>
      <w:r w:rsidR="009F4B9C">
        <w:t xml:space="preserve"> -</w:t>
      </w:r>
      <w:r w:rsidR="0034620F" w:rsidRPr="006D7E05">
        <w:t xml:space="preserve"> </w:t>
      </w:r>
      <w:r w:rsidR="002E023D" w:rsidRPr="00AD5DD6">
        <w:t>Updated</w:t>
      </w:r>
      <w:r w:rsidR="002E023D" w:rsidRPr="006D7E05">
        <w:t xml:space="preserve"> </w:t>
      </w:r>
      <w:r w:rsidR="0034620F" w:rsidRPr="006D7E05">
        <w:t>Tables</w:t>
      </w:r>
      <w:r w:rsidR="0034620F" w:rsidRPr="00077D33">
        <w:t xml:space="preserve"> for </w:t>
      </w:r>
      <w:r w:rsidR="0034620F">
        <w:t>t</w:t>
      </w:r>
      <w:r w:rsidR="0034620F" w:rsidRPr="00077D33">
        <w:t xml:space="preserve">otal, </w:t>
      </w:r>
      <w:r w:rsidR="0034620F">
        <w:t>n</w:t>
      </w:r>
      <w:r w:rsidR="0034620F" w:rsidRPr="00077D33">
        <w:t xml:space="preserve">ew </w:t>
      </w:r>
      <w:r w:rsidR="0034620F">
        <w:t>m</w:t>
      </w:r>
      <w:r w:rsidR="0034620F" w:rsidRPr="00077D33">
        <w:t xml:space="preserve">anufacturing, and </w:t>
      </w:r>
      <w:r w:rsidR="0034620F">
        <w:t>s</w:t>
      </w:r>
      <w:r w:rsidR="0034620F" w:rsidRPr="00077D33">
        <w:t xml:space="preserve">ervicing </w:t>
      </w:r>
      <w:r w:rsidR="0034620F">
        <w:t>d</w:t>
      </w:r>
      <w:r w:rsidR="0034620F" w:rsidRPr="00315D48">
        <w:t>emand</w:t>
      </w:r>
      <w:bookmarkEnd w:id="171"/>
    </w:p>
    <w:p w:rsidR="0034620F" w:rsidRDefault="0034620F" w:rsidP="0034620F">
      <w:r>
        <w:t xml:space="preserve">Below updated tables until 2050 (compared to 2030 in the XXVI/9 TF report) are given for the total demand, new manufacturing and servicing demand (data used for the scenario graphs in chapter </w:t>
      </w:r>
      <w:r w:rsidR="00146B22">
        <w:t>6</w:t>
      </w:r>
      <w:r>
        <w:t>):</w:t>
      </w:r>
    </w:p>
    <w:p w:rsidR="0034620F" w:rsidRDefault="0034620F" w:rsidP="0034620F">
      <w:pPr>
        <w:numPr>
          <w:ilvl w:val="0"/>
          <w:numId w:val="26"/>
        </w:numPr>
      </w:pPr>
      <w:r>
        <w:t>for non-Article 5 and Article 5 Parties</w:t>
      </w:r>
    </w:p>
    <w:p w:rsidR="0034620F" w:rsidRDefault="0034620F" w:rsidP="0034620F">
      <w:pPr>
        <w:numPr>
          <w:ilvl w:val="0"/>
          <w:numId w:val="26"/>
        </w:numPr>
      </w:pPr>
      <w:r>
        <w:t xml:space="preserve">for the </w:t>
      </w:r>
      <w:r w:rsidR="0031507E">
        <w:t xml:space="preserve">major </w:t>
      </w:r>
      <w:r>
        <w:t>R/AC sub-sectors</w:t>
      </w:r>
    </w:p>
    <w:p w:rsidR="0034620F" w:rsidRDefault="0034620F" w:rsidP="0034620F">
      <w:pPr>
        <w:numPr>
          <w:ilvl w:val="0"/>
          <w:numId w:val="26"/>
        </w:numPr>
      </w:pPr>
      <w:r>
        <w:t>for the BAU, MIT-3 and MIT-5 scenarios:</w:t>
      </w:r>
    </w:p>
    <w:p w:rsidR="0034620F" w:rsidRDefault="0034620F" w:rsidP="0034620F">
      <w:pPr>
        <w:ind w:left="360"/>
      </w:pP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1:  Demand in tonnes for new manufacturing plus servicing (total demand) for non-Article 5 Parties for the period 2010-20</w:t>
      </w:r>
      <w:r>
        <w:rPr>
          <w:i/>
        </w:rPr>
        <w:t>5</w:t>
      </w:r>
      <w:r w:rsidRPr="00F76EB5">
        <w:rPr>
          <w:i/>
        </w:rPr>
        <w:t>0 and for the six major sub-sectors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2:  Demand in tonnes for new manufacturing only for non-Article 5 Parties for the period 2010-20</w:t>
      </w:r>
      <w:r>
        <w:rPr>
          <w:i/>
        </w:rPr>
        <w:t>5</w:t>
      </w:r>
      <w:r w:rsidRPr="00F76EB5">
        <w:rPr>
          <w:i/>
        </w:rPr>
        <w:t>0 for the six major sub-sectors and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3:  Demand in tonnes for servicing only for non-Article 5 Parties for the period 2010-20</w:t>
      </w:r>
      <w:r>
        <w:rPr>
          <w:i/>
        </w:rPr>
        <w:t>5</w:t>
      </w:r>
      <w:r w:rsidRPr="00F76EB5">
        <w:rPr>
          <w:i/>
        </w:rPr>
        <w:t>0 for the six major sub-sectors and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4:  Demand in ktonnes CO</w:t>
      </w:r>
      <w:r w:rsidRPr="00F76EB5">
        <w:rPr>
          <w:rFonts w:ascii="Times New Roman Bold" w:hAnsi="Times New Roman Bold"/>
          <w:i/>
          <w:vertAlign w:val="subscript"/>
        </w:rPr>
        <w:t>2</w:t>
      </w:r>
      <w:r>
        <w:rPr>
          <w:i/>
        </w:rPr>
        <w:t xml:space="preserve">-eq. </w:t>
      </w:r>
      <w:r w:rsidRPr="00F76EB5">
        <w:rPr>
          <w:i/>
        </w:rPr>
        <w:t>for new manufacturing plus servicing (total demand) for non-Article 5 Parties for the period 2010-20</w:t>
      </w:r>
      <w:r>
        <w:rPr>
          <w:i/>
        </w:rPr>
        <w:t>5</w:t>
      </w:r>
      <w:r w:rsidRPr="00F76EB5">
        <w:rPr>
          <w:i/>
        </w:rPr>
        <w:t>0 and for the six major sub-sectors for the BAU, MIT-3 and MIT-5 scenarios</w:t>
      </w:r>
    </w:p>
    <w:p w:rsidR="0034620F" w:rsidRPr="00F76EB5" w:rsidRDefault="0034620F" w:rsidP="0034620F">
      <w:pPr>
        <w:numPr>
          <w:ilvl w:val="0"/>
          <w:numId w:val="26"/>
        </w:numPr>
        <w:spacing w:after="240"/>
        <w:rPr>
          <w:sz w:val="8"/>
          <w:szCs w:val="8"/>
        </w:rPr>
      </w:pPr>
      <w:r w:rsidRPr="00F76EB5">
        <w:rPr>
          <w:i/>
        </w:rPr>
        <w:t xml:space="preserve">Table </w:t>
      </w:r>
      <w:r w:rsidR="00757860">
        <w:rPr>
          <w:i/>
        </w:rPr>
        <w:t>A4-</w:t>
      </w:r>
      <w:r w:rsidRPr="00F76EB5">
        <w:rPr>
          <w:i/>
        </w:rPr>
        <w:t>5</w:t>
      </w:r>
      <w:r>
        <w:rPr>
          <w:i/>
        </w:rPr>
        <w:t>:</w:t>
      </w:r>
      <w:r w:rsidRPr="00F76EB5">
        <w:rPr>
          <w:i/>
        </w:rPr>
        <w:t xml:space="preserve">  Demand in ktonnes CO</w:t>
      </w:r>
      <w:r w:rsidRPr="00F76EB5">
        <w:rPr>
          <w:rFonts w:ascii="Times New Roman Bold" w:hAnsi="Times New Roman Bold"/>
          <w:i/>
          <w:vertAlign w:val="subscript"/>
        </w:rPr>
        <w:t>2</w:t>
      </w:r>
      <w:r>
        <w:rPr>
          <w:i/>
        </w:rPr>
        <w:t>-eq.</w:t>
      </w:r>
      <w:r w:rsidRPr="00F76EB5">
        <w:rPr>
          <w:i/>
        </w:rPr>
        <w:t>for new manufacturing only for non-Article 5 Parties for the period 2010-20</w:t>
      </w:r>
      <w:r>
        <w:rPr>
          <w:i/>
        </w:rPr>
        <w:t>5</w:t>
      </w:r>
      <w:r w:rsidRPr="00F76EB5">
        <w:rPr>
          <w:i/>
        </w:rPr>
        <w:t>0 and for the six major sub-sectors for the BAU, MIT-3 and MIT-5 scenarios</w:t>
      </w:r>
    </w:p>
    <w:p w:rsidR="0034620F" w:rsidRDefault="0034620F" w:rsidP="0034620F">
      <w:pPr>
        <w:numPr>
          <w:ilvl w:val="0"/>
          <w:numId w:val="26"/>
        </w:numPr>
        <w:spacing w:after="240"/>
        <w:rPr>
          <w:i/>
        </w:rPr>
      </w:pPr>
      <w:r w:rsidRPr="00F76EB5">
        <w:rPr>
          <w:i/>
        </w:rPr>
        <w:t xml:space="preserve">Table </w:t>
      </w:r>
      <w:r w:rsidR="00757860">
        <w:rPr>
          <w:i/>
        </w:rPr>
        <w:t>A4-</w:t>
      </w:r>
      <w:r w:rsidRPr="00F76EB5">
        <w:rPr>
          <w:i/>
        </w:rPr>
        <w:t>6:  Demand in ktonnes CO</w:t>
      </w:r>
      <w:r w:rsidRPr="00F76EB5">
        <w:rPr>
          <w:rFonts w:ascii="Times New Roman Bold" w:hAnsi="Times New Roman Bold"/>
          <w:i/>
          <w:vertAlign w:val="subscript"/>
        </w:rPr>
        <w:t>2</w:t>
      </w:r>
      <w:r>
        <w:rPr>
          <w:i/>
        </w:rPr>
        <w:t>-eq.</w:t>
      </w:r>
      <w:r w:rsidRPr="00F76EB5">
        <w:rPr>
          <w:i/>
        </w:rPr>
        <w:t>for servicing only for non-Article 5 Parties for the period 2010-20</w:t>
      </w:r>
      <w:r>
        <w:rPr>
          <w:i/>
        </w:rPr>
        <w:t>5</w:t>
      </w:r>
      <w:r w:rsidRPr="00F76EB5">
        <w:rPr>
          <w:i/>
        </w:rPr>
        <w:t>0 and for the six major sub-sectors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7:  Demand in tonnes for servicing and new manufacturing (total demand) for Article 5 Parties for the period 2010-20</w:t>
      </w:r>
      <w:r>
        <w:rPr>
          <w:i/>
        </w:rPr>
        <w:t>5</w:t>
      </w:r>
      <w:r w:rsidRPr="00F76EB5">
        <w:rPr>
          <w:i/>
        </w:rPr>
        <w:t>0 for the six major sub-sectors and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8:  Demand in tonnes for new manufacturing only for Article 5 Parties for the period 2010-20</w:t>
      </w:r>
      <w:r>
        <w:rPr>
          <w:i/>
        </w:rPr>
        <w:t>5</w:t>
      </w:r>
      <w:r w:rsidRPr="00F76EB5">
        <w:rPr>
          <w:i/>
        </w:rPr>
        <w:t>0 for the six major sub-sectors and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9</w:t>
      </w:r>
      <w:r>
        <w:rPr>
          <w:i/>
        </w:rPr>
        <w:t>:</w:t>
      </w:r>
      <w:r w:rsidRPr="00F76EB5">
        <w:rPr>
          <w:i/>
        </w:rPr>
        <w:t xml:space="preserve">  Demand in tonnes for servicing only for Article 5 Parties for the period 2010-20</w:t>
      </w:r>
      <w:r>
        <w:rPr>
          <w:i/>
        </w:rPr>
        <w:t>5</w:t>
      </w:r>
      <w:r w:rsidRPr="00F76EB5">
        <w:rPr>
          <w:i/>
        </w:rPr>
        <w:t>0 for the six major sub-sectors and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10:  Demand in ktonnes CO</w:t>
      </w:r>
      <w:r w:rsidRPr="00F76EB5">
        <w:rPr>
          <w:rFonts w:ascii="Times New Roman Bold" w:hAnsi="Times New Roman Bold"/>
          <w:i/>
          <w:vertAlign w:val="subscript"/>
        </w:rPr>
        <w:t>2</w:t>
      </w:r>
      <w:r>
        <w:rPr>
          <w:i/>
        </w:rPr>
        <w:t>-eq.</w:t>
      </w:r>
      <w:r w:rsidRPr="00F76EB5">
        <w:rPr>
          <w:i/>
        </w:rPr>
        <w:t xml:space="preserve"> for new manufacturing plus servicing (total demand) for Article 5 Parties for the period 2010-20</w:t>
      </w:r>
      <w:r>
        <w:rPr>
          <w:i/>
        </w:rPr>
        <w:t>5</w:t>
      </w:r>
      <w:r w:rsidRPr="00F76EB5">
        <w:rPr>
          <w:i/>
        </w:rPr>
        <w:t>0 and for the six major sub-sectors for the BAU, MIT-3 and MIT-5 scenarios</w:t>
      </w:r>
    </w:p>
    <w:p w:rsidR="0034620F" w:rsidRPr="00F76EB5" w:rsidRDefault="0034620F" w:rsidP="0034620F">
      <w:pPr>
        <w:numPr>
          <w:ilvl w:val="0"/>
          <w:numId w:val="26"/>
        </w:numPr>
        <w:spacing w:after="240"/>
        <w:rPr>
          <w:i/>
        </w:rPr>
      </w:pPr>
      <w:r w:rsidRPr="00F76EB5">
        <w:rPr>
          <w:i/>
        </w:rPr>
        <w:t xml:space="preserve">Table </w:t>
      </w:r>
      <w:r w:rsidR="00757860">
        <w:rPr>
          <w:i/>
        </w:rPr>
        <w:t>A4-</w:t>
      </w:r>
      <w:r w:rsidRPr="00F76EB5">
        <w:rPr>
          <w:i/>
        </w:rPr>
        <w:t>11:  Demand in ktonnes CO</w:t>
      </w:r>
      <w:r w:rsidRPr="00F76EB5">
        <w:rPr>
          <w:rFonts w:ascii="Times New Roman Bold" w:hAnsi="Times New Roman Bold"/>
          <w:i/>
          <w:vertAlign w:val="subscript"/>
        </w:rPr>
        <w:t>2</w:t>
      </w:r>
      <w:r>
        <w:rPr>
          <w:i/>
        </w:rPr>
        <w:t>-eq.</w:t>
      </w:r>
      <w:r w:rsidRPr="00F76EB5">
        <w:rPr>
          <w:i/>
        </w:rPr>
        <w:t xml:space="preserve"> for new manufacturing only for Article 5 Parties for the period 2010-20</w:t>
      </w:r>
      <w:r>
        <w:rPr>
          <w:i/>
        </w:rPr>
        <w:t>5</w:t>
      </w:r>
      <w:r w:rsidRPr="00F76EB5">
        <w:rPr>
          <w:i/>
        </w:rPr>
        <w:t>0 and for the six major sub-sectors for the BAU, MIT-3 and MIT-5 scenarios</w:t>
      </w:r>
    </w:p>
    <w:p w:rsidR="0034620F" w:rsidRPr="00F76EB5" w:rsidRDefault="0034620F" w:rsidP="0034620F">
      <w:pPr>
        <w:numPr>
          <w:ilvl w:val="0"/>
          <w:numId w:val="26"/>
        </w:numPr>
        <w:spacing w:after="240"/>
      </w:pPr>
      <w:r w:rsidRPr="0005316A">
        <w:rPr>
          <w:i/>
        </w:rPr>
        <w:t xml:space="preserve">Table </w:t>
      </w:r>
      <w:r w:rsidR="00757860">
        <w:rPr>
          <w:i/>
        </w:rPr>
        <w:t>A4-</w:t>
      </w:r>
      <w:r w:rsidRPr="0005316A">
        <w:rPr>
          <w:i/>
        </w:rPr>
        <w:t xml:space="preserve">12:  Demand in ktonnes </w:t>
      </w:r>
      <w:r w:rsidRPr="00F76EB5">
        <w:rPr>
          <w:i/>
        </w:rPr>
        <w:t>CO</w:t>
      </w:r>
      <w:r w:rsidRPr="00F76EB5">
        <w:rPr>
          <w:rFonts w:ascii="Times New Roman Bold" w:hAnsi="Times New Roman Bold"/>
          <w:i/>
          <w:vertAlign w:val="subscript"/>
        </w:rPr>
        <w:t>2</w:t>
      </w:r>
      <w:r>
        <w:rPr>
          <w:i/>
        </w:rPr>
        <w:t>-eq.</w:t>
      </w:r>
      <w:r w:rsidRPr="0005316A">
        <w:rPr>
          <w:i/>
        </w:rPr>
        <w:t xml:space="preserve"> for servicing only for Article 5 Parties for the period 2010-20</w:t>
      </w:r>
      <w:r>
        <w:rPr>
          <w:i/>
        </w:rPr>
        <w:t>5</w:t>
      </w:r>
      <w:r w:rsidRPr="0005316A">
        <w:rPr>
          <w:i/>
        </w:rPr>
        <w:t>0 and for the six major sub-sectors for the BAU, MIT-3 and MIT-5 scenarios</w:t>
      </w:r>
    </w:p>
    <w:p w:rsidR="0034620F" w:rsidRDefault="0034620F" w:rsidP="0034620F">
      <w:pPr>
        <w:rPr>
          <w:b/>
          <w:i/>
        </w:rPr>
      </w:pPr>
      <w:r>
        <w:br w:type="page"/>
      </w:r>
      <w:r w:rsidRPr="00D35EC5">
        <w:rPr>
          <w:b/>
          <w:i/>
        </w:rPr>
        <w:lastRenderedPageBreak/>
        <w:t xml:space="preserve">Table </w:t>
      </w:r>
      <w:r w:rsidR="00757860">
        <w:rPr>
          <w:b/>
          <w:i/>
        </w:rPr>
        <w:t>A4-</w:t>
      </w:r>
      <w:r w:rsidRPr="00D35EC5">
        <w:rPr>
          <w:b/>
          <w:i/>
        </w:rPr>
        <w:t>1</w:t>
      </w:r>
      <w:r>
        <w:rPr>
          <w:b/>
          <w:i/>
        </w:rPr>
        <w:t>:</w:t>
      </w:r>
      <w:r w:rsidRPr="00D35EC5">
        <w:rPr>
          <w:b/>
          <w:i/>
        </w:rPr>
        <w:t xml:space="preserve"> </w:t>
      </w:r>
      <w:r>
        <w:rPr>
          <w:b/>
          <w:i/>
        </w:rPr>
        <w:t xml:space="preserve"> </w:t>
      </w:r>
      <w:r w:rsidRPr="00D35EC5">
        <w:rPr>
          <w:b/>
          <w:i/>
        </w:rPr>
        <w:t xml:space="preserve">Demand in tonnes for new manufacturing plus servicing (total demand) 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Default="00F712FD" w:rsidP="0034620F">
      <w:r w:rsidRPr="00903C3F">
        <w:rPr>
          <w:noProof/>
          <w:lang w:val="en-US" w:eastAsia="en-US"/>
        </w:rPr>
        <w:drawing>
          <wp:inline distT="0" distB="0" distL="0" distR="0">
            <wp:extent cx="5890260" cy="8066405"/>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90260" cy="8066405"/>
                    </a:xfrm>
                    <a:prstGeom prst="rect">
                      <a:avLst/>
                    </a:prstGeom>
                    <a:noFill/>
                    <a:ln>
                      <a:noFill/>
                    </a:ln>
                  </pic:spPr>
                </pic:pic>
              </a:graphicData>
            </a:graphic>
          </wp:inline>
        </w:drawing>
      </w:r>
    </w:p>
    <w:p w:rsidR="0034620F" w:rsidRPr="00DB74AB" w:rsidRDefault="0034620F" w:rsidP="0034620F">
      <w:pPr>
        <w:rPr>
          <w:noProof/>
          <w:lang w:val="en-US"/>
        </w:rPr>
      </w:pPr>
      <w:r w:rsidRPr="00DB74AB">
        <w:rPr>
          <w:noProof/>
          <w:lang w:val="en-US"/>
        </w:rPr>
        <w:t xml:space="preserve"> </w:t>
      </w:r>
    </w:p>
    <w:p w:rsidR="0034620F" w:rsidRDefault="0034620F" w:rsidP="0034620F">
      <w:pPr>
        <w:spacing w:after="120"/>
        <w:rPr>
          <w:b/>
          <w:i/>
        </w:rPr>
      </w:pPr>
      <w:r w:rsidRPr="00D35EC5">
        <w:rPr>
          <w:b/>
          <w:i/>
        </w:rPr>
        <w:lastRenderedPageBreak/>
        <w:t xml:space="preserve">Table </w:t>
      </w:r>
      <w:r w:rsidR="00757860">
        <w:rPr>
          <w:b/>
          <w:i/>
        </w:rPr>
        <w:t>A4-</w:t>
      </w:r>
      <w:r>
        <w:rPr>
          <w:b/>
          <w:i/>
        </w:rPr>
        <w:t>2:</w:t>
      </w:r>
      <w:r w:rsidRPr="00D35EC5">
        <w:rPr>
          <w:b/>
          <w:i/>
        </w:rPr>
        <w:t xml:space="preserve"> </w:t>
      </w:r>
      <w:r>
        <w:rPr>
          <w:b/>
          <w:i/>
        </w:rPr>
        <w:t xml:space="preserve"> </w:t>
      </w:r>
      <w:r w:rsidRPr="00D35EC5">
        <w:rPr>
          <w:b/>
          <w:i/>
        </w:rPr>
        <w:t xml:space="preserve">Demand in tonnes for new manufacturing </w:t>
      </w:r>
      <w:r>
        <w:rPr>
          <w:b/>
          <w:i/>
        </w:rPr>
        <w:t xml:space="preserve">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rsidR="0034620F" w:rsidRDefault="00F712FD" w:rsidP="0034620F">
      <w:r w:rsidRPr="00903C3F">
        <w:rPr>
          <w:noProof/>
          <w:lang w:val="en-US" w:eastAsia="en-US"/>
        </w:rPr>
        <w:drawing>
          <wp:inline distT="0" distB="0" distL="0" distR="0">
            <wp:extent cx="5925820" cy="8229600"/>
            <wp:effectExtent l="0" t="0" r="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5820" cy="8229600"/>
                    </a:xfrm>
                    <a:prstGeom prst="rect">
                      <a:avLst/>
                    </a:prstGeom>
                    <a:noFill/>
                    <a:ln>
                      <a:noFill/>
                    </a:ln>
                  </pic:spPr>
                </pic:pic>
              </a:graphicData>
            </a:graphic>
          </wp:inline>
        </w:drawing>
      </w:r>
    </w:p>
    <w:p w:rsidR="0034620F" w:rsidRDefault="0034620F" w:rsidP="0034620F">
      <w:pPr>
        <w:rPr>
          <w:b/>
          <w:i/>
        </w:rPr>
      </w:pPr>
      <w:r>
        <w:rPr>
          <w:b/>
          <w:i/>
        </w:rPr>
        <w:br w:type="page"/>
      </w:r>
      <w:r w:rsidRPr="00D35EC5">
        <w:rPr>
          <w:b/>
          <w:i/>
        </w:rPr>
        <w:lastRenderedPageBreak/>
        <w:t xml:space="preserve">Table </w:t>
      </w:r>
      <w:r w:rsidR="00757860">
        <w:rPr>
          <w:b/>
          <w:i/>
        </w:rPr>
        <w:t>A4-</w:t>
      </w:r>
      <w:r>
        <w:rPr>
          <w:b/>
          <w:i/>
        </w:rPr>
        <w:t>3:</w:t>
      </w:r>
      <w:r w:rsidRPr="00D35EC5">
        <w:rPr>
          <w:b/>
          <w:i/>
        </w:rPr>
        <w:t xml:space="preserve"> </w:t>
      </w:r>
      <w:r>
        <w:rPr>
          <w:b/>
          <w:i/>
        </w:rPr>
        <w:t xml:space="preserve"> </w:t>
      </w:r>
      <w:r w:rsidRPr="00D35EC5">
        <w:rPr>
          <w:b/>
          <w:i/>
        </w:rPr>
        <w:t xml:space="preserve">Demand in tonnes for </w:t>
      </w:r>
      <w:r>
        <w:rPr>
          <w:b/>
          <w:i/>
        </w:rPr>
        <w:t xml:space="preserve">servicing 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rsidR="0034620F" w:rsidRDefault="00F712FD" w:rsidP="0034620F">
      <w:r w:rsidRPr="00903C3F">
        <w:rPr>
          <w:noProof/>
          <w:lang w:val="en-US" w:eastAsia="en-US"/>
        </w:rPr>
        <w:drawing>
          <wp:inline distT="0" distB="0" distL="0" distR="0">
            <wp:extent cx="5925820" cy="8194040"/>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25820" cy="8194040"/>
                    </a:xfrm>
                    <a:prstGeom prst="rect">
                      <a:avLst/>
                    </a:prstGeom>
                    <a:noFill/>
                    <a:ln>
                      <a:noFill/>
                    </a:ln>
                  </pic:spPr>
                </pic:pic>
              </a:graphicData>
            </a:graphic>
          </wp:inline>
        </w:drawing>
      </w:r>
    </w:p>
    <w:p w:rsidR="0034620F" w:rsidRDefault="0034620F" w:rsidP="0034620F"/>
    <w:p w:rsidR="0034620F" w:rsidRDefault="0034620F" w:rsidP="0034620F">
      <w:pPr>
        <w:spacing w:after="120"/>
        <w:rPr>
          <w:b/>
          <w:i/>
        </w:rPr>
      </w:pPr>
      <w:r w:rsidRPr="007D641B">
        <w:rPr>
          <w:b/>
          <w:i/>
        </w:rPr>
        <w:lastRenderedPageBreak/>
        <w:t xml:space="preserve">Table </w:t>
      </w:r>
      <w:r w:rsidR="00757860">
        <w:rPr>
          <w:b/>
          <w:i/>
        </w:rPr>
        <w:t>A4-</w:t>
      </w:r>
      <w:r w:rsidRPr="007D641B">
        <w:rPr>
          <w:b/>
          <w:i/>
        </w:rPr>
        <w:t xml:space="preserve">4:  Demand in </w:t>
      </w:r>
      <w:r w:rsidRPr="00211EDF">
        <w:rPr>
          <w:b/>
          <w:i/>
        </w:rPr>
        <w:t>ktonnes CO</w:t>
      </w:r>
      <w:r w:rsidRPr="00211EDF">
        <w:rPr>
          <w:rFonts w:ascii="Times New Roman Bold" w:hAnsi="Times New Roman Bold"/>
          <w:b/>
          <w:i/>
          <w:vertAlign w:val="subscript"/>
        </w:rPr>
        <w:t>2</w:t>
      </w:r>
      <w:r w:rsidRPr="00211EDF">
        <w:rPr>
          <w:b/>
          <w:i/>
        </w:rPr>
        <w:t>-eq.for</w:t>
      </w:r>
      <w:r w:rsidRPr="007D641B">
        <w:rPr>
          <w:b/>
          <w:i/>
        </w:rPr>
        <w:t xml:space="preserve"> new manufacturing plus servicing (total demand) for non-Article 5 Parties for the period 2010-20</w:t>
      </w:r>
      <w:r>
        <w:rPr>
          <w:b/>
          <w:i/>
        </w:rPr>
        <w:t>5</w:t>
      </w:r>
      <w:r w:rsidRPr="007D641B">
        <w:rPr>
          <w:b/>
          <w:i/>
        </w:rPr>
        <w:t>0 and for the six major sub-sectors for the BAU, MIT-3 and MIT-5 scenarios</w:t>
      </w:r>
    </w:p>
    <w:p w:rsidR="0034620F" w:rsidRPr="000C7F67" w:rsidRDefault="0034620F" w:rsidP="0034620F">
      <w:pPr>
        <w:spacing w:after="360"/>
        <w:ind w:left="-567"/>
      </w:pPr>
      <w:r>
        <w:rPr>
          <w:b/>
          <w:i/>
        </w:rPr>
        <w:t xml:space="preserve">         </w:t>
      </w:r>
      <w:r w:rsidRPr="0005316A">
        <w:rPr>
          <w:b/>
          <w:i/>
          <w:sz w:val="4"/>
          <w:szCs w:val="4"/>
        </w:rPr>
        <w:t xml:space="preserve">    </w:t>
      </w:r>
      <w:r w:rsidR="00F712FD" w:rsidRPr="00903C3F">
        <w:rPr>
          <w:noProof/>
          <w:lang w:val="en-US" w:eastAsia="en-US"/>
        </w:rPr>
        <w:drawing>
          <wp:inline distT="0" distB="0" distL="0" distR="0">
            <wp:extent cx="6230620" cy="7981315"/>
            <wp:effectExtent l="0" t="0" r="0" b="635"/>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30620" cy="7981315"/>
                    </a:xfrm>
                    <a:prstGeom prst="rect">
                      <a:avLst/>
                    </a:prstGeom>
                    <a:noFill/>
                    <a:ln>
                      <a:noFill/>
                    </a:ln>
                  </pic:spPr>
                </pic:pic>
              </a:graphicData>
            </a:graphic>
          </wp:inline>
        </w:drawing>
      </w:r>
    </w:p>
    <w:p w:rsidR="0034620F" w:rsidRDefault="0034620F" w:rsidP="0034620F">
      <w:pPr>
        <w:spacing w:after="120"/>
      </w:pPr>
      <w:r w:rsidRPr="00D35EC5">
        <w:rPr>
          <w:b/>
          <w:i/>
        </w:rPr>
        <w:lastRenderedPageBreak/>
        <w:t xml:space="preserve">Table </w:t>
      </w:r>
      <w:r w:rsidR="00757860">
        <w:rPr>
          <w:b/>
          <w:i/>
        </w:rPr>
        <w:t>A4-</w:t>
      </w:r>
      <w:r>
        <w:rPr>
          <w:b/>
          <w:i/>
        </w:rPr>
        <w:t>5</w:t>
      </w:r>
      <w:r w:rsidR="00146B22">
        <w:rPr>
          <w:b/>
          <w:i/>
        </w:rPr>
        <w:t>:</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 for new</w:t>
      </w:r>
      <w:r w:rsidRPr="00D35EC5">
        <w:rPr>
          <w:b/>
          <w:i/>
        </w:rPr>
        <w:t xml:space="preserve"> manufacturing </w:t>
      </w:r>
      <w:r>
        <w:rPr>
          <w:b/>
          <w:i/>
        </w:rPr>
        <w:t>only</w:t>
      </w:r>
      <w:r w:rsidRPr="00D35EC5">
        <w:rPr>
          <w:b/>
          <w:i/>
        </w:rPr>
        <w:t xml:space="preserve"> 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Pr="00274CAA" w:rsidRDefault="0034620F" w:rsidP="0034620F">
      <w:pPr>
        <w:rPr>
          <w:sz w:val="8"/>
          <w:szCs w:val="8"/>
        </w:rPr>
      </w:pPr>
    </w:p>
    <w:p w:rsidR="0034620F" w:rsidRPr="000C7F67" w:rsidRDefault="00F712FD" w:rsidP="0034620F">
      <w:r w:rsidRPr="00903C3F">
        <w:rPr>
          <w:noProof/>
          <w:lang w:val="en-US" w:eastAsia="en-US"/>
        </w:rPr>
        <w:drawing>
          <wp:inline distT="0" distB="0" distL="0" distR="0">
            <wp:extent cx="5890260" cy="8073390"/>
            <wp:effectExtent l="0" t="0" r="0" b="381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0260" cy="8073390"/>
                    </a:xfrm>
                    <a:prstGeom prst="rect">
                      <a:avLst/>
                    </a:prstGeom>
                    <a:noFill/>
                    <a:ln>
                      <a:noFill/>
                    </a:ln>
                  </pic:spPr>
                </pic:pic>
              </a:graphicData>
            </a:graphic>
          </wp:inline>
        </w:drawing>
      </w:r>
    </w:p>
    <w:p w:rsidR="0034620F" w:rsidRDefault="0034620F" w:rsidP="0034620F">
      <w:pPr>
        <w:spacing w:after="120"/>
      </w:pPr>
      <w:r>
        <w:rPr>
          <w:b/>
          <w:i/>
        </w:rPr>
        <w:br w:type="page"/>
      </w:r>
      <w:r w:rsidRPr="00D35EC5">
        <w:rPr>
          <w:b/>
          <w:i/>
        </w:rPr>
        <w:lastRenderedPageBreak/>
        <w:t xml:space="preserve">Table </w:t>
      </w:r>
      <w:r w:rsidR="00757860">
        <w:rPr>
          <w:b/>
          <w:i/>
        </w:rPr>
        <w:t>A4-</w:t>
      </w:r>
      <w:r>
        <w:rPr>
          <w:b/>
          <w:i/>
        </w:rPr>
        <w:t>6:</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i/>
        </w:rPr>
        <w:t xml:space="preserve"> </w:t>
      </w:r>
      <w:r w:rsidRPr="00D35EC5">
        <w:rPr>
          <w:b/>
          <w:i/>
        </w:rPr>
        <w:t xml:space="preserve">for servicing </w:t>
      </w:r>
      <w:r>
        <w:rPr>
          <w:b/>
          <w:i/>
        </w:rPr>
        <w:t xml:space="preserve">only </w:t>
      </w:r>
      <w:r w:rsidRPr="00D35EC5">
        <w:rPr>
          <w:b/>
          <w:i/>
        </w:rPr>
        <w:t xml:space="preserve">for non-Article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Default="00F712FD" w:rsidP="0034620F">
      <w:r w:rsidRPr="00903C3F">
        <w:rPr>
          <w:noProof/>
          <w:lang w:val="en-US" w:eastAsia="en-US"/>
        </w:rPr>
        <w:drawing>
          <wp:inline distT="0" distB="0" distL="0" distR="0">
            <wp:extent cx="5939790" cy="8286115"/>
            <wp:effectExtent l="0" t="0" r="3810" b="635"/>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8286115"/>
                    </a:xfrm>
                    <a:prstGeom prst="rect">
                      <a:avLst/>
                    </a:prstGeom>
                    <a:noFill/>
                    <a:ln>
                      <a:noFill/>
                    </a:ln>
                  </pic:spPr>
                </pic:pic>
              </a:graphicData>
            </a:graphic>
          </wp:inline>
        </w:drawing>
      </w:r>
    </w:p>
    <w:p w:rsidR="0034620F" w:rsidRDefault="0034620F" w:rsidP="0034620F">
      <w:pPr>
        <w:spacing w:after="120"/>
        <w:rPr>
          <w:b/>
          <w:i/>
        </w:rPr>
      </w:pPr>
      <w:r>
        <w:rPr>
          <w:b/>
          <w:i/>
        </w:rPr>
        <w:br w:type="page"/>
      </w:r>
      <w:r w:rsidRPr="00D35EC5">
        <w:rPr>
          <w:b/>
          <w:i/>
        </w:rPr>
        <w:lastRenderedPageBreak/>
        <w:t xml:space="preserve">Table </w:t>
      </w:r>
      <w:r w:rsidR="00757860">
        <w:rPr>
          <w:b/>
          <w:i/>
        </w:rPr>
        <w:t>A4-</w:t>
      </w:r>
      <w:r>
        <w:rPr>
          <w:b/>
          <w:i/>
        </w:rPr>
        <w:t>7:</w:t>
      </w:r>
      <w:r w:rsidRPr="00D35EC5">
        <w:rPr>
          <w:b/>
          <w:i/>
        </w:rPr>
        <w:t xml:space="preserve"> </w:t>
      </w:r>
      <w:r>
        <w:rPr>
          <w:b/>
          <w:i/>
        </w:rPr>
        <w:t xml:space="preserve"> </w:t>
      </w:r>
      <w:r w:rsidRPr="00D35EC5">
        <w:rPr>
          <w:b/>
          <w:i/>
        </w:rPr>
        <w:t xml:space="preserve">Demand in tonnes for </w:t>
      </w:r>
      <w:r>
        <w:rPr>
          <w:b/>
          <w:i/>
        </w:rPr>
        <w:t xml:space="preserve">servicing and </w:t>
      </w:r>
      <w:r w:rsidRPr="00D35EC5">
        <w:rPr>
          <w:b/>
          <w:i/>
        </w:rPr>
        <w:t xml:space="preserve">new manufacturing </w:t>
      </w:r>
      <w:r>
        <w:rPr>
          <w:b/>
          <w:i/>
        </w:rPr>
        <w:t xml:space="preserve">(total demand)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rsidR="0034620F" w:rsidRDefault="00F712FD" w:rsidP="0034620F">
      <w:r w:rsidRPr="00903C3F">
        <w:rPr>
          <w:noProof/>
          <w:lang w:val="en-US" w:eastAsia="en-US"/>
        </w:rPr>
        <w:drawing>
          <wp:inline distT="0" distB="0" distL="0" distR="0">
            <wp:extent cx="5883275" cy="8094980"/>
            <wp:effectExtent l="0" t="0" r="3175" b="127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83275" cy="8094980"/>
                    </a:xfrm>
                    <a:prstGeom prst="rect">
                      <a:avLst/>
                    </a:prstGeom>
                    <a:noFill/>
                    <a:ln>
                      <a:noFill/>
                    </a:ln>
                  </pic:spPr>
                </pic:pic>
              </a:graphicData>
            </a:graphic>
          </wp:inline>
        </w:drawing>
      </w:r>
    </w:p>
    <w:p w:rsidR="0034620F" w:rsidRDefault="0034620F" w:rsidP="0034620F"/>
    <w:p w:rsidR="0034620F" w:rsidRDefault="0034620F" w:rsidP="0034620F">
      <w:pPr>
        <w:spacing w:after="120"/>
        <w:rPr>
          <w:b/>
          <w:i/>
        </w:rPr>
      </w:pPr>
      <w:r w:rsidRPr="00D35EC5">
        <w:rPr>
          <w:b/>
          <w:i/>
        </w:rPr>
        <w:lastRenderedPageBreak/>
        <w:t xml:space="preserve">Table </w:t>
      </w:r>
      <w:r w:rsidR="00757860">
        <w:rPr>
          <w:b/>
          <w:i/>
        </w:rPr>
        <w:t>A4-</w:t>
      </w:r>
      <w:r>
        <w:rPr>
          <w:b/>
          <w:i/>
        </w:rPr>
        <w:t>8:</w:t>
      </w:r>
      <w:r w:rsidRPr="00D35EC5">
        <w:rPr>
          <w:b/>
          <w:i/>
        </w:rPr>
        <w:t xml:space="preserve"> </w:t>
      </w:r>
      <w:r>
        <w:rPr>
          <w:b/>
          <w:i/>
        </w:rPr>
        <w:t xml:space="preserve"> </w:t>
      </w:r>
      <w:r w:rsidRPr="00D35EC5">
        <w:rPr>
          <w:b/>
          <w:i/>
        </w:rPr>
        <w:t xml:space="preserve">Demand in tonnes for new manufacturing </w:t>
      </w:r>
      <w:r>
        <w:rPr>
          <w:b/>
          <w:i/>
        </w:rPr>
        <w:t xml:space="preserve">only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rsidR="0034620F" w:rsidRPr="000C7F67" w:rsidRDefault="00F712FD" w:rsidP="0034620F">
      <w:pPr>
        <w:spacing w:after="360"/>
      </w:pPr>
      <w:r w:rsidRPr="00903C3F">
        <w:rPr>
          <w:noProof/>
          <w:lang w:val="en-US" w:eastAsia="en-US"/>
        </w:rPr>
        <w:drawing>
          <wp:inline distT="0" distB="0" distL="0" distR="0">
            <wp:extent cx="5954395" cy="8166100"/>
            <wp:effectExtent l="0" t="0" r="8255" b="635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54395" cy="8166100"/>
                    </a:xfrm>
                    <a:prstGeom prst="rect">
                      <a:avLst/>
                    </a:prstGeom>
                    <a:noFill/>
                    <a:ln>
                      <a:noFill/>
                    </a:ln>
                  </pic:spPr>
                </pic:pic>
              </a:graphicData>
            </a:graphic>
          </wp:inline>
        </w:drawing>
      </w:r>
    </w:p>
    <w:p w:rsidR="0034620F" w:rsidRDefault="0034620F" w:rsidP="0034620F">
      <w:pPr>
        <w:rPr>
          <w:b/>
          <w:i/>
        </w:rPr>
      </w:pPr>
      <w:r>
        <w:rPr>
          <w:b/>
          <w:i/>
        </w:rPr>
        <w:br w:type="page"/>
      </w:r>
      <w:r w:rsidRPr="00D35EC5">
        <w:rPr>
          <w:b/>
          <w:i/>
        </w:rPr>
        <w:lastRenderedPageBreak/>
        <w:t>Table</w:t>
      </w:r>
      <w:r>
        <w:rPr>
          <w:b/>
          <w:i/>
        </w:rPr>
        <w:t>:</w:t>
      </w:r>
      <w:r w:rsidRPr="00D35EC5">
        <w:rPr>
          <w:b/>
          <w:i/>
        </w:rPr>
        <w:t xml:space="preserve"> </w:t>
      </w:r>
      <w:r w:rsidR="00757860">
        <w:rPr>
          <w:b/>
          <w:i/>
        </w:rPr>
        <w:t>A4-</w:t>
      </w:r>
      <w:r>
        <w:rPr>
          <w:b/>
          <w:i/>
        </w:rPr>
        <w:t>9</w:t>
      </w:r>
      <w:r w:rsidRPr="00D35EC5">
        <w:rPr>
          <w:b/>
          <w:i/>
        </w:rPr>
        <w:t xml:space="preserve"> </w:t>
      </w:r>
      <w:r>
        <w:rPr>
          <w:b/>
          <w:i/>
        </w:rPr>
        <w:t xml:space="preserve"> </w:t>
      </w:r>
      <w:r w:rsidRPr="00D35EC5">
        <w:rPr>
          <w:b/>
          <w:i/>
        </w:rPr>
        <w:t xml:space="preserve">Demand in tonnes for </w:t>
      </w:r>
      <w:r>
        <w:rPr>
          <w:b/>
          <w:i/>
        </w:rPr>
        <w:t xml:space="preserve">servicing only </w:t>
      </w:r>
      <w:r w:rsidRPr="00D35EC5">
        <w:rPr>
          <w:b/>
          <w:i/>
        </w:rPr>
        <w:t xml:space="preserve">for Article </w:t>
      </w:r>
      <w:r>
        <w:rPr>
          <w:b/>
          <w:i/>
        </w:rPr>
        <w:t>5 Parties</w:t>
      </w:r>
      <w:r w:rsidRPr="00D35EC5">
        <w:rPr>
          <w:b/>
          <w:i/>
        </w:rPr>
        <w:t xml:space="preserve"> for the period 2010-20</w:t>
      </w:r>
      <w:r>
        <w:rPr>
          <w:b/>
          <w:i/>
        </w:rPr>
        <w:t>5</w:t>
      </w:r>
      <w:r w:rsidRPr="00D35EC5">
        <w:rPr>
          <w:b/>
          <w:i/>
        </w:rPr>
        <w:t xml:space="preserve">0 for the six major sub-sectors </w:t>
      </w:r>
      <w:r>
        <w:rPr>
          <w:b/>
          <w:i/>
        </w:rPr>
        <w:t>and for the BAU, MIT-3 and MIT-5 scenarios</w:t>
      </w:r>
    </w:p>
    <w:p w:rsidR="0034620F" w:rsidRPr="00DB74AB" w:rsidRDefault="0034620F" w:rsidP="0034620F">
      <w:pPr>
        <w:rPr>
          <w:b/>
          <w:i/>
          <w:sz w:val="12"/>
          <w:szCs w:val="12"/>
        </w:rPr>
      </w:pPr>
    </w:p>
    <w:p w:rsidR="0034620F" w:rsidRPr="000C7F67" w:rsidRDefault="00F712FD" w:rsidP="0034620F">
      <w:r w:rsidRPr="00903C3F">
        <w:rPr>
          <w:noProof/>
          <w:lang w:val="en-US" w:eastAsia="en-US"/>
        </w:rPr>
        <w:drawing>
          <wp:inline distT="0" distB="0" distL="0" distR="0">
            <wp:extent cx="5869305" cy="8094980"/>
            <wp:effectExtent l="0" t="0" r="0" b="127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69305" cy="8094980"/>
                    </a:xfrm>
                    <a:prstGeom prst="rect">
                      <a:avLst/>
                    </a:prstGeom>
                    <a:noFill/>
                    <a:ln>
                      <a:noFill/>
                    </a:ln>
                  </pic:spPr>
                </pic:pic>
              </a:graphicData>
            </a:graphic>
          </wp:inline>
        </w:drawing>
      </w:r>
    </w:p>
    <w:p w:rsidR="0034620F" w:rsidRDefault="0034620F" w:rsidP="0034620F">
      <w:pPr>
        <w:rPr>
          <w:b/>
          <w:i/>
        </w:rPr>
      </w:pPr>
      <w:r>
        <w:rPr>
          <w:b/>
          <w:i/>
        </w:rPr>
        <w:br w:type="page"/>
      </w:r>
    </w:p>
    <w:p w:rsidR="0034620F" w:rsidRDefault="0034620F" w:rsidP="0034620F">
      <w:pPr>
        <w:spacing w:after="120"/>
        <w:rPr>
          <w:b/>
          <w:i/>
        </w:rPr>
      </w:pPr>
      <w:r w:rsidRPr="00D35EC5">
        <w:rPr>
          <w:b/>
          <w:i/>
        </w:rPr>
        <w:lastRenderedPageBreak/>
        <w:t xml:space="preserve">Table </w:t>
      </w:r>
      <w:r w:rsidR="00757860">
        <w:rPr>
          <w:b/>
          <w:i/>
        </w:rPr>
        <w:t>A4-</w:t>
      </w:r>
      <w:r>
        <w:rPr>
          <w:b/>
          <w:i/>
        </w:rPr>
        <w:t>10:</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new manufacturing plus servicing (total demand) for Article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Pr="000C7F67" w:rsidRDefault="00F712FD" w:rsidP="0034620F">
      <w:r w:rsidRPr="00903C3F">
        <w:rPr>
          <w:noProof/>
          <w:lang w:val="en-US" w:eastAsia="en-US"/>
        </w:rPr>
        <w:drawing>
          <wp:inline distT="0" distB="0" distL="0" distR="0">
            <wp:extent cx="5897245" cy="7924800"/>
            <wp:effectExtent l="0" t="0" r="8255"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97245" cy="7924800"/>
                    </a:xfrm>
                    <a:prstGeom prst="rect">
                      <a:avLst/>
                    </a:prstGeom>
                    <a:noFill/>
                    <a:ln>
                      <a:noFill/>
                    </a:ln>
                  </pic:spPr>
                </pic:pic>
              </a:graphicData>
            </a:graphic>
          </wp:inline>
        </w:drawing>
      </w:r>
    </w:p>
    <w:p w:rsidR="0034620F" w:rsidRDefault="0034620F" w:rsidP="0034620F"/>
    <w:p w:rsidR="0034620F" w:rsidRDefault="0034620F" w:rsidP="0034620F">
      <w:pPr>
        <w:rPr>
          <w:b/>
          <w:i/>
        </w:rPr>
      </w:pPr>
      <w:r>
        <w:rPr>
          <w:b/>
          <w:i/>
        </w:rPr>
        <w:br w:type="page"/>
      </w:r>
    </w:p>
    <w:p w:rsidR="0034620F" w:rsidRDefault="0034620F" w:rsidP="0034620F">
      <w:pPr>
        <w:spacing w:after="120"/>
        <w:rPr>
          <w:b/>
          <w:i/>
        </w:rPr>
      </w:pPr>
      <w:r w:rsidRPr="00D35EC5">
        <w:rPr>
          <w:b/>
          <w:i/>
        </w:rPr>
        <w:lastRenderedPageBreak/>
        <w:t xml:space="preserve">Table </w:t>
      </w:r>
      <w:r w:rsidR="00757860">
        <w:rPr>
          <w:b/>
          <w:i/>
        </w:rPr>
        <w:t>A4-</w:t>
      </w:r>
      <w:r>
        <w:rPr>
          <w:b/>
          <w:i/>
        </w:rPr>
        <w:t>11:</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new manufacturing </w:t>
      </w:r>
      <w:r>
        <w:rPr>
          <w:b/>
          <w:i/>
        </w:rPr>
        <w:t>only for A</w:t>
      </w:r>
      <w:r w:rsidRPr="00D35EC5">
        <w:rPr>
          <w:b/>
          <w:i/>
        </w:rPr>
        <w:t xml:space="preserve">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Pr="000C7F67" w:rsidRDefault="00F712FD" w:rsidP="0034620F">
      <w:r w:rsidRPr="00903C3F">
        <w:rPr>
          <w:noProof/>
          <w:lang w:val="en-US" w:eastAsia="en-US"/>
        </w:rPr>
        <w:drawing>
          <wp:inline distT="0" distB="0" distL="0" distR="0">
            <wp:extent cx="5883275" cy="8101965"/>
            <wp:effectExtent l="0" t="0" r="317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3275" cy="8101965"/>
                    </a:xfrm>
                    <a:prstGeom prst="rect">
                      <a:avLst/>
                    </a:prstGeom>
                    <a:noFill/>
                    <a:ln>
                      <a:noFill/>
                    </a:ln>
                  </pic:spPr>
                </pic:pic>
              </a:graphicData>
            </a:graphic>
          </wp:inline>
        </w:drawing>
      </w:r>
    </w:p>
    <w:p w:rsidR="0034620F" w:rsidRDefault="0034620F" w:rsidP="0034620F">
      <w:pPr>
        <w:spacing w:after="120"/>
        <w:rPr>
          <w:b/>
          <w:i/>
        </w:rPr>
      </w:pPr>
      <w:r>
        <w:rPr>
          <w:b/>
          <w:i/>
        </w:rPr>
        <w:br w:type="page"/>
      </w:r>
      <w:r w:rsidRPr="00D35EC5">
        <w:rPr>
          <w:b/>
          <w:i/>
        </w:rPr>
        <w:lastRenderedPageBreak/>
        <w:t xml:space="preserve">Table </w:t>
      </w:r>
      <w:r w:rsidR="00757860">
        <w:rPr>
          <w:b/>
          <w:i/>
        </w:rPr>
        <w:t>A4-</w:t>
      </w:r>
      <w:r>
        <w:rPr>
          <w:b/>
          <w:i/>
        </w:rPr>
        <w:t>12:</w:t>
      </w:r>
      <w:r w:rsidRPr="00D35EC5">
        <w:rPr>
          <w:b/>
          <w:i/>
        </w:rPr>
        <w:t xml:space="preserve"> </w:t>
      </w:r>
      <w:r>
        <w:rPr>
          <w:b/>
          <w:i/>
        </w:rPr>
        <w:t xml:space="preserve"> </w:t>
      </w:r>
      <w:r w:rsidRPr="00D35EC5">
        <w:rPr>
          <w:b/>
          <w:i/>
        </w:rPr>
        <w:t xml:space="preserve">Demand in </w:t>
      </w:r>
      <w:r>
        <w:rPr>
          <w:b/>
          <w:i/>
        </w:rPr>
        <w:t>k</w:t>
      </w:r>
      <w:r w:rsidRPr="00D35EC5">
        <w:rPr>
          <w:b/>
          <w:i/>
        </w:rPr>
        <w:t xml:space="preserve">tonnes </w:t>
      </w:r>
      <w:r w:rsidRPr="00211EDF">
        <w:rPr>
          <w:b/>
          <w:i/>
        </w:rPr>
        <w:t>CO</w:t>
      </w:r>
      <w:r w:rsidRPr="00211EDF">
        <w:rPr>
          <w:rFonts w:ascii="Times New Roman Bold" w:hAnsi="Times New Roman Bold"/>
          <w:b/>
          <w:i/>
          <w:vertAlign w:val="subscript"/>
        </w:rPr>
        <w:t>2</w:t>
      </w:r>
      <w:r w:rsidRPr="00211EDF">
        <w:rPr>
          <w:b/>
          <w:i/>
        </w:rPr>
        <w:t>-eq.</w:t>
      </w:r>
      <w:r>
        <w:rPr>
          <w:b/>
          <w:i/>
        </w:rPr>
        <w:t xml:space="preserve"> </w:t>
      </w:r>
      <w:r w:rsidRPr="00D35EC5">
        <w:rPr>
          <w:b/>
          <w:i/>
        </w:rPr>
        <w:t xml:space="preserve">for servicing </w:t>
      </w:r>
      <w:r>
        <w:rPr>
          <w:b/>
          <w:i/>
        </w:rPr>
        <w:t xml:space="preserve">only </w:t>
      </w:r>
      <w:r w:rsidRPr="00D35EC5">
        <w:rPr>
          <w:b/>
          <w:i/>
        </w:rPr>
        <w:t xml:space="preserve">for </w:t>
      </w:r>
      <w:r>
        <w:rPr>
          <w:b/>
          <w:i/>
        </w:rPr>
        <w:t>A</w:t>
      </w:r>
      <w:r w:rsidRPr="00D35EC5">
        <w:rPr>
          <w:b/>
          <w:i/>
        </w:rPr>
        <w:t xml:space="preserve">rticle </w:t>
      </w:r>
      <w:r>
        <w:rPr>
          <w:b/>
          <w:i/>
        </w:rPr>
        <w:t>5 Parties</w:t>
      </w:r>
      <w:r w:rsidRPr="00D35EC5">
        <w:rPr>
          <w:b/>
          <w:i/>
        </w:rPr>
        <w:t xml:space="preserve"> for the period 2010-20</w:t>
      </w:r>
      <w:r>
        <w:rPr>
          <w:b/>
          <w:i/>
        </w:rPr>
        <w:t>5</w:t>
      </w:r>
      <w:r w:rsidRPr="00D35EC5">
        <w:rPr>
          <w:b/>
          <w:i/>
        </w:rPr>
        <w:t xml:space="preserve">0 </w:t>
      </w:r>
      <w:r>
        <w:rPr>
          <w:b/>
          <w:i/>
        </w:rPr>
        <w:t xml:space="preserve">and </w:t>
      </w:r>
      <w:r w:rsidRPr="00D35EC5">
        <w:rPr>
          <w:b/>
          <w:i/>
        </w:rPr>
        <w:t xml:space="preserve">for the six major sub-sectors </w:t>
      </w:r>
      <w:r>
        <w:rPr>
          <w:b/>
          <w:i/>
        </w:rPr>
        <w:t>for the BAU, MIT-3 and MIT-5 scenarios</w:t>
      </w:r>
    </w:p>
    <w:p w:rsidR="0034620F" w:rsidRPr="000C7F67" w:rsidRDefault="00F712FD" w:rsidP="0034620F">
      <w:r w:rsidRPr="00903C3F">
        <w:rPr>
          <w:noProof/>
          <w:lang w:val="en-US" w:eastAsia="en-US"/>
        </w:rPr>
        <w:drawing>
          <wp:inline distT="0" distB="0" distL="0" distR="0">
            <wp:extent cx="5890260" cy="8052435"/>
            <wp:effectExtent l="0" t="0" r="0" b="571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90260" cy="8052435"/>
                    </a:xfrm>
                    <a:prstGeom prst="rect">
                      <a:avLst/>
                    </a:prstGeom>
                    <a:noFill/>
                    <a:ln>
                      <a:noFill/>
                    </a:ln>
                  </pic:spPr>
                </pic:pic>
              </a:graphicData>
            </a:graphic>
          </wp:inline>
        </w:drawing>
      </w:r>
    </w:p>
    <w:p w:rsidR="0034620F" w:rsidRDefault="0034620F" w:rsidP="0034620F"/>
    <w:sectPr w:rsidR="0034620F" w:rsidSect="00EF4095">
      <w:footerReference w:type="default" r:id="rId101"/>
      <w:type w:val="oddPage"/>
      <w:pgSz w:w="11907" w:h="16839"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DC0" w:rsidRDefault="00274DC0">
      <w:r>
        <w:separator/>
      </w:r>
    </w:p>
  </w:endnote>
  <w:endnote w:type="continuationSeparator" w:id="0">
    <w:p w:rsidR="00274DC0" w:rsidRDefault="0027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0000000" w:usb2="00000000" w:usb3="00000000" w:csb0="00000000" w:csb1="00000000"/>
  </w:font>
  <w:font w:name="MS ????">
    <w:altName w:val="MS Mincho"/>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hicago">
    <w:altName w:val="Arial"/>
    <w:charset w:val="00"/>
    <w:family w:val="auto"/>
    <w:pitch w:val="variable"/>
    <w:sig w:usb0="03000000"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Roman">
    <w:altName w:val="Times New Roman"/>
    <w:panose1 w:val="00000000000000000000"/>
    <w:charset w:val="FF"/>
    <w:family w:val="roman"/>
    <w:notTrueType/>
    <w:pitch w:val="variable"/>
    <w:sig w:usb0="00000003" w:usb1="00000000" w:usb2="00000000" w:usb3="00000000" w:csb0="00000000" w:csb1="00000000"/>
  </w:font>
  <w:font w:name="Futura">
    <w:charset w:val="00"/>
    <w:family w:val="auto"/>
    <w:pitch w:val="variable"/>
    <w:sig w:usb0="80000067" w:usb1="00000000" w:usb2="00000000" w:usb3="00000000" w:csb0="000001FB" w:csb1="00000000"/>
  </w:font>
  <w:font w:name="Galliard">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FrutigerLTStd-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charset w:val="00"/>
    <w:family w:val="roman"/>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FrutigerLTStd-Roman">
    <w:altName w:val="MS Gothic"/>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tabs>
        <w:tab w:val="left" w:pos="2880"/>
        <w:tab w:val="right" w:pos="9000"/>
      </w:tabs>
      <w:spacing w:line="240" w:lineRule="atLeast"/>
      <w:ind w:right="360"/>
      <w:jc w:val="center"/>
      <w:rPr>
        <w:b/>
        <w:sz w:val="18"/>
      </w:rPr>
    </w:pPr>
    <w:r>
      <w:fldChar w:fldCharType="begin"/>
    </w:r>
    <w:r>
      <w:instrText xml:space="preserve"> PAGE   \* MERGEFORMAT </w:instrText>
    </w:r>
    <w:r>
      <w:fldChar w:fldCharType="separate"/>
    </w:r>
    <w:r w:rsidR="00C006A4">
      <w:rPr>
        <w:noProof/>
      </w:rPr>
      <w:t>x</w:t>
    </w:r>
    <w:r>
      <w:rPr>
        <w:noProof/>
      </w:rPr>
      <w:fldChar w:fldCharType="end"/>
    </w:r>
    <w:r>
      <w:rPr>
        <w:noProof/>
      </w:rPr>
      <w:tab/>
    </w:r>
    <w:r>
      <w:rPr>
        <w:b/>
        <w:sz w:val="20"/>
        <w:szCs w:val="20"/>
      </w:rPr>
      <w:t xml:space="preserve">June 2016 </w:t>
    </w:r>
    <w:r w:rsidRPr="00573112">
      <w:rPr>
        <w:b/>
        <w:sz w:val="20"/>
        <w:szCs w:val="20"/>
      </w:rPr>
      <w:t>TEAP</w:t>
    </w:r>
    <w:r>
      <w:rPr>
        <w:b/>
        <w:sz w:val="18"/>
      </w:rPr>
      <w:t xml:space="preserve"> XXVII/4 Task Force Report</w:t>
    </w:r>
    <w:r>
      <w:rPr>
        <w:b/>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121</w:t>
    </w:r>
    <w:r>
      <w:rPr>
        <w:rStyle w:val="PageNumber"/>
      </w:rPr>
      <w:fldChar w:fldCharType="end"/>
    </w:r>
  </w:p>
  <w:p w:rsidR="00894C72" w:rsidRDefault="00894C72" w:rsidP="00AB35FC">
    <w:pPr>
      <w:pStyle w:val="Footer"/>
      <w:tabs>
        <w:tab w:val="clear" w:pos="4320"/>
        <w:tab w:val="center" w:pos="6480"/>
      </w:tabs>
      <w:ind w:right="360"/>
    </w:pPr>
    <w:r>
      <w:tab/>
    </w:r>
    <w:r>
      <w:rPr>
        <w:b/>
        <w:noProof/>
        <w:sz w:val="20"/>
        <w:szCs w:val="20"/>
      </w:rPr>
      <w:t xml:space="preserve">June 2016 </w:t>
    </w:r>
    <w:r w:rsidRPr="002D67AE">
      <w:rPr>
        <w:b/>
        <w:sz w:val="20"/>
        <w:szCs w:val="20"/>
      </w:rPr>
      <w:t>TEAP XXVI</w:t>
    </w:r>
    <w:r>
      <w:rPr>
        <w:b/>
        <w:sz w:val="20"/>
        <w:szCs w:val="20"/>
      </w:rPr>
      <w:t>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123</w:t>
    </w:r>
    <w:r>
      <w:rPr>
        <w:rStyle w:val="PageNumber"/>
      </w:rPr>
      <w:fldChar w:fldCharType="end"/>
    </w:r>
  </w:p>
  <w:p w:rsidR="00894C72" w:rsidRDefault="00894C72" w:rsidP="001744D2">
    <w:pPr>
      <w:pStyle w:val="Footer"/>
      <w:ind w:right="360"/>
    </w:pPr>
    <w:r>
      <w:tab/>
    </w:r>
    <w:r>
      <w:rPr>
        <w:b/>
        <w:noProof/>
        <w:sz w:val="20"/>
        <w:szCs w:val="20"/>
      </w:rPr>
      <w:t xml:space="preserve">June 2016 </w:t>
    </w:r>
    <w:r w:rsidRPr="002D67AE">
      <w:rPr>
        <w:b/>
        <w:sz w:val="20"/>
        <w:szCs w:val="20"/>
      </w:rPr>
      <w:t>TEAP XXVI</w:t>
    </w:r>
    <w:r>
      <w:rPr>
        <w:b/>
        <w:sz w:val="20"/>
        <w:szCs w:val="20"/>
      </w:rPr>
      <w:t>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ix</w:t>
    </w:r>
    <w:r>
      <w:rPr>
        <w:rStyle w:val="PageNumber"/>
      </w:rPr>
      <w:fldChar w:fldCharType="end"/>
    </w:r>
    <w:bookmarkStart w:id="0" w:name="_Toc323309333"/>
  </w:p>
  <w:bookmarkEnd w:id="0"/>
  <w:p w:rsidR="00894C72" w:rsidRDefault="00894C72" w:rsidP="00DB2797">
    <w:pPr>
      <w:spacing w:line="240" w:lineRule="atLeast"/>
      <w:ind w:right="360" w:firstLine="360"/>
      <w:jc w:val="center"/>
      <w:rPr>
        <w:b/>
        <w:sz w:val="18"/>
      </w:rPr>
    </w:pPr>
    <w:r>
      <w:rPr>
        <w:b/>
        <w:sz w:val="18"/>
      </w:rPr>
      <w:t>June 2016 TEAP XXVII/4 Task Force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Footer"/>
      <w:tabs>
        <w:tab w:val="clear" w:pos="8640"/>
        <w:tab w:val="right" w:pos="8280"/>
      </w:tabs>
    </w:pPr>
    <w:r>
      <w:rPr>
        <w:b/>
        <w:sz w:val="18"/>
      </w:rPr>
      <w:tab/>
      <w:t>May 2012 TEAP XXIII/9 Task Force Report</w:t>
    </w:r>
    <w:r>
      <w:rPr>
        <w:b/>
        <w:sz w:val="18"/>
      </w:rPr>
      <w:tab/>
    </w:r>
    <w:r>
      <w:rPr>
        <w:b/>
        <w:sz w:val="18"/>
      </w:rPr>
      <w:fldChar w:fldCharType="begin"/>
    </w:r>
    <w:r>
      <w:rPr>
        <w:b/>
        <w:sz w:val="18"/>
      </w:rPr>
      <w:instrText xml:space="preserve"> PAGE   \* MERGEFORMAT </w:instrText>
    </w:r>
    <w:r>
      <w:rPr>
        <w:b/>
        <w:sz w:val="18"/>
      </w:rPr>
      <w:fldChar w:fldCharType="separate"/>
    </w:r>
    <w:r>
      <w:rPr>
        <w:b/>
        <w:noProof/>
        <w:sz w:val="18"/>
      </w:rPr>
      <w:t>viii</w:t>
    </w:r>
    <w:r>
      <w:rPr>
        <w:b/>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Footer"/>
      <w:tabs>
        <w:tab w:val="clear" w:pos="8640"/>
        <w:tab w:val="right" w:pos="8280"/>
      </w:tabs>
    </w:pPr>
    <w:r>
      <w:rPr>
        <w:b/>
        <w:sz w:val="18"/>
      </w:rPr>
      <w:tab/>
      <w:t>May 2012 TEAP XXIII/9 Task Force Report</w:t>
    </w:r>
    <w:r>
      <w:rPr>
        <w:b/>
        <w:sz w:val="18"/>
      </w:rPr>
      <w:tab/>
    </w:r>
    <w:r>
      <w:rPr>
        <w:b/>
        <w:sz w:val="18"/>
      </w:rPr>
      <w:fldChar w:fldCharType="begin"/>
    </w:r>
    <w:r>
      <w:rPr>
        <w:b/>
        <w:sz w:val="18"/>
      </w:rPr>
      <w:instrText xml:space="preserve"> PAGE   \* MERGEFORMAT </w:instrText>
    </w:r>
    <w:r>
      <w:rPr>
        <w:b/>
        <w:sz w:val="18"/>
      </w:rPr>
      <w:fldChar w:fldCharType="separate"/>
    </w:r>
    <w:r>
      <w:rPr>
        <w:b/>
        <w:noProof/>
        <w:sz w:val="18"/>
      </w:rPr>
      <w:t>viii</w:t>
    </w:r>
    <w:r>
      <w:rPr>
        <w:b/>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C3393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90</w:t>
    </w:r>
    <w:r>
      <w:rPr>
        <w:rStyle w:val="PageNumber"/>
      </w:rPr>
      <w:fldChar w:fldCharType="end"/>
    </w:r>
  </w:p>
  <w:p w:rsidR="00894C72" w:rsidRDefault="00894C72" w:rsidP="004A1544">
    <w:pPr>
      <w:tabs>
        <w:tab w:val="center" w:pos="4320"/>
      </w:tabs>
      <w:spacing w:line="240" w:lineRule="atLeast"/>
      <w:ind w:right="360" w:firstLine="360"/>
      <w:rPr>
        <w:b/>
        <w:sz w:val="18"/>
      </w:rPr>
    </w:pPr>
    <w:r>
      <w:rPr>
        <w:noProof/>
      </w:rPr>
      <w:tab/>
    </w:r>
    <w:r>
      <w:rPr>
        <w:b/>
        <w:noProof/>
        <w:sz w:val="18"/>
        <w:szCs w:val="18"/>
      </w:rPr>
      <w:t>June</w:t>
    </w:r>
    <w:r w:rsidRPr="00BE4407">
      <w:rPr>
        <w:b/>
        <w:noProof/>
        <w:sz w:val="18"/>
        <w:szCs w:val="18"/>
      </w:rPr>
      <w:t xml:space="preserve"> </w:t>
    </w:r>
    <w:r w:rsidRPr="00BE4407">
      <w:rPr>
        <w:b/>
        <w:sz w:val="18"/>
        <w:szCs w:val="18"/>
      </w:rPr>
      <w:t>201</w:t>
    </w:r>
    <w:r>
      <w:rPr>
        <w:b/>
        <w:sz w:val="18"/>
        <w:szCs w:val="18"/>
      </w:rPr>
      <w:t>6</w:t>
    </w:r>
    <w:r w:rsidRPr="00BE4407">
      <w:rPr>
        <w:b/>
        <w:sz w:val="18"/>
        <w:szCs w:val="18"/>
      </w:rPr>
      <w:t xml:space="preserve"> TEAP XXVII/4 Task Force Report</w:t>
    </w:r>
    <w:r w:rsidRPr="00BE4407">
      <w:rPr>
        <w:b/>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407A81">
    <w:pPr>
      <w:pStyle w:val="Footer"/>
      <w:framePr w:wrap="around" w:vAnchor="text" w:hAnchor="margin" w:xAlign="outside" w:y="1"/>
      <w:ind w:left="72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91</w:t>
    </w:r>
    <w:r>
      <w:rPr>
        <w:rStyle w:val="PageNumber"/>
      </w:rPr>
      <w:fldChar w:fldCharType="end"/>
    </w:r>
  </w:p>
  <w:p w:rsidR="00894C72" w:rsidRPr="00F770AA" w:rsidRDefault="00894C72" w:rsidP="004A1544">
    <w:pPr>
      <w:pStyle w:val="Footer"/>
      <w:ind w:left="90" w:right="360" w:firstLine="360"/>
      <w:jc w:val="center"/>
      <w:rPr>
        <w:sz w:val="18"/>
        <w:szCs w:val="18"/>
      </w:rPr>
    </w:pPr>
    <w:r>
      <w:rPr>
        <w:b/>
        <w:noProof/>
        <w:sz w:val="18"/>
        <w:szCs w:val="18"/>
      </w:rPr>
      <w:t>June</w:t>
    </w:r>
    <w:r w:rsidRPr="00F770AA">
      <w:rPr>
        <w:b/>
        <w:noProof/>
        <w:sz w:val="18"/>
        <w:szCs w:val="18"/>
      </w:rPr>
      <w:t xml:space="preserve"> </w:t>
    </w:r>
    <w:r>
      <w:rPr>
        <w:b/>
        <w:sz w:val="18"/>
        <w:szCs w:val="18"/>
      </w:rPr>
      <w:t xml:space="preserve">2016 TEAP XXVII/4 Task Force </w:t>
    </w:r>
    <w:r w:rsidRPr="00F770AA">
      <w:rPr>
        <w:b/>
        <w:sz w:val="18"/>
        <w:szCs w:val="18"/>
      </w:rPr>
      <w:t>Report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7A3840">
    <w:pPr>
      <w:suppressLineNumbers/>
      <w:tabs>
        <w:tab w:val="center" w:pos="4320"/>
      </w:tabs>
      <w:spacing w:line="240" w:lineRule="atLeast"/>
      <w:ind w:right="360"/>
      <w:rPr>
        <w:b/>
        <w:sz w:val="18"/>
      </w:rPr>
    </w:pPr>
    <w:r>
      <w:fldChar w:fldCharType="begin"/>
    </w:r>
    <w:r>
      <w:instrText xml:space="preserve"> PAGE   \* MERGEFORMAT </w:instrText>
    </w:r>
    <w:r>
      <w:fldChar w:fldCharType="separate"/>
    </w:r>
    <w:r w:rsidR="00C006A4">
      <w:rPr>
        <w:noProof/>
      </w:rPr>
      <w:t>114</w:t>
    </w:r>
    <w:r>
      <w:rPr>
        <w:noProof/>
      </w:rPr>
      <w:fldChar w:fldCharType="end"/>
    </w:r>
    <w:r>
      <w:rPr>
        <w:noProof/>
      </w:rPr>
      <w:tab/>
    </w:r>
    <w:r>
      <w:rPr>
        <w:b/>
        <w:noProof/>
        <w:sz w:val="20"/>
        <w:szCs w:val="20"/>
      </w:rPr>
      <w:t xml:space="preserve">June 2016 </w:t>
    </w:r>
    <w:r w:rsidRPr="002D67AE">
      <w:rPr>
        <w:b/>
        <w:sz w:val="20"/>
        <w:szCs w:val="20"/>
      </w:rPr>
      <w:t>T</w:t>
    </w:r>
    <w:r>
      <w:rPr>
        <w:b/>
        <w:sz w:val="18"/>
      </w:rPr>
      <w:t>EAP XXVII/4 Task Force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174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06A4">
      <w:rPr>
        <w:rStyle w:val="PageNumber"/>
        <w:noProof/>
      </w:rPr>
      <w:t>115</w:t>
    </w:r>
    <w:r>
      <w:rPr>
        <w:rStyle w:val="PageNumber"/>
      </w:rPr>
      <w:fldChar w:fldCharType="end"/>
    </w:r>
  </w:p>
  <w:p w:rsidR="00894C72" w:rsidRDefault="00894C72" w:rsidP="001744D2">
    <w:pPr>
      <w:pStyle w:val="Footer"/>
      <w:ind w:right="360"/>
    </w:pPr>
    <w:r>
      <w:tab/>
    </w:r>
    <w:r>
      <w:rPr>
        <w:b/>
        <w:noProof/>
        <w:sz w:val="20"/>
        <w:szCs w:val="20"/>
      </w:rPr>
      <w:t xml:space="preserve">June 2016 </w:t>
    </w:r>
    <w:r w:rsidRPr="002D67AE">
      <w:rPr>
        <w:b/>
        <w:sz w:val="20"/>
        <w:szCs w:val="20"/>
      </w:rPr>
      <w:t>TEAP XXVI</w:t>
    </w:r>
    <w:r>
      <w:rPr>
        <w:b/>
        <w:sz w:val="20"/>
        <w:szCs w:val="20"/>
      </w:rPr>
      <w:t>I</w:t>
    </w:r>
    <w:r w:rsidRPr="002D67AE">
      <w:rPr>
        <w:b/>
        <w:sz w:val="20"/>
        <w:szCs w:val="20"/>
      </w:rPr>
      <w:t>/</w:t>
    </w:r>
    <w:r>
      <w:rPr>
        <w:b/>
        <w:sz w:val="20"/>
        <w:szCs w:val="20"/>
      </w:rPr>
      <w:t>4</w:t>
    </w:r>
    <w:r w:rsidRPr="002D67AE">
      <w:rPr>
        <w:b/>
        <w:sz w:val="20"/>
        <w:szCs w:val="20"/>
      </w:rPr>
      <w:t xml:space="preserve"> Task</w:t>
    </w:r>
    <w:r>
      <w:rPr>
        <w:b/>
        <w:sz w:val="18"/>
      </w:rPr>
      <w:t xml:space="preserve"> Force Report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rsidP="00AB35FC">
    <w:pPr>
      <w:suppressLineNumbers/>
      <w:tabs>
        <w:tab w:val="center" w:pos="6480"/>
      </w:tabs>
      <w:spacing w:line="240" w:lineRule="atLeast"/>
      <w:ind w:right="360"/>
      <w:rPr>
        <w:b/>
        <w:sz w:val="18"/>
      </w:rPr>
    </w:pPr>
    <w:r>
      <w:fldChar w:fldCharType="begin"/>
    </w:r>
    <w:r>
      <w:instrText xml:space="preserve"> PAGE   \* MERGEFORMAT </w:instrText>
    </w:r>
    <w:r>
      <w:fldChar w:fldCharType="separate"/>
    </w:r>
    <w:r w:rsidR="00C006A4">
      <w:rPr>
        <w:noProof/>
      </w:rPr>
      <w:t>134</w:t>
    </w:r>
    <w:r>
      <w:rPr>
        <w:noProof/>
      </w:rPr>
      <w:fldChar w:fldCharType="end"/>
    </w:r>
    <w:r>
      <w:rPr>
        <w:noProof/>
      </w:rPr>
      <w:tab/>
    </w:r>
    <w:r>
      <w:rPr>
        <w:b/>
        <w:noProof/>
        <w:sz w:val="20"/>
        <w:szCs w:val="20"/>
      </w:rPr>
      <w:t xml:space="preserve">June 2016 </w:t>
    </w:r>
    <w:r w:rsidRPr="002D67AE">
      <w:rPr>
        <w:b/>
        <w:sz w:val="20"/>
        <w:szCs w:val="20"/>
      </w:rPr>
      <w:t>T</w:t>
    </w:r>
    <w:r>
      <w:rPr>
        <w:b/>
        <w:sz w:val="18"/>
      </w:rPr>
      <w:t>EAP XXVII/4 Task Force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DC0" w:rsidRDefault="00274DC0">
      <w:r>
        <w:separator/>
      </w:r>
    </w:p>
  </w:footnote>
  <w:footnote w:type="continuationSeparator" w:id="0">
    <w:p w:rsidR="00274DC0" w:rsidRDefault="00274DC0">
      <w:r>
        <w:continuationSeparator/>
      </w:r>
    </w:p>
  </w:footnote>
  <w:footnote w:id="1">
    <w:p w:rsidR="00894C72" w:rsidRDefault="00894C72" w:rsidP="001859F7">
      <w:pPr>
        <w:pStyle w:val="FootnoteText"/>
      </w:pPr>
      <w:r>
        <w:rPr>
          <w:rStyle w:val="FootnoteReference"/>
        </w:rPr>
        <w:footnoteRef/>
      </w:r>
      <w:r>
        <w:t xml:space="preserve"> These are the four main HFCs currently used in the R/AC (including MACs) sector; HFC-134a is also used as a foam blowing agent, in MDIs and technical aerosols. </w:t>
      </w:r>
    </w:p>
  </w:footnote>
  <w:footnote w:id="2">
    <w:p w:rsidR="00894C72" w:rsidRPr="00376A36" w:rsidRDefault="00894C72" w:rsidP="00F82BCB">
      <w:pPr>
        <w:pStyle w:val="FootnoteText"/>
      </w:pPr>
      <w:r>
        <w:rPr>
          <w:rStyle w:val="FootnoteReference"/>
        </w:rPr>
        <w:footnoteRef/>
      </w:r>
      <w:r>
        <w:t xml:space="preserve"> This section includes substantial contributions from J. Steven Brown, Ph.D., P.E., of The Catholic University of America, Washington, D.C., USA</w:t>
      </w:r>
    </w:p>
  </w:footnote>
  <w:footnote w:id="3">
    <w:p w:rsidR="00894C72" w:rsidRPr="00D97BA2" w:rsidRDefault="00894C72" w:rsidP="00B13B39">
      <w:pPr>
        <w:rPr>
          <w:sz w:val="20"/>
          <w:szCs w:val="20"/>
          <w:lang w:eastAsia="en-GB"/>
        </w:rPr>
      </w:pPr>
      <w:r w:rsidRPr="00D97BA2">
        <w:rPr>
          <w:rStyle w:val="FootnoteReference"/>
          <w:sz w:val="20"/>
          <w:szCs w:val="20"/>
        </w:rPr>
        <w:footnoteRef/>
      </w:r>
      <w:r w:rsidRPr="00D97BA2">
        <w:rPr>
          <w:sz w:val="20"/>
          <w:szCs w:val="20"/>
        </w:rPr>
        <w:t xml:space="preserve"> The US and some Parties discuss</w:t>
      </w:r>
      <w:r>
        <w:rPr>
          <w:sz w:val="20"/>
          <w:szCs w:val="20"/>
        </w:rPr>
        <w:t>ed</w:t>
      </w:r>
      <w:r w:rsidRPr="00D97BA2">
        <w:rPr>
          <w:sz w:val="20"/>
          <w:szCs w:val="20"/>
        </w:rPr>
        <w:t xml:space="preserve"> a preliminary proposal</w:t>
      </w:r>
      <w:r w:rsidRPr="00D97BA2">
        <w:rPr>
          <w:b/>
          <w:bCs/>
          <w:sz w:val="20"/>
          <w:szCs w:val="20"/>
          <w:lang w:eastAsia="en-GB"/>
        </w:rPr>
        <w:t xml:space="preserve"> </w:t>
      </w:r>
      <w:r w:rsidRPr="00D97BA2">
        <w:rPr>
          <w:sz w:val="20"/>
          <w:szCs w:val="20"/>
          <w:lang w:eastAsia="en-GB"/>
        </w:rPr>
        <w:t xml:space="preserve">at OEWG-37 that uses as criterion an average of at least two months per year over 10 consecutive years of a peak monthly average temperature </w:t>
      </w:r>
      <w:r w:rsidRPr="009F3827">
        <w:rPr>
          <w:sz w:val="18"/>
          <w:szCs w:val="18"/>
          <w:lang w:eastAsia="en-GB"/>
        </w:rPr>
        <w:t xml:space="preserve">above </w:t>
      </w:r>
      <w:r w:rsidRPr="009F3827">
        <w:rPr>
          <w:rFonts w:eastAsia="Calibri"/>
          <w:sz w:val="18"/>
          <w:szCs w:val="18"/>
          <w:lang w:val="en-US"/>
        </w:rPr>
        <w:t>35°C</w:t>
      </w:r>
      <w:r w:rsidRPr="009F3827">
        <w:rPr>
          <w:sz w:val="18"/>
          <w:szCs w:val="18"/>
          <w:lang w:eastAsia="en-GB"/>
        </w:rPr>
        <w:t>.</w:t>
      </w:r>
      <w:r w:rsidRPr="00D97BA2">
        <w:rPr>
          <w:sz w:val="20"/>
          <w:szCs w:val="20"/>
          <w:lang w:eastAsia="en-GB"/>
        </w:rPr>
        <w:t> Countrywide values in the dataset are calculated by taking a spatially weighted average of all weather stations within a country. The data w</w:t>
      </w:r>
      <w:r>
        <w:rPr>
          <w:sz w:val="20"/>
          <w:szCs w:val="20"/>
          <w:lang w:eastAsia="en-GB"/>
        </w:rPr>
        <w:t xml:space="preserve">ere </w:t>
      </w:r>
      <w:r w:rsidRPr="00D97BA2">
        <w:rPr>
          <w:sz w:val="20"/>
          <w:szCs w:val="20"/>
          <w:lang w:eastAsia="en-GB"/>
        </w:rPr>
        <w:t>extracted from countrywide values in a dataset that are available from the Center of Environmental Data Analysis (CEDA)</w:t>
      </w:r>
      <w:r>
        <w:rPr>
          <w:sz w:val="20"/>
          <w:szCs w:val="20"/>
          <w:lang w:eastAsia="en-GB"/>
        </w:rPr>
        <w:t xml:space="preserve">. </w:t>
      </w:r>
      <w:r w:rsidRPr="00D97BA2">
        <w:rPr>
          <w:sz w:val="20"/>
          <w:szCs w:val="20"/>
          <w:lang w:eastAsia="en-GB"/>
        </w:rPr>
        <w:t>“Peak monthly average temperature” is calculated by finding the high temperature for each day in the month and averaging those daily highs to get an average peak temperature value for the month</w:t>
      </w:r>
      <w:r>
        <w:rPr>
          <w:sz w:val="20"/>
          <w:szCs w:val="20"/>
          <w:lang w:eastAsia="en-GB"/>
        </w:rPr>
        <w:t xml:space="preserve">. </w:t>
      </w:r>
      <w:r w:rsidRPr="00D97BA2">
        <w:rPr>
          <w:sz w:val="20"/>
          <w:szCs w:val="20"/>
          <w:lang w:eastAsia="en-GB"/>
        </w:rPr>
        <w:t xml:space="preserve">The data source cited </w:t>
      </w:r>
      <w:r>
        <w:rPr>
          <w:sz w:val="20"/>
          <w:szCs w:val="20"/>
          <w:lang w:eastAsia="en-GB"/>
        </w:rPr>
        <w:t>a</w:t>
      </w:r>
      <w:r w:rsidRPr="00D97BA2">
        <w:rPr>
          <w:sz w:val="20"/>
          <w:szCs w:val="20"/>
          <w:lang w:eastAsia="en-GB"/>
        </w:rPr>
        <w:t>bove refers to this as monthly average</w:t>
      </w:r>
      <w:r w:rsidRPr="009F3827">
        <w:rPr>
          <w:sz w:val="20"/>
          <w:szCs w:val="20"/>
          <w:lang w:eastAsia="en-GB"/>
        </w:rPr>
        <w:t xml:space="preserve"> daily maximum temperature, and there are other ways to describe this criterion.</w:t>
      </w:r>
    </w:p>
    <w:p w:rsidR="00894C72" w:rsidRPr="009F3827" w:rsidRDefault="00894C72" w:rsidP="00B13B3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Pr="0091734F" w:rsidRDefault="00894C72" w:rsidP="009173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Pr="0091734F" w:rsidRDefault="00894C72" w:rsidP="009173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Default="00894C7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Pr="0091734F" w:rsidRDefault="00894C72" w:rsidP="0091734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72" w:rsidRPr="00D61C2E" w:rsidRDefault="00894C72" w:rsidP="00D61C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0"/>
    <w:lvl w:ilvl="0">
      <w:start w:val="1"/>
      <w:numFmt w:val="bullet"/>
      <w:pStyle w:val="Bullet"/>
      <w:lvlText w:val=""/>
      <w:lvlJc w:val="left"/>
      <w:pPr>
        <w:tabs>
          <w:tab w:val="num" w:pos="366"/>
        </w:tabs>
        <w:ind w:left="366" w:hanging="360"/>
      </w:pPr>
      <w:rPr>
        <w:rFonts w:ascii="Symbol" w:hAnsi="Symbol" w:hint="default"/>
      </w:rPr>
    </w:lvl>
  </w:abstractNum>
  <w:abstractNum w:abstractNumId="1">
    <w:nsid w:val="04B2453D"/>
    <w:multiLevelType w:val="hybridMultilevel"/>
    <w:tmpl w:val="029A1B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BE1EBE"/>
    <w:multiLevelType w:val="hybridMultilevel"/>
    <w:tmpl w:val="1B3C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A05D3"/>
    <w:multiLevelType w:val="hybridMultilevel"/>
    <w:tmpl w:val="4426DE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C2F1945"/>
    <w:multiLevelType w:val="hybridMultilevel"/>
    <w:tmpl w:val="47AAD606"/>
    <w:lvl w:ilvl="0" w:tplc="0408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CA71672"/>
    <w:multiLevelType w:val="multilevel"/>
    <w:tmpl w:val="9AE4A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6767BC"/>
    <w:multiLevelType w:val="singleLevel"/>
    <w:tmpl w:val="0809000F"/>
    <w:lvl w:ilvl="0">
      <w:start w:val="1"/>
      <w:numFmt w:val="decimal"/>
      <w:pStyle w:val="ListBullet3"/>
      <w:lvlText w:val="%1."/>
      <w:lvlJc w:val="left"/>
      <w:pPr>
        <w:tabs>
          <w:tab w:val="num" w:pos="360"/>
        </w:tabs>
        <w:ind w:left="360" w:hanging="360"/>
      </w:pPr>
    </w:lvl>
  </w:abstractNum>
  <w:abstractNum w:abstractNumId="7">
    <w:nsid w:val="0DC32E91"/>
    <w:multiLevelType w:val="hybridMultilevel"/>
    <w:tmpl w:val="4B9E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9A6F58"/>
    <w:multiLevelType w:val="hybridMultilevel"/>
    <w:tmpl w:val="92A2CBF6"/>
    <w:lvl w:ilvl="0" w:tplc="38BE4DF4">
      <w:start w:val="1"/>
      <w:numFmt w:val="bullet"/>
      <w:lvlText w:val=""/>
      <w:lvlJc w:val="left"/>
      <w:pPr>
        <w:ind w:left="720" w:hanging="360"/>
      </w:pPr>
      <w:rPr>
        <w:rFonts w:ascii="Symbol" w:hAnsi="Symbol" w:hint="default"/>
      </w:rPr>
    </w:lvl>
    <w:lvl w:ilvl="1" w:tplc="0FFA37A8">
      <w:start w:val="1"/>
      <w:numFmt w:val="bullet"/>
      <w:lvlText w:val="o"/>
      <w:lvlJc w:val="left"/>
      <w:pPr>
        <w:ind w:left="1440" w:hanging="360"/>
      </w:pPr>
      <w:rPr>
        <w:rFonts w:ascii="Courier New" w:hAnsi="Courier New" w:cs="Courier New" w:hint="default"/>
      </w:rPr>
    </w:lvl>
    <w:lvl w:ilvl="2" w:tplc="8CB2146C" w:tentative="1">
      <w:start w:val="1"/>
      <w:numFmt w:val="bullet"/>
      <w:lvlText w:val=""/>
      <w:lvlJc w:val="left"/>
      <w:pPr>
        <w:ind w:left="2160" w:hanging="360"/>
      </w:pPr>
      <w:rPr>
        <w:rFonts w:ascii="Wingdings" w:hAnsi="Wingdings" w:hint="default"/>
      </w:rPr>
    </w:lvl>
    <w:lvl w:ilvl="3" w:tplc="F6560C66" w:tentative="1">
      <w:start w:val="1"/>
      <w:numFmt w:val="bullet"/>
      <w:lvlText w:val=""/>
      <w:lvlJc w:val="left"/>
      <w:pPr>
        <w:ind w:left="2880" w:hanging="360"/>
      </w:pPr>
      <w:rPr>
        <w:rFonts w:ascii="Symbol" w:hAnsi="Symbol" w:hint="default"/>
      </w:rPr>
    </w:lvl>
    <w:lvl w:ilvl="4" w:tplc="1C5C5260" w:tentative="1">
      <w:start w:val="1"/>
      <w:numFmt w:val="bullet"/>
      <w:lvlText w:val="o"/>
      <w:lvlJc w:val="left"/>
      <w:pPr>
        <w:ind w:left="3600" w:hanging="360"/>
      </w:pPr>
      <w:rPr>
        <w:rFonts w:ascii="Courier New" w:hAnsi="Courier New" w:cs="Courier New" w:hint="default"/>
      </w:rPr>
    </w:lvl>
    <w:lvl w:ilvl="5" w:tplc="7C705A98" w:tentative="1">
      <w:start w:val="1"/>
      <w:numFmt w:val="bullet"/>
      <w:lvlText w:val=""/>
      <w:lvlJc w:val="left"/>
      <w:pPr>
        <w:ind w:left="4320" w:hanging="360"/>
      </w:pPr>
      <w:rPr>
        <w:rFonts w:ascii="Wingdings" w:hAnsi="Wingdings" w:hint="default"/>
      </w:rPr>
    </w:lvl>
    <w:lvl w:ilvl="6" w:tplc="12F6C04E" w:tentative="1">
      <w:start w:val="1"/>
      <w:numFmt w:val="bullet"/>
      <w:lvlText w:val=""/>
      <w:lvlJc w:val="left"/>
      <w:pPr>
        <w:ind w:left="5040" w:hanging="360"/>
      </w:pPr>
      <w:rPr>
        <w:rFonts w:ascii="Symbol" w:hAnsi="Symbol" w:hint="default"/>
      </w:rPr>
    </w:lvl>
    <w:lvl w:ilvl="7" w:tplc="2B884C0A" w:tentative="1">
      <w:start w:val="1"/>
      <w:numFmt w:val="bullet"/>
      <w:lvlText w:val="o"/>
      <w:lvlJc w:val="left"/>
      <w:pPr>
        <w:ind w:left="5760" w:hanging="360"/>
      </w:pPr>
      <w:rPr>
        <w:rFonts w:ascii="Courier New" w:hAnsi="Courier New" w:cs="Courier New" w:hint="default"/>
      </w:rPr>
    </w:lvl>
    <w:lvl w:ilvl="8" w:tplc="A3FCA720" w:tentative="1">
      <w:start w:val="1"/>
      <w:numFmt w:val="bullet"/>
      <w:lvlText w:val=""/>
      <w:lvlJc w:val="left"/>
      <w:pPr>
        <w:ind w:left="6480" w:hanging="360"/>
      </w:pPr>
      <w:rPr>
        <w:rFonts w:ascii="Wingdings" w:hAnsi="Wingdings" w:hint="default"/>
      </w:rPr>
    </w:lvl>
  </w:abstractNum>
  <w:abstractNum w:abstractNumId="9">
    <w:nsid w:val="171113A7"/>
    <w:multiLevelType w:val="multilevel"/>
    <w:tmpl w:val="48241D10"/>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nsid w:val="175F5AA7"/>
    <w:multiLevelType w:val="hybridMultilevel"/>
    <w:tmpl w:val="00F402DC"/>
    <w:lvl w:ilvl="0" w:tplc="D062D882">
      <w:start w:val="1"/>
      <w:numFmt w:val="bullet"/>
      <w:lvlText w:val="•"/>
      <w:lvlJc w:val="left"/>
      <w:pPr>
        <w:tabs>
          <w:tab w:val="num" w:pos="720"/>
        </w:tabs>
        <w:ind w:left="720" w:hanging="360"/>
      </w:pPr>
      <w:rPr>
        <w:rFonts w:ascii="Arial" w:hAnsi="Arial" w:hint="default"/>
      </w:rPr>
    </w:lvl>
    <w:lvl w:ilvl="1" w:tplc="135C1E72">
      <w:start w:val="54"/>
      <w:numFmt w:val="bullet"/>
      <w:lvlText w:val="•"/>
      <w:lvlJc w:val="left"/>
      <w:pPr>
        <w:tabs>
          <w:tab w:val="num" w:pos="1440"/>
        </w:tabs>
        <w:ind w:left="1440" w:hanging="360"/>
      </w:pPr>
      <w:rPr>
        <w:rFonts w:ascii="Arial" w:hAnsi="Arial" w:hint="default"/>
        <w:lang w:val="en-GB"/>
      </w:rPr>
    </w:lvl>
    <w:lvl w:ilvl="2" w:tplc="D8CA7D3C" w:tentative="1">
      <w:start w:val="1"/>
      <w:numFmt w:val="bullet"/>
      <w:lvlText w:val="•"/>
      <w:lvlJc w:val="left"/>
      <w:pPr>
        <w:tabs>
          <w:tab w:val="num" w:pos="2160"/>
        </w:tabs>
        <w:ind w:left="2160" w:hanging="360"/>
      </w:pPr>
      <w:rPr>
        <w:rFonts w:ascii="Arial" w:hAnsi="Arial" w:hint="default"/>
      </w:rPr>
    </w:lvl>
    <w:lvl w:ilvl="3" w:tplc="0BA4D212" w:tentative="1">
      <w:start w:val="1"/>
      <w:numFmt w:val="bullet"/>
      <w:lvlText w:val="•"/>
      <w:lvlJc w:val="left"/>
      <w:pPr>
        <w:tabs>
          <w:tab w:val="num" w:pos="2880"/>
        </w:tabs>
        <w:ind w:left="2880" w:hanging="360"/>
      </w:pPr>
      <w:rPr>
        <w:rFonts w:ascii="Arial" w:hAnsi="Arial" w:hint="default"/>
      </w:rPr>
    </w:lvl>
    <w:lvl w:ilvl="4" w:tplc="B298F132" w:tentative="1">
      <w:start w:val="1"/>
      <w:numFmt w:val="bullet"/>
      <w:lvlText w:val="•"/>
      <w:lvlJc w:val="left"/>
      <w:pPr>
        <w:tabs>
          <w:tab w:val="num" w:pos="3600"/>
        </w:tabs>
        <w:ind w:left="3600" w:hanging="360"/>
      </w:pPr>
      <w:rPr>
        <w:rFonts w:ascii="Arial" w:hAnsi="Arial" w:hint="default"/>
      </w:rPr>
    </w:lvl>
    <w:lvl w:ilvl="5" w:tplc="BBFA0C5C" w:tentative="1">
      <w:start w:val="1"/>
      <w:numFmt w:val="bullet"/>
      <w:lvlText w:val="•"/>
      <w:lvlJc w:val="left"/>
      <w:pPr>
        <w:tabs>
          <w:tab w:val="num" w:pos="4320"/>
        </w:tabs>
        <w:ind w:left="4320" w:hanging="360"/>
      </w:pPr>
      <w:rPr>
        <w:rFonts w:ascii="Arial" w:hAnsi="Arial" w:hint="default"/>
      </w:rPr>
    </w:lvl>
    <w:lvl w:ilvl="6" w:tplc="8B7EF776" w:tentative="1">
      <w:start w:val="1"/>
      <w:numFmt w:val="bullet"/>
      <w:lvlText w:val="•"/>
      <w:lvlJc w:val="left"/>
      <w:pPr>
        <w:tabs>
          <w:tab w:val="num" w:pos="5040"/>
        </w:tabs>
        <w:ind w:left="5040" w:hanging="360"/>
      </w:pPr>
      <w:rPr>
        <w:rFonts w:ascii="Arial" w:hAnsi="Arial" w:hint="default"/>
      </w:rPr>
    </w:lvl>
    <w:lvl w:ilvl="7" w:tplc="22AEB210" w:tentative="1">
      <w:start w:val="1"/>
      <w:numFmt w:val="bullet"/>
      <w:lvlText w:val="•"/>
      <w:lvlJc w:val="left"/>
      <w:pPr>
        <w:tabs>
          <w:tab w:val="num" w:pos="5760"/>
        </w:tabs>
        <w:ind w:left="5760" w:hanging="360"/>
      </w:pPr>
      <w:rPr>
        <w:rFonts w:ascii="Arial" w:hAnsi="Arial" w:hint="default"/>
      </w:rPr>
    </w:lvl>
    <w:lvl w:ilvl="8" w:tplc="A8068262" w:tentative="1">
      <w:start w:val="1"/>
      <w:numFmt w:val="bullet"/>
      <w:lvlText w:val="•"/>
      <w:lvlJc w:val="left"/>
      <w:pPr>
        <w:tabs>
          <w:tab w:val="num" w:pos="6480"/>
        </w:tabs>
        <w:ind w:left="6480" w:hanging="360"/>
      </w:pPr>
      <w:rPr>
        <w:rFonts w:ascii="Arial" w:hAnsi="Arial" w:hint="default"/>
      </w:rPr>
    </w:lvl>
  </w:abstractNum>
  <w:abstractNum w:abstractNumId="11">
    <w:nsid w:val="17CF07E1"/>
    <w:multiLevelType w:val="hybridMultilevel"/>
    <w:tmpl w:val="00A623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196C08"/>
    <w:multiLevelType w:val="hybridMultilevel"/>
    <w:tmpl w:val="91666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D6E4D74"/>
    <w:multiLevelType w:val="hybridMultilevel"/>
    <w:tmpl w:val="4D30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363226"/>
    <w:multiLevelType w:val="hybridMultilevel"/>
    <w:tmpl w:val="1E506D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F9E3945"/>
    <w:multiLevelType w:val="hybridMultilevel"/>
    <w:tmpl w:val="067E6A34"/>
    <w:lvl w:ilvl="0" w:tplc="0408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1FD56A06"/>
    <w:multiLevelType w:val="hybridMultilevel"/>
    <w:tmpl w:val="8BC68F0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09066C2"/>
    <w:multiLevelType w:val="multilevel"/>
    <w:tmpl w:val="6458E448"/>
    <w:lvl w:ilvl="0">
      <w:start w:val="1"/>
      <w:numFmt w:val="decimal"/>
      <w:pStyle w:val="bullets"/>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12C46F5"/>
    <w:multiLevelType w:val="hybridMultilevel"/>
    <w:tmpl w:val="D9FE6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DB000A"/>
    <w:multiLevelType w:val="hybridMultilevel"/>
    <w:tmpl w:val="6DFC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10A37"/>
    <w:multiLevelType w:val="hybridMultilevel"/>
    <w:tmpl w:val="CFD81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4963863"/>
    <w:multiLevelType w:val="hybridMultilevel"/>
    <w:tmpl w:val="AE48AD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nsid w:val="266B0AE7"/>
    <w:multiLevelType w:val="hybridMultilevel"/>
    <w:tmpl w:val="7466C9C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3">
    <w:nsid w:val="285B6920"/>
    <w:multiLevelType w:val="hybridMultilevel"/>
    <w:tmpl w:val="6D0007CE"/>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24">
    <w:nsid w:val="2E2151DC"/>
    <w:multiLevelType w:val="hybridMultilevel"/>
    <w:tmpl w:val="505EA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5C028F"/>
    <w:multiLevelType w:val="hybridMultilevel"/>
    <w:tmpl w:val="3BA21EE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7CA73F8"/>
    <w:multiLevelType w:val="multilevel"/>
    <w:tmpl w:val="6458E448"/>
    <w:lvl w:ilvl="0">
      <w:start w:val="1"/>
      <w:numFmt w:val="decimal"/>
      <w:pStyle w:val="ListBullet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81B306B"/>
    <w:multiLevelType w:val="multilevel"/>
    <w:tmpl w:val="2E04D6D0"/>
    <w:lvl w:ilvl="0">
      <w:start w:val="1"/>
      <w:numFmt w:val="decimal"/>
      <w:pStyle w:val="List1"/>
      <w:lvlText w:val="%1."/>
      <w:lvlJc w:val="left"/>
      <w:pPr>
        <w:tabs>
          <w:tab w:val="num" w:pos="810"/>
        </w:tabs>
        <w:ind w:left="81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387F0DFF"/>
    <w:multiLevelType w:val="hybridMultilevel"/>
    <w:tmpl w:val="A4D6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2D778E"/>
    <w:multiLevelType w:val="hybridMultilevel"/>
    <w:tmpl w:val="2312B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3306A8"/>
    <w:multiLevelType w:val="hybridMultilevel"/>
    <w:tmpl w:val="122C8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330EAC"/>
    <w:multiLevelType w:val="multilevel"/>
    <w:tmpl w:val="0A92EF3C"/>
    <w:lvl w:ilvl="0">
      <w:start w:val="1"/>
      <w:numFmt w:val="bullet"/>
      <w:pStyle w:val="OurCaption"/>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Batang" w:hint="default"/>
      </w:rPr>
    </w:lvl>
    <w:lvl w:ilvl="2">
      <w:start w:val="1"/>
      <w:numFmt w:val="bullet"/>
      <w:lvlText w:val=""/>
      <w:lvlJc w:val="left"/>
      <w:pPr>
        <w:tabs>
          <w:tab w:val="num" w:pos="1800"/>
        </w:tabs>
        <w:ind w:left="1800" w:hanging="360"/>
      </w:pPr>
      <w:rPr>
        <w:rFonts w:ascii="Wingdings" w:hAnsi="Wingdings" w:cs="Palatino"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Batang" w:hint="default"/>
      </w:rPr>
    </w:lvl>
    <w:lvl w:ilvl="5">
      <w:start w:val="1"/>
      <w:numFmt w:val="bullet"/>
      <w:lvlText w:val=""/>
      <w:lvlJc w:val="left"/>
      <w:pPr>
        <w:tabs>
          <w:tab w:val="num" w:pos="3960"/>
        </w:tabs>
        <w:ind w:left="3960" w:hanging="360"/>
      </w:pPr>
      <w:rPr>
        <w:rFonts w:ascii="Wingdings" w:hAnsi="Wingdings" w:cs="Palatino"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Batang" w:hint="default"/>
      </w:rPr>
    </w:lvl>
    <w:lvl w:ilvl="8">
      <w:start w:val="1"/>
      <w:numFmt w:val="bullet"/>
      <w:lvlText w:val=""/>
      <w:lvlJc w:val="left"/>
      <w:pPr>
        <w:tabs>
          <w:tab w:val="num" w:pos="6120"/>
        </w:tabs>
        <w:ind w:left="6120" w:hanging="360"/>
      </w:pPr>
      <w:rPr>
        <w:rFonts w:ascii="Wingdings" w:hAnsi="Wingdings" w:cs="Palatino" w:hint="default"/>
      </w:rPr>
    </w:lvl>
  </w:abstractNum>
  <w:abstractNum w:abstractNumId="32">
    <w:nsid w:val="41D9633C"/>
    <w:multiLevelType w:val="multilevel"/>
    <w:tmpl w:val="9AE4A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41C1CBD"/>
    <w:multiLevelType w:val="hybridMultilevel"/>
    <w:tmpl w:val="BC7A2D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4302583"/>
    <w:multiLevelType w:val="hybridMultilevel"/>
    <w:tmpl w:val="F7F05B8A"/>
    <w:lvl w:ilvl="0" w:tplc="67CA1932">
      <w:start w:val="5"/>
      <w:numFmt w:val="bullet"/>
      <w:lvlText w:val=""/>
      <w:lvlJc w:val="left"/>
      <w:pPr>
        <w:ind w:left="720" w:hanging="360"/>
      </w:pPr>
      <w:rPr>
        <w:rFonts w:ascii="Symbol" w:eastAsia="Calibr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4E431AA"/>
    <w:multiLevelType w:val="hybridMultilevel"/>
    <w:tmpl w:val="26169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65901CD"/>
    <w:multiLevelType w:val="hybridMultilevel"/>
    <w:tmpl w:val="2EA4D6BA"/>
    <w:lvl w:ilvl="0" w:tplc="9502DB00">
      <w:start w:val="6"/>
      <w:numFmt w:val="bullet"/>
      <w:lvlText w:val="-"/>
      <w:lvlJc w:val="left"/>
      <w:pPr>
        <w:ind w:left="720" w:hanging="360"/>
      </w:pPr>
      <w:rPr>
        <w:rFonts w:ascii="Times New Roman" w:eastAsia="SimSu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9CE3269"/>
    <w:multiLevelType w:val="hybridMultilevel"/>
    <w:tmpl w:val="705627F8"/>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4B0F4457"/>
    <w:multiLevelType w:val="hybridMultilevel"/>
    <w:tmpl w:val="E07A43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4B605849"/>
    <w:multiLevelType w:val="multilevel"/>
    <w:tmpl w:val="DADCE7B2"/>
    <w:lvl w:ilvl="0">
      <w:start w:val="1"/>
      <w:numFmt w:val="decimal"/>
      <w:pStyle w:val="Thesisheading4"/>
      <w:lvlText w:val="1.%1"/>
      <w:lvlJc w:val="left"/>
      <w:pPr>
        <w:tabs>
          <w:tab w:val="num" w:pos="720"/>
        </w:tabs>
        <w:ind w:left="720" w:hanging="720"/>
      </w:pPr>
      <w:rPr>
        <w:rFonts w:hint="default"/>
      </w:rPr>
    </w:lvl>
    <w:lvl w:ilvl="1">
      <w:start w:val="1"/>
      <w:numFmt w:val="none"/>
      <w:lvlText w:val="3.3"/>
      <w:lvlJc w:val="left"/>
      <w:pPr>
        <w:tabs>
          <w:tab w:val="num" w:pos="720"/>
        </w:tabs>
        <w:ind w:left="720" w:hanging="720"/>
      </w:pPr>
      <w:rPr>
        <w:rFonts w:hint="default"/>
      </w:rPr>
    </w:lvl>
    <w:lvl w:ilvl="2">
      <w:start w:val="2"/>
      <w:numFmt w:val="lowerLetter"/>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nsid w:val="50E52685"/>
    <w:multiLevelType w:val="singleLevel"/>
    <w:tmpl w:val="08090005"/>
    <w:lvl w:ilvl="0">
      <w:start w:val="1"/>
      <w:numFmt w:val="bullet"/>
      <w:pStyle w:val="Thesisheading1"/>
      <w:lvlText w:val=""/>
      <w:lvlJc w:val="left"/>
      <w:pPr>
        <w:tabs>
          <w:tab w:val="num" w:pos="360"/>
        </w:tabs>
        <w:ind w:left="360" w:hanging="360"/>
      </w:pPr>
      <w:rPr>
        <w:rFonts w:ascii="Wingdings" w:hAnsi="Wingdings" w:cs="Palatino" w:hint="default"/>
      </w:rPr>
    </w:lvl>
  </w:abstractNum>
  <w:abstractNum w:abstractNumId="41">
    <w:nsid w:val="53DE2D31"/>
    <w:multiLevelType w:val="hybridMultilevel"/>
    <w:tmpl w:val="90F0C80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54156F26"/>
    <w:multiLevelType w:val="hybridMultilevel"/>
    <w:tmpl w:val="B616149A"/>
    <w:lvl w:ilvl="0" w:tplc="B16C15FA">
      <w:start w:val="1"/>
      <w:numFmt w:val="bullet"/>
      <w:lvlText w:val="•"/>
      <w:lvlJc w:val="left"/>
      <w:pPr>
        <w:tabs>
          <w:tab w:val="num" w:pos="720"/>
        </w:tabs>
        <w:ind w:left="720" w:hanging="360"/>
      </w:pPr>
      <w:rPr>
        <w:rFonts w:ascii="Arial" w:hAnsi="Arial" w:hint="default"/>
      </w:rPr>
    </w:lvl>
    <w:lvl w:ilvl="1" w:tplc="9600E5BE">
      <w:start w:val="54"/>
      <w:numFmt w:val="bullet"/>
      <w:lvlText w:val="•"/>
      <w:lvlJc w:val="left"/>
      <w:pPr>
        <w:tabs>
          <w:tab w:val="num" w:pos="1440"/>
        </w:tabs>
        <w:ind w:left="1440" w:hanging="360"/>
      </w:pPr>
      <w:rPr>
        <w:rFonts w:ascii="Arial" w:hAnsi="Arial" w:hint="default"/>
      </w:rPr>
    </w:lvl>
    <w:lvl w:ilvl="2" w:tplc="339E91A6" w:tentative="1">
      <w:start w:val="1"/>
      <w:numFmt w:val="bullet"/>
      <w:lvlText w:val="•"/>
      <w:lvlJc w:val="left"/>
      <w:pPr>
        <w:tabs>
          <w:tab w:val="num" w:pos="2160"/>
        </w:tabs>
        <w:ind w:left="2160" w:hanging="360"/>
      </w:pPr>
      <w:rPr>
        <w:rFonts w:ascii="Arial" w:hAnsi="Arial" w:hint="default"/>
      </w:rPr>
    </w:lvl>
    <w:lvl w:ilvl="3" w:tplc="2E70EDC0" w:tentative="1">
      <w:start w:val="1"/>
      <w:numFmt w:val="bullet"/>
      <w:lvlText w:val="•"/>
      <w:lvlJc w:val="left"/>
      <w:pPr>
        <w:tabs>
          <w:tab w:val="num" w:pos="2880"/>
        </w:tabs>
        <w:ind w:left="2880" w:hanging="360"/>
      </w:pPr>
      <w:rPr>
        <w:rFonts w:ascii="Arial" w:hAnsi="Arial" w:hint="default"/>
      </w:rPr>
    </w:lvl>
    <w:lvl w:ilvl="4" w:tplc="7A28EE5A" w:tentative="1">
      <w:start w:val="1"/>
      <w:numFmt w:val="bullet"/>
      <w:lvlText w:val="•"/>
      <w:lvlJc w:val="left"/>
      <w:pPr>
        <w:tabs>
          <w:tab w:val="num" w:pos="3600"/>
        </w:tabs>
        <w:ind w:left="3600" w:hanging="360"/>
      </w:pPr>
      <w:rPr>
        <w:rFonts w:ascii="Arial" w:hAnsi="Arial" w:hint="default"/>
      </w:rPr>
    </w:lvl>
    <w:lvl w:ilvl="5" w:tplc="82CEB0B0" w:tentative="1">
      <w:start w:val="1"/>
      <w:numFmt w:val="bullet"/>
      <w:lvlText w:val="•"/>
      <w:lvlJc w:val="left"/>
      <w:pPr>
        <w:tabs>
          <w:tab w:val="num" w:pos="4320"/>
        </w:tabs>
        <w:ind w:left="4320" w:hanging="360"/>
      </w:pPr>
      <w:rPr>
        <w:rFonts w:ascii="Arial" w:hAnsi="Arial" w:hint="default"/>
      </w:rPr>
    </w:lvl>
    <w:lvl w:ilvl="6" w:tplc="C70C99F2" w:tentative="1">
      <w:start w:val="1"/>
      <w:numFmt w:val="bullet"/>
      <w:lvlText w:val="•"/>
      <w:lvlJc w:val="left"/>
      <w:pPr>
        <w:tabs>
          <w:tab w:val="num" w:pos="5040"/>
        </w:tabs>
        <w:ind w:left="5040" w:hanging="360"/>
      </w:pPr>
      <w:rPr>
        <w:rFonts w:ascii="Arial" w:hAnsi="Arial" w:hint="default"/>
      </w:rPr>
    </w:lvl>
    <w:lvl w:ilvl="7" w:tplc="5C849A04" w:tentative="1">
      <w:start w:val="1"/>
      <w:numFmt w:val="bullet"/>
      <w:lvlText w:val="•"/>
      <w:lvlJc w:val="left"/>
      <w:pPr>
        <w:tabs>
          <w:tab w:val="num" w:pos="5760"/>
        </w:tabs>
        <w:ind w:left="5760" w:hanging="360"/>
      </w:pPr>
      <w:rPr>
        <w:rFonts w:ascii="Arial" w:hAnsi="Arial" w:hint="default"/>
      </w:rPr>
    </w:lvl>
    <w:lvl w:ilvl="8" w:tplc="3756670A" w:tentative="1">
      <w:start w:val="1"/>
      <w:numFmt w:val="bullet"/>
      <w:lvlText w:val="•"/>
      <w:lvlJc w:val="left"/>
      <w:pPr>
        <w:tabs>
          <w:tab w:val="num" w:pos="6480"/>
        </w:tabs>
        <w:ind w:left="6480" w:hanging="360"/>
      </w:pPr>
      <w:rPr>
        <w:rFonts w:ascii="Arial" w:hAnsi="Arial" w:hint="default"/>
      </w:rPr>
    </w:lvl>
  </w:abstractNum>
  <w:abstractNum w:abstractNumId="43">
    <w:nsid w:val="541E5A8D"/>
    <w:multiLevelType w:val="hybridMultilevel"/>
    <w:tmpl w:val="EF4E3A62"/>
    <w:lvl w:ilvl="0" w:tplc="0413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Times New Roman"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Times New Roman"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Times New Roman" w:hint="default"/>
      </w:rPr>
    </w:lvl>
    <w:lvl w:ilvl="8" w:tplc="04090005">
      <w:start w:val="1"/>
      <w:numFmt w:val="bullet"/>
      <w:lvlText w:val=""/>
      <w:lvlJc w:val="left"/>
      <w:pPr>
        <w:ind w:left="6828" w:hanging="360"/>
      </w:pPr>
      <w:rPr>
        <w:rFonts w:ascii="Wingdings" w:hAnsi="Wingdings" w:hint="default"/>
      </w:rPr>
    </w:lvl>
  </w:abstractNum>
  <w:abstractNum w:abstractNumId="44">
    <w:nsid w:val="54B03587"/>
    <w:multiLevelType w:val="hybridMultilevel"/>
    <w:tmpl w:val="8EEA3A56"/>
    <w:lvl w:ilvl="0" w:tplc="0410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5">
    <w:nsid w:val="556F5808"/>
    <w:multiLevelType w:val="hybridMultilevel"/>
    <w:tmpl w:val="006E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7C6C2F"/>
    <w:multiLevelType w:val="singleLevel"/>
    <w:tmpl w:val="08090005"/>
    <w:lvl w:ilvl="0">
      <w:start w:val="1"/>
      <w:numFmt w:val="bullet"/>
      <w:pStyle w:val="Indentedbullet"/>
      <w:lvlText w:val=""/>
      <w:lvlJc w:val="left"/>
      <w:pPr>
        <w:tabs>
          <w:tab w:val="num" w:pos="360"/>
        </w:tabs>
        <w:ind w:left="360" w:hanging="360"/>
      </w:pPr>
      <w:rPr>
        <w:rFonts w:ascii="Wingdings" w:hAnsi="Wingdings" w:cs="Palatino" w:hint="default"/>
      </w:rPr>
    </w:lvl>
  </w:abstractNum>
  <w:abstractNum w:abstractNumId="47">
    <w:nsid w:val="59426FE4"/>
    <w:multiLevelType w:val="hybridMultilevel"/>
    <w:tmpl w:val="799A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B2F74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9">
    <w:nsid w:val="5D39277D"/>
    <w:multiLevelType w:val="singleLevel"/>
    <w:tmpl w:val="08090015"/>
    <w:lvl w:ilvl="0">
      <w:start w:val="1"/>
      <w:numFmt w:val="upperLetter"/>
      <w:pStyle w:val="ListNumber2"/>
      <w:lvlText w:val="%1."/>
      <w:lvlJc w:val="left"/>
      <w:pPr>
        <w:tabs>
          <w:tab w:val="num" w:pos="360"/>
        </w:tabs>
        <w:ind w:left="360" w:hanging="360"/>
      </w:pPr>
      <w:rPr>
        <w:rFonts w:hint="default"/>
      </w:rPr>
    </w:lvl>
  </w:abstractNum>
  <w:abstractNum w:abstractNumId="50">
    <w:nsid w:val="5F411DCA"/>
    <w:multiLevelType w:val="hybridMultilevel"/>
    <w:tmpl w:val="10F4DF0A"/>
    <w:lvl w:ilvl="0" w:tplc="04100001">
      <w:start w:val="1"/>
      <w:numFmt w:val="bullet"/>
      <w:lvlText w:val=""/>
      <w:lvlJc w:val="left"/>
      <w:pPr>
        <w:ind w:left="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51">
    <w:nsid w:val="62AC2361"/>
    <w:multiLevelType w:val="hybridMultilevel"/>
    <w:tmpl w:val="FF4EE57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2">
    <w:nsid w:val="63806743"/>
    <w:multiLevelType w:val="hybridMultilevel"/>
    <w:tmpl w:val="AA424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903270"/>
    <w:multiLevelType w:val="hybridMultilevel"/>
    <w:tmpl w:val="48902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7F4584A"/>
    <w:multiLevelType w:val="hybridMultilevel"/>
    <w:tmpl w:val="C3FC3FFC"/>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Times New Roman"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Times New Roman"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Times New Roman" w:hint="default"/>
      </w:rPr>
    </w:lvl>
    <w:lvl w:ilvl="8" w:tplc="04090005">
      <w:start w:val="1"/>
      <w:numFmt w:val="bullet"/>
      <w:lvlText w:val=""/>
      <w:lvlJc w:val="left"/>
      <w:pPr>
        <w:ind w:left="6828" w:hanging="360"/>
      </w:pPr>
      <w:rPr>
        <w:rFonts w:ascii="Wingdings" w:hAnsi="Wingdings" w:hint="default"/>
      </w:rPr>
    </w:lvl>
  </w:abstractNum>
  <w:abstractNum w:abstractNumId="55">
    <w:nsid w:val="6B4507C6"/>
    <w:multiLevelType w:val="hybridMultilevel"/>
    <w:tmpl w:val="C95A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E73F05"/>
    <w:multiLevelType w:val="multilevel"/>
    <w:tmpl w:val="DCF6747E"/>
    <w:lvl w:ilvl="0">
      <w:start w:val="1"/>
      <w:numFmt w:val="bullet"/>
      <w:pStyle w:val="references"/>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Palatino Linotyp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Palatino Linotyp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Palatino Linotyp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6CA65B4F"/>
    <w:multiLevelType w:val="singleLevel"/>
    <w:tmpl w:val="4DA63B84"/>
    <w:name w:val="List Bullet"/>
    <w:lvl w:ilvl="0">
      <w:start w:val="1"/>
      <w:numFmt w:val="decimal"/>
      <w:lvlRestart w:val="0"/>
      <w:lvlText w:val="(%1)"/>
      <w:lvlJc w:val="left"/>
      <w:pPr>
        <w:tabs>
          <w:tab w:val="num" w:pos="709"/>
        </w:tabs>
        <w:ind w:left="709" w:hanging="709"/>
      </w:pPr>
    </w:lvl>
  </w:abstractNum>
  <w:abstractNum w:abstractNumId="58">
    <w:nsid w:val="70B4077C"/>
    <w:multiLevelType w:val="hybridMultilevel"/>
    <w:tmpl w:val="9DE4AA28"/>
    <w:lvl w:ilvl="0" w:tplc="0413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9">
    <w:nsid w:val="725E4147"/>
    <w:multiLevelType w:val="hybridMultilevel"/>
    <w:tmpl w:val="E4EA9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72DF2395"/>
    <w:multiLevelType w:val="hybridMultilevel"/>
    <w:tmpl w:val="96D887C4"/>
    <w:lvl w:ilvl="0" w:tplc="22546084">
      <w:start w:val="400"/>
      <w:numFmt w:val="bullet"/>
      <w:lvlText w:val="-"/>
      <w:lvlJc w:val="left"/>
      <w:pPr>
        <w:ind w:left="360" w:hanging="360"/>
      </w:pPr>
      <w:rPr>
        <w:rFonts w:ascii="Times New Roman" w:eastAsia="Times New Roman"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1">
    <w:nsid w:val="73123E6E"/>
    <w:multiLevelType w:val="hybridMultilevel"/>
    <w:tmpl w:val="AAC82F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3740B58"/>
    <w:multiLevelType w:val="hybridMultilevel"/>
    <w:tmpl w:val="C64C0B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3">
    <w:nsid w:val="73D324C7"/>
    <w:multiLevelType w:val="hybridMultilevel"/>
    <w:tmpl w:val="3A6E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91735A"/>
    <w:multiLevelType w:val="hybridMultilevel"/>
    <w:tmpl w:val="4B88EECA"/>
    <w:lvl w:ilvl="0" w:tplc="08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nsid w:val="79D523C4"/>
    <w:multiLevelType w:val="multilevel"/>
    <w:tmpl w:val="9BE2DC72"/>
    <w:lvl w:ilvl="0">
      <w:start w:val="1"/>
      <w:numFmt w:val="decimal"/>
      <w:pStyle w:val="ToDoList"/>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
    <w:nsid w:val="7DFE44BB"/>
    <w:multiLevelType w:val="multilevel"/>
    <w:tmpl w:val="A27CFF0A"/>
    <w:lvl w:ilvl="0">
      <w:start w:val="1"/>
      <w:numFmt w:val="lowerLetter"/>
      <w:pStyle w:val="Chap"/>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48"/>
  </w:num>
  <w:num w:numId="3">
    <w:abstractNumId w:val="65"/>
  </w:num>
  <w:num w:numId="4">
    <w:abstractNumId w:val="27"/>
  </w:num>
  <w:num w:numId="5">
    <w:abstractNumId w:val="9"/>
  </w:num>
  <w:num w:numId="6">
    <w:abstractNumId w:val="56"/>
  </w:num>
  <w:num w:numId="7">
    <w:abstractNumId w:val="46"/>
  </w:num>
  <w:num w:numId="8">
    <w:abstractNumId w:val="66"/>
  </w:num>
  <w:num w:numId="9">
    <w:abstractNumId w:val="49"/>
  </w:num>
  <w:num w:numId="10">
    <w:abstractNumId w:val="6"/>
  </w:num>
  <w:num w:numId="11">
    <w:abstractNumId w:val="26"/>
  </w:num>
  <w:num w:numId="12">
    <w:abstractNumId w:val="17"/>
  </w:num>
  <w:num w:numId="13">
    <w:abstractNumId w:val="40"/>
  </w:num>
  <w:num w:numId="14">
    <w:abstractNumId w:val="31"/>
  </w:num>
  <w:num w:numId="15">
    <w:abstractNumId w:val="39"/>
  </w:num>
  <w:num w:numId="16">
    <w:abstractNumId w:val="8"/>
  </w:num>
  <w:num w:numId="17">
    <w:abstractNumId w:val="20"/>
  </w:num>
  <w:num w:numId="18">
    <w:abstractNumId w:val="7"/>
  </w:num>
  <w:num w:numId="19">
    <w:abstractNumId w:val="47"/>
  </w:num>
  <w:num w:numId="20">
    <w:abstractNumId w:val="25"/>
  </w:num>
  <w:num w:numId="21">
    <w:abstractNumId w:val="41"/>
  </w:num>
  <w:num w:numId="22">
    <w:abstractNumId w:val="33"/>
  </w:num>
  <w:num w:numId="23">
    <w:abstractNumId w:val="21"/>
  </w:num>
  <w:num w:numId="24">
    <w:abstractNumId w:val="54"/>
  </w:num>
  <w:num w:numId="25">
    <w:abstractNumId w:val="18"/>
  </w:num>
  <w:num w:numId="26">
    <w:abstractNumId w:val="36"/>
  </w:num>
  <w:num w:numId="27">
    <w:abstractNumId w:val="62"/>
  </w:num>
  <w:num w:numId="28">
    <w:abstractNumId w:val="8"/>
  </w:num>
  <w:num w:numId="29">
    <w:abstractNumId w:val="60"/>
  </w:num>
  <w:num w:numId="30">
    <w:abstractNumId w:val="34"/>
  </w:num>
  <w:num w:numId="31">
    <w:abstractNumId w:val="1"/>
  </w:num>
  <w:num w:numId="32">
    <w:abstractNumId w:val="61"/>
  </w:num>
  <w:num w:numId="33">
    <w:abstractNumId w:val="11"/>
  </w:num>
  <w:num w:numId="34">
    <w:abstractNumId w:val="16"/>
  </w:num>
  <w:num w:numId="35">
    <w:abstractNumId w:val="37"/>
  </w:num>
  <w:num w:numId="36">
    <w:abstractNumId w:val="4"/>
  </w:num>
  <w:num w:numId="37">
    <w:abstractNumId w:val="15"/>
  </w:num>
  <w:num w:numId="38">
    <w:abstractNumId w:val="13"/>
  </w:num>
  <w:num w:numId="39">
    <w:abstractNumId w:val="55"/>
  </w:num>
  <w:num w:numId="40">
    <w:abstractNumId w:val="3"/>
  </w:num>
  <w:num w:numId="41">
    <w:abstractNumId w:val="58"/>
  </w:num>
  <w:num w:numId="42">
    <w:abstractNumId w:val="44"/>
  </w:num>
  <w:num w:numId="43">
    <w:abstractNumId w:val="50"/>
  </w:num>
  <w:num w:numId="44">
    <w:abstractNumId w:val="42"/>
  </w:num>
  <w:num w:numId="45">
    <w:abstractNumId w:val="10"/>
  </w:num>
  <w:num w:numId="46">
    <w:abstractNumId w:val="29"/>
  </w:num>
  <w:num w:numId="47">
    <w:abstractNumId w:val="51"/>
  </w:num>
  <w:num w:numId="48">
    <w:abstractNumId w:val="30"/>
  </w:num>
  <w:num w:numId="49">
    <w:abstractNumId w:val="2"/>
  </w:num>
  <w:num w:numId="50">
    <w:abstractNumId w:val="19"/>
  </w:num>
  <w:num w:numId="51">
    <w:abstractNumId w:val="63"/>
  </w:num>
  <w:num w:numId="52">
    <w:abstractNumId w:val="28"/>
  </w:num>
  <w:num w:numId="53">
    <w:abstractNumId w:val="5"/>
  </w:num>
  <w:num w:numId="54">
    <w:abstractNumId w:val="12"/>
  </w:num>
  <w:num w:numId="55">
    <w:abstractNumId w:val="32"/>
  </w:num>
  <w:num w:numId="56">
    <w:abstractNumId w:val="22"/>
  </w:num>
  <w:num w:numId="57">
    <w:abstractNumId w:val="38"/>
  </w:num>
  <w:num w:numId="58">
    <w:abstractNumId w:val="14"/>
  </w:num>
  <w:num w:numId="59">
    <w:abstractNumId w:val="59"/>
  </w:num>
  <w:num w:numId="60">
    <w:abstractNumId w:val="52"/>
  </w:num>
  <w:num w:numId="61">
    <w:abstractNumId w:val="24"/>
  </w:num>
  <w:num w:numId="62">
    <w:abstractNumId w:val="64"/>
  </w:num>
  <w:num w:numId="63">
    <w:abstractNumId w:val="45"/>
  </w:num>
  <w:num w:numId="64">
    <w:abstractNumId w:val="35"/>
  </w:num>
  <w:num w:numId="65">
    <w:abstractNumId w:val="53"/>
  </w:num>
  <w:num w:numId="66">
    <w:abstractNumId w:val="43"/>
  </w:num>
  <w:num w:numId="67">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GrammaticalErrors/>
  <w:attachedTemplate r:id="rId1"/>
  <w:defaultTabStop w:val="720"/>
  <w:doNotHyphenateCaps/>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CA"/>
    <w:rsid w:val="00002FDD"/>
    <w:rsid w:val="0000483A"/>
    <w:rsid w:val="00004A87"/>
    <w:rsid w:val="000059BB"/>
    <w:rsid w:val="0000710A"/>
    <w:rsid w:val="0000746A"/>
    <w:rsid w:val="00011896"/>
    <w:rsid w:val="00011B41"/>
    <w:rsid w:val="0001320C"/>
    <w:rsid w:val="00013241"/>
    <w:rsid w:val="000143FB"/>
    <w:rsid w:val="00014A31"/>
    <w:rsid w:val="0001570C"/>
    <w:rsid w:val="000227A6"/>
    <w:rsid w:val="00022FB9"/>
    <w:rsid w:val="00025001"/>
    <w:rsid w:val="0002538D"/>
    <w:rsid w:val="000259AF"/>
    <w:rsid w:val="00025D04"/>
    <w:rsid w:val="00027D65"/>
    <w:rsid w:val="000329A8"/>
    <w:rsid w:val="0003329C"/>
    <w:rsid w:val="0003335A"/>
    <w:rsid w:val="00034129"/>
    <w:rsid w:val="00035F3B"/>
    <w:rsid w:val="0003710A"/>
    <w:rsid w:val="00037E40"/>
    <w:rsid w:val="000409F4"/>
    <w:rsid w:val="00041C04"/>
    <w:rsid w:val="0004340F"/>
    <w:rsid w:val="00043D80"/>
    <w:rsid w:val="00043E9C"/>
    <w:rsid w:val="00044E43"/>
    <w:rsid w:val="000456F8"/>
    <w:rsid w:val="00050BFD"/>
    <w:rsid w:val="00051977"/>
    <w:rsid w:val="000519DA"/>
    <w:rsid w:val="00052062"/>
    <w:rsid w:val="00052427"/>
    <w:rsid w:val="00052515"/>
    <w:rsid w:val="0005316A"/>
    <w:rsid w:val="000547C9"/>
    <w:rsid w:val="000603C2"/>
    <w:rsid w:val="00064FFA"/>
    <w:rsid w:val="00066312"/>
    <w:rsid w:val="000667A1"/>
    <w:rsid w:val="00067930"/>
    <w:rsid w:val="00070784"/>
    <w:rsid w:val="0007411A"/>
    <w:rsid w:val="00076AAB"/>
    <w:rsid w:val="00077AE8"/>
    <w:rsid w:val="00077B67"/>
    <w:rsid w:val="00077D33"/>
    <w:rsid w:val="00081A6C"/>
    <w:rsid w:val="00082E59"/>
    <w:rsid w:val="00083C89"/>
    <w:rsid w:val="000860F5"/>
    <w:rsid w:val="00087ED0"/>
    <w:rsid w:val="00091F24"/>
    <w:rsid w:val="00092E36"/>
    <w:rsid w:val="000949EE"/>
    <w:rsid w:val="00096B0E"/>
    <w:rsid w:val="00096C93"/>
    <w:rsid w:val="000971DA"/>
    <w:rsid w:val="000A03BE"/>
    <w:rsid w:val="000A0C0C"/>
    <w:rsid w:val="000A2F00"/>
    <w:rsid w:val="000B0F63"/>
    <w:rsid w:val="000B32D7"/>
    <w:rsid w:val="000B38E6"/>
    <w:rsid w:val="000B695D"/>
    <w:rsid w:val="000C06E8"/>
    <w:rsid w:val="000C27E2"/>
    <w:rsid w:val="000C4EEB"/>
    <w:rsid w:val="000C5483"/>
    <w:rsid w:val="000C5725"/>
    <w:rsid w:val="000C6471"/>
    <w:rsid w:val="000C797B"/>
    <w:rsid w:val="000D067C"/>
    <w:rsid w:val="000D26B8"/>
    <w:rsid w:val="000D330D"/>
    <w:rsid w:val="000D3975"/>
    <w:rsid w:val="000D3FCE"/>
    <w:rsid w:val="000E1ADA"/>
    <w:rsid w:val="000E292E"/>
    <w:rsid w:val="000E7EDA"/>
    <w:rsid w:val="000F2CCC"/>
    <w:rsid w:val="000F4DFA"/>
    <w:rsid w:val="000F5093"/>
    <w:rsid w:val="000F5459"/>
    <w:rsid w:val="000F55D8"/>
    <w:rsid w:val="000F5FD9"/>
    <w:rsid w:val="000F658F"/>
    <w:rsid w:val="000F676B"/>
    <w:rsid w:val="000F6E74"/>
    <w:rsid w:val="000F72D6"/>
    <w:rsid w:val="000F7B33"/>
    <w:rsid w:val="00100536"/>
    <w:rsid w:val="00102723"/>
    <w:rsid w:val="001056A7"/>
    <w:rsid w:val="00106B1B"/>
    <w:rsid w:val="00106B3C"/>
    <w:rsid w:val="0010771B"/>
    <w:rsid w:val="00111E4B"/>
    <w:rsid w:val="001157A1"/>
    <w:rsid w:val="00117EEE"/>
    <w:rsid w:val="00120307"/>
    <w:rsid w:val="0012168C"/>
    <w:rsid w:val="0012188C"/>
    <w:rsid w:val="00121B3C"/>
    <w:rsid w:val="00122A17"/>
    <w:rsid w:val="0012364B"/>
    <w:rsid w:val="00123A1C"/>
    <w:rsid w:val="00124A28"/>
    <w:rsid w:val="0012587E"/>
    <w:rsid w:val="00126AA6"/>
    <w:rsid w:val="00127E21"/>
    <w:rsid w:val="001341BE"/>
    <w:rsid w:val="001341F5"/>
    <w:rsid w:val="0013622E"/>
    <w:rsid w:val="001421BB"/>
    <w:rsid w:val="00142454"/>
    <w:rsid w:val="00142939"/>
    <w:rsid w:val="0014384E"/>
    <w:rsid w:val="001447E9"/>
    <w:rsid w:val="00144B90"/>
    <w:rsid w:val="00146B22"/>
    <w:rsid w:val="001500A5"/>
    <w:rsid w:val="001507E4"/>
    <w:rsid w:val="00151EFB"/>
    <w:rsid w:val="00153A05"/>
    <w:rsid w:val="00153CFF"/>
    <w:rsid w:val="001569EB"/>
    <w:rsid w:val="00156DCE"/>
    <w:rsid w:val="00156EDB"/>
    <w:rsid w:val="00160D4B"/>
    <w:rsid w:val="00161682"/>
    <w:rsid w:val="0016185A"/>
    <w:rsid w:val="00162299"/>
    <w:rsid w:val="00163578"/>
    <w:rsid w:val="0016389E"/>
    <w:rsid w:val="001638A8"/>
    <w:rsid w:val="00165DD9"/>
    <w:rsid w:val="0017282F"/>
    <w:rsid w:val="00172DA5"/>
    <w:rsid w:val="001744D2"/>
    <w:rsid w:val="00175525"/>
    <w:rsid w:val="001771A5"/>
    <w:rsid w:val="001776FA"/>
    <w:rsid w:val="001808F7"/>
    <w:rsid w:val="0018106E"/>
    <w:rsid w:val="001819D8"/>
    <w:rsid w:val="00182267"/>
    <w:rsid w:val="00184C08"/>
    <w:rsid w:val="00184E7E"/>
    <w:rsid w:val="001859F7"/>
    <w:rsid w:val="0018745D"/>
    <w:rsid w:val="00191413"/>
    <w:rsid w:val="00197DAC"/>
    <w:rsid w:val="001A0C3C"/>
    <w:rsid w:val="001A2043"/>
    <w:rsid w:val="001A48ED"/>
    <w:rsid w:val="001A6FB8"/>
    <w:rsid w:val="001B19D7"/>
    <w:rsid w:val="001B289B"/>
    <w:rsid w:val="001B2FAF"/>
    <w:rsid w:val="001B354D"/>
    <w:rsid w:val="001B3751"/>
    <w:rsid w:val="001B759E"/>
    <w:rsid w:val="001C0582"/>
    <w:rsid w:val="001C109A"/>
    <w:rsid w:val="001C2C22"/>
    <w:rsid w:val="001C3190"/>
    <w:rsid w:val="001C6656"/>
    <w:rsid w:val="001C71B0"/>
    <w:rsid w:val="001C7359"/>
    <w:rsid w:val="001D0073"/>
    <w:rsid w:val="001D0DC8"/>
    <w:rsid w:val="001D2D79"/>
    <w:rsid w:val="001D57B2"/>
    <w:rsid w:val="001E33A7"/>
    <w:rsid w:val="001E4C2D"/>
    <w:rsid w:val="001E656F"/>
    <w:rsid w:val="001E7727"/>
    <w:rsid w:val="001F0334"/>
    <w:rsid w:val="001F2599"/>
    <w:rsid w:val="001F2FDB"/>
    <w:rsid w:val="001F35C7"/>
    <w:rsid w:val="001F3F7D"/>
    <w:rsid w:val="001F4303"/>
    <w:rsid w:val="001F455C"/>
    <w:rsid w:val="001F4AC5"/>
    <w:rsid w:val="001F5F5F"/>
    <w:rsid w:val="001F7499"/>
    <w:rsid w:val="001F77C8"/>
    <w:rsid w:val="001F7A52"/>
    <w:rsid w:val="00202ABD"/>
    <w:rsid w:val="00202AEC"/>
    <w:rsid w:val="00204EA5"/>
    <w:rsid w:val="00211440"/>
    <w:rsid w:val="00211EDF"/>
    <w:rsid w:val="00212C35"/>
    <w:rsid w:val="002130D7"/>
    <w:rsid w:val="00213AE2"/>
    <w:rsid w:val="00216BBD"/>
    <w:rsid w:val="0022048F"/>
    <w:rsid w:val="00220B11"/>
    <w:rsid w:val="002241C7"/>
    <w:rsid w:val="002262E6"/>
    <w:rsid w:val="00232C1A"/>
    <w:rsid w:val="00233509"/>
    <w:rsid w:val="002337B3"/>
    <w:rsid w:val="0023497B"/>
    <w:rsid w:val="002359B1"/>
    <w:rsid w:val="002376F3"/>
    <w:rsid w:val="002413E5"/>
    <w:rsid w:val="00241874"/>
    <w:rsid w:val="00246052"/>
    <w:rsid w:val="002461BB"/>
    <w:rsid w:val="002506AE"/>
    <w:rsid w:val="00250AEC"/>
    <w:rsid w:val="002533F1"/>
    <w:rsid w:val="00253502"/>
    <w:rsid w:val="002612FD"/>
    <w:rsid w:val="00263297"/>
    <w:rsid w:val="002650BC"/>
    <w:rsid w:val="00265A55"/>
    <w:rsid w:val="00270355"/>
    <w:rsid w:val="00271824"/>
    <w:rsid w:val="00271AE5"/>
    <w:rsid w:val="002737C2"/>
    <w:rsid w:val="00274DC0"/>
    <w:rsid w:val="002757A2"/>
    <w:rsid w:val="00276648"/>
    <w:rsid w:val="00280B64"/>
    <w:rsid w:val="00280BA2"/>
    <w:rsid w:val="00285077"/>
    <w:rsid w:val="0028586B"/>
    <w:rsid w:val="00287773"/>
    <w:rsid w:val="00293E3C"/>
    <w:rsid w:val="002961BA"/>
    <w:rsid w:val="002969BD"/>
    <w:rsid w:val="002977F9"/>
    <w:rsid w:val="002A477C"/>
    <w:rsid w:val="002A5CEA"/>
    <w:rsid w:val="002A6E27"/>
    <w:rsid w:val="002A70BF"/>
    <w:rsid w:val="002B0C4E"/>
    <w:rsid w:val="002B1F0B"/>
    <w:rsid w:val="002B303D"/>
    <w:rsid w:val="002B3A3D"/>
    <w:rsid w:val="002B4D09"/>
    <w:rsid w:val="002B561D"/>
    <w:rsid w:val="002B7543"/>
    <w:rsid w:val="002C3AE4"/>
    <w:rsid w:val="002C40A9"/>
    <w:rsid w:val="002C56C1"/>
    <w:rsid w:val="002C627E"/>
    <w:rsid w:val="002C7542"/>
    <w:rsid w:val="002D0B2D"/>
    <w:rsid w:val="002D32B7"/>
    <w:rsid w:val="002D66E3"/>
    <w:rsid w:val="002D67AE"/>
    <w:rsid w:val="002D689D"/>
    <w:rsid w:val="002D7F91"/>
    <w:rsid w:val="002E023D"/>
    <w:rsid w:val="002E0BBF"/>
    <w:rsid w:val="002E6E91"/>
    <w:rsid w:val="002E6F38"/>
    <w:rsid w:val="002E7195"/>
    <w:rsid w:val="002F0873"/>
    <w:rsid w:val="002F0E86"/>
    <w:rsid w:val="002F104F"/>
    <w:rsid w:val="002F1D33"/>
    <w:rsid w:val="002F32B3"/>
    <w:rsid w:val="002F33CD"/>
    <w:rsid w:val="002F3542"/>
    <w:rsid w:val="002F656B"/>
    <w:rsid w:val="002F69C0"/>
    <w:rsid w:val="002F69D5"/>
    <w:rsid w:val="002F79B0"/>
    <w:rsid w:val="0030116D"/>
    <w:rsid w:val="00301B58"/>
    <w:rsid w:val="00303267"/>
    <w:rsid w:val="00303988"/>
    <w:rsid w:val="003042D5"/>
    <w:rsid w:val="003043AC"/>
    <w:rsid w:val="00305D00"/>
    <w:rsid w:val="00307755"/>
    <w:rsid w:val="00307C68"/>
    <w:rsid w:val="003118A9"/>
    <w:rsid w:val="003120C6"/>
    <w:rsid w:val="0031271E"/>
    <w:rsid w:val="00313464"/>
    <w:rsid w:val="0031507E"/>
    <w:rsid w:val="00315487"/>
    <w:rsid w:val="00315D48"/>
    <w:rsid w:val="00316ECB"/>
    <w:rsid w:val="003203FC"/>
    <w:rsid w:val="003227BF"/>
    <w:rsid w:val="00325989"/>
    <w:rsid w:val="0032644E"/>
    <w:rsid w:val="003326AC"/>
    <w:rsid w:val="00332950"/>
    <w:rsid w:val="00333614"/>
    <w:rsid w:val="0033365D"/>
    <w:rsid w:val="00333736"/>
    <w:rsid w:val="00334838"/>
    <w:rsid w:val="0033511F"/>
    <w:rsid w:val="00335751"/>
    <w:rsid w:val="00335921"/>
    <w:rsid w:val="00336D21"/>
    <w:rsid w:val="003371B5"/>
    <w:rsid w:val="00337D6D"/>
    <w:rsid w:val="003407E7"/>
    <w:rsid w:val="003455AC"/>
    <w:rsid w:val="00345BAC"/>
    <w:rsid w:val="0034620F"/>
    <w:rsid w:val="00352308"/>
    <w:rsid w:val="0035387F"/>
    <w:rsid w:val="0035529C"/>
    <w:rsid w:val="0035558D"/>
    <w:rsid w:val="00355F21"/>
    <w:rsid w:val="0035707A"/>
    <w:rsid w:val="00372032"/>
    <w:rsid w:val="00373AA3"/>
    <w:rsid w:val="00375441"/>
    <w:rsid w:val="00376194"/>
    <w:rsid w:val="0038005A"/>
    <w:rsid w:val="00383879"/>
    <w:rsid w:val="00390AE9"/>
    <w:rsid w:val="00395632"/>
    <w:rsid w:val="00395A38"/>
    <w:rsid w:val="003976F6"/>
    <w:rsid w:val="00397935"/>
    <w:rsid w:val="003A00C9"/>
    <w:rsid w:val="003A01BB"/>
    <w:rsid w:val="003A0B5E"/>
    <w:rsid w:val="003A0F87"/>
    <w:rsid w:val="003A3069"/>
    <w:rsid w:val="003A3F19"/>
    <w:rsid w:val="003A4F2C"/>
    <w:rsid w:val="003A58FE"/>
    <w:rsid w:val="003A6AF8"/>
    <w:rsid w:val="003B1747"/>
    <w:rsid w:val="003B3C79"/>
    <w:rsid w:val="003B451E"/>
    <w:rsid w:val="003C2A3E"/>
    <w:rsid w:val="003C3383"/>
    <w:rsid w:val="003C609B"/>
    <w:rsid w:val="003C7082"/>
    <w:rsid w:val="003D0ABF"/>
    <w:rsid w:val="003D1E7E"/>
    <w:rsid w:val="003D28D4"/>
    <w:rsid w:val="003E256E"/>
    <w:rsid w:val="003E3E1A"/>
    <w:rsid w:val="003E4082"/>
    <w:rsid w:val="003E53FB"/>
    <w:rsid w:val="003E5930"/>
    <w:rsid w:val="003E7DE3"/>
    <w:rsid w:val="003F03E5"/>
    <w:rsid w:val="003F151A"/>
    <w:rsid w:val="003F47ED"/>
    <w:rsid w:val="003F63E2"/>
    <w:rsid w:val="00400378"/>
    <w:rsid w:val="00403E6D"/>
    <w:rsid w:val="00404789"/>
    <w:rsid w:val="004063A1"/>
    <w:rsid w:val="00406886"/>
    <w:rsid w:val="004074DC"/>
    <w:rsid w:val="00407A81"/>
    <w:rsid w:val="00414276"/>
    <w:rsid w:val="00414435"/>
    <w:rsid w:val="00416608"/>
    <w:rsid w:val="00420B64"/>
    <w:rsid w:val="00421425"/>
    <w:rsid w:val="0042285A"/>
    <w:rsid w:val="00422B2C"/>
    <w:rsid w:val="004241C0"/>
    <w:rsid w:val="00424F06"/>
    <w:rsid w:val="0042503F"/>
    <w:rsid w:val="00425282"/>
    <w:rsid w:val="00427C19"/>
    <w:rsid w:val="004321E7"/>
    <w:rsid w:val="00432B46"/>
    <w:rsid w:val="00433989"/>
    <w:rsid w:val="00433D27"/>
    <w:rsid w:val="00434C23"/>
    <w:rsid w:val="00434C93"/>
    <w:rsid w:val="004356CA"/>
    <w:rsid w:val="004358C8"/>
    <w:rsid w:val="00435A10"/>
    <w:rsid w:val="004373EE"/>
    <w:rsid w:val="0044138A"/>
    <w:rsid w:val="0044353C"/>
    <w:rsid w:val="0044403E"/>
    <w:rsid w:val="00446407"/>
    <w:rsid w:val="00451C37"/>
    <w:rsid w:val="00454150"/>
    <w:rsid w:val="0045496E"/>
    <w:rsid w:val="0045590D"/>
    <w:rsid w:val="00457444"/>
    <w:rsid w:val="00457E9E"/>
    <w:rsid w:val="00457FCD"/>
    <w:rsid w:val="00462514"/>
    <w:rsid w:val="00463E12"/>
    <w:rsid w:val="00464FEA"/>
    <w:rsid w:val="00474A86"/>
    <w:rsid w:val="00475DC3"/>
    <w:rsid w:val="00476CCC"/>
    <w:rsid w:val="00477306"/>
    <w:rsid w:val="00482188"/>
    <w:rsid w:val="00482CCD"/>
    <w:rsid w:val="004879D1"/>
    <w:rsid w:val="00490059"/>
    <w:rsid w:val="0049133E"/>
    <w:rsid w:val="00492474"/>
    <w:rsid w:val="00492B3D"/>
    <w:rsid w:val="00493111"/>
    <w:rsid w:val="004967C0"/>
    <w:rsid w:val="00497291"/>
    <w:rsid w:val="004A0482"/>
    <w:rsid w:val="004A1544"/>
    <w:rsid w:val="004A19EB"/>
    <w:rsid w:val="004A495E"/>
    <w:rsid w:val="004A4E5F"/>
    <w:rsid w:val="004A4FDA"/>
    <w:rsid w:val="004A54FA"/>
    <w:rsid w:val="004A5DAF"/>
    <w:rsid w:val="004A60B2"/>
    <w:rsid w:val="004A6AF2"/>
    <w:rsid w:val="004A76B5"/>
    <w:rsid w:val="004B040D"/>
    <w:rsid w:val="004B1616"/>
    <w:rsid w:val="004C36FB"/>
    <w:rsid w:val="004C3743"/>
    <w:rsid w:val="004C392C"/>
    <w:rsid w:val="004C4FC8"/>
    <w:rsid w:val="004C5B19"/>
    <w:rsid w:val="004C7602"/>
    <w:rsid w:val="004D0675"/>
    <w:rsid w:val="004D0CEE"/>
    <w:rsid w:val="004D30FC"/>
    <w:rsid w:val="004D6272"/>
    <w:rsid w:val="004D6BCB"/>
    <w:rsid w:val="004D7A12"/>
    <w:rsid w:val="004D7B6C"/>
    <w:rsid w:val="004E0AB3"/>
    <w:rsid w:val="004E0F08"/>
    <w:rsid w:val="004E3C57"/>
    <w:rsid w:val="004E575D"/>
    <w:rsid w:val="004E677F"/>
    <w:rsid w:val="004F1229"/>
    <w:rsid w:val="004F17AF"/>
    <w:rsid w:val="004F26A6"/>
    <w:rsid w:val="004F6A8A"/>
    <w:rsid w:val="004F79DC"/>
    <w:rsid w:val="005022C6"/>
    <w:rsid w:val="0050349F"/>
    <w:rsid w:val="00504B40"/>
    <w:rsid w:val="00504F25"/>
    <w:rsid w:val="00506207"/>
    <w:rsid w:val="00512FB7"/>
    <w:rsid w:val="005136A6"/>
    <w:rsid w:val="00515104"/>
    <w:rsid w:val="005155C9"/>
    <w:rsid w:val="005158E2"/>
    <w:rsid w:val="00520980"/>
    <w:rsid w:val="00520F03"/>
    <w:rsid w:val="00521CE2"/>
    <w:rsid w:val="0052321F"/>
    <w:rsid w:val="005256A7"/>
    <w:rsid w:val="00527D9D"/>
    <w:rsid w:val="0053095E"/>
    <w:rsid w:val="00530E40"/>
    <w:rsid w:val="005313F7"/>
    <w:rsid w:val="0053256E"/>
    <w:rsid w:val="005331E4"/>
    <w:rsid w:val="00533B57"/>
    <w:rsid w:val="00536A1B"/>
    <w:rsid w:val="005372FF"/>
    <w:rsid w:val="00541B4A"/>
    <w:rsid w:val="00542957"/>
    <w:rsid w:val="00545288"/>
    <w:rsid w:val="0054648D"/>
    <w:rsid w:val="005506F3"/>
    <w:rsid w:val="00550ABB"/>
    <w:rsid w:val="0055132C"/>
    <w:rsid w:val="005519EA"/>
    <w:rsid w:val="0055280F"/>
    <w:rsid w:val="0055343D"/>
    <w:rsid w:val="005561AD"/>
    <w:rsid w:val="005610B0"/>
    <w:rsid w:val="00563FF3"/>
    <w:rsid w:val="005648FE"/>
    <w:rsid w:val="00564E97"/>
    <w:rsid w:val="00565299"/>
    <w:rsid w:val="0056559C"/>
    <w:rsid w:val="005664CA"/>
    <w:rsid w:val="00570077"/>
    <w:rsid w:val="0057287C"/>
    <w:rsid w:val="00573112"/>
    <w:rsid w:val="0057595B"/>
    <w:rsid w:val="00576BB4"/>
    <w:rsid w:val="00576FF9"/>
    <w:rsid w:val="00580FD4"/>
    <w:rsid w:val="005832B4"/>
    <w:rsid w:val="00583713"/>
    <w:rsid w:val="00583ED6"/>
    <w:rsid w:val="00584CE0"/>
    <w:rsid w:val="00584FB4"/>
    <w:rsid w:val="005851B9"/>
    <w:rsid w:val="005874C6"/>
    <w:rsid w:val="00590478"/>
    <w:rsid w:val="0059136A"/>
    <w:rsid w:val="00592415"/>
    <w:rsid w:val="00593D78"/>
    <w:rsid w:val="005943FA"/>
    <w:rsid w:val="0059468D"/>
    <w:rsid w:val="005946CD"/>
    <w:rsid w:val="005946F4"/>
    <w:rsid w:val="0059600B"/>
    <w:rsid w:val="0059679A"/>
    <w:rsid w:val="005974B6"/>
    <w:rsid w:val="005A07F3"/>
    <w:rsid w:val="005A10F6"/>
    <w:rsid w:val="005A137F"/>
    <w:rsid w:val="005A1528"/>
    <w:rsid w:val="005A1680"/>
    <w:rsid w:val="005A32E7"/>
    <w:rsid w:val="005A4009"/>
    <w:rsid w:val="005A423B"/>
    <w:rsid w:val="005A5258"/>
    <w:rsid w:val="005A5B4B"/>
    <w:rsid w:val="005A5EBD"/>
    <w:rsid w:val="005A6F1C"/>
    <w:rsid w:val="005A74F8"/>
    <w:rsid w:val="005A7CF7"/>
    <w:rsid w:val="005B1E38"/>
    <w:rsid w:val="005B222C"/>
    <w:rsid w:val="005B6AAE"/>
    <w:rsid w:val="005B6E68"/>
    <w:rsid w:val="005B7231"/>
    <w:rsid w:val="005C2996"/>
    <w:rsid w:val="005C2D70"/>
    <w:rsid w:val="005C3CAF"/>
    <w:rsid w:val="005C4299"/>
    <w:rsid w:val="005C5F7D"/>
    <w:rsid w:val="005C6C78"/>
    <w:rsid w:val="005C743A"/>
    <w:rsid w:val="005C7790"/>
    <w:rsid w:val="005C7833"/>
    <w:rsid w:val="005C7BC3"/>
    <w:rsid w:val="005C7E69"/>
    <w:rsid w:val="005D180C"/>
    <w:rsid w:val="005D1CEE"/>
    <w:rsid w:val="005D51B0"/>
    <w:rsid w:val="005D7781"/>
    <w:rsid w:val="005E07FB"/>
    <w:rsid w:val="005E1DCC"/>
    <w:rsid w:val="005E31F7"/>
    <w:rsid w:val="005E44A3"/>
    <w:rsid w:val="005F13BA"/>
    <w:rsid w:val="005F2F63"/>
    <w:rsid w:val="005F7D54"/>
    <w:rsid w:val="006004F8"/>
    <w:rsid w:val="00604BC8"/>
    <w:rsid w:val="00605C57"/>
    <w:rsid w:val="006074BE"/>
    <w:rsid w:val="006100A3"/>
    <w:rsid w:val="0061039D"/>
    <w:rsid w:val="006138A2"/>
    <w:rsid w:val="00613C59"/>
    <w:rsid w:val="00613CC2"/>
    <w:rsid w:val="00616E0B"/>
    <w:rsid w:val="00616FCF"/>
    <w:rsid w:val="0062068F"/>
    <w:rsid w:val="006209C7"/>
    <w:rsid w:val="0062138C"/>
    <w:rsid w:val="006217CF"/>
    <w:rsid w:val="006218B6"/>
    <w:rsid w:val="006233B5"/>
    <w:rsid w:val="006248D2"/>
    <w:rsid w:val="00626388"/>
    <w:rsid w:val="00627020"/>
    <w:rsid w:val="00630A01"/>
    <w:rsid w:val="00630A33"/>
    <w:rsid w:val="0063168B"/>
    <w:rsid w:val="006324F9"/>
    <w:rsid w:val="0063432F"/>
    <w:rsid w:val="0063490F"/>
    <w:rsid w:val="006365AB"/>
    <w:rsid w:val="00636C91"/>
    <w:rsid w:val="006406A5"/>
    <w:rsid w:val="0064261A"/>
    <w:rsid w:val="00643F08"/>
    <w:rsid w:val="00644249"/>
    <w:rsid w:val="0064478B"/>
    <w:rsid w:val="00651DB9"/>
    <w:rsid w:val="00652304"/>
    <w:rsid w:val="00653197"/>
    <w:rsid w:val="00655914"/>
    <w:rsid w:val="00661226"/>
    <w:rsid w:val="006620A2"/>
    <w:rsid w:val="00662228"/>
    <w:rsid w:val="006624AD"/>
    <w:rsid w:val="00662EC6"/>
    <w:rsid w:val="00663D75"/>
    <w:rsid w:val="006641D8"/>
    <w:rsid w:val="00665030"/>
    <w:rsid w:val="006653DD"/>
    <w:rsid w:val="006664DD"/>
    <w:rsid w:val="00670779"/>
    <w:rsid w:val="006718A1"/>
    <w:rsid w:val="00673F80"/>
    <w:rsid w:val="006761E2"/>
    <w:rsid w:val="00677F64"/>
    <w:rsid w:val="0068039E"/>
    <w:rsid w:val="006853F5"/>
    <w:rsid w:val="00690B35"/>
    <w:rsid w:val="00691759"/>
    <w:rsid w:val="00693757"/>
    <w:rsid w:val="00693770"/>
    <w:rsid w:val="006942FB"/>
    <w:rsid w:val="00694B10"/>
    <w:rsid w:val="00695813"/>
    <w:rsid w:val="00697862"/>
    <w:rsid w:val="00697D98"/>
    <w:rsid w:val="006A3536"/>
    <w:rsid w:val="006A4DFD"/>
    <w:rsid w:val="006A4E3E"/>
    <w:rsid w:val="006A5ABF"/>
    <w:rsid w:val="006A5AED"/>
    <w:rsid w:val="006A63AC"/>
    <w:rsid w:val="006A6FCA"/>
    <w:rsid w:val="006A735D"/>
    <w:rsid w:val="006B0A6E"/>
    <w:rsid w:val="006B0E10"/>
    <w:rsid w:val="006B4060"/>
    <w:rsid w:val="006B572B"/>
    <w:rsid w:val="006B6E17"/>
    <w:rsid w:val="006C0A25"/>
    <w:rsid w:val="006C1A7D"/>
    <w:rsid w:val="006C1D49"/>
    <w:rsid w:val="006C283B"/>
    <w:rsid w:val="006C2B2F"/>
    <w:rsid w:val="006C46BB"/>
    <w:rsid w:val="006C528F"/>
    <w:rsid w:val="006C541A"/>
    <w:rsid w:val="006C645C"/>
    <w:rsid w:val="006C6EE4"/>
    <w:rsid w:val="006C7818"/>
    <w:rsid w:val="006D4F44"/>
    <w:rsid w:val="006D7E05"/>
    <w:rsid w:val="006E515D"/>
    <w:rsid w:val="006F2C1A"/>
    <w:rsid w:val="006F3BE0"/>
    <w:rsid w:val="006F48F1"/>
    <w:rsid w:val="006F4A57"/>
    <w:rsid w:val="006F78A0"/>
    <w:rsid w:val="00700910"/>
    <w:rsid w:val="00701D60"/>
    <w:rsid w:val="00701FD8"/>
    <w:rsid w:val="0070534E"/>
    <w:rsid w:val="00706210"/>
    <w:rsid w:val="00706B77"/>
    <w:rsid w:val="00707BB9"/>
    <w:rsid w:val="007104C0"/>
    <w:rsid w:val="00710ABE"/>
    <w:rsid w:val="00710ECA"/>
    <w:rsid w:val="007118F9"/>
    <w:rsid w:val="007138A0"/>
    <w:rsid w:val="00715D04"/>
    <w:rsid w:val="00716516"/>
    <w:rsid w:val="00720EEF"/>
    <w:rsid w:val="00722F2E"/>
    <w:rsid w:val="00723652"/>
    <w:rsid w:val="00723E47"/>
    <w:rsid w:val="007256C6"/>
    <w:rsid w:val="00725E52"/>
    <w:rsid w:val="00727979"/>
    <w:rsid w:val="00730449"/>
    <w:rsid w:val="00730945"/>
    <w:rsid w:val="00731C5D"/>
    <w:rsid w:val="007347FD"/>
    <w:rsid w:val="00735938"/>
    <w:rsid w:val="00735A66"/>
    <w:rsid w:val="00736C0B"/>
    <w:rsid w:val="007370E1"/>
    <w:rsid w:val="0074176E"/>
    <w:rsid w:val="0074448D"/>
    <w:rsid w:val="0074540E"/>
    <w:rsid w:val="00745CB5"/>
    <w:rsid w:val="00746D40"/>
    <w:rsid w:val="00754888"/>
    <w:rsid w:val="00757860"/>
    <w:rsid w:val="007579F8"/>
    <w:rsid w:val="00765E7D"/>
    <w:rsid w:val="00770177"/>
    <w:rsid w:val="00770816"/>
    <w:rsid w:val="007712B2"/>
    <w:rsid w:val="00775786"/>
    <w:rsid w:val="00776F20"/>
    <w:rsid w:val="007816F3"/>
    <w:rsid w:val="0078233C"/>
    <w:rsid w:val="0078322B"/>
    <w:rsid w:val="00784569"/>
    <w:rsid w:val="00784FA6"/>
    <w:rsid w:val="00787658"/>
    <w:rsid w:val="00791040"/>
    <w:rsid w:val="007919A8"/>
    <w:rsid w:val="0079339A"/>
    <w:rsid w:val="0079362B"/>
    <w:rsid w:val="00793D9E"/>
    <w:rsid w:val="00795204"/>
    <w:rsid w:val="007954A2"/>
    <w:rsid w:val="0079562F"/>
    <w:rsid w:val="007A023D"/>
    <w:rsid w:val="007A061A"/>
    <w:rsid w:val="007A0DF6"/>
    <w:rsid w:val="007A14A8"/>
    <w:rsid w:val="007A1888"/>
    <w:rsid w:val="007A3840"/>
    <w:rsid w:val="007A3DD2"/>
    <w:rsid w:val="007A4D70"/>
    <w:rsid w:val="007A4D9D"/>
    <w:rsid w:val="007A5166"/>
    <w:rsid w:val="007A64EC"/>
    <w:rsid w:val="007A6692"/>
    <w:rsid w:val="007B0A82"/>
    <w:rsid w:val="007B260B"/>
    <w:rsid w:val="007B335C"/>
    <w:rsid w:val="007B5E9A"/>
    <w:rsid w:val="007B7693"/>
    <w:rsid w:val="007B7BF4"/>
    <w:rsid w:val="007B7EF1"/>
    <w:rsid w:val="007C0AE3"/>
    <w:rsid w:val="007C0CCE"/>
    <w:rsid w:val="007C243D"/>
    <w:rsid w:val="007C4A66"/>
    <w:rsid w:val="007C55A6"/>
    <w:rsid w:val="007C5E76"/>
    <w:rsid w:val="007C71A4"/>
    <w:rsid w:val="007D2AE9"/>
    <w:rsid w:val="007D641B"/>
    <w:rsid w:val="007D6DB6"/>
    <w:rsid w:val="007D7D72"/>
    <w:rsid w:val="007D7F4B"/>
    <w:rsid w:val="007E0C94"/>
    <w:rsid w:val="007E475B"/>
    <w:rsid w:val="007E4D28"/>
    <w:rsid w:val="007E5B6E"/>
    <w:rsid w:val="007F1AE9"/>
    <w:rsid w:val="007F2716"/>
    <w:rsid w:val="007F484B"/>
    <w:rsid w:val="007F5E13"/>
    <w:rsid w:val="007F5FE1"/>
    <w:rsid w:val="007F6094"/>
    <w:rsid w:val="007F6DCD"/>
    <w:rsid w:val="00800F3F"/>
    <w:rsid w:val="00801902"/>
    <w:rsid w:val="008040DC"/>
    <w:rsid w:val="008041AD"/>
    <w:rsid w:val="00806A43"/>
    <w:rsid w:val="00807BD9"/>
    <w:rsid w:val="0081175D"/>
    <w:rsid w:val="0081597F"/>
    <w:rsid w:val="00820654"/>
    <w:rsid w:val="0082071D"/>
    <w:rsid w:val="00822339"/>
    <w:rsid w:val="008225AA"/>
    <w:rsid w:val="00825037"/>
    <w:rsid w:val="00825BFB"/>
    <w:rsid w:val="00826329"/>
    <w:rsid w:val="008313E2"/>
    <w:rsid w:val="00831F3F"/>
    <w:rsid w:val="0083341D"/>
    <w:rsid w:val="00834F5C"/>
    <w:rsid w:val="00837FFD"/>
    <w:rsid w:val="008400DF"/>
    <w:rsid w:val="008436FC"/>
    <w:rsid w:val="00845ECA"/>
    <w:rsid w:val="008511BB"/>
    <w:rsid w:val="008535F4"/>
    <w:rsid w:val="00854C72"/>
    <w:rsid w:val="00855183"/>
    <w:rsid w:val="00856186"/>
    <w:rsid w:val="00857158"/>
    <w:rsid w:val="00860272"/>
    <w:rsid w:val="00860491"/>
    <w:rsid w:val="00865C43"/>
    <w:rsid w:val="008725A8"/>
    <w:rsid w:val="0087471B"/>
    <w:rsid w:val="00874FA3"/>
    <w:rsid w:val="00876D0F"/>
    <w:rsid w:val="00877F87"/>
    <w:rsid w:val="00880D6B"/>
    <w:rsid w:val="00884A09"/>
    <w:rsid w:val="008859ED"/>
    <w:rsid w:val="0088674A"/>
    <w:rsid w:val="00887BEE"/>
    <w:rsid w:val="00890B28"/>
    <w:rsid w:val="00890FEB"/>
    <w:rsid w:val="0089310E"/>
    <w:rsid w:val="00893631"/>
    <w:rsid w:val="00894C72"/>
    <w:rsid w:val="008951A6"/>
    <w:rsid w:val="008A0477"/>
    <w:rsid w:val="008A367B"/>
    <w:rsid w:val="008A519F"/>
    <w:rsid w:val="008A52E4"/>
    <w:rsid w:val="008A5D03"/>
    <w:rsid w:val="008A7239"/>
    <w:rsid w:val="008B0183"/>
    <w:rsid w:val="008B08AE"/>
    <w:rsid w:val="008B1EC3"/>
    <w:rsid w:val="008B3BBE"/>
    <w:rsid w:val="008B5A26"/>
    <w:rsid w:val="008B6302"/>
    <w:rsid w:val="008B6A00"/>
    <w:rsid w:val="008C03BD"/>
    <w:rsid w:val="008C28F5"/>
    <w:rsid w:val="008C2C00"/>
    <w:rsid w:val="008C394E"/>
    <w:rsid w:val="008D062F"/>
    <w:rsid w:val="008D2F83"/>
    <w:rsid w:val="008D33BE"/>
    <w:rsid w:val="008D5F11"/>
    <w:rsid w:val="008D6CDF"/>
    <w:rsid w:val="008D76D6"/>
    <w:rsid w:val="008E2AF0"/>
    <w:rsid w:val="008E6664"/>
    <w:rsid w:val="008F02DE"/>
    <w:rsid w:val="008F0B37"/>
    <w:rsid w:val="008F0B4C"/>
    <w:rsid w:val="008F0CF9"/>
    <w:rsid w:val="008F1F3F"/>
    <w:rsid w:val="008F2082"/>
    <w:rsid w:val="008F2320"/>
    <w:rsid w:val="008F3088"/>
    <w:rsid w:val="008F3400"/>
    <w:rsid w:val="008F3A59"/>
    <w:rsid w:val="008F5C28"/>
    <w:rsid w:val="009012A8"/>
    <w:rsid w:val="00901717"/>
    <w:rsid w:val="009021C6"/>
    <w:rsid w:val="009029A9"/>
    <w:rsid w:val="009029B4"/>
    <w:rsid w:val="009040DD"/>
    <w:rsid w:val="00906D32"/>
    <w:rsid w:val="009074AC"/>
    <w:rsid w:val="00911DB6"/>
    <w:rsid w:val="00912499"/>
    <w:rsid w:val="00912D4B"/>
    <w:rsid w:val="009144C1"/>
    <w:rsid w:val="00914857"/>
    <w:rsid w:val="00914BA6"/>
    <w:rsid w:val="00915D09"/>
    <w:rsid w:val="00916152"/>
    <w:rsid w:val="00916AFE"/>
    <w:rsid w:val="0091734F"/>
    <w:rsid w:val="00917565"/>
    <w:rsid w:val="009177CF"/>
    <w:rsid w:val="0091781F"/>
    <w:rsid w:val="0092165F"/>
    <w:rsid w:val="00926984"/>
    <w:rsid w:val="009277E5"/>
    <w:rsid w:val="009278F0"/>
    <w:rsid w:val="00930C67"/>
    <w:rsid w:val="00930CF0"/>
    <w:rsid w:val="00930E0B"/>
    <w:rsid w:val="00932A71"/>
    <w:rsid w:val="00932FDD"/>
    <w:rsid w:val="009427C5"/>
    <w:rsid w:val="00944B2D"/>
    <w:rsid w:val="00945EAD"/>
    <w:rsid w:val="00945FF3"/>
    <w:rsid w:val="00947849"/>
    <w:rsid w:val="009502B6"/>
    <w:rsid w:val="00953D2C"/>
    <w:rsid w:val="009540ED"/>
    <w:rsid w:val="00960E57"/>
    <w:rsid w:val="009641BE"/>
    <w:rsid w:val="00964FF0"/>
    <w:rsid w:val="00967EA6"/>
    <w:rsid w:val="00970236"/>
    <w:rsid w:val="00971D9F"/>
    <w:rsid w:val="00974CAA"/>
    <w:rsid w:val="00975157"/>
    <w:rsid w:val="00977450"/>
    <w:rsid w:val="009817CA"/>
    <w:rsid w:val="009829EC"/>
    <w:rsid w:val="009840D4"/>
    <w:rsid w:val="009846C4"/>
    <w:rsid w:val="00985466"/>
    <w:rsid w:val="0098603A"/>
    <w:rsid w:val="009862DD"/>
    <w:rsid w:val="00986C57"/>
    <w:rsid w:val="00986FFC"/>
    <w:rsid w:val="00991148"/>
    <w:rsid w:val="009917C1"/>
    <w:rsid w:val="00993414"/>
    <w:rsid w:val="009935FE"/>
    <w:rsid w:val="009A0D6D"/>
    <w:rsid w:val="009A12BE"/>
    <w:rsid w:val="009A24F2"/>
    <w:rsid w:val="009A3184"/>
    <w:rsid w:val="009A33E2"/>
    <w:rsid w:val="009A4785"/>
    <w:rsid w:val="009A4EE6"/>
    <w:rsid w:val="009A60EF"/>
    <w:rsid w:val="009A6463"/>
    <w:rsid w:val="009A6E3D"/>
    <w:rsid w:val="009B1AB4"/>
    <w:rsid w:val="009B3613"/>
    <w:rsid w:val="009C03C8"/>
    <w:rsid w:val="009C148A"/>
    <w:rsid w:val="009C1C0B"/>
    <w:rsid w:val="009C2ACF"/>
    <w:rsid w:val="009C3367"/>
    <w:rsid w:val="009C424F"/>
    <w:rsid w:val="009C52F5"/>
    <w:rsid w:val="009C6B95"/>
    <w:rsid w:val="009D0E08"/>
    <w:rsid w:val="009D1167"/>
    <w:rsid w:val="009D2A4F"/>
    <w:rsid w:val="009D2CB6"/>
    <w:rsid w:val="009D3065"/>
    <w:rsid w:val="009D5BB7"/>
    <w:rsid w:val="009D6DA4"/>
    <w:rsid w:val="009D7323"/>
    <w:rsid w:val="009E0C25"/>
    <w:rsid w:val="009E0E61"/>
    <w:rsid w:val="009E0F0A"/>
    <w:rsid w:val="009E3534"/>
    <w:rsid w:val="009E730D"/>
    <w:rsid w:val="009F18FC"/>
    <w:rsid w:val="009F1DCB"/>
    <w:rsid w:val="009F22B0"/>
    <w:rsid w:val="009F2944"/>
    <w:rsid w:val="009F2F34"/>
    <w:rsid w:val="009F4B9C"/>
    <w:rsid w:val="009F6F28"/>
    <w:rsid w:val="009F77DC"/>
    <w:rsid w:val="00A006A1"/>
    <w:rsid w:val="00A00721"/>
    <w:rsid w:val="00A020F5"/>
    <w:rsid w:val="00A03FE2"/>
    <w:rsid w:val="00A055C7"/>
    <w:rsid w:val="00A06663"/>
    <w:rsid w:val="00A0677D"/>
    <w:rsid w:val="00A076CC"/>
    <w:rsid w:val="00A1018E"/>
    <w:rsid w:val="00A10D5F"/>
    <w:rsid w:val="00A10FFE"/>
    <w:rsid w:val="00A14D36"/>
    <w:rsid w:val="00A2025B"/>
    <w:rsid w:val="00A2112E"/>
    <w:rsid w:val="00A230BF"/>
    <w:rsid w:val="00A23AA4"/>
    <w:rsid w:val="00A23CF3"/>
    <w:rsid w:val="00A25118"/>
    <w:rsid w:val="00A257AC"/>
    <w:rsid w:val="00A2698F"/>
    <w:rsid w:val="00A277FF"/>
    <w:rsid w:val="00A30D6A"/>
    <w:rsid w:val="00A31EB2"/>
    <w:rsid w:val="00A32C64"/>
    <w:rsid w:val="00A34160"/>
    <w:rsid w:val="00A3657D"/>
    <w:rsid w:val="00A371A1"/>
    <w:rsid w:val="00A44E75"/>
    <w:rsid w:val="00A462B7"/>
    <w:rsid w:val="00A47BED"/>
    <w:rsid w:val="00A51788"/>
    <w:rsid w:val="00A535F3"/>
    <w:rsid w:val="00A5426D"/>
    <w:rsid w:val="00A544A5"/>
    <w:rsid w:val="00A55881"/>
    <w:rsid w:val="00A573CC"/>
    <w:rsid w:val="00A5751E"/>
    <w:rsid w:val="00A57841"/>
    <w:rsid w:val="00A60444"/>
    <w:rsid w:val="00A610DF"/>
    <w:rsid w:val="00A62903"/>
    <w:rsid w:val="00A630FE"/>
    <w:rsid w:val="00A64E3B"/>
    <w:rsid w:val="00A65BDD"/>
    <w:rsid w:val="00A67D70"/>
    <w:rsid w:val="00A71CE8"/>
    <w:rsid w:val="00A73A91"/>
    <w:rsid w:val="00A77155"/>
    <w:rsid w:val="00A771EC"/>
    <w:rsid w:val="00A80717"/>
    <w:rsid w:val="00A80A8F"/>
    <w:rsid w:val="00A8299E"/>
    <w:rsid w:val="00A82DAF"/>
    <w:rsid w:val="00A83F5D"/>
    <w:rsid w:val="00A841EA"/>
    <w:rsid w:val="00A86CFD"/>
    <w:rsid w:val="00A87B9B"/>
    <w:rsid w:val="00A905AF"/>
    <w:rsid w:val="00A90877"/>
    <w:rsid w:val="00A92C72"/>
    <w:rsid w:val="00A93642"/>
    <w:rsid w:val="00A95349"/>
    <w:rsid w:val="00A96C06"/>
    <w:rsid w:val="00A96C53"/>
    <w:rsid w:val="00AA09AF"/>
    <w:rsid w:val="00AA0A6B"/>
    <w:rsid w:val="00AA13B1"/>
    <w:rsid w:val="00AA2A0D"/>
    <w:rsid w:val="00AA2F9C"/>
    <w:rsid w:val="00AA5339"/>
    <w:rsid w:val="00AB00CF"/>
    <w:rsid w:val="00AB0894"/>
    <w:rsid w:val="00AB3587"/>
    <w:rsid w:val="00AB35FC"/>
    <w:rsid w:val="00AB4704"/>
    <w:rsid w:val="00AB6147"/>
    <w:rsid w:val="00AB7915"/>
    <w:rsid w:val="00AB7C12"/>
    <w:rsid w:val="00AC0B40"/>
    <w:rsid w:val="00AC192D"/>
    <w:rsid w:val="00AC2149"/>
    <w:rsid w:val="00AC2951"/>
    <w:rsid w:val="00AC3A3D"/>
    <w:rsid w:val="00AC4E84"/>
    <w:rsid w:val="00AC68E5"/>
    <w:rsid w:val="00AC7550"/>
    <w:rsid w:val="00AC7BE5"/>
    <w:rsid w:val="00AD355F"/>
    <w:rsid w:val="00AD55CF"/>
    <w:rsid w:val="00AD5DD6"/>
    <w:rsid w:val="00AD72F0"/>
    <w:rsid w:val="00AD784E"/>
    <w:rsid w:val="00AE11D1"/>
    <w:rsid w:val="00AE184E"/>
    <w:rsid w:val="00AE356A"/>
    <w:rsid w:val="00AE482F"/>
    <w:rsid w:val="00AE4E87"/>
    <w:rsid w:val="00AE52E4"/>
    <w:rsid w:val="00AE5615"/>
    <w:rsid w:val="00AE6957"/>
    <w:rsid w:val="00AF0B30"/>
    <w:rsid w:val="00AF3B8D"/>
    <w:rsid w:val="00AF5CBC"/>
    <w:rsid w:val="00AF5DF4"/>
    <w:rsid w:val="00AF7278"/>
    <w:rsid w:val="00AF747B"/>
    <w:rsid w:val="00B00DE6"/>
    <w:rsid w:val="00B01048"/>
    <w:rsid w:val="00B01A56"/>
    <w:rsid w:val="00B01B77"/>
    <w:rsid w:val="00B03764"/>
    <w:rsid w:val="00B03EE0"/>
    <w:rsid w:val="00B04221"/>
    <w:rsid w:val="00B05BEB"/>
    <w:rsid w:val="00B07DE1"/>
    <w:rsid w:val="00B12E54"/>
    <w:rsid w:val="00B130AC"/>
    <w:rsid w:val="00B1338A"/>
    <w:rsid w:val="00B13B39"/>
    <w:rsid w:val="00B143B8"/>
    <w:rsid w:val="00B159EE"/>
    <w:rsid w:val="00B15E06"/>
    <w:rsid w:val="00B164DD"/>
    <w:rsid w:val="00B16817"/>
    <w:rsid w:val="00B23E58"/>
    <w:rsid w:val="00B25074"/>
    <w:rsid w:val="00B27BA2"/>
    <w:rsid w:val="00B30545"/>
    <w:rsid w:val="00B336CF"/>
    <w:rsid w:val="00B34AE7"/>
    <w:rsid w:val="00B3629F"/>
    <w:rsid w:val="00B37FC3"/>
    <w:rsid w:val="00B44C73"/>
    <w:rsid w:val="00B45102"/>
    <w:rsid w:val="00B476C3"/>
    <w:rsid w:val="00B506C7"/>
    <w:rsid w:val="00B50FA4"/>
    <w:rsid w:val="00B51AF1"/>
    <w:rsid w:val="00B53B37"/>
    <w:rsid w:val="00B54DEF"/>
    <w:rsid w:val="00B57BCB"/>
    <w:rsid w:val="00B61654"/>
    <w:rsid w:val="00B626EF"/>
    <w:rsid w:val="00B65614"/>
    <w:rsid w:val="00B66850"/>
    <w:rsid w:val="00B67E4B"/>
    <w:rsid w:val="00B7269A"/>
    <w:rsid w:val="00B72A4B"/>
    <w:rsid w:val="00B7593C"/>
    <w:rsid w:val="00B75EFD"/>
    <w:rsid w:val="00B770DA"/>
    <w:rsid w:val="00B80410"/>
    <w:rsid w:val="00B81935"/>
    <w:rsid w:val="00B81B0F"/>
    <w:rsid w:val="00B82F41"/>
    <w:rsid w:val="00B84B1C"/>
    <w:rsid w:val="00B85F61"/>
    <w:rsid w:val="00B92263"/>
    <w:rsid w:val="00B94581"/>
    <w:rsid w:val="00B94F07"/>
    <w:rsid w:val="00B96E37"/>
    <w:rsid w:val="00B973D2"/>
    <w:rsid w:val="00BA20B1"/>
    <w:rsid w:val="00BA381D"/>
    <w:rsid w:val="00BA448F"/>
    <w:rsid w:val="00BA4509"/>
    <w:rsid w:val="00BA6AD6"/>
    <w:rsid w:val="00BA6D3E"/>
    <w:rsid w:val="00BA75CA"/>
    <w:rsid w:val="00BB05D3"/>
    <w:rsid w:val="00BB10D5"/>
    <w:rsid w:val="00BB1D48"/>
    <w:rsid w:val="00BB20B2"/>
    <w:rsid w:val="00BB3760"/>
    <w:rsid w:val="00BB3E60"/>
    <w:rsid w:val="00BB3F17"/>
    <w:rsid w:val="00BB69AA"/>
    <w:rsid w:val="00BB7CBF"/>
    <w:rsid w:val="00BC2CDA"/>
    <w:rsid w:val="00BC5754"/>
    <w:rsid w:val="00BD188C"/>
    <w:rsid w:val="00BD1D50"/>
    <w:rsid w:val="00BD2C8E"/>
    <w:rsid w:val="00BD3DCB"/>
    <w:rsid w:val="00BD3F67"/>
    <w:rsid w:val="00BD6597"/>
    <w:rsid w:val="00BE1E10"/>
    <w:rsid w:val="00BE20A7"/>
    <w:rsid w:val="00BE20FF"/>
    <w:rsid w:val="00BE531B"/>
    <w:rsid w:val="00BE5E38"/>
    <w:rsid w:val="00BE69D9"/>
    <w:rsid w:val="00BE780F"/>
    <w:rsid w:val="00BE7A95"/>
    <w:rsid w:val="00BF19DE"/>
    <w:rsid w:val="00BF39A3"/>
    <w:rsid w:val="00BF3E15"/>
    <w:rsid w:val="00BF4BDB"/>
    <w:rsid w:val="00BF5102"/>
    <w:rsid w:val="00BF636D"/>
    <w:rsid w:val="00BF7001"/>
    <w:rsid w:val="00BF7331"/>
    <w:rsid w:val="00C006A4"/>
    <w:rsid w:val="00C02E5D"/>
    <w:rsid w:val="00C02F60"/>
    <w:rsid w:val="00C0319D"/>
    <w:rsid w:val="00C03A44"/>
    <w:rsid w:val="00C041A0"/>
    <w:rsid w:val="00C0500C"/>
    <w:rsid w:val="00C0514B"/>
    <w:rsid w:val="00C06557"/>
    <w:rsid w:val="00C10574"/>
    <w:rsid w:val="00C10884"/>
    <w:rsid w:val="00C11719"/>
    <w:rsid w:val="00C13844"/>
    <w:rsid w:val="00C138AC"/>
    <w:rsid w:val="00C1432E"/>
    <w:rsid w:val="00C16A3E"/>
    <w:rsid w:val="00C16B13"/>
    <w:rsid w:val="00C20207"/>
    <w:rsid w:val="00C304E6"/>
    <w:rsid w:val="00C3120F"/>
    <w:rsid w:val="00C32CE4"/>
    <w:rsid w:val="00C3393E"/>
    <w:rsid w:val="00C36D2A"/>
    <w:rsid w:val="00C371AF"/>
    <w:rsid w:val="00C372ED"/>
    <w:rsid w:val="00C37E00"/>
    <w:rsid w:val="00C40360"/>
    <w:rsid w:val="00C40D49"/>
    <w:rsid w:val="00C41A60"/>
    <w:rsid w:val="00C42B07"/>
    <w:rsid w:val="00C4455A"/>
    <w:rsid w:val="00C4604B"/>
    <w:rsid w:val="00C47A8F"/>
    <w:rsid w:val="00C5148A"/>
    <w:rsid w:val="00C5481C"/>
    <w:rsid w:val="00C5485A"/>
    <w:rsid w:val="00C553EA"/>
    <w:rsid w:val="00C56A5D"/>
    <w:rsid w:val="00C56F33"/>
    <w:rsid w:val="00C60577"/>
    <w:rsid w:val="00C60EE6"/>
    <w:rsid w:val="00C61687"/>
    <w:rsid w:val="00C64ABC"/>
    <w:rsid w:val="00C709D4"/>
    <w:rsid w:val="00C71567"/>
    <w:rsid w:val="00C737F2"/>
    <w:rsid w:val="00C74EFB"/>
    <w:rsid w:val="00C764D2"/>
    <w:rsid w:val="00C769B5"/>
    <w:rsid w:val="00C76F64"/>
    <w:rsid w:val="00C776A1"/>
    <w:rsid w:val="00C77C4E"/>
    <w:rsid w:val="00C80058"/>
    <w:rsid w:val="00C82D9B"/>
    <w:rsid w:val="00C875C1"/>
    <w:rsid w:val="00C90CF8"/>
    <w:rsid w:val="00C9149E"/>
    <w:rsid w:val="00C92191"/>
    <w:rsid w:val="00C930FF"/>
    <w:rsid w:val="00C95B15"/>
    <w:rsid w:val="00CA00EE"/>
    <w:rsid w:val="00CA2D72"/>
    <w:rsid w:val="00CA563A"/>
    <w:rsid w:val="00CB1CCC"/>
    <w:rsid w:val="00CB1E3B"/>
    <w:rsid w:val="00CB3201"/>
    <w:rsid w:val="00CB6651"/>
    <w:rsid w:val="00CB6A5B"/>
    <w:rsid w:val="00CB78A4"/>
    <w:rsid w:val="00CC1B86"/>
    <w:rsid w:val="00CC1DB1"/>
    <w:rsid w:val="00CC4430"/>
    <w:rsid w:val="00CC56B9"/>
    <w:rsid w:val="00CC67F6"/>
    <w:rsid w:val="00CD3DFC"/>
    <w:rsid w:val="00CD4734"/>
    <w:rsid w:val="00CD5837"/>
    <w:rsid w:val="00CE01BD"/>
    <w:rsid w:val="00CE28C4"/>
    <w:rsid w:val="00CE38E6"/>
    <w:rsid w:val="00CE42E3"/>
    <w:rsid w:val="00CE494B"/>
    <w:rsid w:val="00CE5A91"/>
    <w:rsid w:val="00CE6DD0"/>
    <w:rsid w:val="00CE750B"/>
    <w:rsid w:val="00CE7C40"/>
    <w:rsid w:val="00CF002A"/>
    <w:rsid w:val="00CF1DD3"/>
    <w:rsid w:val="00CF27EA"/>
    <w:rsid w:val="00CF2A9B"/>
    <w:rsid w:val="00CF4C09"/>
    <w:rsid w:val="00CF596A"/>
    <w:rsid w:val="00CF5F1F"/>
    <w:rsid w:val="00CF743A"/>
    <w:rsid w:val="00CF7B6F"/>
    <w:rsid w:val="00CF7E70"/>
    <w:rsid w:val="00CF7E9E"/>
    <w:rsid w:val="00D1056A"/>
    <w:rsid w:val="00D10E67"/>
    <w:rsid w:val="00D1386C"/>
    <w:rsid w:val="00D155B0"/>
    <w:rsid w:val="00D15C7F"/>
    <w:rsid w:val="00D177A4"/>
    <w:rsid w:val="00D17DB8"/>
    <w:rsid w:val="00D20ADB"/>
    <w:rsid w:val="00D220E0"/>
    <w:rsid w:val="00D2252C"/>
    <w:rsid w:val="00D22AF3"/>
    <w:rsid w:val="00D231A4"/>
    <w:rsid w:val="00D23800"/>
    <w:rsid w:val="00D23856"/>
    <w:rsid w:val="00D238D6"/>
    <w:rsid w:val="00D24CEF"/>
    <w:rsid w:val="00D3257D"/>
    <w:rsid w:val="00D34422"/>
    <w:rsid w:val="00D35905"/>
    <w:rsid w:val="00D35DDD"/>
    <w:rsid w:val="00D35F5D"/>
    <w:rsid w:val="00D36361"/>
    <w:rsid w:val="00D365A5"/>
    <w:rsid w:val="00D37898"/>
    <w:rsid w:val="00D40B4C"/>
    <w:rsid w:val="00D43966"/>
    <w:rsid w:val="00D43D59"/>
    <w:rsid w:val="00D440B6"/>
    <w:rsid w:val="00D449A2"/>
    <w:rsid w:val="00D45400"/>
    <w:rsid w:val="00D4683C"/>
    <w:rsid w:val="00D46C2B"/>
    <w:rsid w:val="00D4775D"/>
    <w:rsid w:val="00D51B77"/>
    <w:rsid w:val="00D52B63"/>
    <w:rsid w:val="00D52DC2"/>
    <w:rsid w:val="00D54ACF"/>
    <w:rsid w:val="00D5558D"/>
    <w:rsid w:val="00D55777"/>
    <w:rsid w:val="00D5661D"/>
    <w:rsid w:val="00D56B51"/>
    <w:rsid w:val="00D61C2E"/>
    <w:rsid w:val="00D660ED"/>
    <w:rsid w:val="00D6777F"/>
    <w:rsid w:val="00D7071E"/>
    <w:rsid w:val="00D70E80"/>
    <w:rsid w:val="00D72F08"/>
    <w:rsid w:val="00D75A33"/>
    <w:rsid w:val="00D771ED"/>
    <w:rsid w:val="00D77330"/>
    <w:rsid w:val="00D77630"/>
    <w:rsid w:val="00D82F26"/>
    <w:rsid w:val="00D83C6D"/>
    <w:rsid w:val="00D84154"/>
    <w:rsid w:val="00D84F1C"/>
    <w:rsid w:val="00D856C3"/>
    <w:rsid w:val="00D85D80"/>
    <w:rsid w:val="00D868E9"/>
    <w:rsid w:val="00D872B9"/>
    <w:rsid w:val="00D87BDB"/>
    <w:rsid w:val="00D92614"/>
    <w:rsid w:val="00D9442A"/>
    <w:rsid w:val="00D97CAC"/>
    <w:rsid w:val="00DA69F1"/>
    <w:rsid w:val="00DA7B6B"/>
    <w:rsid w:val="00DB1DE7"/>
    <w:rsid w:val="00DB1E1D"/>
    <w:rsid w:val="00DB2797"/>
    <w:rsid w:val="00DB3EF8"/>
    <w:rsid w:val="00DB3F06"/>
    <w:rsid w:val="00DB5203"/>
    <w:rsid w:val="00DB5375"/>
    <w:rsid w:val="00DB5865"/>
    <w:rsid w:val="00DB5D06"/>
    <w:rsid w:val="00DB5D40"/>
    <w:rsid w:val="00DC0A3C"/>
    <w:rsid w:val="00DC0F91"/>
    <w:rsid w:val="00DC1611"/>
    <w:rsid w:val="00DC1D14"/>
    <w:rsid w:val="00DC2694"/>
    <w:rsid w:val="00DC38DF"/>
    <w:rsid w:val="00DC6912"/>
    <w:rsid w:val="00DD0DB7"/>
    <w:rsid w:val="00DD1820"/>
    <w:rsid w:val="00DD1C7D"/>
    <w:rsid w:val="00DD1CD0"/>
    <w:rsid w:val="00DD2D32"/>
    <w:rsid w:val="00DD3193"/>
    <w:rsid w:val="00DD463B"/>
    <w:rsid w:val="00DD46E5"/>
    <w:rsid w:val="00DD5587"/>
    <w:rsid w:val="00DE0AE8"/>
    <w:rsid w:val="00DE0DE9"/>
    <w:rsid w:val="00DE0EA0"/>
    <w:rsid w:val="00DE17D9"/>
    <w:rsid w:val="00DE1885"/>
    <w:rsid w:val="00DE24DB"/>
    <w:rsid w:val="00DE5A61"/>
    <w:rsid w:val="00DF1184"/>
    <w:rsid w:val="00DF1497"/>
    <w:rsid w:val="00DF1E74"/>
    <w:rsid w:val="00DF48C2"/>
    <w:rsid w:val="00DF5479"/>
    <w:rsid w:val="00DF60A7"/>
    <w:rsid w:val="00DF6D37"/>
    <w:rsid w:val="00DF7BFA"/>
    <w:rsid w:val="00E06D29"/>
    <w:rsid w:val="00E070C7"/>
    <w:rsid w:val="00E0786C"/>
    <w:rsid w:val="00E103D5"/>
    <w:rsid w:val="00E11615"/>
    <w:rsid w:val="00E11D71"/>
    <w:rsid w:val="00E15441"/>
    <w:rsid w:val="00E160DF"/>
    <w:rsid w:val="00E2059D"/>
    <w:rsid w:val="00E20D70"/>
    <w:rsid w:val="00E25E35"/>
    <w:rsid w:val="00E3134A"/>
    <w:rsid w:val="00E340DC"/>
    <w:rsid w:val="00E356E4"/>
    <w:rsid w:val="00E35EB0"/>
    <w:rsid w:val="00E37C59"/>
    <w:rsid w:val="00E41E3D"/>
    <w:rsid w:val="00E42091"/>
    <w:rsid w:val="00E434EF"/>
    <w:rsid w:val="00E44344"/>
    <w:rsid w:val="00E44F98"/>
    <w:rsid w:val="00E4554A"/>
    <w:rsid w:val="00E520DE"/>
    <w:rsid w:val="00E538E4"/>
    <w:rsid w:val="00E53DAF"/>
    <w:rsid w:val="00E60120"/>
    <w:rsid w:val="00E607C4"/>
    <w:rsid w:val="00E6166A"/>
    <w:rsid w:val="00E628C2"/>
    <w:rsid w:val="00E63AFD"/>
    <w:rsid w:val="00E63F3E"/>
    <w:rsid w:val="00E6695A"/>
    <w:rsid w:val="00E6740B"/>
    <w:rsid w:val="00E67D48"/>
    <w:rsid w:val="00E72100"/>
    <w:rsid w:val="00E728A4"/>
    <w:rsid w:val="00E734BE"/>
    <w:rsid w:val="00E73D4E"/>
    <w:rsid w:val="00E74060"/>
    <w:rsid w:val="00E74281"/>
    <w:rsid w:val="00E7590B"/>
    <w:rsid w:val="00E75C3F"/>
    <w:rsid w:val="00E773D3"/>
    <w:rsid w:val="00E77E5B"/>
    <w:rsid w:val="00E83ECE"/>
    <w:rsid w:val="00E853E8"/>
    <w:rsid w:val="00E86253"/>
    <w:rsid w:val="00E90F6E"/>
    <w:rsid w:val="00E9236B"/>
    <w:rsid w:val="00E923C4"/>
    <w:rsid w:val="00E92D47"/>
    <w:rsid w:val="00E93A35"/>
    <w:rsid w:val="00E93B09"/>
    <w:rsid w:val="00E96957"/>
    <w:rsid w:val="00E9719B"/>
    <w:rsid w:val="00EA1A02"/>
    <w:rsid w:val="00EA2307"/>
    <w:rsid w:val="00EA30AC"/>
    <w:rsid w:val="00EA6CC0"/>
    <w:rsid w:val="00EA7427"/>
    <w:rsid w:val="00EA7538"/>
    <w:rsid w:val="00EA7B3B"/>
    <w:rsid w:val="00EA7E60"/>
    <w:rsid w:val="00EA7EED"/>
    <w:rsid w:val="00EB1951"/>
    <w:rsid w:val="00EB20DF"/>
    <w:rsid w:val="00EB351D"/>
    <w:rsid w:val="00EB4EE8"/>
    <w:rsid w:val="00EB634B"/>
    <w:rsid w:val="00EC06DA"/>
    <w:rsid w:val="00EC433A"/>
    <w:rsid w:val="00EC6403"/>
    <w:rsid w:val="00EC6524"/>
    <w:rsid w:val="00EC79E9"/>
    <w:rsid w:val="00ED0817"/>
    <w:rsid w:val="00ED3B33"/>
    <w:rsid w:val="00ED3D64"/>
    <w:rsid w:val="00ED4435"/>
    <w:rsid w:val="00ED4631"/>
    <w:rsid w:val="00ED496F"/>
    <w:rsid w:val="00ED61BB"/>
    <w:rsid w:val="00ED654B"/>
    <w:rsid w:val="00EE00F5"/>
    <w:rsid w:val="00EE57E6"/>
    <w:rsid w:val="00EE5EBC"/>
    <w:rsid w:val="00EF25D8"/>
    <w:rsid w:val="00EF2821"/>
    <w:rsid w:val="00EF2B73"/>
    <w:rsid w:val="00EF4095"/>
    <w:rsid w:val="00EF4BB5"/>
    <w:rsid w:val="00EF5F14"/>
    <w:rsid w:val="00EF6280"/>
    <w:rsid w:val="00F02B59"/>
    <w:rsid w:val="00F046B0"/>
    <w:rsid w:val="00F052C9"/>
    <w:rsid w:val="00F05523"/>
    <w:rsid w:val="00F06A57"/>
    <w:rsid w:val="00F071C7"/>
    <w:rsid w:val="00F07248"/>
    <w:rsid w:val="00F10234"/>
    <w:rsid w:val="00F1026F"/>
    <w:rsid w:val="00F108A3"/>
    <w:rsid w:val="00F11A25"/>
    <w:rsid w:val="00F1281A"/>
    <w:rsid w:val="00F207DD"/>
    <w:rsid w:val="00F222A4"/>
    <w:rsid w:val="00F23B5E"/>
    <w:rsid w:val="00F24DD6"/>
    <w:rsid w:val="00F257B2"/>
    <w:rsid w:val="00F26D73"/>
    <w:rsid w:val="00F30838"/>
    <w:rsid w:val="00F31267"/>
    <w:rsid w:val="00F33C86"/>
    <w:rsid w:val="00F35188"/>
    <w:rsid w:val="00F36F16"/>
    <w:rsid w:val="00F3759D"/>
    <w:rsid w:val="00F415CB"/>
    <w:rsid w:val="00F42B56"/>
    <w:rsid w:val="00F42B63"/>
    <w:rsid w:val="00F4459A"/>
    <w:rsid w:val="00F445F4"/>
    <w:rsid w:val="00F4494C"/>
    <w:rsid w:val="00F45F8A"/>
    <w:rsid w:val="00F504B4"/>
    <w:rsid w:val="00F5335B"/>
    <w:rsid w:val="00F54754"/>
    <w:rsid w:val="00F56444"/>
    <w:rsid w:val="00F612FB"/>
    <w:rsid w:val="00F62DA7"/>
    <w:rsid w:val="00F67501"/>
    <w:rsid w:val="00F67B36"/>
    <w:rsid w:val="00F70951"/>
    <w:rsid w:val="00F712FD"/>
    <w:rsid w:val="00F71979"/>
    <w:rsid w:val="00F72D7F"/>
    <w:rsid w:val="00F73340"/>
    <w:rsid w:val="00F75FF2"/>
    <w:rsid w:val="00F76D4D"/>
    <w:rsid w:val="00F80F10"/>
    <w:rsid w:val="00F8127C"/>
    <w:rsid w:val="00F82138"/>
    <w:rsid w:val="00F82BCB"/>
    <w:rsid w:val="00F832AA"/>
    <w:rsid w:val="00F83593"/>
    <w:rsid w:val="00F8671B"/>
    <w:rsid w:val="00F86CA5"/>
    <w:rsid w:val="00F90302"/>
    <w:rsid w:val="00F91E51"/>
    <w:rsid w:val="00F92933"/>
    <w:rsid w:val="00F92C73"/>
    <w:rsid w:val="00F96722"/>
    <w:rsid w:val="00F9691E"/>
    <w:rsid w:val="00F97191"/>
    <w:rsid w:val="00F97843"/>
    <w:rsid w:val="00F97D6D"/>
    <w:rsid w:val="00FA1BAE"/>
    <w:rsid w:val="00FA24DF"/>
    <w:rsid w:val="00FA25FD"/>
    <w:rsid w:val="00FB2A0C"/>
    <w:rsid w:val="00FB355A"/>
    <w:rsid w:val="00FB44D0"/>
    <w:rsid w:val="00FB572C"/>
    <w:rsid w:val="00FB5E8C"/>
    <w:rsid w:val="00FB6BFF"/>
    <w:rsid w:val="00FC1CBA"/>
    <w:rsid w:val="00FC22A5"/>
    <w:rsid w:val="00FC290C"/>
    <w:rsid w:val="00FC4425"/>
    <w:rsid w:val="00FC449A"/>
    <w:rsid w:val="00FC618D"/>
    <w:rsid w:val="00FC62B3"/>
    <w:rsid w:val="00FC67B6"/>
    <w:rsid w:val="00FC7798"/>
    <w:rsid w:val="00FD0ADA"/>
    <w:rsid w:val="00FD0AF6"/>
    <w:rsid w:val="00FD0C87"/>
    <w:rsid w:val="00FD15A2"/>
    <w:rsid w:val="00FD2118"/>
    <w:rsid w:val="00FD2DEB"/>
    <w:rsid w:val="00FD39AB"/>
    <w:rsid w:val="00FD6BC8"/>
    <w:rsid w:val="00FE15E7"/>
    <w:rsid w:val="00FE1904"/>
    <w:rsid w:val="00FE2216"/>
    <w:rsid w:val="00FE5164"/>
    <w:rsid w:val="00FE51D6"/>
    <w:rsid w:val="00FE5318"/>
    <w:rsid w:val="00FE7A15"/>
    <w:rsid w:val="00FF05DD"/>
    <w:rsid w:val="00FF0ACB"/>
    <w:rsid w:val="00FF120E"/>
    <w:rsid w:val="00FF1CFD"/>
    <w:rsid w:val="00FF6FC8"/>
    <w:rsid w:val="00FF7E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table of figures" w:uiPriority="0"/>
    <w:lsdException w:name="envelope address" w:uiPriority="0"/>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3" w:uiPriority="0"/>
    <w:lsdException w:name="List Bullet 4" w:uiPriority="0"/>
    <w:lsdException w:name="List Number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HTML Variabl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34" w:unhideWhenUsed="0" w:qFormat="1"/>
    <w:lsdException w:name="Colorful Grid Accent 1" w:semiHidden="0" w:uiPriority="0" w:unhideWhenUsed="0" w:qFormat="1"/>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DC1D14"/>
    <w:rPr>
      <w:rFonts w:ascii="Times New Roman" w:hAnsi="Times New Roman"/>
      <w:color w:val="000000"/>
      <w:sz w:val="22"/>
      <w:szCs w:val="24"/>
      <w:lang w:val="en-GB"/>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2 Char1 Char Ch"/>
    <w:basedOn w:val="Normal"/>
    <w:next w:val="Normal"/>
    <w:qFormat/>
    <w:pPr>
      <w:keepNext/>
      <w:spacing w:after="120" w:line="240" w:lineRule="atLeast"/>
      <w:ind w:left="1077" w:hanging="1077"/>
      <w:jc w:val="both"/>
      <w:outlineLvl w:val="0"/>
    </w:pPr>
    <w:rPr>
      <w:b/>
      <w:bCs/>
      <w:sz w:val="28"/>
      <w:szCs w:val="28"/>
    </w:rPr>
  </w:style>
  <w:style w:type="paragraph" w:styleId="Heading2">
    <w:name w:val="heading 2"/>
    <w:aliases w:val="SubPara (a),Heading 2 Char,Heading 2 Char1 Char,Heading 2 Char Char Char,SubPara (a) Char Char Char,Heading 2 Char3 Char Char Char,Heading 2 Char Char2 Char Char Char,Heading 2 Char1 Char Char1 Char Char Char,Heading 2 Char3"/>
    <w:basedOn w:val="Normal"/>
    <w:next w:val="Normal"/>
    <w:qFormat/>
    <w:rsid w:val="008D5F11"/>
    <w:pPr>
      <w:keepNext/>
      <w:numPr>
        <w:ilvl w:val="1"/>
      </w:numPr>
      <w:tabs>
        <w:tab w:val="num" w:pos="578"/>
        <w:tab w:val="left" w:pos="1080"/>
      </w:tabs>
      <w:spacing w:after="120" w:line="240" w:lineRule="atLeast"/>
      <w:ind w:left="578" w:hanging="578"/>
      <w:outlineLvl w:val="1"/>
    </w:pPr>
    <w:rPr>
      <w:b/>
      <w:bCs/>
      <w:sz w:val="24"/>
      <w:lang w:eastAsia="ja-JP"/>
    </w:rPr>
  </w:style>
  <w:style w:type="paragraph" w:styleId="Heading3">
    <w:name w:val="heading 3"/>
    <w:aliases w:val="Char,Char Char,Heading 3 Char,Heading 3 Char1,Heading 3 Char Char,Char Char Char,Char Char1,Heading 3 Char1 Char,Heading 3 Char Char Char,Char Char Char Char,Char Char1 Char,Heading 3 Char2,Char Char2,Char Char Char1,Heading 3 Char Char1,H"/>
    <w:basedOn w:val="Normal"/>
    <w:next w:val="Normal"/>
    <w:qFormat/>
    <w:pPr>
      <w:keepNext/>
      <w:tabs>
        <w:tab w:val="left" w:pos="1080"/>
        <w:tab w:val="left" w:pos="1134"/>
      </w:tabs>
      <w:spacing w:after="120" w:line="240" w:lineRule="atLeast"/>
      <w:ind w:left="1077" w:hanging="1077"/>
      <w:outlineLvl w:val="2"/>
    </w:pPr>
    <w:rPr>
      <w:b/>
      <w:bCs/>
      <w:i/>
      <w:iCs/>
    </w:rPr>
  </w:style>
  <w:style w:type="paragraph" w:styleId="Heading4">
    <w:name w:val="heading 4"/>
    <w:aliases w:val="MainPara"/>
    <w:basedOn w:val="Normal"/>
    <w:next w:val="Normal"/>
    <w:qFormat/>
    <w:pPr>
      <w:keepNext/>
      <w:widowControl w:val="0"/>
      <w:tabs>
        <w:tab w:val="left" w:pos="1080"/>
      </w:tabs>
      <w:spacing w:after="120"/>
      <w:jc w:val="both"/>
      <w:outlineLvl w:val="3"/>
    </w:pPr>
    <w:rPr>
      <w:b/>
      <w:bCs/>
      <w:i/>
      <w:iCs/>
    </w:rPr>
  </w:style>
  <w:style w:type="paragraph" w:styleId="Heading5">
    <w:name w:val="heading 5"/>
    <w:aliases w:val="Subpara 2"/>
    <w:basedOn w:val="Normal"/>
    <w:next w:val="Normal"/>
    <w:qFormat/>
    <w:pPr>
      <w:keepNext/>
      <w:widowControl w:val="0"/>
      <w:tabs>
        <w:tab w:val="left" w:pos="2160"/>
        <w:tab w:val="left" w:pos="2880"/>
        <w:tab w:val="left" w:pos="3600"/>
        <w:tab w:val="left" w:pos="4320"/>
        <w:tab w:val="left" w:pos="5040"/>
        <w:tab w:val="left" w:pos="6480"/>
        <w:tab w:val="left" w:pos="7200"/>
        <w:tab w:val="left" w:pos="7920"/>
      </w:tabs>
      <w:outlineLvl w:val="4"/>
    </w:pPr>
    <w:rPr>
      <w:b/>
      <w:bCs/>
      <w:sz w:val="28"/>
      <w:szCs w:val="28"/>
    </w:rPr>
  </w:style>
  <w:style w:type="paragraph" w:styleId="Heading6">
    <w:name w:val="heading 6"/>
    <w:aliases w:val="Subpara 3"/>
    <w:basedOn w:val="Normal"/>
    <w:next w:val="Normal"/>
    <w:qFormat/>
    <w:pPr>
      <w:keepNext/>
      <w:tabs>
        <w:tab w:val="left" w:pos="230"/>
        <w:tab w:val="left" w:pos="1877"/>
      </w:tabs>
      <w:spacing w:before="48"/>
      <w:ind w:left="900"/>
      <w:outlineLvl w:val="5"/>
    </w:pPr>
    <w:rPr>
      <w:b/>
      <w:bCs/>
    </w:rPr>
  </w:style>
  <w:style w:type="paragraph" w:styleId="Heading7">
    <w:name w:val="heading 7"/>
    <w:aliases w:val="Subpara 4"/>
    <w:basedOn w:val="Normal"/>
    <w:next w:val="Normal"/>
    <w:qFormat/>
    <w:pPr>
      <w:keepNext/>
      <w:spacing w:before="48"/>
      <w:ind w:left="163"/>
      <w:jc w:val="center"/>
      <w:outlineLvl w:val="6"/>
    </w:pPr>
    <w:rPr>
      <w:b/>
      <w:bCs/>
    </w:rPr>
  </w:style>
  <w:style w:type="paragraph" w:styleId="Heading8">
    <w:name w:val="heading 8"/>
    <w:aliases w:val="Subpara 5"/>
    <w:basedOn w:val="Normal"/>
    <w:next w:val="Normal"/>
    <w:qFormat/>
    <w:pPr>
      <w:keepNext/>
      <w:tabs>
        <w:tab w:val="left" w:pos="1440"/>
        <w:tab w:val="left" w:pos="2160"/>
        <w:tab w:val="left" w:pos="2880"/>
        <w:tab w:val="left" w:pos="3600"/>
        <w:tab w:val="left" w:pos="6480"/>
        <w:tab w:val="left" w:pos="7290"/>
        <w:tab w:val="left" w:pos="7920"/>
        <w:tab w:val="left" w:pos="8640"/>
      </w:tabs>
      <w:spacing w:line="240" w:lineRule="exact"/>
      <w:outlineLvl w:val="7"/>
    </w:pPr>
    <w:rPr>
      <w:b/>
      <w:bCs/>
    </w:rPr>
  </w:style>
  <w:style w:type="paragraph" w:styleId="Heading9">
    <w:name w:val="heading 9"/>
    <w:aliases w:val="Subpara 6"/>
    <w:basedOn w:val="Normal"/>
    <w:next w:val="Normal"/>
    <w:qFormat/>
    <w:pPr>
      <w:keepNext/>
      <w:tabs>
        <w:tab w:val="left" w:pos="0"/>
      </w:tabs>
      <w:suppressAutoHyphens/>
      <w:ind w:hanging="567"/>
      <w:outlineLvl w:val="8"/>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Body Text Char Char Char Char Char,Body Text Char Char Char Char,Char Char3"/>
    <w:basedOn w:val="Normal"/>
    <w:link w:val="BodyTextChar3"/>
    <w:semiHidden/>
    <w:pPr>
      <w:spacing w:line="240" w:lineRule="atLeast"/>
    </w:p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emiHidden/>
  </w:style>
  <w:style w:type="paragraph" w:styleId="Header">
    <w:name w:val="header"/>
    <w:aliases w:val="EthylHeader"/>
    <w:basedOn w:val="Normal"/>
    <w:uiPriority w:val="99"/>
    <w:pPr>
      <w:tabs>
        <w:tab w:val="center" w:pos="4320"/>
        <w:tab w:val="right" w:pos="8640"/>
      </w:tabs>
    </w:pPr>
  </w:style>
  <w:style w:type="paragraph" w:customStyle="1" w:styleId="ChapterHeading">
    <w:name w:val="Chapter Heading"/>
    <w:basedOn w:val="Heading1"/>
  </w:style>
  <w:style w:type="paragraph" w:styleId="BodyTextIndent2">
    <w:name w:val="Body Text Indent 2"/>
    <w:basedOn w:val="Normal"/>
    <w:semiHidden/>
    <w:pPr>
      <w:widowControl w:val="0"/>
      <w:ind w:left="720" w:hanging="720"/>
      <w:jc w:val="both"/>
    </w:pPr>
    <w:rPr>
      <w:b/>
      <w:bCs/>
      <w:sz w:val="32"/>
      <w:szCs w:val="32"/>
    </w:rPr>
  </w:style>
  <w:style w:type="paragraph" w:customStyle="1" w:styleId="Sectionheading">
    <w:name w:val="Section heading"/>
    <w:basedOn w:val="Heading2"/>
  </w:style>
  <w:style w:type="paragraph" w:customStyle="1" w:styleId="Sectionsub-heading">
    <w:name w:val="Section sub-heading"/>
    <w:basedOn w:val="Heading3"/>
  </w:style>
  <w:style w:type="paragraph" w:customStyle="1" w:styleId="Bullet">
    <w:name w:val="Bullet"/>
    <w:basedOn w:val="Normal"/>
    <w:pPr>
      <w:numPr>
        <w:numId w:val="1"/>
      </w:numPr>
      <w:spacing w:before="120"/>
      <w:ind w:left="144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
    <w:semiHidden/>
    <w:rPr>
      <w:vertAlign w:val="superscript"/>
    </w:rPr>
  </w:style>
  <w:style w:type="paragraph" w:styleId="ListBullet">
    <w:name w:val="List Bullet"/>
    <w:basedOn w:val="Normal"/>
    <w:semiHidden/>
    <w:pPr>
      <w:widowControl w:val="0"/>
      <w:spacing w:after="240"/>
      <w:ind w:left="425" w:hanging="425"/>
    </w:pPr>
    <w:rPr>
      <w:color w:val="auto"/>
    </w:rPr>
  </w:style>
  <w:style w:type="paragraph" w:styleId="ListNumber">
    <w:name w:val="List Number"/>
    <w:basedOn w:val="Normal"/>
    <w:semiHidden/>
    <w:pPr>
      <w:widowControl w:val="0"/>
      <w:spacing w:before="120"/>
      <w:ind w:left="1512" w:hanging="432"/>
    </w:pPr>
    <w:rPr>
      <w:color w:val="auto"/>
    </w:rPr>
  </w:style>
  <w:style w:type="paragraph" w:styleId="FootnoteText">
    <w:name w:val="footnote text"/>
    <w:aliases w:val="Fußnotentextf,Geneva 9,Font: Geneva 9,Boston 10,f,-E Fußnotentext,Fußnotentext Ursprung,-E Fußnotentext1,-E Fußnotentext2,-E Fußnotentext3,Fußnotentext Char1,Fußnotentext Char Char,Fußnotentext Char1 Char Char"/>
    <w:basedOn w:val="Normal"/>
    <w:semiHidden/>
    <w:pPr>
      <w:widowControl w:val="0"/>
      <w:spacing w:after="240"/>
    </w:pPr>
    <w:rPr>
      <w:color w:val="auto"/>
      <w:sz w:val="20"/>
      <w:szCs w:val="20"/>
    </w:rPr>
  </w:style>
  <w:style w:type="paragraph" w:customStyle="1" w:styleId="HTOCReport">
    <w:name w:val="HTOC Report"/>
    <w:basedOn w:val="Normal"/>
    <w:rPr>
      <w:rFonts w:ascii="Times" w:hAnsi="Times" w:cs="Arial Unicode MS"/>
      <w:color w:val="auto"/>
    </w:rPr>
  </w:style>
  <w:style w:type="paragraph" w:customStyle="1" w:styleId="Style1">
    <w:name w:val="Style1"/>
    <w:basedOn w:val="Normal"/>
    <w:pPr>
      <w:tabs>
        <w:tab w:val="left" w:pos="720"/>
        <w:tab w:val="left" w:pos="1440"/>
        <w:tab w:val="left" w:pos="5760"/>
      </w:tabs>
      <w:jc w:val="both"/>
    </w:pPr>
    <w:rPr>
      <w:rFonts w:ascii="Symbol" w:hAnsi="Symbol"/>
      <w:color w:val="auto"/>
    </w:rPr>
  </w:style>
  <w:style w:type="character" w:styleId="CommentReference">
    <w:name w:val="annotation reference"/>
    <w:uiPriority w:val="99"/>
    <w:semiHidden/>
    <w:rPr>
      <w:sz w:val="16"/>
      <w:szCs w:val="16"/>
    </w:rPr>
  </w:style>
  <w:style w:type="paragraph" w:styleId="CommentText">
    <w:name w:val="annotation text"/>
    <w:basedOn w:val="Normal"/>
    <w:semiHidden/>
    <w:pPr>
      <w:tabs>
        <w:tab w:val="left" w:pos="720"/>
        <w:tab w:val="left" w:pos="1440"/>
        <w:tab w:val="left" w:pos="5760"/>
      </w:tabs>
      <w:jc w:val="both"/>
    </w:pPr>
    <w:rPr>
      <w:color w:val="auto"/>
      <w:sz w:val="20"/>
      <w:szCs w:val="20"/>
    </w:rPr>
  </w:style>
  <w:style w:type="paragraph" w:styleId="BodyTextIndent">
    <w:name w:val="Body Text Indent"/>
    <w:basedOn w:val="Normal"/>
    <w:semiHidden/>
    <w:pPr>
      <w:tabs>
        <w:tab w:val="left" w:pos="720"/>
        <w:tab w:val="center" w:pos="3870"/>
        <w:tab w:val="left" w:pos="4320"/>
        <w:tab w:val="left" w:pos="5040"/>
        <w:tab w:val="left" w:pos="6480"/>
        <w:tab w:val="left" w:pos="7200"/>
        <w:tab w:val="left" w:pos="7920"/>
      </w:tabs>
      <w:ind w:left="709" w:hanging="709"/>
      <w:jc w:val="both"/>
    </w:pPr>
    <w:rPr>
      <w:color w:val="auto"/>
    </w:rPr>
  </w:style>
  <w:style w:type="paragraph" w:styleId="BodyTextIndent3">
    <w:name w:val="Body Text Indent 3"/>
    <w:basedOn w:val="Normal"/>
    <w:semiHidden/>
    <w:pPr>
      <w:tabs>
        <w:tab w:val="left" w:pos="1134"/>
        <w:tab w:val="left" w:pos="4230"/>
      </w:tabs>
      <w:ind w:left="1134" w:hanging="1134"/>
    </w:pPr>
    <w:rPr>
      <w:i/>
      <w:iCs/>
      <w:color w:val="auto"/>
    </w:rPr>
  </w:style>
  <w:style w:type="paragraph" w:styleId="BodyText2">
    <w:name w:val="Body Text 2"/>
    <w:basedOn w:val="Normal"/>
    <w:semiHidden/>
    <w:pPr>
      <w:jc w:val="both"/>
    </w:pPr>
    <w:rPr>
      <w:color w:val="auto"/>
      <w:sz w:val="32"/>
      <w:szCs w:val="32"/>
    </w:rPr>
  </w:style>
  <w:style w:type="paragraph" w:styleId="BodyText3">
    <w:name w:val="Body Text 3"/>
    <w:basedOn w:val="Normal"/>
    <w:semiHidden/>
    <w:pPr>
      <w:spacing w:before="120" w:after="120"/>
      <w:jc w:val="both"/>
    </w:pPr>
    <w:rPr>
      <w:color w:val="auto"/>
      <w:lang w:val="en-AU"/>
    </w:rPr>
  </w:style>
  <w:style w:type="paragraph" w:styleId="TOC1">
    <w:name w:val="toc 1"/>
    <w:basedOn w:val="Normal"/>
    <w:next w:val="Normal"/>
    <w:autoRedefine/>
    <w:uiPriority w:val="39"/>
    <w:pPr>
      <w:keepNext/>
      <w:tabs>
        <w:tab w:val="left" w:pos="425"/>
        <w:tab w:val="right" w:leader="dot" w:pos="9000"/>
      </w:tabs>
      <w:spacing w:before="120"/>
      <w:ind w:left="425" w:hanging="425"/>
    </w:pPr>
    <w:rPr>
      <w:b/>
      <w:caps/>
      <w:noProof/>
      <w:sz w:val="20"/>
    </w:rPr>
  </w:style>
  <w:style w:type="paragraph" w:styleId="TOC2">
    <w:name w:val="toc 2"/>
    <w:basedOn w:val="Normal"/>
    <w:next w:val="Normal"/>
    <w:autoRedefine/>
    <w:uiPriority w:val="39"/>
    <w:pPr>
      <w:tabs>
        <w:tab w:val="left" w:pos="426"/>
        <w:tab w:val="left" w:pos="851"/>
        <w:tab w:val="right" w:pos="9000"/>
      </w:tabs>
      <w:ind w:left="709" w:hanging="709"/>
    </w:pPr>
    <w:rPr>
      <w:smallCaps/>
      <w:noProof/>
      <w:sz w:val="20"/>
    </w:rPr>
  </w:style>
  <w:style w:type="paragraph" w:styleId="TOC3">
    <w:name w:val="toc 3"/>
    <w:basedOn w:val="Normal"/>
    <w:next w:val="Normal"/>
    <w:autoRedefine/>
    <w:uiPriority w:val="39"/>
    <w:pPr>
      <w:tabs>
        <w:tab w:val="right" w:leader="dot" w:pos="9000"/>
      </w:tabs>
      <w:ind w:left="1170" w:hanging="690"/>
    </w:pPr>
    <w:rPr>
      <w:i/>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BlockText">
    <w:name w:val="Block Text"/>
    <w:basedOn w:val="Normal"/>
    <w:semiHidden/>
    <w:pPr>
      <w:suppressAutoHyphens/>
      <w:ind w:right="216"/>
    </w:pPr>
    <w:rPr>
      <w:szCs w:val="22"/>
    </w:rPr>
  </w:style>
  <w:style w:type="paragraph" w:customStyle="1" w:styleId="Decision">
    <w:name w:val="Decision"/>
    <w:basedOn w:val="Normal"/>
    <w:pPr>
      <w:keepLines/>
      <w:jc w:val="right"/>
    </w:pPr>
    <w:rPr>
      <w:b/>
      <w:bCs/>
      <w:color w:val="auto"/>
    </w:rPr>
  </w:style>
  <w:style w:type="paragraph" w:customStyle="1" w:styleId="sub-title">
    <w:name w:val="sub-title"/>
    <w:pPr>
      <w:jc w:val="both"/>
      <w:outlineLvl w:val="0"/>
    </w:pPr>
    <w:rPr>
      <w:rFonts w:ascii="Times New Roman" w:hAnsi="Times New Roman"/>
      <w:b/>
      <w:bCs/>
      <w:noProof/>
      <w:sz w:val="24"/>
      <w:szCs w:val="24"/>
    </w:rPr>
  </w:style>
  <w:style w:type="paragraph" w:customStyle="1" w:styleId="Title1">
    <w:name w:val="Title1"/>
    <w:pPr>
      <w:jc w:val="center"/>
      <w:outlineLvl w:val="0"/>
    </w:pPr>
    <w:rPr>
      <w:rFonts w:ascii="Times New Roman" w:hAnsi="Times New Roman"/>
      <w:b/>
      <w:bCs/>
      <w:caps/>
      <w:sz w:val="24"/>
      <w:szCs w:val="24"/>
      <w:lang w:val="en-GB"/>
    </w:rPr>
  </w:style>
  <w:style w:type="paragraph" w:customStyle="1" w:styleId="StyleHeading2SubParaaHeading2Char2SubParaaChar1Headi">
    <w:name w:val="Style Heading 2SubPara (a)Heading 2 Char2SubPara (a) Char1Headi..."/>
    <w:basedOn w:val="Heading2"/>
    <w:pPr>
      <w:keepNext w:val="0"/>
      <w:widowControl w:val="0"/>
      <w:tabs>
        <w:tab w:val="num" w:pos="360"/>
      </w:tabs>
      <w:spacing w:after="240" w:line="240" w:lineRule="auto"/>
      <w:ind w:left="1440" w:hanging="720"/>
      <w:jc w:val="both"/>
    </w:pPr>
    <w:rPr>
      <w:b w:val="0"/>
      <w:bCs w:val="0"/>
      <w:color w:val="auto"/>
      <w:lang w:eastAsia="en-US"/>
    </w:rPr>
  </w:style>
  <w:style w:type="paragraph" w:styleId="Caption">
    <w:name w:val="caption"/>
    <w:basedOn w:val="Normal"/>
    <w:next w:val="Normal"/>
    <w:qFormat/>
    <w:pPr>
      <w:pBdr>
        <w:bottom w:val="single" w:sz="6" w:space="1" w:color="auto"/>
      </w:pBdr>
      <w:tabs>
        <w:tab w:val="right" w:pos="9639"/>
      </w:tabs>
      <w:jc w:val="center"/>
    </w:pPr>
    <w:rPr>
      <w:b/>
      <w:bCs/>
      <w:i/>
      <w:iCs/>
      <w:color w:val="auto"/>
      <w:szCs w:val="22"/>
      <w:lang w:val="nl-NL" w:eastAsia="en-US"/>
    </w:rPr>
  </w:style>
  <w:style w:type="character" w:styleId="Hyperlink">
    <w:name w:val="Hyperlink"/>
    <w:semiHidden/>
    <w:rPr>
      <w:color w:val="0000FF"/>
      <w:u w:val="single"/>
    </w:rPr>
  </w:style>
  <w:style w:type="paragraph" w:customStyle="1" w:styleId="Table">
    <w:name w:val="Table"/>
    <w:basedOn w:val="Normal"/>
    <w:pPr>
      <w:keepLines/>
      <w:ind w:left="72" w:right="72"/>
    </w:pPr>
    <w:rPr>
      <w:snapToGrid w:val="0"/>
      <w:sz w:val="20"/>
      <w:szCs w:val="20"/>
      <w:lang w:eastAsia="zh-CN"/>
    </w:rPr>
  </w:style>
  <w:style w:type="paragraph" w:styleId="BalloonText">
    <w:name w:val="Balloon Text"/>
    <w:basedOn w:val="Normal"/>
    <w:rPr>
      <w:sz w:val="18"/>
      <w:szCs w:val="18"/>
    </w:rPr>
  </w:style>
  <w:style w:type="paragraph" w:styleId="CommentSubject">
    <w:name w:val="annotation subject"/>
    <w:basedOn w:val="CommentText"/>
    <w:next w:val="CommentText"/>
    <w:semiHidden/>
    <w:pPr>
      <w:tabs>
        <w:tab w:val="clear" w:pos="720"/>
        <w:tab w:val="clear" w:pos="1440"/>
        <w:tab w:val="clear" w:pos="5760"/>
      </w:tabs>
      <w:ind w:left="1080"/>
      <w:jc w:val="left"/>
    </w:pPr>
    <w:rPr>
      <w:b/>
      <w:bCs/>
      <w:color w:val="000000"/>
      <w:lang w:val="en-US"/>
    </w:rPr>
  </w:style>
  <w:style w:type="character" w:customStyle="1" w:styleId="KoptekstChar">
    <w:name w:val="Koptekst Char"/>
    <w:semiHidden/>
    <w:rPr>
      <w:rFonts w:ascii="Times New Roman" w:hAnsi="Times New Roman"/>
      <w:color w:val="000000"/>
      <w:sz w:val="24"/>
      <w:szCs w:val="24"/>
      <w:lang w:eastAsia="nl-NL"/>
    </w:rPr>
  </w:style>
  <w:style w:type="paragraph" w:customStyle="1" w:styleId="ExecSumTitle">
    <w:name w:val="ExecSumTitle"/>
    <w:basedOn w:val="BodyText"/>
    <w:pPr>
      <w:widowControl w:val="0"/>
      <w:spacing w:before="240" w:after="120" w:line="240" w:lineRule="auto"/>
      <w:jc w:val="both"/>
    </w:pPr>
    <w:rPr>
      <w:rFonts w:eastAsia="Times New Roman"/>
      <w:i/>
      <w:iCs/>
      <w:color w:val="auto"/>
      <w:sz w:val="20"/>
      <w:szCs w:val="20"/>
      <w:lang w:eastAsia="fr-FR"/>
    </w:rPr>
  </w:style>
  <w:style w:type="character" w:customStyle="1" w:styleId="TekstopmerkingChar">
    <w:name w:val="Tekst opmerking Char"/>
    <w:semiHidden/>
    <w:rPr>
      <w:rFonts w:ascii="Times New Roman" w:hAnsi="Times New Roman"/>
      <w:noProof w:val="0"/>
      <w:lang w:val="en-GB" w:eastAsia="nl-NL"/>
    </w:rPr>
  </w:style>
  <w:style w:type="paragraph" w:customStyle="1" w:styleId="Ballontekst">
    <w:name w:val="Ballontekst"/>
    <w:basedOn w:val="Normal"/>
    <w:semiHidden/>
    <w:unhideWhenUsed/>
    <w:rPr>
      <w:rFonts w:ascii="Tahoma" w:hAnsi="Tahoma" w:cs="Palatino Linotype"/>
      <w:sz w:val="16"/>
      <w:szCs w:val="16"/>
    </w:rPr>
  </w:style>
  <w:style w:type="character" w:customStyle="1" w:styleId="BallontekstChar">
    <w:name w:val="Ballontekst Char"/>
    <w:semiHidden/>
    <w:rPr>
      <w:rFonts w:ascii="Tahoma" w:hAnsi="Tahoma" w:cs="New York"/>
      <w:color w:val="000000"/>
      <w:sz w:val="16"/>
      <w:szCs w:val="16"/>
      <w:lang w:eastAsia="nl-NL"/>
    </w:rPr>
  </w:style>
  <w:style w:type="paragraph" w:customStyle="1" w:styleId="Lijstalinea">
    <w:name w:val="Lijstalinea"/>
    <w:basedOn w:val="Normal"/>
    <w:qFormat/>
    <w:pPr>
      <w:ind w:left="720"/>
    </w:pPr>
  </w:style>
  <w:style w:type="paragraph" w:customStyle="1" w:styleId="ColorfulList-Accent11">
    <w:name w:val="Colorful List - Accent 11"/>
    <w:basedOn w:val="Normal"/>
    <w:uiPriority w:val="34"/>
    <w:qFormat/>
    <w:pPr>
      <w:autoSpaceDE w:val="0"/>
      <w:autoSpaceDN w:val="0"/>
      <w:ind w:left="720"/>
    </w:pPr>
    <w:rPr>
      <w:rFonts w:ascii="Cambria" w:eastAsia="Times New Roman" w:hAnsi="Cambria"/>
      <w:color w:val="auto"/>
    </w:rPr>
  </w:style>
  <w:style w:type="paragraph" w:customStyle="1" w:styleId="StyleStyleBoldBefore5ptAfter5ptBefore12pt">
    <w:name w:val="Style Style Bold Before:  5 pt After:  5 pt + Before:  12 pt"/>
    <w:basedOn w:val="Normal"/>
    <w:pPr>
      <w:keepNext/>
      <w:keepLines/>
      <w:spacing w:before="240" w:after="100"/>
    </w:pPr>
    <w:rPr>
      <w:rFonts w:eastAsia="Batang"/>
      <w:b/>
      <w:bCs/>
      <w:color w:val="auto"/>
      <w:sz w:val="26"/>
      <w:szCs w:val="26"/>
      <w:lang w:eastAsia="ko-KR"/>
    </w:rPr>
  </w:style>
  <w:style w:type="paragraph" w:customStyle="1" w:styleId="StyleStyle10ptBoldBefore5ptAfter5ptBefore12pt">
    <w:name w:val="Style Style 10 pt Bold Before:  5 pt After:  5 pt + Before:  12 pt"/>
    <w:basedOn w:val="Normal"/>
    <w:pPr>
      <w:keepLines/>
      <w:spacing w:before="240" w:after="100"/>
    </w:pPr>
    <w:rPr>
      <w:rFonts w:eastAsia="Batang"/>
      <w:color w:val="auto"/>
      <w:sz w:val="20"/>
      <w:szCs w:val="20"/>
      <w:lang w:eastAsia="ko-KR"/>
    </w:rPr>
  </w:style>
  <w:style w:type="paragraph" w:styleId="Closing">
    <w:name w:val="Closing"/>
    <w:basedOn w:val="Normal"/>
    <w:link w:val="ClosingChar"/>
    <w:semiHidden/>
    <w:pPr>
      <w:ind w:left="4320"/>
    </w:pPr>
  </w:style>
  <w:style w:type="character" w:customStyle="1" w:styleId="CharChar1">
    <w:name w:val="Char Char1"/>
    <w:rPr>
      <w:rFonts w:eastAsia="SimSun"/>
      <w:noProof w:val="0"/>
      <w:color w:val="000000"/>
      <w:sz w:val="24"/>
      <w:szCs w:val="24"/>
      <w:lang w:val="en-US" w:eastAsia="nl-NL" w:bidi="ar-SA"/>
    </w:rPr>
  </w:style>
  <w:style w:type="paragraph" w:customStyle="1" w:styleId="CM1">
    <w:name w:val="CM1"/>
    <w:basedOn w:val="Normal"/>
    <w:next w:val="Normal"/>
    <w:pPr>
      <w:widowControl w:val="0"/>
      <w:autoSpaceDE w:val="0"/>
      <w:autoSpaceDN w:val="0"/>
      <w:adjustRightInd w:val="0"/>
    </w:pPr>
    <w:rPr>
      <w:rFonts w:eastAsia="MS Mincho"/>
      <w:color w:val="auto"/>
      <w:lang w:eastAsia="ja-JP"/>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ToDoList">
    <w:name w:val="ToDoList"/>
    <w:basedOn w:val="Normal"/>
    <w:pPr>
      <w:numPr>
        <w:numId w:val="3"/>
      </w:numPr>
      <w:spacing w:before="240" w:after="240"/>
    </w:pPr>
    <w:rPr>
      <w:rFonts w:eastAsia="MS ??"/>
      <w:color w:val="auto"/>
    </w:rPr>
  </w:style>
  <w:style w:type="paragraph" w:customStyle="1" w:styleId="List1">
    <w:name w:val="List1"/>
    <w:basedOn w:val="Normal"/>
    <w:autoRedefine/>
    <w:pPr>
      <w:numPr>
        <w:numId w:val="4"/>
      </w:numPr>
      <w:spacing w:before="120" w:after="120"/>
    </w:pPr>
    <w:rPr>
      <w:rFonts w:eastAsia="MS ??"/>
      <w:color w:val="auto"/>
    </w:rPr>
  </w:style>
  <w:style w:type="paragraph" w:styleId="Title">
    <w:name w:val="Title"/>
    <w:basedOn w:val="Normal"/>
    <w:next w:val="Normal"/>
    <w:link w:val="TitleChar1"/>
    <w:qFormat/>
    <w:pPr>
      <w:pBdr>
        <w:bottom w:val="single" w:sz="8" w:space="4" w:color="808080"/>
      </w:pBdr>
      <w:spacing w:after="300"/>
    </w:pPr>
    <w:rPr>
      <w:rFonts w:ascii="Calibri" w:eastAsia="MS ????" w:hAnsi="Calibri"/>
      <w:color w:val="000080"/>
      <w:spacing w:val="5"/>
      <w:kern w:val="28"/>
      <w:sz w:val="52"/>
      <w:szCs w:val="52"/>
    </w:rPr>
  </w:style>
  <w:style w:type="character" w:styleId="LineNumber">
    <w:name w:val="line number"/>
    <w:basedOn w:val="DefaultParagraphFont"/>
    <w:semiHidden/>
  </w:style>
  <w:style w:type="paragraph" w:customStyle="1" w:styleId="Style">
    <w:name w:val="Style"/>
    <w:rPr>
      <w:rFonts w:ascii="Times New Roman" w:eastAsia="Times New Roman" w:hAnsi="Times New Roman"/>
      <w:b/>
      <w:bCs/>
      <w:snapToGrid w:val="0"/>
      <w:color w:val="000000"/>
      <w:spacing w:val="-1"/>
      <w:w w:val="65535"/>
      <w:position w:val="-1"/>
      <w:sz w:val="28"/>
      <w:szCs w:val="28"/>
      <w:bdr w:val="nil"/>
      <w:lang w:val="en-GB"/>
    </w:rPr>
  </w:style>
  <w:style w:type="paragraph" w:customStyle="1" w:styleId="Normalnumber">
    <w:name w:val="Normal_number"/>
    <w:basedOn w:val="Normal"/>
    <w:pPr>
      <w:numPr>
        <w:numId w:val="5"/>
      </w:numPr>
      <w:tabs>
        <w:tab w:val="left" w:pos="1247"/>
        <w:tab w:val="left" w:pos="1814"/>
        <w:tab w:val="left" w:pos="2381"/>
        <w:tab w:val="left" w:pos="2948"/>
        <w:tab w:val="left" w:pos="3515"/>
      </w:tabs>
      <w:spacing w:after="120" w:line="240" w:lineRule="atLeast"/>
      <w:ind w:right="-574"/>
      <w:jc w:val="both"/>
    </w:pPr>
    <w:rPr>
      <w:rFonts w:eastAsia="Times New Roman"/>
      <w:color w:val="auto"/>
      <w:sz w:val="20"/>
      <w:szCs w:val="20"/>
    </w:rPr>
  </w:style>
  <w:style w:type="character" w:styleId="FollowedHyperlink">
    <w:name w:val="FollowedHyperlink"/>
    <w:semiHidden/>
    <w:rPr>
      <w:color w:val="800080"/>
      <w:u w:val="single"/>
    </w:rPr>
  </w:style>
  <w:style w:type="paragraph" w:customStyle="1" w:styleId="CharChar1CharCharCharCharCharCharCharCharCharCharCharCharChar">
    <w:name w:val="Char Char1 Char Char Char Char Char Char Char Char Char Char Char Char Char"/>
    <w:basedOn w:val="Normal"/>
    <w:pPr>
      <w:spacing w:after="160" w:line="240" w:lineRule="exact"/>
      <w:ind w:right="-574"/>
      <w:jc w:val="both"/>
    </w:pPr>
    <w:rPr>
      <w:rFonts w:ascii="Verdana" w:eastAsia="Times New Roman" w:hAnsi="Verdana"/>
      <w:color w:val="auto"/>
      <w:sz w:val="20"/>
      <w:szCs w:val="20"/>
    </w:rPr>
  </w:style>
  <w:style w:type="paragraph" w:customStyle="1" w:styleId="CommentSubject1">
    <w:name w:val="Comment Subject1"/>
    <w:basedOn w:val="CommentText"/>
    <w:next w:val="CommentText"/>
    <w:semiHidden/>
    <w:pPr>
      <w:tabs>
        <w:tab w:val="clear" w:pos="720"/>
        <w:tab w:val="clear" w:pos="1440"/>
        <w:tab w:val="clear" w:pos="5760"/>
      </w:tabs>
      <w:spacing w:line="240" w:lineRule="atLeast"/>
      <w:ind w:right="-574"/>
    </w:pPr>
    <w:rPr>
      <w:b/>
      <w:bCs/>
      <w:noProof/>
    </w:rPr>
  </w:style>
  <w:style w:type="paragraph" w:customStyle="1" w:styleId="TableTitle2006GL">
    <w:name w:val="Table Title 2006GL"/>
    <w:basedOn w:val="Normal"/>
    <w:pPr>
      <w:keepNext/>
      <w:spacing w:before="60" w:after="60"/>
      <w:ind w:right="-574"/>
      <w:jc w:val="both"/>
    </w:pPr>
    <w:rPr>
      <w:rFonts w:eastAsia="Times New Roman"/>
      <w:b/>
      <w:bCs/>
      <w:smallCaps/>
      <w:color w:val="auto"/>
      <w:sz w:val="18"/>
      <w:szCs w:val="18"/>
      <w:lang w:eastAsia="zh-CN"/>
    </w:rPr>
  </w:style>
  <w:style w:type="paragraph" w:customStyle="1" w:styleId="TablecolheadIPCCGP">
    <w:name w:val="Table col head IPCC GP"/>
    <w:basedOn w:val="Normal"/>
    <w:semiHidden/>
    <w:pPr>
      <w:spacing w:before="60" w:after="60"/>
      <w:ind w:right="-574"/>
      <w:jc w:val="both"/>
    </w:pPr>
    <w:rPr>
      <w:rFonts w:eastAsia="Times New Roman"/>
      <w:b/>
      <w:bCs/>
      <w:color w:val="auto"/>
      <w:sz w:val="18"/>
      <w:szCs w:val="18"/>
    </w:rPr>
  </w:style>
  <w:style w:type="paragraph" w:customStyle="1" w:styleId="TabletxtIPCCGP">
    <w:name w:val="Table txt IPCC GP"/>
    <w:basedOn w:val="Normal"/>
    <w:semiHidden/>
    <w:pPr>
      <w:keepNext/>
      <w:spacing w:before="60" w:after="60"/>
      <w:ind w:right="-574"/>
      <w:jc w:val="both"/>
    </w:pPr>
    <w:rPr>
      <w:rFonts w:eastAsia="Times New Roman"/>
      <w:color w:val="auto"/>
      <w:sz w:val="18"/>
      <w:szCs w:val="18"/>
    </w:rPr>
  </w:style>
  <w:style w:type="paragraph" w:customStyle="1" w:styleId="TabletextIPCCGP">
    <w:name w:val="Table text IPCC GP"/>
    <w:basedOn w:val="Normal"/>
    <w:autoRedefine/>
    <w:pPr>
      <w:keepNext/>
      <w:spacing w:before="60" w:after="60"/>
      <w:ind w:right="-574"/>
      <w:jc w:val="both"/>
    </w:pPr>
    <w:rPr>
      <w:rFonts w:eastAsia="Times New Roman"/>
      <w:color w:val="auto"/>
      <w:sz w:val="18"/>
      <w:szCs w:val="18"/>
    </w:rPr>
  </w:style>
  <w:style w:type="paragraph" w:styleId="Subtitle">
    <w:name w:val="Subtitle"/>
    <w:basedOn w:val="Heading3"/>
    <w:next w:val="Normal"/>
    <w:qFormat/>
    <w:pPr>
      <w:keepNext w:val="0"/>
      <w:tabs>
        <w:tab w:val="clear" w:pos="1134"/>
      </w:tabs>
      <w:spacing w:after="0"/>
      <w:ind w:right="-574"/>
      <w:jc w:val="both"/>
    </w:pPr>
    <w:rPr>
      <w:i w:val="0"/>
      <w:iCs w:val="0"/>
      <w:szCs w:val="22"/>
    </w:rPr>
  </w:style>
  <w:style w:type="paragraph" w:customStyle="1" w:styleId="MediumGrid1-Accent21">
    <w:name w:val="Medium Grid 1 - Accent 21"/>
    <w:basedOn w:val="Normal"/>
    <w:pPr>
      <w:ind w:right="-574"/>
      <w:jc w:val="both"/>
    </w:pPr>
    <w:rPr>
      <w:rFonts w:eastAsia="Times New Roman"/>
      <w:color w:val="auto"/>
      <w:sz w:val="20"/>
      <w:szCs w:val="20"/>
    </w:rPr>
  </w:style>
  <w:style w:type="paragraph" w:customStyle="1" w:styleId="CommentSubject2">
    <w:name w:val="Comment Subject2"/>
    <w:basedOn w:val="CommentText"/>
    <w:next w:val="CommentText"/>
    <w:semiHidden/>
    <w:pPr>
      <w:tabs>
        <w:tab w:val="clear" w:pos="720"/>
        <w:tab w:val="clear" w:pos="1440"/>
        <w:tab w:val="clear" w:pos="5760"/>
      </w:tabs>
      <w:ind w:right="-574"/>
    </w:pPr>
    <w:rPr>
      <w:b/>
      <w:bCs/>
      <w:noProof/>
    </w:rPr>
  </w:style>
  <w:style w:type="paragraph" w:customStyle="1" w:styleId="BodyTextLeft">
    <w:name w:val="Body Text Left"/>
    <w:basedOn w:val="Normal"/>
    <w:pPr>
      <w:widowControl w:val="0"/>
      <w:spacing w:after="240"/>
    </w:pPr>
    <w:rPr>
      <w:rFonts w:eastAsia="Times New Roman"/>
      <w:color w:val="auto"/>
      <w:kern w:val="2"/>
      <w:sz w:val="20"/>
      <w:szCs w:val="20"/>
    </w:rPr>
  </w:style>
  <w:style w:type="paragraph" w:customStyle="1" w:styleId="TableTitle">
    <w:name w:val="Table Title"/>
    <w:basedOn w:val="Normal"/>
    <w:pPr>
      <w:widowControl w:val="0"/>
      <w:spacing w:after="120"/>
      <w:jc w:val="center"/>
    </w:pPr>
    <w:rPr>
      <w:rFonts w:eastAsia="Times New Roman"/>
      <w:b/>
      <w:bCs/>
      <w:color w:val="auto"/>
      <w:kern w:val="2"/>
      <w:sz w:val="20"/>
      <w:szCs w:val="20"/>
    </w:rPr>
  </w:style>
  <w:style w:type="character" w:customStyle="1" w:styleId="TableTitleChar">
    <w:name w:val="Table Title Char"/>
    <w:rPr>
      <w:b/>
      <w:bCs/>
      <w:noProof w:val="0"/>
      <w:kern w:val="2"/>
      <w:lang w:val="en-GB"/>
    </w:rPr>
  </w:style>
  <w:style w:type="character" w:customStyle="1" w:styleId="HeaderChar">
    <w:name w:val="Header Char"/>
    <w:aliases w:val="EthylHeader Char"/>
    <w:uiPriority w:val="99"/>
    <w:rPr>
      <w:noProof w:val="0"/>
      <w:kern w:val="2"/>
      <w:lang w:val="x-none"/>
    </w:rPr>
  </w:style>
  <w:style w:type="character" w:customStyle="1" w:styleId="Heading4Char">
    <w:name w:val="Heading 4 Char"/>
    <w:aliases w:val="MainPara Char"/>
    <w:rPr>
      <w:b/>
      <w:bCs/>
      <w:noProof w:val="0"/>
      <w:kern w:val="2"/>
      <w:lang w:val="en-GB"/>
    </w:rPr>
  </w:style>
  <w:style w:type="character" w:customStyle="1" w:styleId="Heading5Char">
    <w:name w:val="Heading 5 Char"/>
    <w:aliases w:val="Subpara 2 Char"/>
    <w:rPr>
      <w:b/>
      <w:bCs/>
      <w:i/>
      <w:iCs/>
      <w:noProof w:val="0"/>
      <w:kern w:val="2"/>
      <w:sz w:val="26"/>
      <w:szCs w:val="26"/>
      <w:lang w:val="en-GB"/>
    </w:rPr>
  </w:style>
  <w:style w:type="paragraph" w:customStyle="1" w:styleId="xl60">
    <w:name w:val="xl60"/>
    <w:basedOn w:val="Normal"/>
    <w:pPr>
      <w:spacing w:before="100" w:after="100"/>
    </w:pPr>
    <w:rPr>
      <w:rFonts w:eastAsia="Times New Roman"/>
      <w:color w:val="auto"/>
      <w:sz w:val="20"/>
      <w:szCs w:val="20"/>
    </w:rPr>
  </w:style>
  <w:style w:type="character" w:customStyle="1" w:styleId="Heading6Char">
    <w:name w:val="Heading 6 Char"/>
    <w:aliases w:val="Subpara 3 Char"/>
    <w:rPr>
      <w:b/>
      <w:bCs/>
      <w:noProof w:val="0"/>
      <w:kern w:val="2"/>
      <w:sz w:val="22"/>
      <w:szCs w:val="22"/>
      <w:lang w:val="en-GB"/>
    </w:rPr>
  </w:style>
  <w:style w:type="character" w:customStyle="1" w:styleId="Heading7Char">
    <w:name w:val="Heading 7 Char"/>
    <w:aliases w:val="Subpara 4 Char"/>
    <w:rPr>
      <w:noProof w:val="0"/>
      <w:kern w:val="2"/>
      <w:lang w:val="en-GB"/>
    </w:rPr>
  </w:style>
  <w:style w:type="character" w:customStyle="1" w:styleId="Heading8Char">
    <w:name w:val="Heading 8 Char"/>
    <w:aliases w:val="Subpara 5 Char"/>
    <w:rPr>
      <w:i/>
      <w:iCs/>
      <w:noProof w:val="0"/>
      <w:kern w:val="2"/>
      <w:lang w:val="en-GB"/>
    </w:rPr>
  </w:style>
  <w:style w:type="character" w:customStyle="1" w:styleId="Heading9Char">
    <w:name w:val="Heading 9 Char"/>
    <w:aliases w:val="Subpara 6 Char"/>
    <w:rPr>
      <w:noProof w:val="0"/>
      <w:kern w:val="2"/>
      <w:sz w:val="22"/>
      <w:szCs w:val="22"/>
      <w:lang w:val="en-GB"/>
    </w:rPr>
  </w:style>
  <w:style w:type="character" w:customStyle="1" w:styleId="FooterChar">
    <w:name w:val="Footer Char"/>
    <w:uiPriority w:val="99"/>
    <w:rPr>
      <w:noProof w:val="0"/>
      <w:kern w:val="2"/>
      <w:lang w:val="x-none"/>
    </w:rPr>
  </w:style>
  <w:style w:type="character" w:customStyle="1" w:styleId="CommentTextChar">
    <w:name w:val="Comment Text Char"/>
    <w:rPr>
      <w:noProof w:val="0"/>
      <w:kern w:val="2"/>
      <w:lang w:val="x-none"/>
    </w:rPr>
  </w:style>
  <w:style w:type="paragraph" w:customStyle="1" w:styleId="1">
    <w:name w:val="??????1"/>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10">
    <w:name w:val="????1"/>
    <w:basedOn w:val="Normal"/>
    <w:pPr>
      <w:widowControl w:val="0"/>
      <w:spacing w:after="120"/>
    </w:pPr>
    <w:rPr>
      <w:rFonts w:eastAsia="Times New Roman"/>
      <w:color w:val="auto"/>
      <w:kern w:val="2"/>
      <w:sz w:val="18"/>
      <w:szCs w:val="18"/>
    </w:rPr>
  </w:style>
  <w:style w:type="paragraph" w:customStyle="1" w:styleId="a">
    <w:name w:val="?????"/>
    <w:basedOn w:val="Normal"/>
    <w:pPr>
      <w:widowControl w:val="0"/>
      <w:spacing w:after="120"/>
    </w:pPr>
    <w:rPr>
      <w:rFonts w:eastAsia="Times New Roman"/>
      <w:color w:val="auto"/>
      <w:kern w:val="2"/>
      <w:sz w:val="18"/>
      <w:szCs w:val="18"/>
    </w:rPr>
  </w:style>
  <w:style w:type="paragraph" w:customStyle="1" w:styleId="a0">
    <w:name w:val="????"/>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Textodeglobo">
    <w:name w:val="Texto de globo"/>
    <w:basedOn w:val="Normal"/>
    <w:pPr>
      <w:widowControl w:val="0"/>
      <w:spacing w:after="120"/>
    </w:pPr>
    <w:rPr>
      <w:rFonts w:eastAsia="Times New Roman"/>
      <w:color w:val="auto"/>
      <w:kern w:val="2"/>
      <w:sz w:val="16"/>
      <w:szCs w:val="16"/>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
    <w:rPr>
      <w:b/>
      <w:bCs/>
      <w:noProof w:val="0"/>
      <w:kern w:val="32"/>
      <w:sz w:val="32"/>
      <w:szCs w:val="32"/>
      <w:lang w:val="en-US"/>
    </w:rPr>
  </w:style>
  <w:style w:type="paragraph" w:customStyle="1" w:styleId="Titulo3">
    <w:name w:val="Titulo 3"/>
    <w:basedOn w:val="Normal"/>
    <w:pPr>
      <w:widowControl w:val="0"/>
      <w:spacing w:after="120"/>
      <w:ind w:left="1185"/>
    </w:pPr>
    <w:rPr>
      <w:rFonts w:eastAsia="Times New Roman"/>
      <w:b/>
      <w:bCs/>
      <w:i/>
      <w:iCs/>
      <w:color w:val="auto"/>
      <w:kern w:val="2"/>
    </w:rPr>
  </w:style>
  <w:style w:type="paragraph" w:styleId="DocumentMap">
    <w:name w:val="Document Map"/>
    <w:basedOn w:val="Normal"/>
    <w:semiHidden/>
    <w:pPr>
      <w:widowControl w:val="0"/>
      <w:shd w:val="clear" w:color="auto" w:fill="000080"/>
      <w:spacing w:after="120"/>
    </w:pPr>
    <w:rPr>
      <w:rFonts w:eastAsia="Times New Roman"/>
      <w:color w:val="auto"/>
      <w:kern w:val="2"/>
      <w:sz w:val="20"/>
      <w:szCs w:val="20"/>
    </w:rPr>
  </w:style>
  <w:style w:type="character" w:customStyle="1" w:styleId="DocumentMapChar">
    <w:name w:val="Document Map Char"/>
    <w:rPr>
      <w:noProof w:val="0"/>
      <w:kern w:val="2"/>
      <w:sz w:val="20"/>
      <w:szCs w:val="20"/>
      <w:lang w:val="en-GB"/>
    </w:rPr>
  </w:style>
  <w:style w:type="character" w:customStyle="1" w:styleId="BalloonTextChar">
    <w:name w:val="Balloon Text Char"/>
    <w:rPr>
      <w:kern w:val="2"/>
      <w:sz w:val="18"/>
      <w:szCs w:val="18"/>
    </w:rPr>
  </w:style>
  <w:style w:type="character" w:customStyle="1" w:styleId="BodyTextChar">
    <w:name w:val="Body Text Char"/>
    <w:aliases w:val="Char Char31 Char,Body Text Char Char Char Char Char Char,Body Text Char Char Char Char Char1,Char Char3 Char"/>
    <w:rPr>
      <w:i/>
      <w:iCs/>
      <w:noProof w:val="0"/>
      <w:sz w:val="20"/>
      <w:szCs w:val="20"/>
      <w:lang w:val="en-GB"/>
    </w:rPr>
  </w:style>
  <w:style w:type="character" w:customStyle="1" w:styleId="FootnoteTextChar">
    <w:name w:val="Footnote Text Char"/>
    <w:aliases w:val="Fußnotentextf Char,Geneva 9 Char,Font: Geneva 9 Char,Boston 10 Char,f Char,-E Fußnotentext Char,Fußnotentext Ursprung Char,-E Fußnotentext1 Char,-E Fußnotentext2 Char,-E Fußnotentext3 Char,Fußnotentext Char1 Char,Fußnotentextf Char1"/>
    <w:rPr>
      <w:noProof w:val="0"/>
      <w:sz w:val="20"/>
      <w:szCs w:val="20"/>
      <w:lang w:val="x-none"/>
    </w:rPr>
  </w:style>
  <w:style w:type="paragraph" w:customStyle="1" w:styleId="MSDefaults">
    <w:name w:val="MSDefaults"/>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pPr>
    <w:rPr>
      <w:rFonts w:ascii="Chicago" w:eastAsia="Times New Roman" w:hAnsi="Chicago"/>
      <w:kern w:val="2"/>
      <w:sz w:val="24"/>
      <w:szCs w:val="24"/>
      <w:lang w:val="en-US"/>
    </w:rPr>
  </w:style>
  <w:style w:type="paragraph" w:customStyle="1" w:styleId="MSNormal">
    <w:name w:val="MSNormal"/>
    <w:basedOn w:val="MSDefaults"/>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kern w:val="2"/>
      <w:sz w:val="24"/>
      <w:szCs w:val="24"/>
      <w:lang w:val="en-US"/>
    </w:rPr>
  </w:style>
  <w:style w:type="paragraph" w:customStyle="1" w:styleId="Document">
    <w:name w:val="Document"/>
    <w:basedOn w:val="WPDefaults"/>
  </w:style>
  <w:style w:type="paragraph" w:customStyle="1" w:styleId="font5">
    <w:name w:val="font5"/>
    <w:basedOn w:val="Normal"/>
    <w:pPr>
      <w:spacing w:before="100" w:after="100"/>
    </w:pPr>
    <w:rPr>
      <w:rFonts w:eastAsia="Times New Roman"/>
      <w:color w:val="auto"/>
    </w:rPr>
  </w:style>
  <w:style w:type="paragraph" w:customStyle="1" w:styleId="font6">
    <w:name w:val="font6"/>
    <w:basedOn w:val="Normal"/>
    <w:pPr>
      <w:spacing w:before="100" w:after="100"/>
    </w:pPr>
    <w:rPr>
      <w:rFonts w:eastAsia="Times New Roman"/>
      <w:color w:val="auto"/>
    </w:rPr>
  </w:style>
  <w:style w:type="paragraph" w:customStyle="1" w:styleId="font7">
    <w:name w:val="font7"/>
    <w:basedOn w:val="Normal"/>
    <w:pPr>
      <w:spacing w:before="100" w:after="100"/>
    </w:pPr>
    <w:rPr>
      <w:rFonts w:eastAsia="Times New Roman"/>
      <w:color w:val="auto"/>
    </w:rPr>
  </w:style>
  <w:style w:type="paragraph" w:customStyle="1" w:styleId="xl24">
    <w:name w:val="xl24"/>
    <w:basedOn w:val="Normal"/>
    <w:pPr>
      <w:pBdr>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25">
    <w:name w:val="xl25"/>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26">
    <w:name w:val="xl26"/>
    <w:basedOn w:val="Normal"/>
    <w:pPr>
      <w:pBdr>
        <w:left w:val="single" w:sz="6" w:space="0" w:color="auto"/>
      </w:pBdr>
      <w:spacing w:before="100" w:after="100"/>
    </w:pPr>
    <w:rPr>
      <w:rFonts w:eastAsia="Times New Roman"/>
      <w:color w:val="auto"/>
    </w:rPr>
  </w:style>
  <w:style w:type="paragraph" w:customStyle="1" w:styleId="xl27">
    <w:name w:val="xl27"/>
    <w:basedOn w:val="Normal"/>
    <w:pPr>
      <w:pBdr>
        <w:left w:val="single" w:sz="6" w:space="0" w:color="auto"/>
        <w:right w:val="single" w:sz="6" w:space="0" w:color="auto"/>
      </w:pBdr>
      <w:spacing w:before="100" w:after="100"/>
    </w:pPr>
    <w:rPr>
      <w:rFonts w:eastAsia="Times New Roman"/>
      <w:color w:val="auto"/>
    </w:rPr>
  </w:style>
  <w:style w:type="paragraph" w:customStyle="1" w:styleId="xl28">
    <w:name w:val="xl28"/>
    <w:basedOn w:val="Normal"/>
    <w:pPr>
      <w:pBdr>
        <w:left w:val="single" w:sz="6" w:space="0" w:color="auto"/>
        <w:bottom w:val="single" w:sz="6" w:space="0" w:color="auto"/>
      </w:pBdr>
      <w:spacing w:before="100" w:after="100"/>
    </w:pPr>
    <w:rPr>
      <w:rFonts w:eastAsia="Times New Roman"/>
      <w:color w:val="auto"/>
    </w:rPr>
  </w:style>
  <w:style w:type="paragraph" w:customStyle="1" w:styleId="xl29">
    <w:name w:val="xl29"/>
    <w:basedOn w:val="Normal"/>
    <w:pPr>
      <w:spacing w:before="100" w:after="100"/>
    </w:pPr>
    <w:rPr>
      <w:rFonts w:eastAsia="Times New Roman"/>
      <w:color w:val="auto"/>
    </w:rPr>
  </w:style>
  <w:style w:type="paragraph" w:customStyle="1" w:styleId="xl30">
    <w:name w:val="xl30"/>
    <w:basedOn w:val="Normal"/>
    <w:pPr>
      <w:spacing w:before="100" w:after="100"/>
    </w:pPr>
    <w:rPr>
      <w:rFonts w:eastAsia="Times New Roman"/>
      <w:color w:val="auto"/>
    </w:rPr>
  </w:style>
  <w:style w:type="paragraph" w:customStyle="1" w:styleId="xl31">
    <w:name w:val="xl31"/>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32">
    <w:name w:val="xl32"/>
    <w:basedOn w:val="Normal"/>
    <w:pPr>
      <w:spacing w:before="100" w:after="100"/>
      <w:jc w:val="center"/>
    </w:pPr>
    <w:rPr>
      <w:rFonts w:eastAsia="Times New Roman"/>
      <w:b/>
      <w:bCs/>
      <w:color w:val="auto"/>
    </w:rPr>
  </w:style>
  <w:style w:type="paragraph" w:customStyle="1" w:styleId="xl33">
    <w:name w:val="xl33"/>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34">
    <w:name w:val="xl34"/>
    <w:basedOn w:val="Normal"/>
    <w:pPr>
      <w:pBdr>
        <w:top w:val="single" w:sz="6" w:space="0" w:color="auto"/>
        <w:left w:val="single" w:sz="6" w:space="0" w:color="auto"/>
      </w:pBdr>
      <w:spacing w:before="100" w:after="100"/>
    </w:pPr>
    <w:rPr>
      <w:rFonts w:eastAsia="Times New Roman"/>
      <w:color w:val="auto"/>
    </w:rPr>
  </w:style>
  <w:style w:type="paragraph" w:customStyle="1" w:styleId="xl35">
    <w:name w:val="xl35"/>
    <w:basedOn w:val="Normal"/>
    <w:pPr>
      <w:pBdr>
        <w:top w:val="single" w:sz="6" w:space="0" w:color="auto"/>
        <w:right w:val="single" w:sz="6" w:space="0" w:color="auto"/>
      </w:pBdr>
      <w:spacing w:before="100" w:after="100"/>
      <w:jc w:val="center"/>
    </w:pPr>
    <w:rPr>
      <w:rFonts w:eastAsia="Times New Roman"/>
      <w:color w:val="auto"/>
    </w:rPr>
  </w:style>
  <w:style w:type="paragraph" w:customStyle="1" w:styleId="xl36">
    <w:name w:val="xl36"/>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37">
    <w:name w:val="xl37"/>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38">
    <w:name w:val="xl38"/>
    <w:basedOn w:val="Normal"/>
    <w:pPr>
      <w:spacing w:before="100" w:after="100"/>
    </w:pPr>
    <w:rPr>
      <w:rFonts w:eastAsia="Times New Roman"/>
      <w:b/>
      <w:bCs/>
      <w:color w:val="auto"/>
    </w:rPr>
  </w:style>
  <w:style w:type="paragraph" w:customStyle="1" w:styleId="xl39">
    <w:name w:val="xl39"/>
    <w:basedOn w:val="Normal"/>
    <w:pPr>
      <w:pBdr>
        <w:top w:val="single" w:sz="6" w:space="0" w:color="auto"/>
        <w:bottom w:val="single" w:sz="6" w:space="0" w:color="auto"/>
      </w:pBdr>
      <w:spacing w:before="100" w:after="100"/>
    </w:pPr>
    <w:rPr>
      <w:rFonts w:eastAsia="Times New Roman"/>
      <w:color w:val="auto"/>
    </w:rPr>
  </w:style>
  <w:style w:type="paragraph" w:customStyle="1" w:styleId="xl40">
    <w:name w:val="xl40"/>
    <w:basedOn w:val="Normal"/>
    <w:pPr>
      <w:pBdr>
        <w:top w:val="single" w:sz="6" w:space="0" w:color="auto"/>
        <w:bottom w:val="single" w:sz="6" w:space="0" w:color="auto"/>
      </w:pBdr>
      <w:spacing w:before="100" w:after="100"/>
      <w:jc w:val="center"/>
    </w:pPr>
    <w:rPr>
      <w:rFonts w:eastAsia="Times New Roman"/>
      <w:b/>
      <w:bCs/>
      <w:color w:val="auto"/>
    </w:rPr>
  </w:style>
  <w:style w:type="paragraph" w:customStyle="1" w:styleId="xl41">
    <w:name w:val="xl41"/>
    <w:basedOn w:val="Normal"/>
    <w:pPr>
      <w:pBdr>
        <w:top w:val="single" w:sz="6" w:space="0" w:color="auto"/>
        <w:left w:val="single" w:sz="6" w:space="0" w:color="auto"/>
        <w:right w:val="single" w:sz="6" w:space="0" w:color="auto"/>
      </w:pBdr>
      <w:spacing w:before="100" w:after="100"/>
      <w:jc w:val="center"/>
    </w:pPr>
    <w:rPr>
      <w:rFonts w:eastAsia="Times New Roman"/>
      <w:color w:val="auto"/>
    </w:rPr>
  </w:style>
  <w:style w:type="paragraph" w:customStyle="1" w:styleId="xl42">
    <w:name w:val="xl42"/>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43">
    <w:name w:val="xl43"/>
    <w:basedOn w:val="Normal"/>
    <w:pPr>
      <w:pBdr>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4">
    <w:name w:val="xl44"/>
    <w:basedOn w:val="Normal"/>
    <w:pPr>
      <w:pBdr>
        <w:bottom w:val="single" w:sz="6" w:space="0" w:color="auto"/>
        <w:right w:val="single" w:sz="6" w:space="0" w:color="auto"/>
      </w:pBdr>
      <w:spacing w:before="100" w:after="100"/>
      <w:jc w:val="center"/>
    </w:pPr>
    <w:rPr>
      <w:rFonts w:eastAsia="Times New Roman"/>
      <w:color w:val="auto"/>
    </w:rPr>
  </w:style>
  <w:style w:type="paragraph" w:customStyle="1" w:styleId="xl45">
    <w:name w:val="xl45"/>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46">
    <w:name w:val="xl46"/>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7">
    <w:name w:val="xl47"/>
    <w:basedOn w:val="Normal"/>
    <w:pPr>
      <w:pBdr>
        <w:left w:val="single" w:sz="6" w:space="0" w:color="auto"/>
        <w:bottom w:val="single" w:sz="6" w:space="0" w:color="auto"/>
      </w:pBdr>
      <w:spacing w:before="100" w:after="100"/>
    </w:pPr>
    <w:rPr>
      <w:rFonts w:eastAsia="Times New Roman"/>
      <w:color w:val="auto"/>
    </w:rPr>
  </w:style>
  <w:style w:type="paragraph" w:customStyle="1" w:styleId="xl48">
    <w:name w:val="xl4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49">
    <w:name w:val="xl49"/>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0">
    <w:name w:val="xl50"/>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1">
    <w:name w:val="xl51"/>
    <w:basedOn w:val="Normal"/>
    <w:pPr>
      <w:pBdr>
        <w:right w:val="single" w:sz="6" w:space="0" w:color="auto"/>
      </w:pBdr>
      <w:spacing w:before="100" w:after="100"/>
      <w:jc w:val="center"/>
    </w:pPr>
    <w:rPr>
      <w:rFonts w:eastAsia="Times New Roman"/>
      <w:color w:val="auto"/>
    </w:rPr>
  </w:style>
  <w:style w:type="paragraph" w:customStyle="1" w:styleId="xl52">
    <w:name w:val="xl52"/>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53">
    <w:name w:val="xl53"/>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54">
    <w:name w:val="xl54"/>
    <w:basedOn w:val="Normal"/>
    <w:pPr>
      <w:pBdr>
        <w:top w:val="single" w:sz="6" w:space="0" w:color="auto"/>
        <w:right w:val="single" w:sz="6" w:space="0" w:color="auto"/>
      </w:pBdr>
      <w:spacing w:before="100" w:after="100"/>
    </w:pPr>
    <w:rPr>
      <w:rFonts w:eastAsia="Times New Roman"/>
      <w:color w:val="auto"/>
    </w:rPr>
  </w:style>
  <w:style w:type="paragraph" w:customStyle="1" w:styleId="xl55">
    <w:name w:val="xl55"/>
    <w:basedOn w:val="Normal"/>
    <w:pPr>
      <w:pBdr>
        <w:left w:val="single" w:sz="6" w:space="0" w:color="auto"/>
        <w:right w:val="single" w:sz="6" w:space="0" w:color="auto"/>
      </w:pBdr>
      <w:spacing w:before="100" w:after="100"/>
      <w:jc w:val="center"/>
    </w:pPr>
    <w:rPr>
      <w:rFonts w:eastAsia="Times New Roman"/>
      <w:color w:val="auto"/>
    </w:rPr>
  </w:style>
  <w:style w:type="paragraph" w:customStyle="1" w:styleId="xl56">
    <w:name w:val="xl56"/>
    <w:basedOn w:val="Normal"/>
    <w:pPr>
      <w:pBdr>
        <w:left w:val="single" w:sz="6" w:space="0" w:color="auto"/>
        <w:right w:val="single" w:sz="6" w:space="0" w:color="auto"/>
      </w:pBdr>
      <w:spacing w:before="100" w:after="100"/>
    </w:pPr>
    <w:rPr>
      <w:rFonts w:eastAsia="Times New Roman"/>
      <w:color w:val="auto"/>
    </w:rPr>
  </w:style>
  <w:style w:type="paragraph" w:customStyle="1" w:styleId="xl57">
    <w:name w:val="xl57"/>
    <w:basedOn w:val="Normal"/>
    <w:pPr>
      <w:pBdr>
        <w:right w:val="single" w:sz="6" w:space="0" w:color="auto"/>
      </w:pBdr>
      <w:spacing w:before="100" w:after="100"/>
    </w:pPr>
    <w:rPr>
      <w:rFonts w:eastAsia="Times New Roman"/>
      <w:color w:val="auto"/>
    </w:rPr>
  </w:style>
  <w:style w:type="paragraph" w:customStyle="1" w:styleId="xl58">
    <w:name w:val="xl5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59">
    <w:name w:val="xl59"/>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61">
    <w:name w:val="xl61"/>
    <w:basedOn w:val="Normal"/>
    <w:pPr>
      <w:pBdr>
        <w:top w:val="single" w:sz="6" w:space="0" w:color="auto"/>
        <w:left w:val="single" w:sz="6" w:space="0" w:color="auto"/>
        <w:bottom w:val="single" w:sz="6" w:space="0" w:color="auto"/>
      </w:pBdr>
      <w:spacing w:before="100" w:after="100"/>
      <w:jc w:val="center"/>
    </w:pPr>
    <w:rPr>
      <w:rFonts w:eastAsia="Times New Roman"/>
      <w:color w:val="auto"/>
    </w:rPr>
  </w:style>
  <w:style w:type="paragraph" w:customStyle="1" w:styleId="xl62">
    <w:name w:val="xl62"/>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CommentSubject3">
    <w:name w:val="Comment Subject3"/>
    <w:basedOn w:val="CommentText"/>
    <w:next w:val="CommentText"/>
    <w:pPr>
      <w:widowControl w:val="0"/>
      <w:tabs>
        <w:tab w:val="clear" w:pos="720"/>
        <w:tab w:val="clear" w:pos="1440"/>
        <w:tab w:val="clear" w:pos="5760"/>
      </w:tabs>
      <w:spacing w:after="120"/>
    </w:pPr>
    <w:rPr>
      <w:rFonts w:eastAsia="Times New Roman"/>
      <w:b/>
      <w:bCs/>
      <w:kern w:val="2"/>
      <w:lang w:val="en-US"/>
    </w:rPr>
  </w:style>
  <w:style w:type="character" w:customStyle="1" w:styleId="CommentSubjectChar">
    <w:name w:val="Comment Subject Char"/>
    <w:rPr>
      <w:b/>
      <w:bCs/>
      <w:noProof w:val="0"/>
      <w:kern w:val="2"/>
      <w:sz w:val="20"/>
      <w:szCs w:val="20"/>
      <w:lang w:val="x-none"/>
    </w:rPr>
  </w:style>
  <w:style w:type="paragraph" w:customStyle="1" w:styleId="CM9">
    <w:name w:val="CM9"/>
    <w:basedOn w:val="Default"/>
    <w:next w:val="Default"/>
    <w:pPr>
      <w:autoSpaceDE/>
      <w:autoSpaceDN/>
      <w:adjustRightInd/>
      <w:spacing w:after="270"/>
    </w:pPr>
    <w:rPr>
      <w:rFonts w:ascii="Times New Roman" w:eastAsia="Times New Roman" w:hAnsi="Times New Roman" w:cs="Times New Roman"/>
      <w:color w:val="auto"/>
      <w:kern w:val="2"/>
      <w:lang w:val="en-GB"/>
    </w:rPr>
  </w:style>
  <w:style w:type="paragraph" w:customStyle="1" w:styleId="CM11">
    <w:name w:val="CM11"/>
    <w:basedOn w:val="Default"/>
    <w:next w:val="Default"/>
    <w:pPr>
      <w:autoSpaceDE/>
      <w:autoSpaceDN/>
      <w:adjustRightInd/>
      <w:spacing w:after="535"/>
    </w:pPr>
    <w:rPr>
      <w:rFonts w:ascii="Times New Roman" w:eastAsia="Times New Roman" w:hAnsi="Times New Roman" w:cs="Times New Roman"/>
      <w:color w:val="auto"/>
      <w:kern w:val="2"/>
      <w:lang w:val="en-GB"/>
    </w:rPr>
  </w:style>
  <w:style w:type="paragraph" w:customStyle="1" w:styleId="CM13">
    <w:name w:val="CM13"/>
    <w:basedOn w:val="Default"/>
    <w:next w:val="Default"/>
    <w:pPr>
      <w:autoSpaceDE/>
      <w:autoSpaceDN/>
      <w:adjustRightInd/>
      <w:spacing w:after="60"/>
    </w:pPr>
    <w:rPr>
      <w:rFonts w:ascii="Times New Roman" w:eastAsia="Times New Roman" w:hAnsi="Times New Roman" w:cs="Times New Roman"/>
      <w:color w:val="auto"/>
      <w:kern w:val="2"/>
      <w:lang w:val="en-GB"/>
    </w:rPr>
  </w:style>
  <w:style w:type="paragraph" w:customStyle="1" w:styleId="CM10">
    <w:name w:val="CM10"/>
    <w:basedOn w:val="Default"/>
    <w:next w:val="Default"/>
    <w:pPr>
      <w:autoSpaceDE/>
      <w:autoSpaceDN/>
      <w:adjustRightInd/>
      <w:spacing w:after="265"/>
    </w:pPr>
    <w:rPr>
      <w:rFonts w:ascii="Times New Roman PS" w:eastAsia="Times New Roman" w:hAnsi="Times New Roman PS"/>
      <w:color w:val="auto"/>
      <w:kern w:val="2"/>
    </w:rPr>
  </w:style>
  <w:style w:type="paragraph" w:customStyle="1" w:styleId="CM12">
    <w:name w:val="CM12"/>
    <w:basedOn w:val="Default"/>
    <w:next w:val="Default"/>
    <w:pPr>
      <w:autoSpaceDE/>
      <w:autoSpaceDN/>
      <w:adjustRightInd/>
      <w:spacing w:after="545"/>
    </w:pPr>
    <w:rPr>
      <w:rFonts w:ascii="Times New Roman PS" w:eastAsia="Times New Roman" w:hAnsi="Times New Roman PS"/>
      <w:color w:val="auto"/>
      <w:kern w:val="2"/>
    </w:rPr>
  </w:style>
  <w:style w:type="paragraph" w:customStyle="1" w:styleId="CM4">
    <w:name w:val="CM4"/>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4">
    <w:name w:val="CM14"/>
    <w:basedOn w:val="Default"/>
    <w:next w:val="Default"/>
    <w:pPr>
      <w:autoSpaceDE/>
      <w:autoSpaceDN/>
      <w:adjustRightInd/>
      <w:spacing w:after="638"/>
    </w:pPr>
    <w:rPr>
      <w:rFonts w:ascii="Times New Roman PS" w:eastAsia="Times New Roman" w:hAnsi="Times New Roman PS"/>
      <w:color w:val="auto"/>
      <w:kern w:val="2"/>
    </w:rPr>
  </w:style>
  <w:style w:type="paragraph" w:customStyle="1" w:styleId="CM5">
    <w:name w:val="CM5"/>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5">
    <w:name w:val="CM15"/>
    <w:basedOn w:val="Default"/>
    <w:next w:val="Default"/>
    <w:pPr>
      <w:autoSpaceDE/>
      <w:autoSpaceDN/>
      <w:adjustRightInd/>
      <w:spacing w:after="58"/>
    </w:pPr>
    <w:rPr>
      <w:rFonts w:ascii="Times New Roman PS" w:eastAsia="Times New Roman" w:hAnsi="Times New Roman PS"/>
      <w:color w:val="auto"/>
      <w:kern w:val="2"/>
    </w:rPr>
  </w:style>
  <w:style w:type="paragraph" w:customStyle="1" w:styleId="CM16">
    <w:name w:val="CM16"/>
    <w:basedOn w:val="Default"/>
    <w:next w:val="Default"/>
    <w:pPr>
      <w:autoSpaceDE/>
      <w:autoSpaceDN/>
      <w:adjustRightInd/>
      <w:spacing w:after="413"/>
    </w:pPr>
    <w:rPr>
      <w:rFonts w:ascii="Times New Roman PS" w:eastAsia="Times New Roman" w:hAnsi="Times New Roman PS"/>
      <w:color w:val="auto"/>
      <w:kern w:val="2"/>
    </w:rPr>
  </w:style>
  <w:style w:type="paragraph" w:customStyle="1" w:styleId="CM7">
    <w:name w:val="CM7"/>
    <w:basedOn w:val="Normal"/>
    <w:next w:val="Normal"/>
    <w:pPr>
      <w:widowControl w:val="0"/>
      <w:spacing w:after="263"/>
    </w:pPr>
    <w:rPr>
      <w:rFonts w:eastAsia="Times New Roman"/>
      <w:color w:val="auto"/>
    </w:rPr>
  </w:style>
  <w:style w:type="paragraph" w:customStyle="1" w:styleId="CM8">
    <w:name w:val="CM8"/>
    <w:basedOn w:val="Normal"/>
    <w:next w:val="Normal"/>
    <w:pPr>
      <w:widowControl w:val="0"/>
      <w:spacing w:after="210"/>
    </w:pPr>
    <w:rPr>
      <w:rFonts w:eastAsia="Times New Roman"/>
      <w:color w:val="auto"/>
    </w:rPr>
  </w:style>
  <w:style w:type="paragraph" w:customStyle="1" w:styleId="CM3">
    <w:name w:val="CM3"/>
    <w:basedOn w:val="Normal"/>
    <w:next w:val="Normal"/>
    <w:pPr>
      <w:widowControl w:val="0"/>
      <w:spacing w:after="120"/>
    </w:pPr>
    <w:rPr>
      <w:rFonts w:eastAsia="Times New Roman"/>
      <w:color w:val="auto"/>
    </w:rPr>
  </w:style>
  <w:style w:type="paragraph" w:customStyle="1" w:styleId="CM19">
    <w:name w:val="CM19"/>
    <w:basedOn w:val="Default"/>
    <w:next w:val="Default"/>
    <w:pPr>
      <w:autoSpaceDE/>
      <w:autoSpaceDN/>
      <w:adjustRightInd/>
      <w:spacing w:after="385"/>
    </w:pPr>
    <w:rPr>
      <w:rFonts w:ascii="Times New Roman" w:eastAsia="Times New Roman" w:hAnsi="Times New Roman" w:cs="Times New Roman"/>
      <w:color w:val="auto"/>
      <w:kern w:val="2"/>
    </w:rPr>
  </w:style>
  <w:style w:type="paragraph" w:customStyle="1" w:styleId="CM18">
    <w:name w:val="CM18"/>
    <w:basedOn w:val="Default"/>
    <w:next w:val="Default"/>
    <w:pPr>
      <w:autoSpaceDE/>
      <w:autoSpaceDN/>
      <w:adjustRightInd/>
      <w:spacing w:after="603"/>
    </w:pPr>
    <w:rPr>
      <w:rFonts w:ascii="Times New Roman" w:eastAsia="Times New Roman" w:hAnsi="Times New Roman" w:cs="Times New Roman"/>
      <w:color w:val="auto"/>
      <w:kern w:val="2"/>
    </w:rPr>
  </w:style>
  <w:style w:type="paragraph" w:customStyle="1" w:styleId="CM20">
    <w:name w:val="CM20"/>
    <w:basedOn w:val="Default"/>
    <w:next w:val="Default"/>
    <w:pPr>
      <w:autoSpaceDE/>
      <w:autoSpaceDN/>
      <w:adjustRightInd/>
      <w:spacing w:after="70"/>
    </w:pPr>
    <w:rPr>
      <w:rFonts w:ascii="Times New Roman" w:eastAsia="Times New Roman" w:hAnsi="Times New Roman" w:cs="Times New Roman"/>
      <w:color w:val="auto"/>
      <w:kern w:val="2"/>
    </w:rPr>
  </w:style>
  <w:style w:type="character" w:customStyle="1" w:styleId="required1">
    <w:name w:val="required1"/>
    <w:rPr>
      <w:color w:val="008080"/>
    </w:rPr>
  </w:style>
  <w:style w:type="character" w:customStyle="1" w:styleId="BodyText2Char">
    <w:name w:val="Body Text 2 Char"/>
    <w:rPr>
      <w:noProof w:val="0"/>
      <w:sz w:val="20"/>
      <w:szCs w:val="20"/>
      <w:lang w:val="en-GB"/>
    </w:rPr>
  </w:style>
  <w:style w:type="paragraph" w:customStyle="1" w:styleId="CM2">
    <w:name w:val="CM2"/>
    <w:basedOn w:val="Default"/>
    <w:next w:val="Default"/>
    <w:pPr>
      <w:autoSpaceDE/>
      <w:autoSpaceDN/>
      <w:adjustRightInd/>
      <w:spacing w:line="278" w:lineRule="atLeast"/>
    </w:pPr>
    <w:rPr>
      <w:rFonts w:ascii="Times New Roman" w:eastAsia="Times New Roman" w:hAnsi="Times New Roman" w:cs="Times New Roman"/>
      <w:color w:val="auto"/>
      <w:kern w:val="2"/>
    </w:rPr>
  </w:style>
  <w:style w:type="paragraph" w:customStyle="1" w:styleId="CM17">
    <w:name w:val="CM17"/>
    <w:basedOn w:val="Default"/>
    <w:next w:val="Default"/>
    <w:pPr>
      <w:autoSpaceDE/>
      <w:autoSpaceDN/>
      <w:adjustRightInd/>
      <w:spacing w:after="558"/>
    </w:pPr>
    <w:rPr>
      <w:rFonts w:ascii="Times New Roman" w:eastAsia="Times New Roman" w:hAnsi="Times New Roman" w:cs="Times New Roman"/>
      <w:color w:val="auto"/>
      <w:kern w:val="2"/>
    </w:rPr>
  </w:style>
  <w:style w:type="paragraph" w:customStyle="1" w:styleId="CM21">
    <w:name w:val="CM21"/>
    <w:basedOn w:val="Default"/>
    <w:next w:val="Default"/>
    <w:pPr>
      <w:autoSpaceDE/>
      <w:autoSpaceDN/>
      <w:adjustRightInd/>
      <w:spacing w:after="250"/>
    </w:pPr>
    <w:rPr>
      <w:rFonts w:ascii="Times New Roman" w:eastAsia="Times New Roman" w:hAnsi="Times New Roman" w:cs="Times New Roman"/>
      <w:color w:val="auto"/>
      <w:kern w:val="2"/>
    </w:rPr>
  </w:style>
  <w:style w:type="paragraph" w:customStyle="1" w:styleId="CM25">
    <w:name w:val="CM25"/>
    <w:basedOn w:val="Default"/>
    <w:next w:val="Default"/>
    <w:pPr>
      <w:autoSpaceDE/>
      <w:autoSpaceDN/>
      <w:adjustRightInd/>
      <w:spacing w:after="180"/>
    </w:pPr>
    <w:rPr>
      <w:rFonts w:ascii="Times New Roman" w:eastAsia="Times New Roman" w:hAnsi="Times New Roman" w:cs="Times New Roman"/>
      <w:color w:val="auto"/>
      <w:kern w:val="2"/>
    </w:rPr>
  </w:style>
  <w:style w:type="paragraph" w:customStyle="1" w:styleId="CM26">
    <w:name w:val="CM26"/>
    <w:basedOn w:val="Default"/>
    <w:next w:val="Default"/>
    <w:pPr>
      <w:autoSpaceDE/>
      <w:autoSpaceDN/>
      <w:adjustRightInd/>
      <w:spacing w:after="110"/>
    </w:pPr>
    <w:rPr>
      <w:rFonts w:ascii="Times New Roman" w:eastAsia="Times New Roman" w:hAnsi="Times New Roman" w:cs="Times New Roman"/>
      <w:color w:val="auto"/>
      <w:kern w:val="2"/>
    </w:rPr>
  </w:style>
  <w:style w:type="paragraph" w:styleId="EnvelopeAddress">
    <w:name w:val="envelope address"/>
    <w:basedOn w:val="Normal"/>
    <w:semiHidden/>
    <w:pPr>
      <w:framePr w:w="7920" w:h="1980" w:hRule="exact" w:hSpace="180" w:wrap="auto" w:hAnchor="page" w:xAlign="center" w:yAlign="bottom"/>
      <w:spacing w:after="120"/>
      <w:ind w:left="2880"/>
    </w:pPr>
    <w:rPr>
      <w:rFonts w:ascii="Lucida Calligraphy" w:eastAsia="Times New Roman" w:hAnsi="Lucida Calligraphy"/>
      <w:color w:val="auto"/>
    </w:rPr>
  </w:style>
  <w:style w:type="paragraph" w:customStyle="1" w:styleId="H1">
    <w:name w:val="_ H_1"/>
    <w:basedOn w:val="Normal"/>
    <w:next w:val="SingleTxt"/>
    <w:pPr>
      <w:keepNext/>
      <w:keepLines/>
      <w:suppressAutoHyphens/>
      <w:spacing w:after="120"/>
    </w:pPr>
    <w:rPr>
      <w:rFonts w:eastAsia="Times New Roman"/>
      <w:b/>
      <w:bCs/>
      <w:color w:val="auto"/>
      <w:spacing w:val="4"/>
      <w:kern w:val="14"/>
      <w:sz w:val="20"/>
      <w:szCs w:val="20"/>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rPr>
      <w:rFonts w:eastAsia="Times New Roman"/>
      <w:color w:val="auto"/>
      <w:spacing w:val="4"/>
      <w:kern w:val="14"/>
      <w:sz w:val="20"/>
      <w:szCs w:val="20"/>
      <w:lang w:val="fr-CA"/>
    </w:rPr>
  </w:style>
  <w:style w:type="paragraph" w:customStyle="1" w:styleId="Level1">
    <w:name w:val="Level1"/>
    <w:basedOn w:val="Normal"/>
    <w:pPr>
      <w:tabs>
        <w:tab w:val="left" w:pos="360"/>
        <w:tab w:val="left" w:pos="578"/>
        <w:tab w:val="left" w:pos="1157"/>
      </w:tabs>
      <w:spacing w:after="240" w:line="360" w:lineRule="auto"/>
    </w:pPr>
    <w:rPr>
      <w:rFonts w:eastAsia="Times New Roman"/>
      <w:color w:val="auto"/>
      <w:sz w:val="20"/>
      <w:szCs w:val="20"/>
    </w:rPr>
  </w:style>
  <w:style w:type="character" w:customStyle="1" w:styleId="BodyTextIndentChar">
    <w:name w:val="Body Text Indent Char"/>
    <w:rPr>
      <w:noProof w:val="0"/>
      <w:sz w:val="20"/>
      <w:szCs w:val="20"/>
      <w:lang w:val="en-GB"/>
    </w:rPr>
  </w:style>
  <w:style w:type="character" w:customStyle="1" w:styleId="BodyTextIndent2Char">
    <w:name w:val="Body Text Indent 2 Char"/>
    <w:rPr>
      <w:b/>
      <w:bCs/>
      <w:noProof w:val="0"/>
      <w:sz w:val="20"/>
      <w:szCs w:val="20"/>
      <w:lang w:val="en-GB"/>
    </w:rPr>
  </w:style>
  <w:style w:type="paragraph" w:customStyle="1" w:styleId="main">
    <w:name w:val="main"/>
    <w:basedOn w:val="Normal"/>
    <w:pPr>
      <w:widowControl w:val="0"/>
      <w:tabs>
        <w:tab w:val="left" w:pos="720"/>
        <w:tab w:val="left" w:pos="1440"/>
      </w:tabs>
      <w:spacing w:after="120"/>
    </w:pPr>
    <w:rPr>
      <w:rFonts w:eastAsia="Times New Roman"/>
      <w:color w:val="auto"/>
      <w:sz w:val="18"/>
      <w:szCs w:val="18"/>
    </w:rPr>
  </w:style>
  <w:style w:type="character" w:customStyle="1" w:styleId="TitleChar">
    <w:name w:val="Title Char"/>
    <w:rPr>
      <w:noProof w:val="0"/>
      <w:sz w:val="20"/>
      <w:szCs w:val="20"/>
      <w:lang w:val="en-GB"/>
    </w:rPr>
  </w:style>
  <w:style w:type="paragraph" w:customStyle="1" w:styleId="tabletextbullet">
    <w:name w:val="table text bullet"/>
    <w:basedOn w:val="Normal"/>
    <w:pPr>
      <w:tabs>
        <w:tab w:val="left" w:pos="288"/>
      </w:tabs>
      <w:spacing w:after="120"/>
      <w:ind w:left="288" w:hanging="288"/>
    </w:pPr>
    <w:rPr>
      <w:rFonts w:eastAsia="Times New Roman"/>
      <w:color w:val="auto"/>
      <w:szCs w:val="22"/>
    </w:rPr>
  </w:style>
  <w:style w:type="paragraph" w:customStyle="1" w:styleId="default0">
    <w:name w:val="default"/>
    <w:basedOn w:val="Normal"/>
    <w:pPr>
      <w:spacing w:after="120"/>
    </w:pPr>
    <w:rPr>
      <w:rFonts w:eastAsia="Times New Roman"/>
    </w:rPr>
  </w:style>
  <w:style w:type="character" w:styleId="Emphasis">
    <w:name w:val="Emphasis"/>
    <w:uiPriority w:val="20"/>
    <w:qFormat/>
    <w:rPr>
      <w:i/>
      <w:iCs/>
    </w:rPr>
  </w:style>
  <w:style w:type="paragraph" w:customStyle="1" w:styleId="DefaultText">
    <w:name w:val="Default Text"/>
    <w:basedOn w:val="Normal"/>
    <w:pPr>
      <w:spacing w:after="120"/>
    </w:pPr>
    <w:rPr>
      <w:rFonts w:eastAsia="Times New Roman"/>
    </w:rPr>
  </w:style>
  <w:style w:type="paragraph" w:customStyle="1" w:styleId="ExecSumHeading">
    <w:name w:val="Exec Sum Heading"/>
    <w:basedOn w:val="Heading1"/>
    <w:pPr>
      <w:widowControl w:val="0"/>
      <w:tabs>
        <w:tab w:val="left" w:pos="720"/>
      </w:tabs>
      <w:spacing w:after="240" w:line="240" w:lineRule="auto"/>
      <w:ind w:left="0" w:firstLine="0"/>
      <w:jc w:val="left"/>
      <w:outlineLvl w:val="9"/>
    </w:pPr>
    <w:rPr>
      <w:rFonts w:eastAsia="Times New Roman"/>
      <w:color w:val="auto"/>
      <w:kern w:val="32"/>
    </w:rPr>
  </w:style>
  <w:style w:type="character" w:customStyle="1" w:styleId="BodyTextLeftChar">
    <w:name w:val="Body Text Left Char"/>
    <w:rPr>
      <w:noProof w:val="0"/>
      <w:kern w:val="2"/>
      <w:lang w:val="en-GB"/>
    </w:rPr>
  </w:style>
  <w:style w:type="paragraph" w:customStyle="1" w:styleId="Figure">
    <w:name w:val="Figure"/>
    <w:basedOn w:val="Normal"/>
    <w:pPr>
      <w:widowControl w:val="0"/>
      <w:tabs>
        <w:tab w:val="left" w:pos="3600"/>
      </w:tabs>
      <w:spacing w:after="240"/>
      <w:ind w:left="3600" w:hanging="360"/>
    </w:pPr>
    <w:rPr>
      <w:rFonts w:eastAsia="Times New Roman"/>
      <w:b/>
      <w:bCs/>
      <w:color w:val="auto"/>
      <w:kern w:val="2"/>
    </w:rPr>
  </w:style>
  <w:style w:type="paragraph" w:customStyle="1" w:styleId="sublist2">
    <w:name w:val="sublist 2"/>
    <w:basedOn w:val="Normal"/>
    <w:pPr>
      <w:widowControl w:val="0"/>
      <w:tabs>
        <w:tab w:val="left" w:pos="3600"/>
      </w:tabs>
      <w:spacing w:after="120"/>
      <w:ind w:left="3600" w:hanging="360"/>
    </w:pPr>
    <w:rPr>
      <w:rFonts w:eastAsia="Times New Roman"/>
      <w:color w:val="auto"/>
      <w:kern w:val="2"/>
    </w:rPr>
  </w:style>
  <w:style w:type="paragraph" w:customStyle="1" w:styleId="StyleTOC1Left0Hanging397ch">
    <w:name w:val="Style TOC 1 + Left:  0&quot; Hanging:  3.97 ch"/>
    <w:basedOn w:val="TOC1"/>
    <w:pPr>
      <w:keepNext w:val="0"/>
      <w:widowControl w:val="0"/>
      <w:tabs>
        <w:tab w:val="clear" w:pos="425"/>
        <w:tab w:val="left" w:pos="720"/>
        <w:tab w:val="right" w:leader="dot" w:pos="9360"/>
      </w:tabs>
      <w:spacing w:before="0"/>
      <w:ind w:left="720" w:hanging="720"/>
    </w:pPr>
    <w:rPr>
      <w:rFonts w:eastAsia="Times New Roman"/>
      <w:b w:val="0"/>
      <w:bCs/>
      <w:caps w:val="0"/>
      <w:color w:val="auto"/>
      <w:kern w:val="2"/>
      <w:sz w:val="24"/>
    </w:rPr>
  </w:style>
  <w:style w:type="paragraph" w:customStyle="1" w:styleId="Considrant">
    <w:name w:val="Considérant"/>
    <w:basedOn w:val="Normal"/>
    <w:pPr>
      <w:tabs>
        <w:tab w:val="left" w:pos="709"/>
      </w:tabs>
      <w:spacing w:before="120" w:after="120"/>
      <w:ind w:left="709" w:hanging="709"/>
    </w:pPr>
    <w:rPr>
      <w:rFonts w:eastAsia="Times New Roman"/>
      <w:noProof/>
      <w:color w:val="auto"/>
    </w:rPr>
  </w:style>
  <w:style w:type="paragraph" w:styleId="EndnoteText">
    <w:name w:val="endnote text"/>
    <w:basedOn w:val="Normal"/>
    <w:semiHidden/>
    <w:pPr>
      <w:widowControl w:val="0"/>
      <w:spacing w:after="120"/>
    </w:pPr>
    <w:rPr>
      <w:rFonts w:eastAsia="Times New Roman"/>
      <w:color w:val="auto"/>
      <w:kern w:val="2"/>
      <w:sz w:val="20"/>
      <w:szCs w:val="20"/>
    </w:rPr>
  </w:style>
  <w:style w:type="character" w:customStyle="1" w:styleId="EndnoteTextChar">
    <w:name w:val="Endnote Text Char"/>
    <w:rPr>
      <w:noProof w:val="0"/>
      <w:kern w:val="2"/>
      <w:sz w:val="20"/>
      <w:szCs w:val="20"/>
      <w:lang w:val="x-none"/>
    </w:rPr>
  </w:style>
  <w:style w:type="character" w:styleId="EndnoteReference">
    <w:name w:val="endnote reference"/>
    <w:semiHidden/>
    <w:rPr>
      <w:vertAlign w:val="superscript"/>
    </w:rPr>
  </w:style>
  <w:style w:type="paragraph" w:customStyle="1" w:styleId="Equation">
    <w:name w:val="Equation"/>
    <w:basedOn w:val="Normal"/>
    <w:pPr>
      <w:spacing w:before="120" w:after="120"/>
      <w:jc w:val="center"/>
    </w:pPr>
    <w:rPr>
      <w:rFonts w:ascii="Arial" w:eastAsia="Times New Roman" w:hAnsi="Arial" w:cs="Arial"/>
      <w:color w:val="auto"/>
      <w:sz w:val="18"/>
      <w:szCs w:val="18"/>
    </w:rPr>
  </w:style>
  <w:style w:type="paragraph" w:customStyle="1" w:styleId="Discussion">
    <w:name w:val="Discussion"/>
    <w:basedOn w:val="Normal"/>
    <w:pPr>
      <w:spacing w:after="120"/>
      <w:ind w:firstLine="288"/>
    </w:pPr>
    <w:rPr>
      <w:rFonts w:eastAsia="Times New Roman"/>
      <w:color w:val="auto"/>
      <w:sz w:val="20"/>
      <w:szCs w:val="20"/>
    </w:rPr>
  </w:style>
  <w:style w:type="character" w:customStyle="1" w:styleId="body1">
    <w:name w:val="body1"/>
    <w:rPr>
      <w:rFonts w:ascii="Arial" w:hAnsi="Arial"/>
      <w:color w:val="000000"/>
      <w:sz w:val="18"/>
      <w:szCs w:val="18"/>
    </w:rPr>
  </w:style>
  <w:style w:type="paragraph" w:styleId="NormalWeb">
    <w:name w:val="Normal (Web)"/>
    <w:basedOn w:val="Normal"/>
    <w:uiPriority w:val="99"/>
    <w:pPr>
      <w:spacing w:before="100" w:after="100"/>
    </w:pPr>
    <w:rPr>
      <w:rFonts w:eastAsia="Times New Roman"/>
      <w:color w:val="auto"/>
    </w:rPr>
  </w:style>
  <w:style w:type="paragraph" w:customStyle="1" w:styleId="Committeelist">
    <w:name w:val="Committee list"/>
    <w:basedOn w:val="Normal"/>
    <w:pPr>
      <w:widowControl w:val="0"/>
      <w:jc w:val="center"/>
    </w:pPr>
    <w:rPr>
      <w:rFonts w:eastAsia="Times New Roman"/>
      <w:color w:val="auto"/>
      <w:kern w:val="2"/>
    </w:rPr>
  </w:style>
  <w:style w:type="paragraph" w:customStyle="1" w:styleId="ExecSumHeading1">
    <w:name w:val="Exec Sum Heading 1"/>
    <w:basedOn w:val="ExecSumHeading"/>
    <w:pPr>
      <w:ind w:left="720" w:hanging="720"/>
    </w:pPr>
    <w:rPr>
      <w:sz w:val="24"/>
      <w:szCs w:val="24"/>
    </w:rPr>
  </w:style>
  <w:style w:type="paragraph" w:customStyle="1" w:styleId="BodyTextLeftBold">
    <w:name w:val="Body Text Left (Bold)"/>
    <w:basedOn w:val="BodyTextLeft"/>
    <w:rPr>
      <w:b/>
      <w:bCs/>
    </w:rPr>
  </w:style>
  <w:style w:type="paragraph" w:customStyle="1" w:styleId="Numberedlist">
    <w:name w:val="Numbered list"/>
    <w:basedOn w:val="Heading1"/>
    <w:pPr>
      <w:widowControl w:val="0"/>
      <w:tabs>
        <w:tab w:val="left" w:pos="576"/>
      </w:tabs>
      <w:spacing w:after="240" w:line="240" w:lineRule="auto"/>
      <w:ind w:left="360" w:hanging="360"/>
      <w:jc w:val="left"/>
      <w:outlineLvl w:val="9"/>
    </w:pPr>
    <w:rPr>
      <w:rFonts w:eastAsia="Times New Roman"/>
      <w:b w:val="0"/>
      <w:bCs w:val="0"/>
      <w:color w:val="auto"/>
      <w:sz w:val="24"/>
      <w:szCs w:val="24"/>
    </w:rPr>
  </w:style>
  <w:style w:type="paragraph" w:customStyle="1" w:styleId="BoldText">
    <w:name w:val="Bold Text"/>
    <w:basedOn w:val="TableTitle"/>
  </w:style>
  <w:style w:type="character" w:customStyle="1" w:styleId="StyleHeading311ptChar">
    <w:name w:val="Style Heading 3 + 11 pt Char"/>
    <w:rPr>
      <w:rFonts w:ascii="Times New Roman Bold" w:eastAsia="Times New Roman" w:hAnsi="Times New Roman Bold"/>
      <w:b/>
      <w:bCs/>
      <w:i/>
      <w:iCs/>
      <w:noProof w:val="0"/>
      <w:snapToGrid/>
      <w:color w:val="000000"/>
      <w:sz w:val="22"/>
      <w:szCs w:val="22"/>
      <w:lang w:val="en-US" w:eastAsia="fr-FR" w:bidi="ar-SA"/>
    </w:rPr>
  </w:style>
  <w:style w:type="paragraph" w:customStyle="1" w:styleId="StyleHeading311ptAfter12pt">
    <w:name w:val="Style Heading 3 + 11 pt After:  12 pt"/>
    <w:basedOn w:val="Heading3"/>
    <w:pPr>
      <w:tabs>
        <w:tab w:val="clear" w:pos="1134"/>
        <w:tab w:val="left" w:pos="851"/>
      </w:tabs>
      <w:spacing w:before="240" w:after="240" w:line="240" w:lineRule="auto"/>
      <w:jc w:val="both"/>
    </w:pPr>
    <w:rPr>
      <w:rFonts w:eastAsia="Times New Roman"/>
      <w:b w:val="0"/>
      <w:bCs w:val="0"/>
      <w:i w:val="0"/>
      <w:iCs w:val="0"/>
      <w:color w:val="auto"/>
      <w:szCs w:val="22"/>
      <w:lang w:val="en-US" w:eastAsia="zh-CN"/>
    </w:rPr>
  </w:style>
  <w:style w:type="paragraph" w:customStyle="1" w:styleId="StyleHeading4Left0cmHanging152cmAfter12pt">
    <w:name w:val="Style Heading 4 + Left:  0 cm Hanging:  1.52 cm After:  12 pt"/>
    <w:basedOn w:val="Heading4"/>
    <w:pPr>
      <w:widowControl/>
      <w:tabs>
        <w:tab w:val="left" w:pos="851"/>
      </w:tabs>
      <w:ind w:left="864" w:hanging="864"/>
      <w:jc w:val="left"/>
    </w:pPr>
    <w:rPr>
      <w:rFonts w:eastAsia="Times New Roman"/>
      <w:b w:val="0"/>
      <w:bCs w:val="0"/>
      <w:color w:val="auto"/>
      <w:szCs w:val="22"/>
      <w:lang w:eastAsia="zh-CN"/>
    </w:rPr>
  </w:style>
  <w:style w:type="paragraph" w:styleId="ListContinue">
    <w:name w:val="List Continue"/>
    <w:basedOn w:val="Normal"/>
    <w:semiHidden/>
    <w:pPr>
      <w:tabs>
        <w:tab w:val="left" w:pos="4680"/>
        <w:tab w:val="right" w:pos="9360"/>
      </w:tabs>
      <w:spacing w:before="220" w:after="120" w:line="220" w:lineRule="exact"/>
      <w:ind w:left="360"/>
      <w:jc w:val="both"/>
    </w:pPr>
    <w:rPr>
      <w:rFonts w:ascii="Arial" w:eastAsia="Times New Roman" w:hAnsi="Arial" w:cs="Arial"/>
      <w:color w:val="auto"/>
      <w:szCs w:val="22"/>
    </w:rPr>
  </w:style>
  <w:style w:type="character" w:customStyle="1" w:styleId="italic1">
    <w:name w:val="italic1"/>
    <w:rPr>
      <w:i/>
      <w:iCs/>
      <w:sz w:val="24"/>
      <w:szCs w:val="24"/>
    </w:rPr>
  </w:style>
  <w:style w:type="character" w:customStyle="1" w:styleId="st1">
    <w:name w:val="st1"/>
    <w:basedOn w:val="DefaultParagraphFont"/>
  </w:style>
  <w:style w:type="character" w:customStyle="1" w:styleId="Titre1Car">
    <w:name w:val="Titre 1 Car"/>
    <w:rPr>
      <w:rFonts w:ascii="Cambria" w:eastAsia="Times New Roman" w:hAnsi="Cambria" w:cs="Times New Roman"/>
      <w:b/>
      <w:bCs/>
      <w:noProof w:val="0"/>
      <w:kern w:val="32"/>
      <w:sz w:val="32"/>
      <w:szCs w:val="32"/>
      <w:lang w:val="fr-FR"/>
    </w:rPr>
  </w:style>
  <w:style w:type="character" w:customStyle="1" w:styleId="Titre2Car">
    <w:name w:val="Titre 2 Car"/>
    <w:aliases w:val="Heading 2 Char3 Car,SubPara (a) Car,Heading 2 Char1 Char Car,SubPara (a) Char1 Char Car,Heading 2 Char3 Char Char Car,Heading 2 Char Char2 Char Char Car,Heading 2 Char1 Char Char1 Char Char Car,SubPara (a) Char Char Char1 Char Char Car"/>
    <w:rPr>
      <w:rFonts w:ascii="Cambria" w:eastAsia="Times New Roman" w:hAnsi="Cambria" w:cs="Times New Roman"/>
      <w:b/>
      <w:bCs/>
      <w:i/>
      <w:iCs/>
      <w:noProof w:val="0"/>
      <w:sz w:val="28"/>
      <w:szCs w:val="28"/>
      <w:lang w:val="fr-FR"/>
    </w:rPr>
  </w:style>
  <w:style w:type="character" w:customStyle="1" w:styleId="Titre3Car">
    <w:name w:val="Titre 3 Car"/>
    <w:aliases w:val="Heading 3 Char1 Char Car,Heading 3 Char Char Char Car,Char Char Char Char Car,Char Char1 Char Car,Sec Car"/>
    <w:semiHidden/>
    <w:rPr>
      <w:rFonts w:ascii="Cambria" w:eastAsia="Times New Roman" w:hAnsi="Cambria" w:cs="Times New Roman"/>
      <w:b/>
      <w:bCs/>
      <w:noProof w:val="0"/>
      <w:sz w:val="26"/>
      <w:szCs w:val="26"/>
      <w:lang w:val="fr-FR"/>
    </w:rPr>
  </w:style>
  <w:style w:type="character" w:customStyle="1" w:styleId="Titre4Car">
    <w:name w:val="Titre 4 Car"/>
    <w:aliases w:val="MainPara Car"/>
    <w:semiHidden/>
    <w:rPr>
      <w:b/>
      <w:bCs/>
      <w:noProof w:val="0"/>
      <w:sz w:val="28"/>
      <w:szCs w:val="28"/>
      <w:lang w:val="fr-FR"/>
    </w:rPr>
  </w:style>
  <w:style w:type="paragraph" w:customStyle="1" w:styleId="Textedebulles1">
    <w:name w:val="Texte de bulles1"/>
    <w:basedOn w:val="Normal"/>
    <w:pPr>
      <w:autoSpaceDE w:val="0"/>
      <w:autoSpaceDN w:val="0"/>
    </w:pPr>
    <w:rPr>
      <w:rFonts w:ascii="Tahoma" w:eastAsia="Times New Roman" w:hAnsi="Tahoma" w:cs="Palatino Linotype"/>
      <w:color w:val="auto"/>
      <w:sz w:val="16"/>
      <w:szCs w:val="16"/>
      <w:lang w:val="fr-FR"/>
    </w:rPr>
  </w:style>
  <w:style w:type="character" w:customStyle="1" w:styleId="TextedebullesCar">
    <w:name w:val="Texte de bulles Car"/>
    <w:rPr>
      <w:rFonts w:ascii="Tahoma" w:hAnsi="Tahoma" w:cs="Calibri"/>
      <w:sz w:val="16"/>
      <w:szCs w:val="16"/>
    </w:rPr>
  </w:style>
  <w:style w:type="paragraph" w:customStyle="1" w:styleId="Paragraphedeliste1">
    <w:name w:val="Paragraphe de liste1"/>
    <w:basedOn w:val="Normal"/>
    <w:qFormat/>
    <w:pPr>
      <w:autoSpaceDE w:val="0"/>
      <w:autoSpaceDN w:val="0"/>
      <w:ind w:left="720"/>
    </w:pPr>
    <w:rPr>
      <w:rFonts w:ascii="Calibri" w:eastAsia="Times New Roman" w:hAnsi="Calibri"/>
      <w:color w:val="auto"/>
      <w:szCs w:val="22"/>
      <w:lang w:val="fr-FR"/>
    </w:rPr>
  </w:style>
  <w:style w:type="character" w:customStyle="1" w:styleId="TitreCar">
    <w:name w:val="Titre Car"/>
    <w:rPr>
      <w:rFonts w:ascii="Cambria" w:eastAsia="Times New Roman" w:hAnsi="Cambria" w:cs="Times New Roman"/>
      <w:b/>
      <w:bCs/>
      <w:noProof w:val="0"/>
      <w:kern w:val="28"/>
      <w:sz w:val="32"/>
      <w:szCs w:val="32"/>
      <w:lang w:val="fr-FR"/>
    </w:rPr>
  </w:style>
  <w:style w:type="character" w:customStyle="1" w:styleId="CorpsdetexteCar">
    <w:name w:val="Corps de texte Car"/>
    <w:aliases w:val="Char Char Car,Body Text Char Car, Char Char Char Char Char Char Char Char Char Char Char Char Char Char Char Char Char Char Char Char Char Char Char Char Char Char Char Char Char Char Char Car, Char Char Car"/>
    <w:semiHidden/>
    <w:rPr>
      <w:rFonts w:ascii="Calibri" w:hAnsi="Calibri" w:cs="Times"/>
      <w:noProof w:val="0"/>
      <w:lang w:val="fr-FR"/>
    </w:rPr>
  </w:style>
  <w:style w:type="character" w:customStyle="1" w:styleId="Corpsdetexte2Car">
    <w:name w:val="Corps de texte 2 Car"/>
    <w:semiHidden/>
    <w:rPr>
      <w:rFonts w:cs="Times"/>
      <w:sz w:val="22"/>
      <w:szCs w:val="22"/>
      <w:lang w:eastAsia="en-GB"/>
    </w:rPr>
  </w:style>
  <w:style w:type="character" w:customStyle="1" w:styleId="Retraitcorpsdetexte3Car">
    <w:name w:val="Retrait corps de texte 3 Car"/>
    <w:semiHidden/>
    <w:rPr>
      <w:rFonts w:cs="Times"/>
      <w:sz w:val="16"/>
      <w:szCs w:val="16"/>
      <w:lang w:eastAsia="en-GB"/>
    </w:rPr>
  </w:style>
  <w:style w:type="paragraph" w:customStyle="1" w:styleId="Asuntodelcomentario">
    <w:name w:val="Asunto del comentario"/>
    <w:basedOn w:val="CommentText"/>
    <w:next w:val="CommentText"/>
    <w:semiHidden/>
    <w:pPr>
      <w:tabs>
        <w:tab w:val="clear" w:pos="720"/>
        <w:tab w:val="clear" w:pos="1440"/>
        <w:tab w:val="clear" w:pos="5760"/>
      </w:tabs>
      <w:spacing w:line="240" w:lineRule="atLeast"/>
      <w:ind w:right="-574"/>
    </w:pPr>
    <w:rPr>
      <w:b/>
      <w:bCs/>
      <w:color w:val="000000"/>
      <w:lang w:val="en-US"/>
    </w:rPr>
  </w:style>
  <w:style w:type="paragraph" w:customStyle="1" w:styleId="ListParagraph1">
    <w:name w:val="List Paragraph1"/>
    <w:aliases w:val="Bullets"/>
    <w:basedOn w:val="Normal"/>
    <w:pPr>
      <w:autoSpaceDE w:val="0"/>
      <w:autoSpaceDN w:val="0"/>
      <w:spacing w:line="240" w:lineRule="atLeast"/>
      <w:ind w:right="-574"/>
      <w:jc w:val="both"/>
    </w:pPr>
    <w:rPr>
      <w:rFonts w:ascii="Cambria" w:eastAsia="Times New Roman" w:hAnsi="Cambria"/>
      <w:color w:val="auto"/>
      <w:szCs w:val="22"/>
    </w:rPr>
  </w:style>
  <w:style w:type="character" w:customStyle="1" w:styleId="CierreCar">
    <w:name w:val="Cierre Car"/>
    <w:rPr>
      <w:rFonts w:eastAsia="SimSun"/>
      <w:noProof w:val="0"/>
      <w:color w:val="000000"/>
      <w:sz w:val="24"/>
      <w:szCs w:val="24"/>
      <w:lang w:val="en-US" w:eastAsia="nl-NL" w:bidi="ar-SA"/>
    </w:rPr>
  </w:style>
  <w:style w:type="paragraph" w:customStyle="1" w:styleId="para">
    <w:name w:val="para"/>
    <w:basedOn w:val="Normal"/>
    <w:pPr>
      <w:tabs>
        <w:tab w:val="left" w:pos="540"/>
      </w:tabs>
      <w:spacing w:line="320" w:lineRule="atLeast"/>
      <w:ind w:right="-574"/>
      <w:jc w:val="both"/>
    </w:pPr>
    <w:rPr>
      <w:rFonts w:ascii="Palatino" w:eastAsia="Times New Roman" w:hAnsi="Palatino"/>
    </w:rPr>
  </w:style>
  <w:style w:type="character" w:customStyle="1" w:styleId="TextocomentarioCar">
    <w:name w:val="Texto comentario Car"/>
    <w:semiHidden/>
    <w:rPr>
      <w:rFonts w:ascii="Times New Roman" w:hAnsi="Times New Roman"/>
      <w:noProof w:val="0"/>
      <w:lang w:val="en-GB" w:eastAsia="nl-NL"/>
    </w:rPr>
  </w:style>
  <w:style w:type="character" w:customStyle="1" w:styleId="TtuloCar">
    <w:name w:val="Título Car"/>
    <w:rPr>
      <w:rFonts w:ascii="Times New Roman" w:hAnsi="Times New Roman"/>
      <w:b/>
      <w:bCs/>
      <w:color w:val="000000"/>
      <w:sz w:val="22"/>
      <w:szCs w:val="22"/>
      <w:lang w:eastAsia="nl-NL"/>
    </w:rPr>
  </w:style>
  <w:style w:type="character" w:customStyle="1" w:styleId="SubttuloCar">
    <w:name w:val="Subtítulo Car"/>
    <w:rPr>
      <w:rFonts w:ascii="Times New Roman" w:hAnsi="Times New Roman"/>
      <w:b/>
      <w:bCs/>
      <w:color w:val="000000"/>
      <w:sz w:val="22"/>
      <w:szCs w:val="22"/>
      <w:lang w:eastAsia="nl-NL"/>
    </w:rPr>
  </w:style>
  <w:style w:type="character" w:customStyle="1" w:styleId="Textodecuerpo3Car">
    <w:name w:val="Texto de cuerpo 3 Car"/>
    <w:semiHidden/>
    <w:rPr>
      <w:rFonts w:ascii="Times New Roman" w:hAnsi="Times New Roman"/>
      <w:noProof w:val="0"/>
      <w:sz w:val="22"/>
      <w:szCs w:val="22"/>
      <w:lang w:val="en-AU" w:eastAsia="nl-NL"/>
    </w:rPr>
  </w:style>
  <w:style w:type="paragraph" w:customStyle="1" w:styleId="Prrafodelista">
    <w:name w:val="Párrafo de lista"/>
    <w:basedOn w:val="Normal"/>
    <w:qFormat/>
    <w:pPr>
      <w:ind w:right="-574"/>
      <w:jc w:val="both"/>
    </w:pPr>
    <w:rPr>
      <w:rFonts w:eastAsia="Calibri"/>
      <w:color w:val="auto"/>
    </w:rPr>
  </w:style>
  <w:style w:type="paragraph" w:customStyle="1" w:styleId="Thesisheading1">
    <w:name w:val="Thesisheading1"/>
    <w:basedOn w:val="BodyTextIndent2"/>
    <w:pPr>
      <w:widowControl/>
      <w:numPr>
        <w:numId w:val="13"/>
      </w:numPr>
      <w:autoSpaceDE w:val="0"/>
      <w:autoSpaceDN w:val="0"/>
      <w:spacing w:line="360" w:lineRule="auto"/>
    </w:pPr>
    <w:rPr>
      <w:rFonts w:ascii="Arial" w:eastAsia="Times New Roman" w:hAnsi="Arial" w:cs="Arial"/>
      <w:caps/>
      <w:color w:val="auto"/>
    </w:rPr>
  </w:style>
  <w:style w:type="paragraph" w:customStyle="1" w:styleId="Thesisheading4">
    <w:name w:val="Thesisheading4"/>
    <w:basedOn w:val="Heading3"/>
    <w:pPr>
      <w:numPr>
        <w:numId w:val="15"/>
      </w:numPr>
      <w:tabs>
        <w:tab w:val="clear" w:pos="1134"/>
      </w:tabs>
      <w:autoSpaceDE w:val="0"/>
      <w:autoSpaceDN w:val="0"/>
      <w:spacing w:before="240" w:after="0" w:line="360" w:lineRule="auto"/>
      <w:jc w:val="both"/>
    </w:pPr>
    <w:rPr>
      <w:rFonts w:ascii="Arial" w:eastAsia="Times New Roman" w:hAnsi="Arial" w:cs="Arial"/>
      <w:b w:val="0"/>
      <w:bCs w:val="0"/>
      <w:color w:val="auto"/>
    </w:rPr>
  </w:style>
  <w:style w:type="paragraph" w:customStyle="1" w:styleId="OurCaption">
    <w:name w:val="OurCaption"/>
    <w:pPr>
      <w:numPr>
        <w:numId w:val="14"/>
      </w:numPr>
      <w:tabs>
        <w:tab w:val="clear" w:pos="360"/>
      </w:tabs>
      <w:autoSpaceDE w:val="0"/>
      <w:autoSpaceDN w:val="0"/>
      <w:ind w:left="0" w:right="12" w:firstLine="0"/>
    </w:pPr>
    <w:rPr>
      <w:rFonts w:ascii="Times New Roman" w:eastAsia="Times New Roman" w:hAnsi="Times New Roman"/>
      <w:lang w:val="en-GB" w:eastAsia="en-US"/>
    </w:rPr>
  </w:style>
  <w:style w:type="paragraph" w:customStyle="1" w:styleId="Chap">
    <w:name w:val="Chap"/>
    <w:pPr>
      <w:numPr>
        <w:numId w:val="8"/>
      </w:numPr>
      <w:autoSpaceDE w:val="0"/>
      <w:autoSpaceDN w:val="0"/>
    </w:pPr>
    <w:rPr>
      <w:rFonts w:ascii="TimesNewRomanPSMT" w:eastAsia="Times New Roman" w:hAnsi="TimesNewRomanPSMT"/>
      <w:b/>
      <w:bCs/>
      <w:sz w:val="28"/>
      <w:szCs w:val="28"/>
      <w:lang w:val="en-US" w:eastAsia="en-US"/>
    </w:rPr>
  </w:style>
  <w:style w:type="paragraph" w:customStyle="1" w:styleId="Indentedbullet">
    <w:name w:val="Indented bullet"/>
    <w:basedOn w:val="Indentedbodytext"/>
    <w:pPr>
      <w:numPr>
        <w:numId w:val="7"/>
      </w:numPr>
      <w:spacing w:after="240"/>
      <w:ind w:left="1434" w:hanging="357"/>
    </w:pPr>
  </w:style>
  <w:style w:type="paragraph" w:customStyle="1" w:styleId="Indentedbodytext">
    <w:name w:val="Indented body text"/>
    <w:autoRedefine/>
    <w:rPr>
      <w:rFonts w:ascii="Times New Roman" w:hAnsi="Times New Roman"/>
      <w:color w:val="000000"/>
      <w:sz w:val="22"/>
      <w:lang w:val="en-GB" w:eastAsia="en-GB"/>
    </w:rPr>
  </w:style>
  <w:style w:type="paragraph" w:customStyle="1" w:styleId="StyleHeading3Heading3Char1CharHeading3CharCharCharChar">
    <w:name w:val="Style Heading 3Heading 3 Char1 CharHeading 3 Char Char CharChar ..."/>
    <w:basedOn w:val="Heading3"/>
    <w:pPr>
      <w:tabs>
        <w:tab w:val="clear" w:pos="1134"/>
        <w:tab w:val="num" w:pos="360"/>
      </w:tabs>
      <w:autoSpaceDE w:val="0"/>
      <w:autoSpaceDN w:val="0"/>
      <w:spacing w:before="60" w:after="240" w:line="240" w:lineRule="auto"/>
      <w:ind w:left="360" w:hanging="360"/>
      <w:jc w:val="center"/>
    </w:pPr>
    <w:rPr>
      <w:rFonts w:eastAsia="Times New Roman"/>
      <w:b w:val="0"/>
      <w:bCs w:val="0"/>
      <w:color w:val="auto"/>
      <w:szCs w:val="22"/>
    </w:rPr>
  </w:style>
  <w:style w:type="paragraph" w:customStyle="1" w:styleId="Alt2-LevelLegal7">
    <w:name w:val="Alt 2-Level Legal7"/>
    <w:pPr>
      <w:tabs>
        <w:tab w:val="num" w:pos="360"/>
      </w:tabs>
      <w:autoSpaceDE w:val="0"/>
      <w:autoSpaceDN w:val="0"/>
      <w:spacing w:after="240"/>
      <w:ind w:left="1440" w:hanging="360"/>
      <w:outlineLvl w:val="6"/>
    </w:pPr>
    <w:rPr>
      <w:rFonts w:ascii="Times New Roman" w:eastAsia="Times New Roman" w:hAnsi="Times New Roman"/>
      <w:color w:val="000000"/>
      <w:sz w:val="24"/>
      <w:szCs w:val="24"/>
      <w:lang w:val="en-GB" w:eastAsia="en-US"/>
    </w:rPr>
  </w:style>
  <w:style w:type="paragraph" w:customStyle="1" w:styleId="bullets">
    <w:name w:val="bullets"/>
    <w:pPr>
      <w:widowControl w:val="0"/>
      <w:numPr>
        <w:numId w:val="12"/>
      </w:numPr>
      <w:tabs>
        <w:tab w:val="left" w:pos="794"/>
      </w:tabs>
      <w:autoSpaceDE w:val="0"/>
      <w:autoSpaceDN w:val="0"/>
      <w:spacing w:before="120" w:line="220" w:lineRule="exact"/>
      <w:ind w:right="288"/>
    </w:pPr>
    <w:rPr>
      <w:rFonts w:ascii="Arial" w:eastAsia="Times New Roman" w:hAnsi="Arial" w:cs="Arial"/>
      <w:sz w:val="22"/>
      <w:szCs w:val="22"/>
      <w:lang w:val="en-US" w:eastAsia="en-US"/>
    </w:rPr>
  </w:style>
  <w:style w:type="paragraph" w:styleId="ListNumber2">
    <w:name w:val="List Number 2"/>
    <w:basedOn w:val="Normal"/>
    <w:semiHidden/>
    <w:pPr>
      <w:numPr>
        <w:numId w:val="9"/>
      </w:numPr>
      <w:tabs>
        <w:tab w:val="left" w:pos="4680"/>
        <w:tab w:val="right" w:pos="9360"/>
      </w:tabs>
      <w:autoSpaceDE w:val="0"/>
      <w:autoSpaceDN w:val="0"/>
      <w:jc w:val="both"/>
    </w:pPr>
    <w:rPr>
      <w:rFonts w:ascii="Garamond" w:eastAsia="Times New Roman" w:hAnsi="Garamond"/>
      <w:color w:val="auto"/>
      <w:sz w:val="18"/>
      <w:szCs w:val="18"/>
    </w:rPr>
  </w:style>
  <w:style w:type="paragraph" w:styleId="ListBullet3">
    <w:name w:val="List Bullet 3"/>
    <w:basedOn w:val="Normal"/>
    <w:autoRedefine/>
    <w:semiHidden/>
    <w:pPr>
      <w:numPr>
        <w:numId w:val="10"/>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paragraph" w:styleId="ListBullet4">
    <w:name w:val="List Bullet 4"/>
    <w:basedOn w:val="Normal"/>
    <w:autoRedefine/>
    <w:semiHidden/>
    <w:pPr>
      <w:numPr>
        <w:numId w:val="11"/>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character" w:customStyle="1" w:styleId="Heading3Char3">
    <w:name w:val="Heading 3 Char3"/>
    <w:aliases w:val="Char Char Char2,Heading 3 Char Char2,Heading 3 Char1 Char1,Heading 3 Char Char Char1,Char Char Char Char1,Char Char1 Char1,Heading 3 Char1 Char Char,Heading 3 Char Char Char Char,Char Char Char Char Char,Char Char1 Char Char"/>
    <w:rPr>
      <w:b/>
      <w:bCs/>
      <w:i/>
      <w:iCs/>
      <w:noProof w:val="0"/>
      <w:color w:val="000000"/>
      <w:sz w:val="22"/>
      <w:szCs w:val="22"/>
      <w:lang w:val="en-GB"/>
    </w:rPr>
  </w:style>
  <w:style w:type="paragraph" w:customStyle="1" w:styleId="Corpsdetexte1">
    <w:name w:val="Corps de texte1"/>
    <w:pPr>
      <w:autoSpaceDE w:val="0"/>
      <w:autoSpaceDN w:val="0"/>
    </w:pPr>
    <w:rPr>
      <w:rFonts w:ascii="Times New Roman" w:eastAsia="Times New Roman" w:hAnsi="Times New Roman"/>
      <w:color w:val="000000"/>
      <w:sz w:val="22"/>
      <w:szCs w:val="22"/>
      <w:lang w:val="en-GB" w:eastAsia="en-US"/>
    </w:rPr>
  </w:style>
  <w:style w:type="paragraph" w:customStyle="1" w:styleId="Tabel">
    <w:name w:val="Tabel"/>
    <w:pPr>
      <w:autoSpaceDE w:val="0"/>
      <w:autoSpaceDN w:val="0"/>
      <w:spacing w:after="120"/>
    </w:pPr>
    <w:rPr>
      <w:rFonts w:ascii="Times New Roman" w:eastAsia="Times New Roman" w:hAnsi="Times New Roman"/>
      <w:color w:val="000000"/>
      <w:sz w:val="24"/>
      <w:szCs w:val="24"/>
      <w:lang w:val="en-GB" w:eastAsia="en-US"/>
    </w:rPr>
  </w:style>
  <w:style w:type="paragraph" w:customStyle="1" w:styleId="StylereferencesTimesNewRoman">
    <w:name w:val="Style references + Times New Roman"/>
    <w:basedOn w:val="references"/>
    <w:pPr>
      <w:keepLines/>
      <w:widowControl w:val="0"/>
      <w:numPr>
        <w:numId w:val="0"/>
      </w:numPr>
      <w:autoSpaceDE/>
      <w:autoSpaceDN/>
      <w:spacing w:before="120"/>
      <w:ind w:left="964" w:hanging="964"/>
    </w:pPr>
    <w:rPr>
      <w:rFonts w:ascii="Times New Roman" w:hAnsi="Times New Roman" w:cs="Times New Roman"/>
      <w:sz w:val="20"/>
      <w:szCs w:val="20"/>
    </w:rPr>
  </w:style>
  <w:style w:type="paragraph" w:customStyle="1" w:styleId="references">
    <w:name w:val="references"/>
    <w:pPr>
      <w:numPr>
        <w:numId w:val="6"/>
      </w:numPr>
      <w:tabs>
        <w:tab w:val="clear" w:pos="720"/>
        <w:tab w:val="left" w:pos="1134"/>
      </w:tabs>
      <w:autoSpaceDE w:val="0"/>
      <w:autoSpaceDN w:val="0"/>
      <w:spacing w:before="100"/>
      <w:ind w:left="1134" w:hanging="1134"/>
      <w:jc w:val="both"/>
    </w:pPr>
    <w:rPr>
      <w:rFonts w:ascii="Arial" w:eastAsia="Times New Roman" w:hAnsi="Arial" w:cs="Arial"/>
      <w:sz w:val="22"/>
      <w:szCs w:val="22"/>
      <w:lang w:val="en-US" w:eastAsia="en-US"/>
    </w:rPr>
  </w:style>
  <w:style w:type="character" w:customStyle="1" w:styleId="apple-converted-space">
    <w:name w:val="apple-converted-space"/>
    <w:basedOn w:val="DefaultParagraphFont"/>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rPr>
      <w:rFonts w:ascii="Times New Roman" w:hAnsi="Times New Roman"/>
      <w:b/>
      <w:bCs/>
      <w:noProof w:val="0"/>
      <w:color w:val="000000"/>
      <w:sz w:val="28"/>
      <w:szCs w:val="28"/>
      <w:lang w:val="en-GB"/>
    </w:rPr>
  </w:style>
  <w:style w:type="character" w:customStyle="1" w:styleId="Heading2Char1">
    <w:name w:val="Heading 2 Char1"/>
    <w:aliases w:val="SubPara (a) Char,Heading 2 Char Char,Heading 2 Char1 Char Char,Heading 2 Char Char Char Char,SubPara (a) Char Char Char Char,Heading 2 Char3 Char Char Char Char,Heading 2 Char Char2 Char Char Char Char,Heading 2 Char3 Char"/>
    <w:rPr>
      <w:rFonts w:ascii="Times New Roman" w:hAnsi="Times New Roman"/>
      <w:b/>
      <w:bCs/>
      <w:noProof w:val="0"/>
      <w:color w:val="000000"/>
      <w:sz w:val="22"/>
      <w:szCs w:val="24"/>
      <w:lang w:val="en-GB" w:eastAsia="ja-JP"/>
    </w:rPr>
  </w:style>
  <w:style w:type="paragraph" w:customStyle="1" w:styleId="ListParagraph2">
    <w:name w:val="List Paragraph2"/>
    <w:basedOn w:val="Normal"/>
    <w:qFormat/>
    <w:pPr>
      <w:autoSpaceDE w:val="0"/>
      <w:autoSpaceDN w:val="0"/>
      <w:ind w:left="720"/>
    </w:pPr>
    <w:rPr>
      <w:rFonts w:ascii="Cambria" w:eastAsia="Times New Roman" w:hAnsi="Cambria"/>
      <w:color w:val="auto"/>
    </w:rPr>
  </w:style>
  <w:style w:type="character" w:customStyle="1" w:styleId="SubParaaCharChar">
    <w:name w:val="SubPara (a) Char Char"/>
    <w:rPr>
      <w:b/>
      <w:noProof w:val="0"/>
      <w:color w:val="000000"/>
      <w:sz w:val="24"/>
      <w:lang w:val="en-GB"/>
    </w:rPr>
  </w:style>
  <w:style w:type="paragraph" w:customStyle="1" w:styleId="SummaryShading">
    <w:name w:val="Summary Shading"/>
    <w:basedOn w:val="Normal"/>
    <w:pPr>
      <w:shd w:val="pct5" w:color="808080" w:fill="auto"/>
      <w:spacing w:before="120" w:after="120"/>
      <w:jc w:val="both"/>
    </w:pPr>
    <w:rPr>
      <w:rFonts w:ascii="Garamond" w:eastAsia="Times New Roman" w:hAnsi="Garamond"/>
      <w:color w:val="auto"/>
    </w:rPr>
  </w:style>
  <w:style w:type="paragraph" w:customStyle="1" w:styleId="MainText">
    <w:name w:val="Main Text"/>
    <w:pPr>
      <w:widowControl w:val="0"/>
      <w:spacing w:line="240" w:lineRule="exact"/>
      <w:ind w:left="567" w:hanging="567"/>
    </w:pPr>
    <w:rPr>
      <w:rFonts w:eastAsia="Times New Roman"/>
      <w:color w:val="000000"/>
      <w:sz w:val="24"/>
      <w:lang w:val="en-US" w:eastAsia="en-GB"/>
    </w:rPr>
  </w:style>
  <w:style w:type="paragraph" w:customStyle="1" w:styleId="Paragraph">
    <w:name w:val="Paragraph"/>
    <w:basedOn w:val="Normal"/>
    <w:pPr>
      <w:spacing w:before="120" w:after="120"/>
      <w:jc w:val="both"/>
    </w:pPr>
    <w:rPr>
      <w:rFonts w:ascii="Garamond" w:eastAsia="Times New Roman" w:hAnsi="Garamond"/>
      <w:lang w:val="de-DE"/>
    </w:rPr>
  </w:style>
  <w:style w:type="paragraph" w:customStyle="1" w:styleId="DotPoints">
    <w:name w:val="Dot Points"/>
    <w:basedOn w:val="Normal"/>
    <w:pPr>
      <w:spacing w:after="60"/>
      <w:ind w:left="709" w:right="284" w:hanging="284"/>
      <w:jc w:val="both"/>
    </w:pPr>
    <w:rPr>
      <w:rFonts w:ascii="Garamond" w:eastAsia="Times New Roman" w:hAnsi="Garamond"/>
      <w:color w:val="auto"/>
    </w:rPr>
  </w:style>
  <w:style w:type="paragraph" w:customStyle="1" w:styleId="TableColumnHeading">
    <w:name w:val="Table Column Heading"/>
    <w:basedOn w:val="Normal"/>
    <w:pPr>
      <w:spacing w:before="80" w:after="120"/>
      <w:jc w:val="center"/>
    </w:pPr>
    <w:rPr>
      <w:rFonts w:ascii="Arial Narrow" w:eastAsia="Times New Roman" w:hAnsi="Arial Narrow"/>
      <w:b/>
      <w:color w:val="auto"/>
      <w:sz w:val="20"/>
    </w:rPr>
  </w:style>
  <w:style w:type="paragraph" w:customStyle="1" w:styleId="TableDetails">
    <w:name w:val="Table Details"/>
    <w:basedOn w:val="Normal"/>
    <w:pPr>
      <w:spacing w:before="60" w:after="60"/>
      <w:ind w:left="113" w:right="113"/>
      <w:jc w:val="both"/>
    </w:pPr>
    <w:rPr>
      <w:rFonts w:ascii="Arial Narrow" w:eastAsia="Times New Roman" w:hAnsi="Arial Narrow"/>
      <w:color w:val="auto"/>
      <w:sz w:val="20"/>
    </w:rPr>
  </w:style>
  <w:style w:type="paragraph" w:customStyle="1" w:styleId="TableHeading">
    <w:name w:val="Table Heading"/>
    <w:basedOn w:val="Normal"/>
    <w:pPr>
      <w:spacing w:before="120" w:after="120"/>
      <w:ind w:left="1134" w:hanging="1134"/>
      <w:jc w:val="both"/>
    </w:pPr>
    <w:rPr>
      <w:rFonts w:ascii="Arial" w:eastAsia="Times New Roman" w:hAnsi="Arial"/>
      <w:b/>
      <w:color w:val="auto"/>
      <w:sz w:val="20"/>
    </w:rPr>
  </w:style>
  <w:style w:type="paragraph" w:customStyle="1" w:styleId="References0">
    <w:name w:val="References"/>
    <w:basedOn w:val="Normal"/>
    <w:pPr>
      <w:keepLines/>
      <w:spacing w:before="60" w:after="60"/>
      <w:ind w:left="1134" w:hanging="1134"/>
      <w:jc w:val="both"/>
    </w:pPr>
    <w:rPr>
      <w:rFonts w:ascii="Garamond" w:eastAsia="Times New Roman" w:hAnsi="Garamond"/>
      <w:color w:val="auto"/>
      <w:sz w:val="20"/>
    </w:rPr>
  </w:style>
  <w:style w:type="paragraph" w:customStyle="1" w:styleId="Table-Labels">
    <w:name w:val="Table-Labels"/>
    <w:basedOn w:val="Normal"/>
    <w:next w:val="Normal"/>
    <w:pPr>
      <w:keepNext/>
      <w:keepLines/>
      <w:spacing w:after="60"/>
      <w:ind w:left="2160" w:hanging="1080"/>
    </w:pPr>
    <w:rPr>
      <w:rFonts w:eastAsia="Times New Roman"/>
      <w:i/>
    </w:rPr>
  </w:style>
  <w:style w:type="paragraph" w:customStyle="1" w:styleId="Bibliogrphy">
    <w:name w:val="Bibliogrphy"/>
    <w:basedOn w:val="Normal"/>
    <w:pPr>
      <w:ind w:left="720" w:firstLine="720"/>
    </w:pPr>
    <w:rPr>
      <w:rFonts w:ascii="CG Times" w:eastAsia="Times New Roman" w:hAnsi="CG Times"/>
    </w:rPr>
  </w:style>
  <w:style w:type="paragraph" w:customStyle="1" w:styleId="TechInit">
    <w:name w:val="Tech Init"/>
    <w:basedOn w:val="Normal"/>
    <w:rPr>
      <w:rFonts w:ascii="CG Times" w:eastAsia="Times New Roman" w:hAnsi="CG Times"/>
    </w:rPr>
  </w:style>
  <w:style w:type="paragraph" w:customStyle="1" w:styleId="Technical">
    <w:name w:val="Technical"/>
    <w:basedOn w:val="Normal"/>
    <w:rPr>
      <w:rFonts w:ascii="CG Times" w:eastAsia="Times New Roman" w:hAnsi="CG Times"/>
    </w:rPr>
  </w:style>
  <w:style w:type="paragraph" w:customStyle="1" w:styleId="Pleading">
    <w:name w:val="Pleading"/>
    <w:basedOn w:val="Normal"/>
    <w:pPr>
      <w:tabs>
        <w:tab w:val="right" w:pos="288"/>
      </w:tabs>
    </w:pPr>
    <w:rPr>
      <w:rFonts w:ascii="CG Times" w:eastAsia="Times New Roman" w:hAnsi="CG Times"/>
    </w:rPr>
  </w:style>
  <w:style w:type="paragraph" w:customStyle="1" w:styleId="BulletList">
    <w:name w:val="Bullet List"/>
    <w:basedOn w:val="Normal"/>
    <w:pPr>
      <w:ind w:left="720"/>
    </w:pPr>
    <w:rPr>
      <w:rFonts w:ascii="Roman" w:eastAsia="Times New Roman" w:hAnsi="Roman"/>
      <w:color w:val="auto"/>
      <w:lang w:val="it-IT"/>
    </w:rPr>
  </w:style>
  <w:style w:type="paragraph" w:customStyle="1" w:styleId="Outline">
    <w:name w:val="Outline"/>
    <w:basedOn w:val="Normal"/>
    <w:pPr>
      <w:spacing w:before="240"/>
    </w:pPr>
    <w:rPr>
      <w:rFonts w:eastAsia="Times New Roman"/>
      <w:color w:val="auto"/>
      <w:kern w:val="28"/>
    </w:rPr>
  </w:style>
  <w:style w:type="paragraph" w:customStyle="1" w:styleId="Body">
    <w:name w:val="Body"/>
    <w:pPr>
      <w:widowControl w:val="0"/>
    </w:pPr>
    <w:rPr>
      <w:rFonts w:ascii="Times New Roman" w:eastAsia="Times New Roman" w:hAnsi="Times New Roman"/>
      <w:sz w:val="24"/>
      <w:lang w:val="en-GB" w:eastAsia="en-GB"/>
    </w:rPr>
  </w:style>
  <w:style w:type="paragraph" w:customStyle="1" w:styleId="Reference">
    <w:name w:val="Reference"/>
    <w:basedOn w:val="Normal"/>
    <w:pPr>
      <w:spacing w:after="60"/>
      <w:ind w:left="284"/>
    </w:pPr>
    <w:rPr>
      <w:rFonts w:eastAsia="Times New Roman"/>
      <w:color w:val="auto"/>
    </w:rPr>
  </w:style>
  <w:style w:type="paragraph" w:customStyle="1" w:styleId="Figures">
    <w:name w:val="Figures"/>
    <w:basedOn w:val="Normal"/>
    <w:pPr>
      <w:tabs>
        <w:tab w:val="center" w:pos="4680"/>
      </w:tabs>
      <w:suppressAutoHyphens/>
      <w:spacing w:before="240" w:after="120"/>
      <w:jc w:val="both"/>
    </w:pPr>
    <w:rPr>
      <w:rFonts w:eastAsia="Times New Roman"/>
      <w:b/>
      <w:color w:val="auto"/>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eastAsia="Times New Roman" w:hAnsi="Times New Roman"/>
      <w:sz w:val="24"/>
      <w:lang w:val="en-US" w:eastAsia="en-GB"/>
    </w:rPr>
  </w:style>
  <w:style w:type="paragraph" w:customStyle="1" w:styleId="Tableheading0">
    <w:name w:val="Table heading"/>
    <w:basedOn w:val="Normal"/>
    <w:pPr>
      <w:keepNext/>
      <w:spacing w:before="120" w:after="240"/>
      <w:ind w:left="1984" w:hanging="907"/>
    </w:pPr>
    <w:rPr>
      <w:rFonts w:eastAsia="Times New Roman"/>
      <w:i/>
      <w:color w:val="auto"/>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after="240" w:line="360" w:lineRule="exact"/>
      <w:ind w:left="1701" w:hanging="1701"/>
    </w:pPr>
    <w:rPr>
      <w:rFonts w:ascii="Arial" w:eastAsia="Times New Roman" w:hAnsi="Arial"/>
    </w:rPr>
  </w:style>
  <w:style w:type="paragraph" w:customStyle="1" w:styleId="GCDCB12">
    <w:name w:val="GCD_CB12"/>
    <w:basedOn w:val="Normal"/>
    <w:next w:val="Normal"/>
    <w:pPr>
      <w:spacing w:after="240"/>
      <w:jc w:val="center"/>
    </w:pPr>
    <w:rPr>
      <w:rFonts w:eastAsia="Times New Roman"/>
      <w:b/>
      <w:color w:val="auto"/>
    </w:rPr>
  </w:style>
  <w:style w:type="paragraph" w:customStyle="1" w:styleId="Closeup">
    <w:name w:val="Closeup"/>
    <w:basedOn w:val="Normal"/>
    <w:rPr>
      <w:rFonts w:eastAsia="Times New Roman"/>
      <w:color w:val="auto"/>
    </w:rPr>
  </w:style>
  <w:style w:type="paragraph" w:customStyle="1" w:styleId="ScreenFormat-1">
    <w:name w:val="ScreenFormat-1"/>
    <w:basedOn w:val="Normal"/>
    <w:pPr>
      <w:spacing w:before="120" w:after="120"/>
    </w:pPr>
    <w:rPr>
      <w:rFonts w:eastAsia="Times New Roman"/>
      <w:color w:val="auto"/>
      <w:sz w:val="32"/>
    </w:rPr>
  </w:style>
  <w:style w:type="paragraph" w:customStyle="1" w:styleId="TableText">
    <w:name w:val="TableText"/>
    <w:basedOn w:val="BodyText"/>
    <w:pPr>
      <w:keepLines/>
      <w:spacing w:line="240" w:lineRule="auto"/>
    </w:pPr>
    <w:rPr>
      <w:rFonts w:eastAsia="Times New Roman"/>
      <w:color w:val="auto"/>
      <w:sz w:val="20"/>
      <w:lang w:val="en-US"/>
    </w:rPr>
  </w:style>
  <w:style w:type="paragraph" w:customStyle="1" w:styleId="Note">
    <w:name w:val="Note"/>
    <w:basedOn w:val="BodyText"/>
    <w:pPr>
      <w:keepLines/>
      <w:pBdr>
        <w:top w:val="single" w:sz="6" w:space="1" w:color="808080"/>
        <w:left w:val="single" w:sz="6" w:space="4" w:color="808080"/>
        <w:bottom w:val="single" w:sz="6" w:space="1" w:color="808080"/>
        <w:right w:val="single" w:sz="6" w:space="4" w:color="808080"/>
      </w:pBdr>
      <w:spacing w:line="240" w:lineRule="auto"/>
    </w:pPr>
    <w:rPr>
      <w:rFonts w:eastAsia="Times New Roman"/>
      <w:i/>
      <w:color w:val="auto"/>
      <w:lang w:val="en-US"/>
    </w:rPr>
  </w:style>
  <w:style w:type="paragraph" w:customStyle="1" w:styleId="AR4Listbullet1">
    <w:name w:val="AR4 List bullet 1"/>
    <w:basedOn w:val="Normal"/>
    <w:pPr>
      <w:tabs>
        <w:tab w:val="left" w:pos="360"/>
      </w:tabs>
      <w:ind w:left="360" w:hanging="360"/>
    </w:pPr>
    <w:rPr>
      <w:rFonts w:ascii="Times" w:eastAsia="Times New Roman" w:hAnsi="Times"/>
      <w:color w:val="auto"/>
      <w:lang w:val="en-US"/>
    </w:rPr>
  </w:style>
  <w:style w:type="paragraph" w:customStyle="1" w:styleId="Paralevel1">
    <w:name w:val="Para level1"/>
    <w:basedOn w:val="Normal"/>
    <w:pPr>
      <w:tabs>
        <w:tab w:val="left" w:pos="2070"/>
      </w:tabs>
      <w:suppressAutoHyphens/>
      <w:spacing w:after="240"/>
    </w:pPr>
    <w:rPr>
      <w:rFonts w:eastAsia="Times New Roman"/>
      <w:color w:val="auto"/>
      <w:sz w:val="20"/>
    </w:rPr>
  </w:style>
  <w:style w:type="paragraph" w:customStyle="1" w:styleId="CH4">
    <w:name w:val="CH4"/>
    <w:basedOn w:val="Normal"/>
    <w:pPr>
      <w:keepNext/>
      <w:keepLines/>
      <w:tabs>
        <w:tab w:val="left" w:pos="360"/>
      </w:tabs>
      <w:spacing w:before="120" w:after="240"/>
    </w:pPr>
    <w:rPr>
      <w:rFonts w:eastAsia="Times New Roman"/>
      <w:b/>
      <w:color w:val="auto"/>
      <w:sz w:val="20"/>
    </w:rPr>
  </w:style>
  <w:style w:type="paragraph" w:customStyle="1" w:styleId="Style2">
    <w:name w:val="Style2"/>
    <w:basedOn w:val="Normal"/>
    <w:rPr>
      <w:rFonts w:eastAsia="Times New Roman"/>
      <w:color w:val="auto"/>
    </w:rPr>
  </w:style>
  <w:style w:type="paragraph" w:customStyle="1" w:styleId="TEXTO">
    <w:name w:val="TEXTO"/>
    <w:pPr>
      <w:jc w:val="both"/>
    </w:pPr>
    <w:rPr>
      <w:rFonts w:ascii="Galliard" w:eastAsia="Times New Roman" w:hAnsi="Galliard"/>
      <w:color w:val="000000"/>
      <w:sz w:val="22"/>
      <w:lang w:val="en-US" w:eastAsia="en-GB"/>
    </w:rPr>
  </w:style>
  <w:style w:type="paragraph" w:customStyle="1" w:styleId="font8">
    <w:name w:val="font8"/>
    <w:basedOn w:val="Normal"/>
    <w:pPr>
      <w:spacing w:before="100" w:after="100"/>
    </w:pPr>
    <w:rPr>
      <w:rFonts w:ascii="Arial" w:eastAsia="Times New Roman" w:hAnsi="Arial"/>
      <w:color w:val="0000FF"/>
      <w:sz w:val="20"/>
    </w:rPr>
  </w:style>
  <w:style w:type="paragraph" w:customStyle="1" w:styleId="Normaalweb">
    <w:name w:val="Normaal (web)"/>
    <w:basedOn w:val="Normal"/>
    <w:pPr>
      <w:spacing w:before="100" w:after="100"/>
    </w:pPr>
    <w:rPr>
      <w:rFonts w:eastAsia="Times New Roman"/>
      <w:lang w:val="fr-FR"/>
    </w:rPr>
  </w:style>
  <w:style w:type="character" w:customStyle="1" w:styleId="epaltsans1">
    <w:name w:val="epaltsans1"/>
    <w:rPr>
      <w:rFonts w:ascii="Arial" w:hAnsi="Arial"/>
      <w:sz w:val="16"/>
    </w:rPr>
  </w:style>
  <w:style w:type="character" w:customStyle="1" w:styleId="w">
    <w:name w:val="w"/>
    <w:basedOn w:val="DefaultParagraphFont"/>
  </w:style>
  <w:style w:type="paragraph" w:customStyle="1" w:styleId="BodyTextLetterBullets">
    <w:name w:val="Body Text + Letter Bullets"/>
    <w:basedOn w:val="BodyText"/>
    <w:pPr>
      <w:tabs>
        <w:tab w:val="left" w:pos="360"/>
      </w:tabs>
      <w:spacing w:before="120" w:line="288" w:lineRule="auto"/>
    </w:pPr>
    <w:rPr>
      <w:rFonts w:eastAsia="Times New Roman"/>
      <w:color w:val="auto"/>
      <w:lang w:val="en-US"/>
    </w:rPr>
  </w:style>
  <w:style w:type="paragraph" w:customStyle="1" w:styleId="BodyTextSmallBullets">
    <w:name w:val="Body Text + Small Bullets"/>
    <w:basedOn w:val="BodyText"/>
    <w:pPr>
      <w:tabs>
        <w:tab w:val="left" w:pos="360"/>
      </w:tabs>
      <w:spacing w:line="288" w:lineRule="auto"/>
    </w:pPr>
    <w:rPr>
      <w:rFonts w:eastAsia="Times New Roman"/>
      <w:color w:val="auto"/>
      <w:lang w:val="en-AU"/>
    </w:rPr>
  </w:style>
  <w:style w:type="paragraph" w:customStyle="1" w:styleId="BodyTextbullet">
    <w:name w:val="Body Text + bullet"/>
    <w:basedOn w:val="BodyText"/>
    <w:pPr>
      <w:tabs>
        <w:tab w:val="left" w:pos="360"/>
      </w:tabs>
      <w:spacing w:line="288" w:lineRule="auto"/>
    </w:pPr>
    <w:rPr>
      <w:rFonts w:eastAsia="Times New Roman"/>
      <w:color w:val="auto"/>
      <w:lang w:val="en-AU"/>
    </w:rPr>
  </w:style>
  <w:style w:type="paragraph" w:customStyle="1" w:styleId="Head1">
    <w:name w:val="Head 1"/>
    <w:basedOn w:val="Normal"/>
    <w:pPr>
      <w:tabs>
        <w:tab w:val="left" w:pos="340"/>
        <w:tab w:val="left" w:pos="720"/>
        <w:tab w:val="left" w:pos="2775"/>
        <w:tab w:val="left" w:pos="6300"/>
      </w:tabs>
      <w:ind w:left="340" w:hanging="340"/>
    </w:pPr>
    <w:rPr>
      <w:rFonts w:eastAsia="Times New Roman"/>
      <w:b/>
      <w:color w:val="auto"/>
      <w:lang w:val="en-US"/>
    </w:rPr>
  </w:style>
  <w:style w:type="paragraph" w:customStyle="1" w:styleId="xl63">
    <w:name w:val="xl63"/>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4">
    <w:name w:val="xl64"/>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5">
    <w:name w:val="xl65"/>
    <w:basedOn w:val="Normal"/>
    <w:pPr>
      <w:pBdr>
        <w:top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66">
    <w:name w:val="xl66"/>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7">
    <w:name w:val="xl67"/>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8">
    <w:name w:val="xl68"/>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9">
    <w:name w:val="xl69"/>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0">
    <w:name w:val="xl70"/>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71">
    <w:name w:val="xl71"/>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2">
    <w:name w:val="xl72"/>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3">
    <w:name w:val="xl73"/>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4">
    <w:name w:val="xl74"/>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5">
    <w:name w:val="xl75"/>
    <w:basedOn w:val="Normal"/>
    <w:pPr>
      <w:pBdr>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76">
    <w:name w:val="xl76"/>
    <w:basedOn w:val="Normal"/>
    <w:pPr>
      <w:pBdr>
        <w:lef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7">
    <w:name w:val="xl77"/>
    <w:basedOn w:val="Normal"/>
    <w:pPr>
      <w:pBdr>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8">
    <w:name w:val="xl78"/>
    <w:basedOn w:val="Normal"/>
    <w:pPr>
      <w:pBdr>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9">
    <w:name w:val="xl79"/>
    <w:basedOn w:val="Normal"/>
    <w:pPr>
      <w:pBdr>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0">
    <w:name w:val="xl80"/>
    <w:basedOn w:val="Normal"/>
    <w:pPr>
      <w:pBdr>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1">
    <w:name w:val="xl81"/>
    <w:basedOn w:val="Normal"/>
    <w:pPr>
      <w:pBdr>
        <w:left w:val="single" w:sz="6" w:space="0" w:color="auto"/>
        <w:bottom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2">
    <w:name w:val="xl82"/>
    <w:basedOn w:val="Normal"/>
    <w:pPr>
      <w:pBdr>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3">
    <w:name w:val="xl83"/>
    <w:basedOn w:val="Normal"/>
    <w:pPr>
      <w:pBdr>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84">
    <w:name w:val="xl84"/>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5">
    <w:name w:val="xl85"/>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86">
    <w:name w:val="xl86"/>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87">
    <w:name w:val="xl87"/>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8">
    <w:name w:val="xl88"/>
    <w:basedOn w:val="Normal"/>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9">
    <w:name w:val="xl89"/>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0">
    <w:name w:val="xl90"/>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91">
    <w:name w:val="xl91"/>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2">
    <w:name w:val="xl92"/>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3">
    <w:name w:val="xl93"/>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94">
    <w:name w:val="xl94"/>
    <w:basedOn w:val="Normal"/>
    <w:pPr>
      <w:pBdr>
        <w:top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95">
    <w:name w:val="xl95"/>
    <w:basedOn w:val="Normal"/>
    <w:pPr>
      <w:pBdr>
        <w:top w:val="single" w:sz="6" w:space="0" w:color="auto"/>
        <w:left w:val="single" w:sz="6" w:space="0" w:color="auto"/>
        <w:bottom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6">
    <w:name w:val="xl96"/>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97">
    <w:name w:val="xl97"/>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98">
    <w:name w:val="xl98"/>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9">
    <w:name w:val="xl99"/>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00">
    <w:name w:val="xl100"/>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01">
    <w:name w:val="xl101"/>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2">
    <w:name w:val="xl102"/>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3">
    <w:name w:val="xl103"/>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04">
    <w:name w:val="xl104"/>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b/>
      <w:color w:val="auto"/>
      <w:sz w:val="12"/>
      <w:lang w:val="en-AU"/>
    </w:rPr>
  </w:style>
  <w:style w:type="paragraph" w:customStyle="1" w:styleId="xl105">
    <w:name w:val="xl105"/>
    <w:basedOn w:val="Normal"/>
    <w:pPr>
      <w:pBdr>
        <w:top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06">
    <w:name w:val="xl106"/>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7">
    <w:name w:val="xl107"/>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8">
    <w:name w:val="xl108"/>
    <w:basedOn w:val="Normal"/>
    <w:pPr>
      <w:pBdr>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9">
    <w:name w:val="xl109"/>
    <w:basedOn w:val="Normal"/>
    <w:pPr>
      <w:pBdr>
        <w:top w:val="single" w:sz="6" w:space="0" w:color="auto"/>
        <w:left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10">
    <w:name w:val="xl110"/>
    <w:basedOn w:val="Normal"/>
    <w:pPr>
      <w:pBdr>
        <w:top w:val="single" w:sz="6" w:space="0" w:color="auto"/>
        <w:bottom w:val="single" w:sz="6" w:space="0" w:color="auto"/>
      </w:pBdr>
      <w:spacing w:before="100" w:after="100"/>
      <w:jc w:val="center"/>
    </w:pPr>
    <w:rPr>
      <w:rFonts w:ascii="Arial Unicode MS" w:eastAsia="Times New Roman" w:hAnsi="Arial Unicode MS"/>
      <w:color w:val="auto"/>
      <w:lang w:val="en-AU"/>
    </w:rPr>
  </w:style>
  <w:style w:type="paragraph" w:customStyle="1" w:styleId="xl111">
    <w:name w:val="xl111"/>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12">
    <w:name w:val="xl112"/>
    <w:basedOn w:val="Normal"/>
    <w:pPr>
      <w:pBdr>
        <w:top w:val="single" w:sz="6" w:space="0" w:color="auto"/>
        <w:left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13">
    <w:name w:val="xl113"/>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14">
    <w:name w:val="xl114"/>
    <w:basedOn w:val="Normal"/>
    <w:pPr>
      <w:pBdr>
        <w:right w:val="single" w:sz="6" w:space="0" w:color="auto"/>
      </w:pBdr>
      <w:spacing w:before="100" w:after="100"/>
    </w:pPr>
    <w:rPr>
      <w:rFonts w:ascii="Arial Unicode MS" w:eastAsia="Times New Roman" w:hAnsi="Arial Unicode MS"/>
      <w:color w:val="auto"/>
      <w:sz w:val="12"/>
      <w:lang w:val="en-AU"/>
    </w:rPr>
  </w:style>
  <w:style w:type="paragraph" w:customStyle="1" w:styleId="xl115">
    <w:name w:val="xl115"/>
    <w:basedOn w:val="Normal"/>
    <w:pPr>
      <w:pBdr>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16">
    <w:name w:val="xl116"/>
    <w:basedOn w:val="Normal"/>
    <w:pPr>
      <w:spacing w:before="100" w:after="100"/>
      <w:jc w:val="center"/>
    </w:pPr>
    <w:rPr>
      <w:rFonts w:ascii="Arial Unicode MS" w:eastAsia="Times New Roman" w:hAnsi="Arial Unicode MS"/>
      <w:color w:val="auto"/>
      <w:sz w:val="12"/>
      <w:lang w:val="en-AU"/>
    </w:rPr>
  </w:style>
  <w:style w:type="paragraph" w:customStyle="1" w:styleId="xl117">
    <w:name w:val="xl117"/>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8">
    <w:name w:val="xl118"/>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9">
    <w:name w:val="xl119"/>
    <w:basedOn w:val="Normal"/>
    <w:pPr>
      <w:spacing w:before="100" w:after="100"/>
      <w:jc w:val="center"/>
    </w:pPr>
    <w:rPr>
      <w:rFonts w:ascii="Arial Unicode MS" w:eastAsia="Times New Roman" w:hAnsi="Arial Unicode MS"/>
      <w:color w:val="auto"/>
      <w:sz w:val="12"/>
      <w:lang w:val="en-AU"/>
    </w:rPr>
  </w:style>
  <w:style w:type="paragraph" w:customStyle="1" w:styleId="xl120">
    <w:name w:val="xl120"/>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1">
    <w:name w:val="xl121"/>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22">
    <w:name w:val="xl122"/>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3">
    <w:name w:val="xl123"/>
    <w:basedOn w:val="Normal"/>
    <w:pPr>
      <w:pBdr>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4">
    <w:name w:val="xl124"/>
    <w:basedOn w:val="Normal"/>
    <w:pPr>
      <w:pBdr>
        <w:left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5">
    <w:name w:val="xl125"/>
    <w:basedOn w:val="Normal"/>
    <w:pPr>
      <w:pBdr>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26">
    <w:name w:val="xl126"/>
    <w:basedOn w:val="Normal"/>
    <w:pPr>
      <w:pBdr>
        <w:top w:val="single" w:sz="6" w:space="0" w:color="auto"/>
        <w:left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7">
    <w:name w:val="xl127"/>
    <w:basedOn w:val="Normal"/>
    <w:pPr>
      <w:pBdr>
        <w:top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8">
    <w:name w:val="xl128"/>
    <w:basedOn w:val="Normal"/>
    <w:pPr>
      <w:pBdr>
        <w:top w:val="single" w:sz="6" w:space="0" w:color="auto"/>
        <w:bottom w:val="single" w:sz="6" w:space="0" w:color="auto"/>
        <w:right w:val="single" w:sz="6" w:space="0" w:color="auto"/>
      </w:pBdr>
      <w:spacing w:before="100" w:after="100"/>
      <w:jc w:val="center"/>
    </w:pPr>
    <w:rPr>
      <w:rFonts w:ascii="Arial" w:eastAsia="Times New Roman" w:hAnsi="Arial"/>
      <w:b/>
      <w:color w:val="auto"/>
      <w:sz w:val="12"/>
      <w:lang w:val="en-AU"/>
    </w:rPr>
  </w:style>
  <w:style w:type="paragraph" w:customStyle="1" w:styleId="xl129">
    <w:name w:val="xl129"/>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30">
    <w:name w:val="xl130"/>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1">
    <w:name w:val="xl131"/>
    <w:basedOn w:val="Normal"/>
    <w:pPr>
      <w:pBdr>
        <w:top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2">
    <w:name w:val="xl132"/>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33">
    <w:name w:val="xl133"/>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34">
    <w:name w:val="xl134"/>
    <w:basedOn w:val="Normal"/>
    <w:pPr>
      <w:pBdr>
        <w:top w:val="single" w:sz="6" w:space="0" w:color="auto"/>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135">
    <w:name w:val="xl135"/>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36">
    <w:name w:val="xl136"/>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137">
    <w:name w:val="xl137"/>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38">
    <w:name w:val="xl138"/>
    <w:basedOn w:val="Normal"/>
    <w:pPr>
      <w:pBdr>
        <w:top w:val="single" w:sz="6" w:space="0" w:color="auto"/>
        <w:bottom w:val="single" w:sz="6" w:space="0" w:color="auto"/>
      </w:pBdr>
      <w:spacing w:before="100" w:after="100"/>
    </w:pPr>
    <w:rPr>
      <w:rFonts w:ascii="Arial" w:eastAsia="Times New Roman" w:hAnsi="Arial"/>
      <w:b/>
      <w:color w:val="auto"/>
      <w:sz w:val="12"/>
      <w:lang w:val="en-AU"/>
    </w:rPr>
  </w:style>
  <w:style w:type="paragraph" w:customStyle="1" w:styleId="Anxhead">
    <w:name w:val="Anx head"/>
    <w:basedOn w:val="Normal"/>
    <w:rPr>
      <w:rFonts w:eastAsia="Times New Roman"/>
      <w:b/>
      <w:color w:val="auto"/>
      <w:sz w:val="28"/>
    </w:rPr>
  </w:style>
  <w:style w:type="paragraph" w:customStyle="1" w:styleId="Anxtitle">
    <w:name w:val="Anx title"/>
    <w:basedOn w:val="Normal"/>
    <w:pPr>
      <w:ind w:left="1247"/>
    </w:pPr>
    <w:rPr>
      <w:rFonts w:eastAsia="Times New Roman"/>
      <w:b/>
      <w:color w:val="auto"/>
      <w:sz w:val="28"/>
    </w:rPr>
  </w:style>
  <w:style w:type="paragraph" w:customStyle="1" w:styleId="Style10ptAfter6pt1">
    <w:name w:val="Style 10 pt After:  6 pt1"/>
    <w:basedOn w:val="Normal"/>
    <w:pPr>
      <w:spacing w:after="120"/>
    </w:pPr>
    <w:rPr>
      <w:rFonts w:ascii="Arial" w:eastAsia="Times New Roman" w:hAnsi="Arial"/>
      <w:color w:val="auto"/>
      <w:sz w:val="18"/>
    </w:rPr>
  </w:style>
  <w:style w:type="paragraph" w:customStyle="1" w:styleId="StyleHeading311ptBold">
    <w:name w:val="Style Heading 3 + 11 pt Bold"/>
    <w:basedOn w:val="Heading3"/>
    <w:pPr>
      <w:keepLines/>
      <w:widowControl w:val="0"/>
      <w:tabs>
        <w:tab w:val="left" w:pos="2160"/>
      </w:tabs>
      <w:spacing w:before="120" w:after="240" w:line="240" w:lineRule="auto"/>
      <w:ind w:left="0" w:right="28" w:firstLine="0"/>
      <w:outlineLvl w:val="9"/>
    </w:pPr>
    <w:rPr>
      <w:rFonts w:eastAsia="Times New Roman"/>
      <w:b w:val="0"/>
    </w:rPr>
  </w:style>
  <w:style w:type="paragraph" w:customStyle="1" w:styleId="Subtitle0">
    <w:name w:val="Sub title"/>
    <w:basedOn w:val="Heading2"/>
    <w:pPr>
      <w:widowControl w:val="0"/>
      <w:tabs>
        <w:tab w:val="clear" w:pos="1080"/>
        <w:tab w:val="left" w:pos="1134"/>
        <w:tab w:val="left" w:pos="1440"/>
      </w:tabs>
      <w:spacing w:after="0" w:line="240" w:lineRule="auto"/>
      <w:ind w:left="1247" w:right="28" w:hanging="576"/>
      <w:outlineLvl w:val="9"/>
    </w:pPr>
    <w:rPr>
      <w:rFonts w:eastAsia="Times New Roman"/>
      <w:color w:val="auto"/>
    </w:rPr>
  </w:style>
  <w:style w:type="character" w:customStyle="1" w:styleId="maintextbldleft1">
    <w:name w:val="maintextbldleft1"/>
    <w:rPr>
      <w:rFonts w:ascii="Arial" w:hAnsi="Arial"/>
      <w:b/>
      <w:color w:val="000000"/>
      <w:sz w:val="18"/>
      <w:u w:val="none"/>
    </w:rPr>
  </w:style>
  <w:style w:type="character" w:customStyle="1" w:styleId="maintextleft1">
    <w:name w:val="maintextleft1"/>
    <w:rPr>
      <w:rFonts w:ascii="Arial" w:hAnsi="Arial"/>
      <w:color w:val="000000"/>
      <w:sz w:val="18"/>
      <w:u w:val="none"/>
    </w:rPr>
  </w:style>
  <w:style w:type="character" w:customStyle="1" w:styleId="SecChar">
    <w:name w:val="Sec Char"/>
    <w:rPr>
      <w:noProof w:val="0"/>
      <w:color w:val="000000"/>
      <w:sz w:val="24"/>
      <w:lang w:val="en-GB"/>
    </w:rPr>
  </w:style>
  <w:style w:type="paragraph" w:customStyle="1" w:styleId="StyleHeading311ptBold1">
    <w:name w:val="Style Heading 3 + 11 pt Bold1"/>
    <w:basedOn w:val="Heading3"/>
    <w:pPr>
      <w:keepLines/>
      <w:widowControl w:val="0"/>
      <w:tabs>
        <w:tab w:val="left" w:pos="2160"/>
      </w:tabs>
      <w:spacing w:before="120" w:after="240" w:line="240" w:lineRule="auto"/>
      <w:ind w:left="720" w:right="28" w:hanging="720"/>
      <w:outlineLvl w:val="9"/>
    </w:pPr>
    <w:rPr>
      <w:rFonts w:eastAsia="Times New Roman"/>
      <w:b w:val="0"/>
    </w:rPr>
  </w:style>
  <w:style w:type="paragraph" w:customStyle="1" w:styleId="ANNEXES">
    <w:name w:val="ANNEXES"/>
    <w:basedOn w:val="Normal"/>
    <w:pPr>
      <w:tabs>
        <w:tab w:val="left" w:pos="1080"/>
      </w:tabs>
      <w:spacing w:before="100" w:after="100"/>
    </w:pPr>
    <w:rPr>
      <w:rFonts w:eastAsia="Times New Roman"/>
      <w:b/>
      <w:sz w:val="28"/>
    </w:rPr>
  </w:style>
  <w:style w:type="paragraph" w:customStyle="1" w:styleId="Executivesummary">
    <w:name w:val="Executive summary"/>
    <w:basedOn w:val="TOC1"/>
    <w:pPr>
      <w:keepLines/>
      <w:tabs>
        <w:tab w:val="clear" w:pos="425"/>
        <w:tab w:val="clear" w:pos="9000"/>
        <w:tab w:val="left" w:pos="1134"/>
        <w:tab w:val="right" w:leader="dot" w:pos="8640"/>
      </w:tabs>
      <w:ind w:left="0" w:hanging="1134"/>
    </w:pPr>
    <w:rPr>
      <w:rFonts w:ascii="Times New Roman Bold" w:eastAsia="Times New Roman" w:hAnsi="Times New Roman Bold"/>
      <w:b w:val="0"/>
      <w:sz w:val="28"/>
    </w:rPr>
  </w:style>
  <w:style w:type="paragraph" w:customStyle="1" w:styleId="Execlevel2">
    <w:name w:val="Exec level2"/>
    <w:basedOn w:val="Anxhead"/>
    <w:rPr>
      <w:sz w:val="24"/>
    </w:rPr>
  </w:style>
  <w:style w:type="character" w:customStyle="1" w:styleId="AnxheadChar">
    <w:name w:val="Anx head Char"/>
    <w:rPr>
      <w:b/>
      <w:noProof w:val="0"/>
      <w:sz w:val="28"/>
      <w:lang w:val="en-GB"/>
    </w:rPr>
  </w:style>
  <w:style w:type="character" w:customStyle="1" w:styleId="Execlevel2Char">
    <w:name w:val="Exec level2 Char"/>
    <w:rPr>
      <w:b/>
      <w:noProof w:val="0"/>
      <w:sz w:val="28"/>
      <w:lang w:val="en-GB"/>
    </w:rPr>
  </w:style>
  <w:style w:type="character" w:customStyle="1" w:styleId="a1">
    <w:name w:val="_"/>
    <w:basedOn w:val="DefaultParagraphFont"/>
  </w:style>
  <w:style w:type="paragraph" w:customStyle="1" w:styleId="Smallnumberedbullet">
    <w:name w:val="Small numbered bullet"/>
    <w:basedOn w:val="Smallbullet"/>
    <w:pPr>
      <w:tabs>
        <w:tab w:val="clear" w:pos="360"/>
      </w:tabs>
      <w:ind w:left="539" w:hanging="539"/>
    </w:pPr>
  </w:style>
  <w:style w:type="paragraph" w:customStyle="1" w:styleId="Smallbullet">
    <w:name w:val="Small bullet"/>
    <w:basedOn w:val="BodyTextSmallBullets"/>
    <w:pPr>
      <w:tabs>
        <w:tab w:val="left" w:pos="426"/>
      </w:tabs>
      <w:spacing w:after="240" w:line="240" w:lineRule="auto"/>
      <w:ind w:left="425" w:hanging="425"/>
    </w:pPr>
  </w:style>
  <w:style w:type="paragraph" w:customStyle="1" w:styleId="BodyText1">
    <w:name w:val="Body Text1"/>
    <w:basedOn w:val="Normal"/>
    <w:pPr>
      <w:spacing w:after="240"/>
    </w:pPr>
    <w:rPr>
      <w:rFonts w:eastAsia="Times New Roman"/>
    </w:rPr>
  </w:style>
  <w:style w:type="paragraph" w:customStyle="1" w:styleId="Heading311ptBold">
    <w:name w:val="Heading 3 + 11 pt Bold"/>
    <w:basedOn w:val="Heading3"/>
    <w:pPr>
      <w:keepLines/>
      <w:widowControl w:val="0"/>
      <w:tabs>
        <w:tab w:val="left" w:pos="720"/>
        <w:tab w:val="left" w:pos="1800"/>
      </w:tabs>
      <w:spacing w:before="120" w:after="240" w:line="240" w:lineRule="auto"/>
      <w:ind w:left="0" w:right="28" w:firstLine="0"/>
      <w:outlineLvl w:val="9"/>
    </w:pPr>
    <w:rPr>
      <w:rFonts w:eastAsia="Times New Roman"/>
      <w:b w:val="0"/>
    </w:rPr>
  </w:style>
  <w:style w:type="paragraph" w:customStyle="1" w:styleId="Table5">
    <w:name w:val="Table 5"/>
    <w:basedOn w:val="Normal"/>
    <w:pPr>
      <w:spacing w:line="240" w:lineRule="exact"/>
      <w:ind w:left="567" w:hanging="567"/>
    </w:pPr>
    <w:rPr>
      <w:rFonts w:eastAsia="Times New Roman"/>
      <w:sz w:val="18"/>
    </w:rPr>
  </w:style>
  <w:style w:type="paragraph" w:customStyle="1" w:styleId="ColorfulList-Accent110">
    <w:name w:val="Colorful List - Accent 11"/>
    <w:basedOn w:val="Normal"/>
    <w:pPr>
      <w:ind w:left="720"/>
    </w:pPr>
    <w:rPr>
      <w:rFonts w:eastAsia="Times New Roman"/>
      <w:color w:val="auto"/>
      <w:lang w:val="en-US"/>
    </w:rPr>
  </w:style>
  <w:style w:type="character" w:customStyle="1" w:styleId="mw-headline">
    <w:name w:val="mw-headline"/>
    <w:basedOn w:val="DefaultParagraphFont"/>
  </w:style>
  <w:style w:type="paragraph" w:customStyle="1" w:styleId="ColorfulList-Accent12">
    <w:name w:val="Colorful List - Accent 12"/>
    <w:basedOn w:val="Normal"/>
    <w:rPr>
      <w:rFonts w:ascii="Cambria" w:eastAsia="Times New Roman" w:hAnsi="Cambria"/>
      <w:color w:val="auto"/>
      <w:sz w:val="24"/>
      <w:lang w:val="en-US"/>
    </w:rPr>
  </w:style>
  <w:style w:type="paragraph" w:customStyle="1" w:styleId="ColorfulShading-Accent11">
    <w:name w:val="Colorful Shading - Accent 11"/>
    <w:rPr>
      <w:rFonts w:ascii="Times New Roman" w:eastAsia="Times New Roman" w:hAnsi="Times New Roman"/>
      <w:sz w:val="24"/>
      <w:lang w:val="en-US" w:eastAsia="en-GB"/>
    </w:rPr>
  </w:style>
  <w:style w:type="paragraph" w:customStyle="1" w:styleId="ParaQPS">
    <w:name w:val="Para QPS"/>
    <w:basedOn w:val="Normal"/>
    <w:pPr>
      <w:spacing w:before="120" w:after="120"/>
      <w:ind w:left="1134"/>
      <w:jc w:val="both"/>
    </w:pPr>
    <w:rPr>
      <w:rFonts w:eastAsia="Times New Roman"/>
      <w:color w:val="auto"/>
      <w:lang w:val="en-US"/>
    </w:rPr>
  </w:style>
  <w:style w:type="paragraph" w:customStyle="1" w:styleId="ParaQPSItalicindent">
    <w:name w:val="Para QPS Italic indent"/>
    <w:basedOn w:val="ParaQPS"/>
    <w:rPr>
      <w:i/>
    </w:rPr>
  </w:style>
  <w:style w:type="paragraph" w:customStyle="1" w:styleId="GridTable21">
    <w:name w:val="Grid Table 21"/>
    <w:basedOn w:val="Normal"/>
    <w:next w:val="Normal"/>
    <w:pPr>
      <w:spacing w:before="120" w:after="120"/>
      <w:ind w:left="1134"/>
      <w:jc w:val="both"/>
    </w:pPr>
    <w:rPr>
      <w:rFonts w:eastAsia="Times New Roman"/>
      <w:color w:val="auto"/>
    </w:rPr>
  </w:style>
  <w:style w:type="paragraph" w:customStyle="1" w:styleId="Footnote">
    <w:name w:val="Footnote"/>
    <w:basedOn w:val="FootnoteText"/>
    <w:pPr>
      <w:widowControl/>
      <w:spacing w:after="0"/>
    </w:pPr>
    <w:rPr>
      <w:rFonts w:eastAsia="Times New Roman"/>
      <w:sz w:val="18"/>
    </w:rPr>
  </w:style>
  <w:style w:type="paragraph" w:customStyle="1" w:styleId="TableforUNEPreport">
    <w:name w:val="Table for UNEP report"/>
    <w:basedOn w:val="Caption"/>
    <w:pPr>
      <w:keepNext/>
      <w:pBdr>
        <w:bottom w:val="none" w:sz="0" w:space="0" w:color="auto"/>
      </w:pBdr>
      <w:tabs>
        <w:tab w:val="clear" w:pos="9639"/>
      </w:tabs>
      <w:spacing w:after="200"/>
      <w:jc w:val="both"/>
    </w:pPr>
    <w:rPr>
      <w:rFonts w:ascii="Calibri" w:eastAsia="Times New Roman" w:hAnsi="Calibri"/>
      <w:i w:val="0"/>
      <w:lang w:val="en-GB"/>
    </w:rPr>
  </w:style>
  <w:style w:type="paragraph" w:customStyle="1" w:styleId="TitleQPSReport">
    <w:name w:val="Title QPS Report"/>
    <w:basedOn w:val="Normal"/>
    <w:pPr>
      <w:spacing w:before="120" w:after="120"/>
      <w:jc w:val="center"/>
    </w:pPr>
    <w:rPr>
      <w:rFonts w:eastAsia="Times New Roman"/>
      <w:b/>
      <w:color w:val="auto"/>
      <w:sz w:val="28"/>
    </w:rPr>
  </w:style>
  <w:style w:type="paragraph" w:customStyle="1" w:styleId="Bulletdash">
    <w:name w:val="Bullet dash"/>
    <w:basedOn w:val="Normal"/>
    <w:pPr>
      <w:spacing w:before="120" w:after="120"/>
      <w:ind w:left="1854" w:hanging="360"/>
      <w:jc w:val="both"/>
    </w:pPr>
    <w:rPr>
      <w:rFonts w:eastAsia="Times New Roman"/>
      <w:color w:val="auto"/>
    </w:rPr>
  </w:style>
  <w:style w:type="paragraph" w:customStyle="1" w:styleId="Paraleft">
    <w:name w:val="Para left"/>
    <w:basedOn w:val="Normal"/>
    <w:pPr>
      <w:keepNext/>
      <w:spacing w:before="120" w:after="120"/>
      <w:ind w:left="1134"/>
    </w:pPr>
    <w:rPr>
      <w:rFonts w:eastAsia="Times New Roman"/>
      <w:b/>
      <w:color w:val="auto"/>
    </w:rPr>
  </w:style>
  <w:style w:type="paragraph" w:customStyle="1" w:styleId="TableandFiguretitles">
    <w:name w:val="Table and Figure titles"/>
    <w:basedOn w:val="Caption"/>
    <w:pPr>
      <w:keepNext/>
      <w:pBdr>
        <w:bottom w:val="none" w:sz="0" w:space="0" w:color="auto"/>
      </w:pBdr>
      <w:tabs>
        <w:tab w:val="clear" w:pos="9639"/>
      </w:tabs>
      <w:spacing w:after="200"/>
      <w:ind w:left="1134"/>
      <w:jc w:val="both"/>
    </w:pPr>
    <w:rPr>
      <w:rFonts w:eastAsia="Times New Roman"/>
      <w:i w:val="0"/>
      <w:lang w:val="en-GB"/>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rFonts w:eastAsia="Times New Roman"/>
      <w:color w:val="auto"/>
    </w:rPr>
  </w:style>
  <w:style w:type="paragraph" w:customStyle="1" w:styleId="StyleParaQPS11ptItalic">
    <w:name w:val="Style Para QPS + 11 pt Italic"/>
    <w:basedOn w:val="ParaQPS"/>
    <w:rPr>
      <w:i/>
    </w:rPr>
  </w:style>
  <w:style w:type="paragraph" w:customStyle="1" w:styleId="Bulletnumbered">
    <w:name w:val="Bullet numbered"/>
    <w:basedOn w:val="ParaQPS"/>
    <w:pPr>
      <w:ind w:left="1854" w:hanging="360"/>
    </w:pPr>
  </w:style>
  <w:style w:type="paragraph" w:customStyle="1" w:styleId="Annexheader">
    <w:name w:val="Annex header"/>
    <w:basedOn w:val="Header"/>
    <w:pPr>
      <w:tabs>
        <w:tab w:val="clear" w:pos="4320"/>
        <w:tab w:val="clear" w:pos="8640"/>
        <w:tab w:val="center" w:pos="4153"/>
        <w:tab w:val="right" w:pos="8306"/>
      </w:tabs>
      <w:spacing w:line="360" w:lineRule="auto"/>
      <w:ind w:firstLine="720"/>
      <w:jc w:val="center"/>
    </w:pPr>
    <w:rPr>
      <w:rFonts w:ascii="Times New Roman Bold" w:eastAsia="Times New Roman" w:hAnsi="Times New Roman Bold"/>
      <w:b/>
      <w:caps/>
      <w:color w:val="auto"/>
      <w:lang w:val="en-AU"/>
    </w:rPr>
  </w:style>
  <w:style w:type="paragraph" w:customStyle="1" w:styleId="Execlevel3">
    <w:name w:val="Exec level3"/>
    <w:basedOn w:val="Normal"/>
    <w:pPr>
      <w:tabs>
        <w:tab w:val="left" w:pos="1080"/>
      </w:tabs>
    </w:pPr>
    <w:rPr>
      <w:rFonts w:eastAsia="Times New Roman"/>
      <w:b/>
      <w:i/>
    </w:rPr>
  </w:style>
  <w:style w:type="paragraph" w:customStyle="1" w:styleId="0Heading0CharChar1Char">
    <w:name w:val="0 Heading 0 Char Char1 Char"/>
    <w:rPr>
      <w:rFonts w:ascii="Times New Roman" w:eastAsia="Times New Roman" w:hAnsi="Times New Roman"/>
      <w:color w:val="000000"/>
      <w:sz w:val="24"/>
      <w:lang w:val="en-GB" w:eastAsia="en-GB"/>
    </w:rPr>
  </w:style>
  <w:style w:type="character" w:customStyle="1" w:styleId="0Heading0CharChar1CharChar">
    <w:name w:val="0 Heading 0 Char Char1 Char Char"/>
    <w:rPr>
      <w:noProof w:val="0"/>
      <w:color w:val="000000"/>
      <w:sz w:val="24"/>
      <w:lang w:val="en-GB"/>
    </w:rPr>
  </w:style>
  <w:style w:type="paragraph" w:customStyle="1" w:styleId="Alt2-LevelLegal1">
    <w:name w:val="Alt 2-Level Legal1"/>
    <w:basedOn w:val="Normal"/>
    <w:next w:val="Normal"/>
    <w:pPr>
      <w:tabs>
        <w:tab w:val="left" w:pos="1440"/>
      </w:tabs>
      <w:spacing w:after="240"/>
      <w:jc w:val="center"/>
    </w:pPr>
    <w:rPr>
      <w:rFonts w:eastAsia="Times New Roman"/>
      <w:b/>
      <w:color w:val="auto"/>
    </w:rPr>
  </w:style>
  <w:style w:type="paragraph" w:customStyle="1" w:styleId="Alt2-LevelLegal2">
    <w:name w:val="Alt 2-Level Legal2"/>
    <w:basedOn w:val="Normal"/>
    <w:pPr>
      <w:tabs>
        <w:tab w:val="left" w:pos="720"/>
      </w:tabs>
      <w:spacing w:after="240"/>
      <w:ind w:left="720" w:hanging="720"/>
    </w:pPr>
    <w:rPr>
      <w:rFonts w:eastAsia="Times New Roman"/>
      <w:b/>
    </w:rPr>
  </w:style>
  <w:style w:type="paragraph" w:customStyle="1" w:styleId="Alt2-LevelLegal3">
    <w:name w:val="Alt 2-Level Legal3"/>
    <w:basedOn w:val="Normal"/>
    <w:pPr>
      <w:tabs>
        <w:tab w:val="left" w:pos="720"/>
      </w:tabs>
      <w:spacing w:after="240"/>
      <w:ind w:left="720" w:hanging="720"/>
    </w:pPr>
    <w:rPr>
      <w:rFonts w:eastAsia="Times New Roman"/>
      <w:b/>
    </w:rPr>
  </w:style>
  <w:style w:type="paragraph" w:customStyle="1" w:styleId="Alt2-LevelLegal4">
    <w:name w:val="Alt 2-Level Legal4"/>
    <w:basedOn w:val="Normal"/>
    <w:pPr>
      <w:tabs>
        <w:tab w:val="left" w:pos="1440"/>
      </w:tabs>
      <w:spacing w:after="240"/>
      <w:ind w:left="1440" w:hanging="720"/>
    </w:pPr>
    <w:rPr>
      <w:rFonts w:eastAsia="Times New Roman"/>
    </w:rPr>
  </w:style>
  <w:style w:type="paragraph" w:customStyle="1" w:styleId="Alt2-LevelLegal5">
    <w:name w:val="Alt 2-Level Legal5"/>
    <w:basedOn w:val="Normal"/>
    <w:pPr>
      <w:tabs>
        <w:tab w:val="left" w:pos="2160"/>
      </w:tabs>
      <w:spacing w:after="240"/>
      <w:ind w:left="2160" w:right="720" w:hanging="720"/>
      <w:jc w:val="both"/>
    </w:pPr>
    <w:rPr>
      <w:rFonts w:eastAsia="Times New Roman"/>
    </w:rPr>
  </w:style>
  <w:style w:type="paragraph" w:customStyle="1" w:styleId="Alt2-LevelLegal6">
    <w:name w:val="Alt 2-Level Legal6"/>
    <w:basedOn w:val="Normal"/>
    <w:pPr>
      <w:tabs>
        <w:tab w:val="left" w:pos="1440"/>
      </w:tabs>
      <w:spacing w:after="240"/>
      <w:ind w:left="1440" w:hanging="720"/>
      <w:jc w:val="both"/>
    </w:pPr>
    <w:rPr>
      <w:rFonts w:eastAsia="Times New Roman"/>
    </w:rPr>
  </w:style>
  <w:style w:type="paragraph" w:styleId="NoSpacing">
    <w:name w:val="No Spacing"/>
    <w:basedOn w:val="Normal"/>
    <w:uiPriority w:val="1"/>
    <w:qFormat/>
    <w:rPr>
      <w:rFonts w:ascii="Arial" w:eastAsia="Times New Roman" w:hAnsi="Arial"/>
      <w:color w:val="auto"/>
    </w:rPr>
  </w:style>
  <w:style w:type="paragraph" w:customStyle="1" w:styleId="ColorfulGrid-Accent11">
    <w:name w:val="Colorful Grid - Accent 11"/>
    <w:basedOn w:val="Normal"/>
    <w:next w:val="Normal"/>
    <w:qFormat/>
    <w:pPr>
      <w:spacing w:before="200"/>
      <w:ind w:left="360" w:right="360"/>
    </w:pPr>
    <w:rPr>
      <w:rFonts w:ascii="Arial" w:eastAsia="Times New Roman" w:hAnsi="Arial"/>
      <w:i/>
      <w:color w:val="auto"/>
    </w:rPr>
  </w:style>
  <w:style w:type="paragraph" w:customStyle="1" w:styleId="LightShading-Accent21">
    <w:name w:val="Light Shading - Accent 21"/>
    <w:basedOn w:val="Normal"/>
    <w:next w:val="Normal"/>
    <w:qFormat/>
    <w:pPr>
      <w:pBdr>
        <w:bottom w:val="single" w:sz="6" w:space="1" w:color="auto"/>
      </w:pBdr>
      <w:spacing w:before="200" w:after="280"/>
      <w:ind w:left="1008" w:right="1152"/>
      <w:jc w:val="both"/>
    </w:pPr>
    <w:rPr>
      <w:rFonts w:ascii="Arial" w:eastAsia="Times New Roman" w:hAnsi="Arial"/>
      <w:b/>
      <w:i/>
      <w:color w:val="auto"/>
    </w:rPr>
  </w:style>
  <w:style w:type="character" w:customStyle="1" w:styleId="PlainTable31">
    <w:name w:val="Plain Table 31"/>
    <w:qFormat/>
    <w:rPr>
      <w:i/>
    </w:rPr>
  </w:style>
  <w:style w:type="character" w:customStyle="1" w:styleId="PlainTable41">
    <w:name w:val="Plain Table 41"/>
    <w:qFormat/>
    <w:rPr>
      <w:b/>
    </w:rPr>
  </w:style>
  <w:style w:type="character" w:customStyle="1" w:styleId="PlainTable51">
    <w:name w:val="Plain Table 51"/>
    <w:qFormat/>
    <w:rPr>
      <w:smallCaps/>
    </w:rPr>
  </w:style>
  <w:style w:type="character" w:customStyle="1" w:styleId="TableGridLight1">
    <w:name w:val="Table Grid Light1"/>
    <w:qFormat/>
    <w:rPr>
      <w:smallCaps/>
      <w:spacing w:val="5"/>
      <w:u w:val="single"/>
    </w:rPr>
  </w:style>
  <w:style w:type="character" w:customStyle="1" w:styleId="GridTable1Light1">
    <w:name w:val="Grid Table 1 Light1"/>
    <w:qFormat/>
    <w:rPr>
      <w:i/>
      <w:smallCaps/>
      <w:spacing w:val="5"/>
    </w:rPr>
  </w:style>
  <w:style w:type="paragraph" w:customStyle="1" w:styleId="GridTable31">
    <w:name w:val="Grid Table 31"/>
    <w:basedOn w:val="Heading1"/>
    <w:next w:val="Normal"/>
    <w:qFormat/>
    <w:pPr>
      <w:keepLines/>
      <w:tabs>
        <w:tab w:val="left" w:pos="1134"/>
      </w:tabs>
      <w:spacing w:after="240" w:line="240" w:lineRule="auto"/>
      <w:ind w:left="0" w:firstLine="0"/>
      <w:jc w:val="left"/>
      <w:outlineLvl w:val="9"/>
    </w:pPr>
    <w:rPr>
      <w:rFonts w:ascii="Arial" w:eastAsia="Times New Roman" w:hAnsi="Arial"/>
      <w:color w:val="auto"/>
      <w:sz w:val="32"/>
    </w:rPr>
  </w:style>
  <w:style w:type="character" w:customStyle="1" w:styleId="PlainTextChar">
    <w:name w:val="Plain Text Char"/>
    <w:rPr>
      <w:rFonts w:ascii="Consolas" w:hAnsi="Consolas"/>
      <w:noProof w:val="0"/>
      <w:sz w:val="21"/>
      <w:lang w:val="en-US"/>
    </w:rPr>
  </w:style>
  <w:style w:type="character" w:customStyle="1" w:styleId="BodyTextIndent3Char">
    <w:name w:val="Body Text Indent 3 Char"/>
    <w:rPr>
      <w:color w:val="FF0000"/>
      <w:sz w:val="24"/>
    </w:rPr>
  </w:style>
  <w:style w:type="character" w:customStyle="1" w:styleId="Para1">
    <w:name w:val="Para (1) ("/>
    <w:rPr>
      <w:b/>
      <w:noProof w:val="0"/>
      <w:kern w:val="32"/>
      <w:sz w:val="32"/>
      <w:lang w:val="en-US"/>
    </w:rPr>
  </w:style>
  <w:style w:type="character" w:customStyle="1" w:styleId="SubParaa">
    <w:name w:val="SubPara (a) ("/>
    <w:rPr>
      <w:b/>
      <w:i/>
      <w:noProof w:val="0"/>
      <w:kern w:val="2"/>
      <w:sz w:val="28"/>
      <w:lang w:val="en-US"/>
    </w:rPr>
  </w:style>
  <w:style w:type="character" w:customStyle="1" w:styleId="a2">
    <w:name w:val="("/>
    <w:rPr>
      <w:noProof w:val="0"/>
      <w:sz w:val="24"/>
      <w:lang w:val="en-US"/>
    </w:rPr>
  </w:style>
  <w:style w:type="paragraph" w:customStyle="1" w:styleId="a3">
    <w:name w:val="??????"/>
    <w:basedOn w:val="CommentText"/>
    <w:next w:val="CommentText"/>
    <w:pPr>
      <w:tabs>
        <w:tab w:val="clear" w:pos="720"/>
        <w:tab w:val="clear" w:pos="1440"/>
        <w:tab w:val="clear" w:pos="5760"/>
      </w:tabs>
      <w:jc w:val="left"/>
    </w:pPr>
    <w:rPr>
      <w:rFonts w:eastAsia="Times New Roman"/>
      <w:b/>
      <w:lang w:val="en-US"/>
    </w:rPr>
  </w:style>
  <w:style w:type="character" w:customStyle="1" w:styleId="5">
    <w:name w:val="(5"/>
    <w:rPr>
      <w:b/>
      <w:noProof w:val="0"/>
      <w:sz w:val="24"/>
      <w:lang w:val="en-US"/>
    </w:rPr>
  </w:style>
  <w:style w:type="character" w:customStyle="1" w:styleId="CarCar19">
    <w:name w:val="Car Car19"/>
    <w:rPr>
      <w:noProof w:val="0"/>
      <w:color w:val="000000"/>
      <w:sz w:val="24"/>
      <w:lang w:val="en-GB"/>
    </w:rPr>
  </w:style>
  <w:style w:type="paragraph" w:customStyle="1" w:styleId="Decisionparagraphs">
    <w:name w:val="Decision paragraphs"/>
    <w:basedOn w:val="Normal"/>
    <w:rPr>
      <w:rFonts w:eastAsia="Times New Roman"/>
      <w:i/>
      <w:color w:val="auto"/>
    </w:rPr>
  </w:style>
  <w:style w:type="paragraph" w:customStyle="1" w:styleId="Style3">
    <w:name w:val="Style3"/>
    <w:basedOn w:val="Heading1"/>
    <w:pPr>
      <w:tabs>
        <w:tab w:val="left" w:pos="0"/>
        <w:tab w:val="left" w:pos="1134"/>
        <w:tab w:val="left" w:pos="1492"/>
      </w:tabs>
      <w:spacing w:after="0" w:line="240" w:lineRule="auto"/>
      <w:ind w:left="432" w:hanging="432"/>
      <w:jc w:val="left"/>
      <w:outlineLvl w:val="9"/>
    </w:pPr>
    <w:rPr>
      <w:rFonts w:eastAsia="Times New Roman"/>
    </w:rPr>
  </w:style>
  <w:style w:type="paragraph" w:customStyle="1" w:styleId="Style4">
    <w:name w:val="Style4"/>
    <w:basedOn w:val="Heading2"/>
    <w:pPr>
      <w:widowControl w:val="0"/>
      <w:tabs>
        <w:tab w:val="clear" w:pos="1080"/>
        <w:tab w:val="left" w:pos="720"/>
        <w:tab w:val="left" w:pos="1134"/>
        <w:tab w:val="left" w:pos="1440"/>
      </w:tabs>
      <w:spacing w:after="0" w:line="240" w:lineRule="auto"/>
      <w:ind w:left="720" w:right="28" w:hanging="720"/>
      <w:outlineLvl w:val="9"/>
    </w:pPr>
    <w:rPr>
      <w:rFonts w:eastAsia="Times New Roman"/>
    </w:rPr>
  </w:style>
  <w:style w:type="paragraph" w:customStyle="1" w:styleId="Style5">
    <w:name w:val="Style5"/>
    <w:basedOn w:val="Heading311ptBold"/>
    <w:pPr>
      <w:tabs>
        <w:tab w:val="clear" w:pos="1800"/>
        <w:tab w:val="center" w:pos="1440"/>
      </w:tabs>
      <w:spacing w:before="0" w:after="0"/>
    </w:pPr>
    <w:rPr>
      <w:b/>
    </w:rPr>
  </w:style>
  <w:style w:type="paragraph" w:customStyle="1" w:styleId="Style6">
    <w:name w:val="Style6"/>
    <w:basedOn w:val="Heading311ptBold"/>
    <w:next w:val="Style5"/>
    <w:pPr>
      <w:tabs>
        <w:tab w:val="clear" w:pos="1800"/>
        <w:tab w:val="center" w:pos="1440"/>
      </w:tabs>
      <w:spacing w:before="0" w:after="0"/>
    </w:pPr>
    <w:rPr>
      <w:b/>
    </w:rPr>
  </w:style>
  <w:style w:type="paragraph" w:customStyle="1" w:styleId="Style7">
    <w:name w:val="Style7"/>
    <w:basedOn w:val="Heading311ptBold"/>
    <w:pPr>
      <w:tabs>
        <w:tab w:val="clear" w:pos="1800"/>
        <w:tab w:val="center" w:pos="1440"/>
      </w:tabs>
      <w:spacing w:before="0" w:after="0"/>
      <w:ind w:left="720" w:hanging="720"/>
    </w:pPr>
    <w:rPr>
      <w:b/>
    </w:rPr>
  </w:style>
  <w:style w:type="paragraph" w:customStyle="1" w:styleId="StyleHeading2SubParaaHeading2Char1CharSubParaaChar1">
    <w:name w:val="Style Heading 2SubPara (a)Heading 2 Char1 CharSubPara (a) Char1 ..."/>
    <w:basedOn w:val="Heading2"/>
    <w:pPr>
      <w:widowControl w:val="0"/>
      <w:tabs>
        <w:tab w:val="clear" w:pos="1080"/>
        <w:tab w:val="left" w:pos="720"/>
        <w:tab w:val="left" w:pos="1134"/>
        <w:tab w:val="left" w:pos="1440"/>
      </w:tabs>
      <w:spacing w:after="0" w:line="240" w:lineRule="auto"/>
      <w:ind w:left="576" w:right="28" w:hanging="576"/>
      <w:outlineLvl w:val="9"/>
    </w:pPr>
    <w:rPr>
      <w:rFonts w:eastAsia="Times New Roman"/>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pPr>
      <w:tabs>
        <w:tab w:val="clear" w:pos="1080"/>
        <w:tab w:val="left" w:pos="720"/>
        <w:tab w:val="left" w:pos="1134"/>
        <w:tab w:val="left" w:pos="2880"/>
      </w:tabs>
      <w:spacing w:after="0"/>
      <w:ind w:left="720" w:hanging="720"/>
      <w:jc w:val="left"/>
      <w:outlineLvl w:val="9"/>
    </w:pPr>
    <w:rPr>
      <w:rFonts w:eastAsia="Times New Roman"/>
      <w:b w:val="0"/>
      <w:i w:val="0"/>
      <w:color w:val="auto"/>
    </w:rPr>
  </w:style>
  <w:style w:type="paragraph" w:customStyle="1" w:styleId="ECMSHeading1">
    <w:name w:val="ECMS Heading 1"/>
    <w:basedOn w:val="Heading1"/>
    <w:pPr>
      <w:tabs>
        <w:tab w:val="left" w:pos="1134"/>
      </w:tabs>
      <w:spacing w:before="120" w:after="1080" w:line="240" w:lineRule="auto"/>
      <w:ind w:left="0" w:firstLine="0"/>
      <w:jc w:val="left"/>
      <w:outlineLvl w:val="9"/>
    </w:pPr>
    <w:rPr>
      <w:rFonts w:ascii="Garamond" w:eastAsia="Times New Roman" w:hAnsi="Garamond"/>
      <w:color w:val="auto"/>
      <w:sz w:val="48"/>
    </w:rPr>
  </w:style>
  <w:style w:type="paragraph" w:customStyle="1" w:styleId="ECMStableheader">
    <w:name w:val="ECMS table header"/>
    <w:basedOn w:val="Normal"/>
    <w:pPr>
      <w:ind w:left="1320" w:hanging="1320"/>
    </w:pPr>
    <w:rPr>
      <w:rFonts w:eastAsia="Times New Roman"/>
      <w:b/>
      <w:color w:val="auto"/>
    </w:rPr>
  </w:style>
  <w:style w:type="paragraph" w:customStyle="1" w:styleId="Paralevel3">
    <w:name w:val="Para level3"/>
    <w:basedOn w:val="Normal"/>
    <w:pPr>
      <w:tabs>
        <w:tab w:val="left" w:pos="360"/>
      </w:tabs>
      <w:suppressAutoHyphens/>
      <w:spacing w:after="120"/>
    </w:pPr>
    <w:rPr>
      <w:rFonts w:eastAsia="Times New Roman"/>
      <w:color w:val="auto"/>
      <w:sz w:val="20"/>
    </w:rPr>
  </w:style>
  <w:style w:type="character" w:customStyle="1" w:styleId="ANNEXESChar">
    <w:name w:val="ANNEXES Char"/>
    <w:rPr>
      <w:b/>
      <w:noProof w:val="0"/>
      <w:color w:val="000000"/>
      <w:sz w:val="28"/>
      <w:lang w:val="en-GB"/>
    </w:rPr>
  </w:style>
  <w:style w:type="paragraph" w:customStyle="1" w:styleId="ColorfulShading-Accent31">
    <w:name w:val="Colorful Shading - Accent 31"/>
    <w:basedOn w:val="Normal"/>
    <w:rPr>
      <w:rFonts w:ascii="Cambria" w:eastAsia="Times New Roman" w:hAnsi="Cambria"/>
      <w:color w:val="auto"/>
      <w:sz w:val="24"/>
      <w:lang w:val="en-US"/>
    </w:rPr>
  </w:style>
  <w:style w:type="paragraph" w:customStyle="1" w:styleId="summarylevel3">
    <w:name w:val="summary level3"/>
    <w:basedOn w:val="Heading3"/>
    <w:next w:val="Normal"/>
    <w:pPr>
      <w:widowControl w:val="0"/>
      <w:suppressLineNumbers/>
      <w:tabs>
        <w:tab w:val="left" w:pos="851"/>
        <w:tab w:val="left" w:pos="2160"/>
      </w:tabs>
      <w:spacing w:before="100" w:after="240" w:line="240" w:lineRule="auto"/>
      <w:ind w:left="0" w:right="28" w:firstLine="0"/>
      <w:outlineLvl w:val="9"/>
    </w:pPr>
    <w:rPr>
      <w:rFonts w:eastAsia="Times New Roman"/>
      <w:color w:val="auto"/>
      <w:sz w:val="24"/>
      <w:lang w:val="en-AU"/>
    </w:rPr>
  </w:style>
  <w:style w:type="paragraph" w:customStyle="1" w:styleId="intro">
    <w:name w:val="intro"/>
    <w:basedOn w:val="Normal"/>
    <w:pPr>
      <w:spacing w:before="100" w:after="100"/>
    </w:pPr>
    <w:rPr>
      <w:rFonts w:eastAsia="Times New Roman"/>
      <w:color w:val="auto"/>
      <w:sz w:val="24"/>
      <w:lang w:val="en-US"/>
    </w:rPr>
  </w:style>
  <w:style w:type="paragraph" w:customStyle="1" w:styleId="bullet0">
    <w:name w:val="bullet"/>
    <w:basedOn w:val="Normal"/>
    <w:pPr>
      <w:ind w:left="1080"/>
    </w:pPr>
    <w:rPr>
      <w:rFonts w:eastAsia="Times New Roman"/>
      <w:color w:val="auto"/>
      <w:sz w:val="24"/>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 w:val="left" w:pos="1134"/>
      </w:tabs>
      <w:spacing w:before="240" w:after="60" w:line="240" w:lineRule="auto"/>
      <w:ind w:left="1080" w:hanging="432"/>
      <w:jc w:val="left"/>
      <w:outlineLvl w:val="9"/>
    </w:pPr>
    <w:rPr>
      <w:rFonts w:ascii="Times New Roman Bold" w:eastAsia="Times New Roman" w:hAnsi="Times New Roman Bold"/>
      <w:kern w:val="32"/>
      <w:sz w:val="30"/>
      <w:lang w:val="en-US"/>
    </w:rPr>
  </w:style>
  <w:style w:type="character" w:customStyle="1" w:styleId="StyleHeading1Para1Heading1Char1CharHeading1CharCharCChar">
    <w:name w:val="Style Heading 1Para (1)Heading 1 Char1 CharHeading 1 Char Char C... Char"/>
    <w:rPr>
      <w:b/>
      <w:noProof w:val="0"/>
      <w:color w:val="000000"/>
      <w:kern w:val="32"/>
      <w:sz w:val="32"/>
      <w:lang w:val="en-US"/>
    </w:rPr>
  </w:style>
  <w:style w:type="paragraph" w:customStyle="1" w:styleId="StyleBodyTextLeftAfter0pt">
    <w:name w:val="Style Body Text Left + After:  0 pt"/>
    <w:basedOn w:val="BodyTextLeft"/>
    <w:rPr>
      <w:sz w:val="24"/>
    </w:rPr>
  </w:style>
  <w:style w:type="paragraph" w:customStyle="1" w:styleId="StyleBodyTextIndent2Firstline0cm">
    <w:name w:val="Style Body Text Indent 2 + First line:  0 cm"/>
    <w:basedOn w:val="BodyTextIndent2"/>
    <w:pPr>
      <w:spacing w:after="240"/>
      <w:ind w:left="0" w:firstLine="0"/>
    </w:pPr>
    <w:rPr>
      <w:rFonts w:eastAsia="Times New Roman"/>
      <w:b w:val="0"/>
      <w:color w:val="auto"/>
      <w:sz w:val="22"/>
    </w:rPr>
  </w:style>
  <w:style w:type="paragraph" w:customStyle="1" w:styleId="StyleBodyTextIndent2Firstline0cm1">
    <w:name w:val="Style Body Text Indent 2 + First line:  0 cm1"/>
    <w:basedOn w:val="BodyTextIndent2"/>
    <w:pPr>
      <w:spacing w:after="240"/>
      <w:ind w:left="0" w:firstLine="0"/>
    </w:pPr>
    <w:rPr>
      <w:rFonts w:eastAsia="Times New Roman"/>
      <w:b w:val="0"/>
      <w:color w:val="auto"/>
      <w:sz w:val="22"/>
    </w:rPr>
  </w:style>
  <w:style w:type="paragraph" w:customStyle="1" w:styleId="NormalBold">
    <w:name w:val="Normal + Bold"/>
    <w:aliases w:val="Italic,Centered"/>
    <w:basedOn w:val="Execlevel3"/>
    <w:pPr>
      <w:spacing w:after="240"/>
      <w:jc w:val="center"/>
    </w:pPr>
  </w:style>
  <w:style w:type="paragraph" w:customStyle="1" w:styleId="enclosures">
    <w:name w:val="enclosures"/>
    <w:basedOn w:val="Normal"/>
    <w:next w:val="Normal"/>
    <w:pPr>
      <w:tabs>
        <w:tab w:val="right" w:pos="340"/>
        <w:tab w:val="left" w:pos="454"/>
        <w:tab w:val="right" w:pos="9360"/>
      </w:tabs>
      <w:spacing w:before="240"/>
    </w:pPr>
    <w:rPr>
      <w:rFonts w:ascii="Helvetica" w:eastAsia="Times New Roman" w:hAnsi="Helvetica"/>
      <w:color w:val="auto"/>
      <w:lang w:val="en-US"/>
    </w:rPr>
  </w:style>
  <w:style w:type="character" w:customStyle="1" w:styleId="CommentTextChar1">
    <w:name w:val="Comment Text Char1"/>
    <w:rPr>
      <w:noProof w:val="0"/>
      <w:sz w:val="24"/>
      <w:lang w:val="en-US"/>
    </w:rPr>
  </w:style>
  <w:style w:type="paragraph" w:customStyle="1" w:styleId="Paraindent">
    <w:name w:val="Para indent"/>
    <w:basedOn w:val="Normal"/>
    <w:pPr>
      <w:widowControl w:val="0"/>
      <w:spacing w:before="120" w:after="120"/>
      <w:ind w:left="709" w:right="720"/>
      <w:jc w:val="both"/>
    </w:pPr>
    <w:rPr>
      <w:rFonts w:eastAsia="Times New Roman"/>
      <w:i/>
      <w:sz w:val="20"/>
    </w:rPr>
  </w:style>
  <w:style w:type="paragraph" w:customStyle="1" w:styleId="BulletsinTable">
    <w:name w:val="Bullets in Table"/>
    <w:basedOn w:val="ListParagraph1"/>
    <w:pPr>
      <w:tabs>
        <w:tab w:val="left" w:pos="539"/>
      </w:tabs>
      <w:autoSpaceDE/>
      <w:autoSpaceDN/>
      <w:spacing w:before="60" w:after="60" w:line="240" w:lineRule="auto"/>
      <w:ind w:left="720" w:right="720" w:hanging="539"/>
      <w:jc w:val="left"/>
    </w:pPr>
    <w:rPr>
      <w:rFonts w:ascii="Times New Roman" w:hAnsi="Times New Roman"/>
      <w:i/>
      <w:color w:val="000000"/>
      <w:sz w:val="20"/>
      <w:lang w:val="en"/>
    </w:rPr>
  </w:style>
  <w:style w:type="paragraph" w:customStyle="1" w:styleId="Annex">
    <w:name w:val="Annex"/>
    <w:basedOn w:val="Caption"/>
    <w:pPr>
      <w:pBdr>
        <w:bottom w:val="none" w:sz="0" w:space="0" w:color="auto"/>
      </w:pBdr>
      <w:tabs>
        <w:tab w:val="clear" w:pos="9639"/>
      </w:tabs>
      <w:spacing w:before="100" w:after="100"/>
      <w:ind w:left="426" w:right="720"/>
      <w:jc w:val="left"/>
    </w:pPr>
    <w:rPr>
      <w:rFonts w:eastAsia="Times New Roman"/>
      <w:caps/>
      <w:sz w:val="20"/>
      <w:lang w:val="en-GB"/>
    </w:rPr>
  </w:style>
  <w:style w:type="paragraph" w:customStyle="1" w:styleId="Tableandfigureheadings">
    <w:name w:val="Table and figure headings"/>
    <w:basedOn w:val="TableofFigures"/>
    <w:pPr>
      <w:keepNext/>
      <w:ind w:left="0" w:right="720" w:firstLine="0"/>
      <w:jc w:val="left"/>
    </w:pPr>
    <w:rPr>
      <w:i/>
      <w:caps w:val="0"/>
      <w:sz w:val="24"/>
    </w:rPr>
  </w:style>
  <w:style w:type="paragraph" w:styleId="TableofFigures">
    <w:name w:val="table of figures"/>
    <w:basedOn w:val="Normal"/>
    <w:next w:val="Normal"/>
    <w:semiHidden/>
    <w:pPr>
      <w:spacing w:before="120" w:after="120"/>
      <w:ind w:left="1757" w:right="624" w:hanging="1077"/>
      <w:jc w:val="both"/>
    </w:pPr>
    <w:rPr>
      <w:rFonts w:eastAsia="Times New Roman"/>
      <w:b/>
      <w:caps/>
      <w:color w:val="auto"/>
    </w:rPr>
  </w:style>
  <w:style w:type="paragraph" w:customStyle="1" w:styleId="Bulletsnumbered">
    <w:name w:val="Bullets numbered"/>
    <w:basedOn w:val="Paraindent"/>
    <w:pPr>
      <w:tabs>
        <w:tab w:val="left" w:pos="720"/>
      </w:tabs>
      <w:ind w:left="1560" w:hanging="720"/>
    </w:pPr>
  </w:style>
  <w:style w:type="paragraph" w:customStyle="1" w:styleId="Chapternumber">
    <w:name w:val="Chapter number"/>
    <w:basedOn w:val="Normal"/>
    <w:pPr>
      <w:widowControl w:val="0"/>
      <w:suppressAutoHyphens/>
      <w:spacing w:before="100" w:after="567" w:line="640" w:lineRule="atLeast"/>
      <w:ind w:right="720"/>
    </w:pPr>
    <w:rPr>
      <w:rFonts w:ascii="FrutigerLTStd-Light" w:eastAsia="Times New Roman" w:hAnsi="FrutigerLTStd-Light"/>
      <w:i/>
      <w:sz w:val="60"/>
    </w:rPr>
  </w:style>
  <w:style w:type="paragraph" w:customStyle="1" w:styleId="Tabletext0">
    <w:name w:val="Table text"/>
    <w:basedOn w:val="Normal"/>
    <w:pPr>
      <w:widowControl w:val="0"/>
      <w:suppressAutoHyphens/>
      <w:spacing w:before="100" w:after="113" w:line="288" w:lineRule="auto"/>
      <w:ind w:right="720"/>
    </w:pPr>
    <w:rPr>
      <w:rFonts w:ascii="FrutigerLTStd-Light" w:eastAsia="Times New Roman" w:hAnsi="FrutigerLTStd-Light"/>
      <w:i/>
      <w:sz w:val="24"/>
    </w:rPr>
  </w:style>
  <w:style w:type="paragraph" w:customStyle="1" w:styleId="Bodycopynoindent">
    <w:name w:val="Body copy (no indent)"/>
    <w:basedOn w:val="Normal"/>
    <w:pPr>
      <w:widowControl w:val="0"/>
      <w:suppressAutoHyphens/>
      <w:spacing w:before="100" w:after="280" w:line="320" w:lineRule="atLeast"/>
      <w:ind w:right="720"/>
    </w:pPr>
    <w:rPr>
      <w:rFonts w:ascii="FrutigerLTStd-Light" w:eastAsia="Times New Roman" w:hAnsi="FrutigerLTStd-Light"/>
      <w:i/>
      <w:sz w:val="24"/>
    </w:rPr>
  </w:style>
  <w:style w:type="paragraph" w:customStyle="1" w:styleId="Bullettext">
    <w:name w:val="Bullet text"/>
    <w:basedOn w:val="Normal"/>
    <w:next w:val="Normal"/>
    <w:pPr>
      <w:widowControl w:val="0"/>
      <w:tabs>
        <w:tab w:val="left" w:pos="851"/>
      </w:tabs>
      <w:suppressAutoHyphens/>
      <w:spacing w:before="100" w:after="113" w:line="320" w:lineRule="atLeast"/>
      <w:ind w:left="851" w:right="720" w:hanging="284"/>
    </w:pPr>
    <w:rPr>
      <w:rFonts w:ascii="FrutigerLTStd-Light" w:eastAsia="Times New Roman" w:hAnsi="FrutigerLTStd-Light"/>
      <w:i/>
      <w:sz w:val="24"/>
    </w:rPr>
  </w:style>
  <w:style w:type="paragraph" w:customStyle="1" w:styleId="Bullettextlastline">
    <w:name w:val="Bullet text last line"/>
    <w:basedOn w:val="Normal"/>
    <w:pPr>
      <w:widowControl w:val="0"/>
      <w:tabs>
        <w:tab w:val="left" w:pos="851"/>
      </w:tabs>
      <w:suppressAutoHyphens/>
      <w:spacing w:before="100" w:after="280" w:line="320" w:lineRule="atLeast"/>
      <w:ind w:left="851" w:right="720" w:hanging="284"/>
    </w:pPr>
    <w:rPr>
      <w:rFonts w:ascii="FrutigerLTStd-Light" w:eastAsia="Times New Roman" w:hAnsi="FrutigerLTStd-Light"/>
      <w:i/>
      <w:sz w:val="24"/>
    </w:rPr>
  </w:style>
  <w:style w:type="paragraph" w:customStyle="1" w:styleId="Section2numbered">
    <w:name w:val="Section 2 numbered"/>
    <w:pPr>
      <w:tabs>
        <w:tab w:val="left" w:pos="1492"/>
      </w:tabs>
      <w:spacing w:after="227"/>
      <w:ind w:left="1492" w:hanging="360"/>
    </w:pPr>
    <w:rPr>
      <w:rFonts w:ascii="FrutigerLTStd-Light" w:eastAsia="Times New Roman" w:hAnsi="FrutigerLTStd-Light"/>
      <w:color w:val="000000"/>
      <w:sz w:val="24"/>
      <w:lang w:val="en-GB" w:eastAsia="en-GB"/>
    </w:rPr>
  </w:style>
  <w:style w:type="character" w:customStyle="1" w:styleId="Boldtext0">
    <w:name w:val="Bold text"/>
    <w:rPr>
      <w:rFonts w:ascii="FrutigerLTStd-Bold" w:hAnsi="FrutigerLTStd-Bold"/>
      <w:b/>
    </w:rPr>
  </w:style>
  <w:style w:type="paragraph" w:customStyle="1" w:styleId="Section3numbered">
    <w:name w:val="Section 3 numbered"/>
    <w:pPr>
      <w:tabs>
        <w:tab w:val="left" w:pos="680"/>
      </w:tabs>
      <w:spacing w:after="227"/>
      <w:ind w:left="680" w:hanging="680"/>
    </w:pPr>
    <w:rPr>
      <w:rFonts w:ascii="FrutigerLTStd-Light" w:eastAsia="Times New Roman" w:hAnsi="FrutigerLTStd-Light"/>
      <w:color w:val="000000"/>
      <w:sz w:val="24"/>
      <w:lang w:val="en-GB" w:eastAsia="en-GB"/>
    </w:rPr>
  </w:style>
  <w:style w:type="paragraph" w:customStyle="1" w:styleId="Section6numbered">
    <w:name w:val="Section 6 numbered"/>
    <w:pPr>
      <w:tabs>
        <w:tab w:val="left" w:pos="0"/>
      </w:tabs>
      <w:spacing w:after="227"/>
      <w:ind w:left="578"/>
    </w:pPr>
    <w:rPr>
      <w:rFonts w:ascii="FrutigerLTStd-Light" w:eastAsia="Times New Roman" w:hAnsi="FrutigerLTStd-Light"/>
      <w:color w:val="000000"/>
      <w:sz w:val="24"/>
      <w:lang w:val="en-GB" w:eastAsia="en-GB"/>
    </w:rPr>
  </w:style>
  <w:style w:type="paragraph" w:customStyle="1" w:styleId="BasicParagraph">
    <w:name w:val="[Basic Paragraph]"/>
    <w:basedOn w:val="Normal"/>
    <w:pPr>
      <w:widowControl w:val="0"/>
      <w:spacing w:before="100" w:line="288" w:lineRule="auto"/>
      <w:ind w:right="720"/>
    </w:pPr>
    <w:rPr>
      <w:rFonts w:ascii="Times-Roman" w:eastAsia="Times New 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pPr>
      <w:ind w:left="175" w:hanging="142"/>
    </w:pPr>
  </w:style>
  <w:style w:type="paragraph" w:customStyle="1" w:styleId="Recommendationsnumbered">
    <w:name w:val="Recommendations numbered"/>
    <w:basedOn w:val="Bulletsnumbered"/>
    <w:pPr>
      <w:ind w:left="1134" w:hanging="425"/>
    </w:pPr>
  </w:style>
  <w:style w:type="paragraph" w:customStyle="1" w:styleId="wbtbullet1">
    <w:name w:val="wbtbullet1"/>
    <w:basedOn w:val="Normal"/>
    <w:pPr>
      <w:spacing w:before="100"/>
      <w:ind w:right="720"/>
      <w:jc w:val="both"/>
    </w:pPr>
    <w:rPr>
      <w:rFonts w:ascii="Verdana" w:eastAsia="Times New Roman" w:hAnsi="Verdana"/>
      <w:i/>
      <w:color w:val="auto"/>
      <w:sz w:val="16"/>
    </w:rPr>
  </w:style>
  <w:style w:type="paragraph" w:customStyle="1" w:styleId="Box">
    <w:name w:val="Box"/>
    <w:basedOn w:val="BodyText"/>
    <w:pPr>
      <w:pBdr>
        <w:top w:val="single" w:sz="6" w:space="1" w:color="auto"/>
        <w:left w:val="single" w:sz="6" w:space="4" w:color="auto"/>
        <w:bottom w:val="single" w:sz="6" w:space="1" w:color="auto"/>
        <w:right w:val="single" w:sz="6" w:space="4" w:color="auto"/>
      </w:pBdr>
      <w:tabs>
        <w:tab w:val="left" w:pos="720"/>
      </w:tabs>
      <w:spacing w:before="100" w:line="240" w:lineRule="auto"/>
      <w:ind w:left="720" w:right="720" w:hanging="360"/>
    </w:pPr>
    <w:rPr>
      <w:rFonts w:ascii="Calibri" w:eastAsia="Times New Roman" w:hAnsi="Calibri"/>
      <w:i/>
      <w:color w:val="auto"/>
      <w:spacing w:val="-2"/>
      <w:sz w:val="18"/>
      <w:lang w:val="en-US"/>
    </w:rPr>
  </w:style>
  <w:style w:type="character" w:customStyle="1" w:styleId="content1">
    <w:name w:val="content1"/>
    <w:rPr>
      <w:rFonts w:ascii="Trebuchet MS" w:hAnsi="Trebuchet MS"/>
      <w:color w:val="000000"/>
      <w:sz w:val="18"/>
    </w:rPr>
  </w:style>
  <w:style w:type="character" w:customStyle="1" w:styleId="smbody1">
    <w:name w:val="smbody1"/>
    <w:rPr>
      <w:rFonts w:ascii="Verdana" w:hAnsi="Verdana"/>
      <w:color w:val="000000"/>
      <w:sz w:val="15"/>
    </w:rPr>
  </w:style>
  <w:style w:type="paragraph" w:customStyle="1" w:styleId="Text0">
    <w:name w:val="Text"/>
    <w:basedOn w:val="Normal"/>
    <w:pPr>
      <w:spacing w:before="100"/>
      <w:ind w:right="720"/>
      <w:jc w:val="both"/>
    </w:pPr>
    <w:rPr>
      <w:rFonts w:ascii="Arial" w:eastAsia="Times New Roman" w:hAnsi="Arial"/>
      <w:i/>
      <w:color w:val="auto"/>
      <w:sz w:val="18"/>
      <w:lang w:val="en-US"/>
    </w:rPr>
  </w:style>
  <w:style w:type="paragraph" w:customStyle="1" w:styleId="SimonUberschrift">
    <w:name w:val="Simon Uberschrift"/>
    <w:basedOn w:val="Heading3"/>
    <w:next w:val="Heading1"/>
    <w:pPr>
      <w:widowControl w:val="0"/>
      <w:tabs>
        <w:tab w:val="left" w:pos="1800"/>
        <w:tab w:val="left" w:pos="2160"/>
      </w:tabs>
      <w:spacing w:before="240" w:after="60" w:line="240" w:lineRule="auto"/>
      <w:ind w:left="1440" w:right="28" w:firstLine="0"/>
      <w:outlineLvl w:val="9"/>
    </w:pPr>
    <w:rPr>
      <w:rFonts w:eastAsia="Times New Roman"/>
      <w:b w:val="0"/>
      <w:i w:val="0"/>
      <w:sz w:val="24"/>
    </w:rPr>
  </w:style>
  <w:style w:type="paragraph" w:customStyle="1" w:styleId="xl22">
    <w:name w:val="xl22"/>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paragraph" w:customStyle="1" w:styleId="xl23">
    <w:name w:val="xl23"/>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character" w:customStyle="1" w:styleId="BodyText3Char">
    <w:name w:val="Body Text 3 Char"/>
    <w:rPr>
      <w:rFonts w:ascii="Arial" w:hAnsi="Arial"/>
      <w:noProof w:val="0"/>
      <w:sz w:val="16"/>
      <w:lang w:val="x-none"/>
    </w:rPr>
  </w:style>
  <w:style w:type="paragraph" w:customStyle="1" w:styleId="TablesinAnnexlandscape">
    <w:name w:val="Tables in Annex landscape"/>
    <w:basedOn w:val="Table"/>
    <w:pPr>
      <w:keepLines w:val="0"/>
      <w:spacing w:before="120" w:after="120"/>
      <w:ind w:left="709" w:right="720"/>
    </w:pPr>
    <w:rPr>
      <w:rFonts w:eastAsia="Times New Roman"/>
      <w:b/>
      <w:i/>
      <w:snapToGrid/>
    </w:rPr>
  </w:style>
  <w:style w:type="paragraph" w:customStyle="1" w:styleId="Tablefootnote">
    <w:name w:val="Table footnote"/>
    <w:basedOn w:val="Normal"/>
    <w:pPr>
      <w:tabs>
        <w:tab w:val="left" w:pos="3000"/>
      </w:tabs>
      <w:spacing w:before="100"/>
      <w:ind w:left="709" w:right="720"/>
    </w:pPr>
    <w:rPr>
      <w:rFonts w:eastAsia="Times New Roman"/>
      <w:i/>
      <w:color w:val="auto"/>
      <w:sz w:val="18"/>
    </w:rPr>
  </w:style>
  <w:style w:type="paragraph" w:customStyle="1" w:styleId="TableinfrontwithmeandKJ">
    <w:name w:val="Table in front with me and KJ"/>
    <w:basedOn w:val="Normal"/>
    <w:pPr>
      <w:spacing w:before="60" w:after="60"/>
      <w:ind w:right="720"/>
    </w:pPr>
    <w:rPr>
      <w:rFonts w:eastAsia="Times New Roman"/>
      <w:i/>
      <w:color w:val="auto"/>
      <w:sz w:val="18"/>
    </w:rPr>
  </w:style>
  <w:style w:type="paragraph" w:customStyle="1" w:styleId="ParaindentItalicsubheader">
    <w:name w:val="Para indent Italic subheader"/>
    <w:basedOn w:val="Paraindent"/>
    <w:rPr>
      <w:i w:val="0"/>
    </w:rPr>
  </w:style>
  <w:style w:type="paragraph" w:customStyle="1" w:styleId="Paratextintable">
    <w:name w:val="Para text in table"/>
    <w:basedOn w:val="Normal"/>
    <w:pPr>
      <w:spacing w:before="120" w:after="120"/>
      <w:ind w:right="720"/>
    </w:pPr>
    <w:rPr>
      <w:rFonts w:eastAsia="Times New Roman"/>
      <w:color w:val="auto"/>
      <w:sz w:val="18"/>
      <w:lang w:val="en-US"/>
    </w:rPr>
  </w:style>
  <w:style w:type="paragraph" w:customStyle="1" w:styleId="Bulletsnumberedintable">
    <w:name w:val="Bullets numbered in table"/>
    <w:basedOn w:val="ListParagraph1"/>
    <w:pPr>
      <w:tabs>
        <w:tab w:val="left" w:pos="539"/>
      </w:tabs>
      <w:autoSpaceDE/>
      <w:autoSpaceDN/>
      <w:spacing w:before="100" w:line="240" w:lineRule="auto"/>
      <w:ind w:left="539" w:right="720" w:hanging="539"/>
      <w:jc w:val="left"/>
    </w:pPr>
    <w:rPr>
      <w:rFonts w:ascii="Times New Roman" w:hAnsi="Times New Roman"/>
      <w:i/>
      <w:sz w:val="18"/>
      <w:lang w:val="en-US"/>
    </w:rPr>
  </w:style>
  <w:style w:type="paragraph" w:customStyle="1" w:styleId="Paranumbered">
    <w:name w:val="Para numbered"/>
    <w:basedOn w:val="ListParagraph1"/>
    <w:pPr>
      <w:tabs>
        <w:tab w:val="left" w:pos="720"/>
      </w:tabs>
      <w:autoSpaceDE/>
      <w:autoSpaceDN/>
      <w:spacing w:before="120" w:after="120" w:line="240" w:lineRule="auto"/>
      <w:ind w:left="709" w:right="720" w:hanging="709"/>
      <w:jc w:val="left"/>
    </w:pPr>
    <w:rPr>
      <w:rFonts w:ascii="Times New Roman" w:hAnsi="Times New Roman"/>
      <w:i/>
      <w:sz w:val="18"/>
      <w:lang w:val="en-US"/>
    </w:rPr>
  </w:style>
  <w:style w:type="paragraph" w:customStyle="1" w:styleId="Bulletsubindent">
    <w:name w:val="Bullet sub indent"/>
    <w:basedOn w:val="ListParagraph1"/>
    <w:pPr>
      <w:autoSpaceDE/>
      <w:autoSpaceDN/>
      <w:spacing w:before="60" w:after="60" w:line="240" w:lineRule="auto"/>
      <w:ind w:left="1985" w:right="720" w:hanging="360"/>
      <w:jc w:val="left"/>
    </w:pPr>
    <w:rPr>
      <w:rFonts w:ascii="Times New Roman" w:hAnsi="Times New Roman"/>
      <w:i/>
      <w:color w:val="000000"/>
      <w:lang w:val="en"/>
    </w:rPr>
  </w:style>
  <w:style w:type="paragraph" w:customStyle="1" w:styleId="TableandFigureVol1">
    <w:name w:val="Table and Figure Vol 1"/>
    <w:basedOn w:val="Caption"/>
    <w:pPr>
      <w:keepNext/>
      <w:pBdr>
        <w:bottom w:val="none" w:sz="0" w:space="0" w:color="auto"/>
      </w:pBdr>
      <w:tabs>
        <w:tab w:val="clear" w:pos="9639"/>
      </w:tabs>
      <w:spacing w:before="100" w:after="120"/>
      <w:ind w:left="709" w:right="720"/>
      <w:jc w:val="both"/>
    </w:pPr>
    <w:rPr>
      <w:rFonts w:ascii="Calibri" w:eastAsia="Times New Roman" w:hAnsi="Calibri"/>
      <w:sz w:val="20"/>
      <w:lang w:val="en-GB"/>
    </w:rPr>
  </w:style>
  <w:style w:type="paragraph" w:customStyle="1" w:styleId="GEFChar">
    <w:name w:val="GEF Char"/>
    <w:basedOn w:val="Normal"/>
    <w:pPr>
      <w:tabs>
        <w:tab w:val="left" w:pos="720"/>
      </w:tabs>
      <w:spacing w:before="180" w:line="250" w:lineRule="exact"/>
      <w:ind w:right="720"/>
      <w:jc w:val="both"/>
    </w:pPr>
    <w:rPr>
      <w:rFonts w:eastAsia="Times New Roman"/>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color w:val="008000"/>
      <w:sz w:val="27"/>
    </w:rPr>
  </w:style>
  <w:style w:type="character" w:customStyle="1" w:styleId="A6">
    <w:name w:val="A6"/>
    <w:rPr>
      <w:color w:val="000000"/>
      <w:sz w:val="20"/>
    </w:rPr>
  </w:style>
  <w:style w:type="character" w:customStyle="1" w:styleId="googqs-tidbit1">
    <w:name w:val="goog_qs-tidbit1"/>
  </w:style>
  <w:style w:type="paragraph" w:customStyle="1" w:styleId="bodytext0">
    <w:name w:val="bodytext"/>
    <w:basedOn w:val="Normal"/>
    <w:pPr>
      <w:spacing w:before="100" w:after="100"/>
      <w:ind w:right="720"/>
    </w:pPr>
    <w:rPr>
      <w:rFonts w:eastAsia="Times New Roman"/>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rFonts w:eastAsia="Times New Roman"/>
      <w:b/>
      <w:i/>
      <w:noProof/>
      <w:color w:val="auto"/>
      <w:sz w:val="28"/>
    </w:rPr>
  </w:style>
  <w:style w:type="paragraph" w:customStyle="1" w:styleId="BlankLine">
    <w:name w:val="BlankLine"/>
    <w:basedOn w:val="Normal"/>
    <w:next w:val="Normal"/>
    <w:pPr>
      <w:tabs>
        <w:tab w:val="left" w:pos="360"/>
      </w:tabs>
      <w:spacing w:before="100"/>
      <w:ind w:left="360" w:right="720" w:hanging="360"/>
    </w:pPr>
    <w:rPr>
      <w:rFonts w:eastAsia="Times New Roman"/>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left" w:pos="720"/>
      </w:tabs>
      <w:spacing w:before="100"/>
      <w:ind w:left="720" w:right="720" w:hanging="360"/>
      <w:jc w:val="both"/>
    </w:pPr>
    <w:rPr>
      <w:rFonts w:eastAsia="Times New Roman"/>
      <w:i/>
      <w:noProof/>
      <w:color w:val="auto"/>
      <w:sz w:val="20"/>
    </w:rPr>
  </w:style>
  <w:style w:type="paragraph" w:customStyle="1" w:styleId="FigureCaption">
    <w:name w:val="Figure Caption"/>
    <w:basedOn w:val="Normal"/>
    <w:pPr>
      <w:spacing w:before="120"/>
      <w:ind w:right="720"/>
    </w:pPr>
    <w:rPr>
      <w:rFonts w:eastAsia="Times New Roman"/>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ind w:right="720"/>
      <w:jc w:val="both"/>
    </w:pPr>
    <w:rPr>
      <w:rFonts w:eastAsia="Times New Roman"/>
      <w:noProof/>
      <w:color w:val="auto"/>
      <w:sz w:val="20"/>
    </w:rPr>
  </w:style>
  <w:style w:type="paragraph" w:customStyle="1" w:styleId="NewPara">
    <w:name w:val="NewPara"/>
    <w:basedOn w:val="Normal"/>
    <w:next w:val="Normal"/>
    <w:pPr>
      <w:tabs>
        <w:tab w:val="left" w:pos="709"/>
      </w:tabs>
      <w:spacing w:before="160" w:after="20"/>
      <w:ind w:right="720"/>
    </w:pPr>
    <w:rPr>
      <w:rFonts w:eastAsia="Times New Roman"/>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pBdr>
        <w:left w:val="single" w:sz="6" w:space="10" w:color="auto"/>
        <w:right w:val="single" w:sz="6" w:space="10" w:color="auto"/>
      </w:pBdr>
      <w:shd w:val="pct10" w:color="auto" w:fill="auto"/>
      <w:tabs>
        <w:tab w:val="left" w:pos="437"/>
        <w:tab w:val="left" w:pos="1278"/>
      </w:tabs>
      <w:spacing w:before="100" w:line="360" w:lineRule="auto"/>
      <w:ind w:left="437" w:right="181" w:hanging="256"/>
      <w:jc w:val="both"/>
    </w:pPr>
    <w:rPr>
      <w:rFonts w:eastAsia="Times New Roman"/>
      <w:i/>
      <w:noProof/>
      <w:color w:val="auto"/>
      <w:sz w:val="20"/>
    </w:rPr>
  </w:style>
  <w:style w:type="paragraph" w:customStyle="1" w:styleId="RandListLev1">
    <w:name w:val="Rand List Lev1"/>
    <w:basedOn w:val="Normal"/>
    <w:pPr>
      <w:tabs>
        <w:tab w:val="left" w:pos="754"/>
        <w:tab w:val="left" w:pos="1440"/>
      </w:tabs>
      <w:spacing w:before="100"/>
      <w:ind w:left="754" w:right="720" w:hanging="357"/>
    </w:pPr>
    <w:rPr>
      <w:rFonts w:eastAsia="Times New Roman"/>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pBdr>
        <w:left w:val="single" w:sz="6" w:space="8" w:color="auto"/>
        <w:right w:val="single" w:sz="6" w:space="10" w:color="auto"/>
      </w:pBdr>
      <w:shd w:val="pct10" w:color="auto" w:fill="auto"/>
      <w:tabs>
        <w:tab w:val="left" w:pos="567"/>
        <w:tab w:val="left" w:pos="720"/>
      </w:tabs>
      <w:spacing w:before="100" w:line="360" w:lineRule="auto"/>
      <w:ind w:left="567" w:right="181" w:hanging="425"/>
      <w:jc w:val="both"/>
    </w:pPr>
    <w:rPr>
      <w:rFonts w:eastAsia="Times New Roman"/>
      <w:i/>
      <w:noProof/>
      <w:color w:val="auto"/>
      <w:sz w:val="20"/>
    </w:rPr>
  </w:style>
  <w:style w:type="paragraph" w:customStyle="1" w:styleId="BoxSeqList3">
    <w:name w:val="Box SeqList 3"/>
    <w:basedOn w:val="BoxSeqList2"/>
    <w:pPr>
      <w:pBdr>
        <w:left w:val="single" w:sz="6" w:space="30" w:color="auto"/>
        <w:right w:val="single" w:sz="6" w:space="30" w:color="auto"/>
      </w:pBdr>
      <w:tabs>
        <w:tab w:val="left" w:pos="1009"/>
      </w:tabs>
      <w:ind w:left="1009" w:right="584" w:hanging="425"/>
    </w:pPr>
  </w:style>
  <w:style w:type="paragraph" w:customStyle="1" w:styleId="BoxSeqList2">
    <w:name w:val="Box SeqList 2"/>
    <w:basedOn w:val="BoxSeqList1"/>
    <w:pPr>
      <w:pBdr>
        <w:left w:val="single" w:sz="6" w:space="20" w:color="auto"/>
      </w:pBdr>
      <w:tabs>
        <w:tab w:val="clear" w:pos="567"/>
        <w:tab w:val="clear" w:pos="720"/>
      </w:tabs>
      <w:ind w:left="1080" w:hanging="360"/>
    </w:pPr>
  </w:style>
  <w:style w:type="paragraph" w:customStyle="1" w:styleId="TableEntry">
    <w:name w:val="TableEntry"/>
    <w:basedOn w:val="Normal"/>
    <w:pPr>
      <w:tabs>
        <w:tab w:val="left" w:pos="1440"/>
      </w:tabs>
      <w:spacing w:before="80"/>
      <w:ind w:right="720"/>
    </w:pPr>
    <w:rPr>
      <w:rFonts w:eastAsia="Times New Roman"/>
      <w:i/>
      <w:noProof/>
      <w:color w:val="auto"/>
      <w:sz w:val="18"/>
    </w:rPr>
  </w:style>
  <w:style w:type="paragraph" w:customStyle="1" w:styleId="BoxTitle">
    <w:name w:val="Box Title"/>
    <w:basedOn w:val="Normal"/>
    <w:next w:val="BoxText"/>
    <w:pPr>
      <w:pBdr>
        <w:top w:val="single" w:sz="6" w:space="7" w:color="auto"/>
        <w:left w:val="single" w:sz="6" w:space="7" w:color="auto"/>
        <w:right w:val="single" w:sz="6" w:space="7" w:color="auto"/>
      </w:pBdr>
      <w:shd w:val="pct10" w:color="auto" w:fill="auto"/>
      <w:tabs>
        <w:tab w:val="left" w:pos="2880"/>
      </w:tabs>
      <w:spacing w:before="120" w:line="360" w:lineRule="auto"/>
      <w:ind w:left="119" w:right="119"/>
      <w:jc w:val="center"/>
    </w:pPr>
    <w:rPr>
      <w:rFonts w:eastAsia="Times New Roman"/>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ind w:right="720"/>
    </w:pPr>
    <w:rPr>
      <w:rFonts w:eastAsia="Times New Roman"/>
      <w:b/>
      <w:i/>
      <w:caps/>
      <w:noProof/>
      <w:color w:val="auto"/>
      <w:sz w:val="28"/>
    </w:rPr>
  </w:style>
  <w:style w:type="paragraph" w:customStyle="1" w:styleId="DefinitionList">
    <w:name w:val="Definition List"/>
    <w:basedOn w:val="Normal"/>
    <w:next w:val="Normal"/>
    <w:pPr>
      <w:tabs>
        <w:tab w:val="left" w:pos="2835"/>
      </w:tabs>
      <w:spacing w:before="120"/>
      <w:ind w:left="2835" w:right="720" w:hanging="2835"/>
    </w:pPr>
    <w:rPr>
      <w:rFonts w:eastAsia="Times New Roman"/>
      <w:i/>
      <w:noProof/>
      <w:color w:val="auto"/>
      <w:sz w:val="18"/>
    </w:rPr>
  </w:style>
  <w:style w:type="paragraph" w:customStyle="1" w:styleId="DocTitle">
    <w:name w:val="DocTitle"/>
    <w:basedOn w:val="Normal"/>
    <w:next w:val="MeetingInfo"/>
    <w:pPr>
      <w:spacing w:before="120" w:after="480"/>
      <w:ind w:right="720"/>
      <w:jc w:val="center"/>
    </w:pPr>
    <w:rPr>
      <w:rFonts w:eastAsia="Times New Roman"/>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ind w:right="720"/>
    </w:pPr>
    <w:rPr>
      <w:rFonts w:eastAsia="Times New Roman"/>
      <w:i/>
      <w:noProof/>
      <w:color w:val="auto"/>
      <w:sz w:val="18"/>
    </w:rPr>
  </w:style>
  <w:style w:type="paragraph" w:customStyle="1" w:styleId="FigInfo-P">
    <w:name w:val="FigInfo-P"/>
    <w:basedOn w:val="Normal"/>
    <w:pPr>
      <w:spacing w:before="120"/>
      <w:ind w:right="720"/>
    </w:pPr>
    <w:rPr>
      <w:rFonts w:eastAsia="Times New Roman"/>
      <w:i/>
      <w:noProof/>
      <w:color w:val="auto"/>
      <w:sz w:val="18"/>
    </w:rPr>
  </w:style>
  <w:style w:type="paragraph" w:customStyle="1" w:styleId="FigureTitle">
    <w:name w:val="Figure Title"/>
    <w:basedOn w:val="Normal"/>
    <w:pPr>
      <w:keepNext/>
      <w:spacing w:before="120"/>
      <w:ind w:right="720"/>
    </w:pPr>
    <w:rPr>
      <w:rFonts w:eastAsia="Times New Roman"/>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ind w:right="720"/>
    </w:pPr>
    <w:rPr>
      <w:rFonts w:eastAsia="Times New Roman"/>
      <w:i/>
      <w:noProof/>
      <w:color w:val="auto"/>
      <w:sz w:val="18"/>
    </w:rPr>
  </w:style>
  <w:style w:type="paragraph" w:customStyle="1" w:styleId="MeetInfo">
    <w:name w:val="MeetInfo"/>
    <w:basedOn w:val="Normal"/>
    <w:next w:val="Normal"/>
    <w:pPr>
      <w:tabs>
        <w:tab w:val="left" w:pos="426"/>
      </w:tabs>
      <w:spacing w:before="60"/>
      <w:ind w:right="720"/>
    </w:pPr>
    <w:rPr>
      <w:rFonts w:eastAsia="Times New Roman"/>
      <w:i/>
      <w:noProof/>
      <w:color w:val="auto"/>
      <w:sz w:val="18"/>
    </w:rPr>
  </w:style>
  <w:style w:type="paragraph" w:customStyle="1" w:styleId="SpacePara">
    <w:name w:val="SpacePara"/>
    <w:basedOn w:val="Normal"/>
    <w:next w:val="DocTitle"/>
    <w:pPr>
      <w:spacing w:before="100" w:line="480" w:lineRule="auto"/>
      <w:ind w:right="720"/>
    </w:pPr>
    <w:rPr>
      <w:rFonts w:eastAsia="Times New Roman"/>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line="14" w:lineRule="exact"/>
      <w:ind w:right="720"/>
    </w:pPr>
    <w:rPr>
      <w:rFonts w:eastAsia="Times New Roman"/>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rFonts w:eastAsia="Times New Roman"/>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line="200" w:lineRule="exact"/>
      <w:ind w:right="720"/>
      <w:jc w:val="right"/>
    </w:pPr>
    <w:rPr>
      <w:rFonts w:eastAsia="Times New Roman"/>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rFonts w:eastAsia="Times New Roman"/>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ind w:right="720"/>
    </w:pPr>
    <w:rPr>
      <w:rFonts w:ascii="Courier New" w:eastAsia="Times New Roman" w:hAnsi="Courier New"/>
      <w:i/>
      <w:noProof/>
      <w:color w:val="auto"/>
      <w:sz w:val="18"/>
    </w:rPr>
  </w:style>
  <w:style w:type="paragraph" w:customStyle="1" w:styleId="Format2">
    <w:name w:val="Format2"/>
    <w:basedOn w:val="Normal"/>
    <w:pPr>
      <w:spacing w:before="60"/>
      <w:ind w:right="720"/>
    </w:pPr>
    <w:rPr>
      <w:rFonts w:ascii="Courier New" w:eastAsia="Times New Roman" w:hAnsi="Courier New"/>
      <w:i/>
      <w:noProof/>
      <w:color w:val="auto"/>
      <w:sz w:val="16"/>
    </w:rPr>
  </w:style>
  <w:style w:type="paragraph" w:customStyle="1" w:styleId="RightJust">
    <w:name w:val="RightJust"/>
    <w:basedOn w:val="Normal"/>
    <w:pPr>
      <w:spacing w:before="120"/>
      <w:ind w:right="720"/>
      <w:jc w:val="right"/>
    </w:pPr>
    <w:rPr>
      <w:rFonts w:eastAsia="Times New Roman"/>
      <w:i/>
      <w:noProof/>
      <w:color w:val="auto"/>
      <w:sz w:val="18"/>
    </w:rPr>
  </w:style>
  <w:style w:type="paragraph" w:customStyle="1" w:styleId="BlockQuote">
    <w:name w:val="BlockQuote"/>
    <w:basedOn w:val="Normal"/>
    <w:pPr>
      <w:spacing w:before="60"/>
      <w:ind w:left="284" w:right="284"/>
    </w:pPr>
    <w:rPr>
      <w:rFonts w:eastAsia="Times New Roman"/>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ind w:right="720"/>
      <w:jc w:val="both"/>
    </w:pPr>
    <w:rPr>
      <w:rFonts w:eastAsia="Times New Roman"/>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ind w:right="720"/>
      <w:jc w:val="both"/>
    </w:pPr>
    <w:rPr>
      <w:rFonts w:eastAsia="Times New Roman"/>
      <w:b/>
      <w:i/>
      <w:noProof/>
      <w:color w:val="auto"/>
      <w:sz w:val="20"/>
    </w:rPr>
  </w:style>
  <w:style w:type="paragraph" w:customStyle="1" w:styleId="BoxTblEntry">
    <w:name w:val="Box TblEntry"/>
    <w:basedOn w:val="Normal"/>
    <w:pPr>
      <w:shd w:val="pct10" w:color="auto" w:fill="auto"/>
      <w:spacing w:before="120"/>
      <w:ind w:right="720"/>
      <w:jc w:val="both"/>
    </w:pPr>
    <w:rPr>
      <w:rFonts w:eastAsia="Times New Roman"/>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left" w:pos="720"/>
      </w:tabs>
      <w:spacing w:before="100"/>
      <w:ind w:left="720" w:right="720" w:hanging="360"/>
    </w:pPr>
    <w:rPr>
      <w:rFonts w:eastAsia="Times New Roman"/>
      <w:i/>
      <w:noProof/>
      <w:color w:val="auto"/>
      <w:sz w:val="18"/>
    </w:rPr>
  </w:style>
  <w:style w:type="paragraph" w:customStyle="1" w:styleId="DashListLev2">
    <w:name w:val="Dash List Lev2"/>
    <w:basedOn w:val="DashListLev1"/>
    <w:pPr>
      <w:tabs>
        <w:tab w:val="clear" w:pos="720"/>
        <w:tab w:val="left" w:pos="1080"/>
        <w:tab w:val="left" w:pos="2892"/>
      </w:tabs>
      <w:ind w:left="981" w:hanging="357"/>
    </w:pPr>
  </w:style>
  <w:style w:type="paragraph" w:customStyle="1" w:styleId="DashListLev3">
    <w:name w:val="Dash List Lev3"/>
    <w:basedOn w:val="DashListLev2"/>
    <w:pPr>
      <w:ind w:left="1208"/>
    </w:pPr>
  </w:style>
  <w:style w:type="paragraph" w:customStyle="1" w:styleId="DashListLev4">
    <w:name w:val="Dash List Lev4"/>
    <w:basedOn w:val="DashListLev3"/>
    <w:pPr>
      <w:tabs>
        <w:tab w:val="clear" w:pos="1080"/>
        <w:tab w:val="left" w:pos="720"/>
      </w:tabs>
      <w:ind w:left="1434"/>
    </w:p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b/>
      <w:noProof/>
      <w:sz w:val="18"/>
    </w:rPr>
  </w:style>
  <w:style w:type="character" w:customStyle="1" w:styleId="Picture">
    <w:name w:val="Picture"/>
    <w:basedOn w:val="DefaultParagraphFont"/>
  </w:style>
  <w:style w:type="paragraph" w:customStyle="1" w:styleId="PlainList1">
    <w:name w:val="PlainList 1"/>
    <w:basedOn w:val="Normal"/>
    <w:pPr>
      <w:spacing w:before="100"/>
      <w:ind w:right="720"/>
    </w:pPr>
    <w:rPr>
      <w:rFonts w:eastAsia="Times New Roman"/>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ind w:left="709" w:right="709"/>
    </w:pPr>
    <w:rPr>
      <w:rFonts w:eastAsia="Times New Roman"/>
      <w:i/>
      <w:noProof/>
      <w:color w:val="auto"/>
      <w:sz w:val="18"/>
    </w:rPr>
  </w:style>
  <w:style w:type="paragraph" w:customStyle="1" w:styleId="CentredJust">
    <w:name w:val="CentredJust"/>
    <w:basedOn w:val="Normal"/>
    <w:pPr>
      <w:spacing w:before="120"/>
      <w:ind w:right="720"/>
      <w:jc w:val="center"/>
    </w:pPr>
    <w:rPr>
      <w:rFonts w:eastAsia="Times New Roman"/>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ind w:right="720"/>
      <w:jc w:val="center"/>
    </w:pPr>
    <w:rPr>
      <w:rFonts w:eastAsia="Times New Roman"/>
      <w:b/>
      <w:i/>
      <w:noProof/>
      <w:color w:val="auto"/>
      <w:sz w:val="18"/>
    </w:rPr>
  </w:style>
  <w:style w:type="paragraph" w:customStyle="1" w:styleId="Country">
    <w:name w:val="Country"/>
    <w:basedOn w:val="Normal"/>
    <w:next w:val="Role"/>
    <w:pPr>
      <w:keepNext/>
      <w:spacing w:before="120"/>
      <w:ind w:right="720"/>
    </w:pPr>
    <w:rPr>
      <w:rFonts w:eastAsia="Times New Roman"/>
      <w:b/>
      <w:i/>
      <w:caps/>
      <w:noProof/>
      <w:color w:val="auto"/>
      <w:sz w:val="18"/>
    </w:rPr>
  </w:style>
  <w:style w:type="paragraph" w:customStyle="1" w:styleId="Role">
    <w:name w:val="Role"/>
    <w:basedOn w:val="Normal"/>
    <w:next w:val="Name"/>
    <w:pPr>
      <w:keepNext/>
      <w:spacing w:before="120"/>
      <w:ind w:right="720"/>
    </w:pPr>
    <w:rPr>
      <w:rFonts w:eastAsia="Times New Roman"/>
      <w:i/>
      <w:noProof/>
      <w:color w:val="auto"/>
      <w:sz w:val="18"/>
    </w:rPr>
  </w:style>
  <w:style w:type="paragraph" w:customStyle="1" w:styleId="Name">
    <w:name w:val="Name"/>
    <w:basedOn w:val="Normal"/>
    <w:pPr>
      <w:keepLines/>
      <w:spacing w:before="120"/>
      <w:ind w:left="284" w:right="720"/>
    </w:pPr>
    <w:rPr>
      <w:rFonts w:eastAsia="Times New Roman"/>
      <w:i/>
      <w:noProof/>
      <w:color w:val="auto"/>
      <w:sz w:val="18"/>
    </w:rPr>
  </w:style>
  <w:style w:type="paragraph" w:customStyle="1" w:styleId="ColumnBreak">
    <w:name w:val="ColumnBreak"/>
    <w:basedOn w:val="Normal"/>
    <w:next w:val="Normal"/>
    <w:pPr>
      <w:spacing w:before="100" w:line="10" w:lineRule="exact"/>
      <w:ind w:right="720"/>
    </w:pPr>
    <w:rPr>
      <w:rFonts w:ascii="Courier New" w:eastAsia="Times New Roman" w:hAnsi="Courier New"/>
      <w:i/>
      <w:noProof/>
      <w:color w:val="auto"/>
      <w:sz w:val="18"/>
    </w:rPr>
  </w:style>
  <w:style w:type="paragraph" w:customStyle="1" w:styleId="ContBrk">
    <w:name w:val="ContBrk"/>
    <w:basedOn w:val="Normal"/>
    <w:next w:val="Normal"/>
    <w:pPr>
      <w:spacing w:before="120" w:line="360" w:lineRule="auto"/>
      <w:ind w:right="720"/>
    </w:pPr>
    <w:rPr>
      <w:rFonts w:ascii="Courier New" w:eastAsia="Times New Roman" w:hAnsi="Courier New"/>
      <w:i/>
      <w:noProof/>
      <w:color w:val="auto"/>
      <w:sz w:val="18"/>
    </w:rPr>
  </w:style>
  <w:style w:type="paragraph" w:customStyle="1" w:styleId="SectionBreak">
    <w:name w:val="SectionBreak"/>
    <w:basedOn w:val="Normal"/>
    <w:next w:val="Heading1"/>
    <w:pPr>
      <w:spacing w:before="100" w:line="10" w:lineRule="exact"/>
      <w:ind w:right="720"/>
    </w:pPr>
    <w:rPr>
      <w:rFonts w:ascii="Courier New" w:eastAsia="Times New Roman"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ind w:left="709" w:right="720" w:hanging="709"/>
      <w:jc w:val="center"/>
    </w:pPr>
    <w:rPr>
      <w:rFonts w:ascii="Times New Roman Bold" w:eastAsia="Times New Roman" w:hAnsi="Times New Roman Bold"/>
      <w:b/>
      <w:i/>
      <w:caps/>
      <w:noProof/>
      <w:color w:val="auto"/>
      <w:sz w:val="24"/>
    </w:rPr>
  </w:style>
  <w:style w:type="paragraph" w:customStyle="1" w:styleId="SeqListLev1">
    <w:name w:val="Seq List Lev1"/>
    <w:basedOn w:val="Normal"/>
    <w:pPr>
      <w:tabs>
        <w:tab w:val="left" w:pos="1080"/>
      </w:tabs>
      <w:spacing w:before="100"/>
      <w:ind w:left="1080" w:right="720" w:hanging="360"/>
    </w:pPr>
    <w:rPr>
      <w:rFonts w:eastAsia="Times New Roman"/>
      <w:i/>
      <w:noProof/>
      <w:color w:val="auto"/>
      <w:sz w:val="18"/>
    </w:rPr>
  </w:style>
  <w:style w:type="paragraph" w:customStyle="1" w:styleId="SeqListLev2">
    <w:name w:val="Seq List Lev2"/>
    <w:basedOn w:val="SeqListLev1"/>
    <w:pPr>
      <w:tabs>
        <w:tab w:val="clear" w:pos="1080"/>
        <w:tab w:val="left" w:pos="1800"/>
      </w:tabs>
      <w:ind w:left="1800" w:hanging="180"/>
    </w:pPr>
  </w:style>
  <w:style w:type="paragraph" w:customStyle="1" w:styleId="SeqListLev3">
    <w:name w:val="Seq List Lev3"/>
    <w:basedOn w:val="SeqListLev2"/>
    <w:pPr>
      <w:tabs>
        <w:tab w:val="clear" w:pos="1800"/>
        <w:tab w:val="left" w:pos="2520"/>
      </w:tabs>
      <w:ind w:left="2520" w:hanging="360"/>
    </w:pPr>
  </w:style>
  <w:style w:type="paragraph" w:customStyle="1" w:styleId="SeqListLev4">
    <w:name w:val="Seq List Lev4"/>
    <w:basedOn w:val="SeqListLev3"/>
    <w:pPr>
      <w:tabs>
        <w:tab w:val="clear" w:pos="2520"/>
        <w:tab w:val="left" w:pos="567"/>
        <w:tab w:val="left" w:pos="1440"/>
        <w:tab w:val="left" w:pos="2126"/>
      </w:tabs>
      <w:ind w:left="2126" w:hanging="425"/>
    </w:pPr>
  </w:style>
  <w:style w:type="paragraph" w:customStyle="1" w:styleId="CarCar">
    <w:name w:val="Car Car"/>
    <w:basedOn w:val="Normal"/>
    <w:pPr>
      <w:tabs>
        <w:tab w:val="left" w:pos="805"/>
        <w:tab w:val="left" w:pos="2160"/>
      </w:tabs>
      <w:spacing w:before="100" w:after="160" w:line="240" w:lineRule="exact"/>
      <w:ind w:right="720"/>
    </w:pPr>
    <w:rPr>
      <w:rFonts w:eastAsia="Times New Roman"/>
      <w:i/>
      <w:color w:val="auto"/>
      <w:sz w:val="20"/>
      <w:lang w:val="en-US"/>
    </w:rPr>
  </w:style>
  <w:style w:type="paragraph" w:customStyle="1" w:styleId="ListParagraph11">
    <w:name w:val="List Paragraph11"/>
    <w:basedOn w:val="Normal"/>
    <w:pPr>
      <w:spacing w:before="100" w:after="100"/>
      <w:ind w:left="720" w:right="720"/>
    </w:pPr>
    <w:rPr>
      <w:rFonts w:eastAsia="Times New Roman"/>
      <w:i/>
      <w:color w:val="auto"/>
      <w:sz w:val="24"/>
    </w:rPr>
  </w:style>
  <w:style w:type="paragraph" w:customStyle="1" w:styleId="4">
    <w:name w:val="(4"/>
    <w:basedOn w:val="Normal"/>
    <w:pPr>
      <w:tabs>
        <w:tab w:val="left" w:pos="2160"/>
      </w:tabs>
      <w:spacing w:before="100" w:after="160" w:line="240" w:lineRule="exact"/>
      <w:ind w:right="720"/>
    </w:pPr>
    <w:rPr>
      <w:rFonts w:eastAsia="Times New Roman"/>
      <w:i/>
      <w:color w:val="auto"/>
      <w:sz w:val="20"/>
      <w:lang w:val="en-US"/>
    </w:rPr>
  </w:style>
  <w:style w:type="paragraph" w:customStyle="1" w:styleId="IPPBullet2">
    <w:name w:val="IPP Bullet2"/>
    <w:basedOn w:val="IPPNormal"/>
    <w:next w:val="IPPBullet1"/>
    <w:pPr>
      <w:tabs>
        <w:tab w:val="clear" w:pos="720"/>
        <w:tab w:val="left" w:pos="567"/>
      </w:tabs>
      <w:spacing w:after="60"/>
      <w:ind w:left="720" w:hanging="360"/>
    </w:pPr>
  </w:style>
  <w:style w:type="paragraph" w:customStyle="1" w:styleId="IPPNormal">
    <w:name w:val="IPP Normal"/>
    <w:basedOn w:val="Normal"/>
    <w:pPr>
      <w:tabs>
        <w:tab w:val="left" w:pos="720"/>
      </w:tabs>
      <w:spacing w:before="100" w:after="180"/>
      <w:ind w:right="720"/>
      <w:jc w:val="both"/>
    </w:pPr>
    <w:rPr>
      <w:rFonts w:eastAsia="Times New Roman"/>
      <w:i/>
      <w:color w:val="auto"/>
      <w:sz w:val="18"/>
    </w:rPr>
  </w:style>
  <w:style w:type="paragraph" w:customStyle="1" w:styleId="IPPBullet1">
    <w:name w:val="IPP Bullet1"/>
    <w:basedOn w:val="Normal"/>
    <w:pPr>
      <w:tabs>
        <w:tab w:val="left" w:pos="720"/>
      </w:tabs>
      <w:spacing w:before="100" w:after="60"/>
      <w:ind w:left="720" w:right="720" w:hanging="360"/>
      <w:jc w:val="both"/>
    </w:pPr>
    <w:rPr>
      <w:rFonts w:eastAsia="Times New Roman"/>
      <w:i/>
      <w:color w:val="auto"/>
      <w:sz w:val="18"/>
    </w:rPr>
  </w:style>
  <w:style w:type="paragraph" w:customStyle="1" w:styleId="IPPTitle16ptIndent">
    <w:name w:val="IPP Title16pt Indent"/>
    <w:basedOn w:val="Normal"/>
    <w:pPr>
      <w:spacing w:before="100" w:after="720"/>
      <w:ind w:left="1701" w:right="1701"/>
      <w:jc w:val="center"/>
    </w:pPr>
    <w:rPr>
      <w:rFonts w:ascii="Arial" w:eastAsia="Times New Roman" w:hAnsi="Arial"/>
      <w:b/>
      <w:i/>
      <w:color w:val="auto"/>
      <w:sz w:val="32"/>
    </w:rPr>
  </w:style>
  <w:style w:type="paragraph" w:customStyle="1" w:styleId="IPPHeadSection">
    <w:name w:val="IPP HeadSection"/>
    <w:basedOn w:val="Normal"/>
    <w:next w:val="Normal"/>
    <w:pPr>
      <w:keepNext/>
      <w:tabs>
        <w:tab w:val="left" w:pos="720"/>
        <w:tab w:val="left" w:pos="851"/>
      </w:tabs>
      <w:spacing w:before="360" w:after="120"/>
      <w:ind w:left="851" w:right="720" w:hanging="851"/>
      <w:jc w:val="both"/>
    </w:pPr>
    <w:rPr>
      <w:rFonts w:eastAsia="Times New Roman"/>
      <w:b/>
      <w:i/>
      <w:caps/>
      <w:color w:val="auto"/>
      <w:sz w:val="24"/>
    </w:rPr>
  </w:style>
  <w:style w:type="paragraph" w:customStyle="1" w:styleId="IPPHeading1">
    <w:name w:val="IPP Heading1"/>
    <w:basedOn w:val="IPPNormal"/>
    <w:next w:val="IPPNormal"/>
    <w:pPr>
      <w:keepNext/>
      <w:tabs>
        <w:tab w:val="left" w:pos="567"/>
      </w:tabs>
      <w:spacing w:before="240" w:after="120"/>
      <w:ind w:left="567" w:hanging="567"/>
      <w:jc w:val="left"/>
    </w:pPr>
    <w:rPr>
      <w:b/>
      <w:sz w:val="24"/>
    </w:rPr>
  </w:style>
  <w:style w:type="paragraph" w:customStyle="1" w:styleId="IPPSubhead">
    <w:name w:val="IPP Subhead"/>
    <w:basedOn w:val="Normal"/>
    <w:pPr>
      <w:keepNext/>
      <w:spacing w:before="100"/>
      <w:ind w:left="567" w:right="720" w:hanging="567"/>
    </w:pPr>
    <w:rPr>
      <w:rFonts w:eastAsia="Times New Roman"/>
      <w:b/>
      <w:i/>
      <w:color w:val="auto"/>
      <w:sz w:val="18"/>
    </w:rPr>
  </w:style>
  <w:style w:type="paragraph" w:customStyle="1" w:styleId="IPPBullet1Last">
    <w:name w:val="IPP Bullet1Last"/>
    <w:basedOn w:val="IPPNormal"/>
    <w:next w:val="IPPBullet1"/>
    <w:pPr>
      <w:tabs>
        <w:tab w:val="clear" w:pos="720"/>
        <w:tab w:val="left" w:pos="360"/>
      </w:tabs>
      <w:ind w:left="360" w:hanging="360"/>
    </w:pPr>
    <w:rPr>
      <w:lang w:val="en-US"/>
    </w:rPr>
  </w:style>
  <w:style w:type="paragraph" w:customStyle="1" w:styleId="IPPTitle16pt">
    <w:name w:val="IPP Title16pt"/>
    <w:basedOn w:val="Normal"/>
    <w:pPr>
      <w:spacing w:before="100" w:after="720"/>
      <w:ind w:left="1701" w:right="1701"/>
      <w:jc w:val="center"/>
    </w:pPr>
    <w:rPr>
      <w:rFonts w:ascii="Arial" w:eastAsia="Times New Roman" w:hAnsi="Arial"/>
      <w:b/>
      <w:i/>
      <w:color w:val="auto"/>
      <w:sz w:val="32"/>
    </w:rPr>
  </w:style>
  <w:style w:type="paragraph" w:customStyle="1" w:styleId="IPPTitle18pt">
    <w:name w:val="IPP Title18pt"/>
    <w:basedOn w:val="Normal"/>
    <w:pPr>
      <w:spacing w:before="100" w:after="360"/>
      <w:ind w:right="720"/>
      <w:jc w:val="center"/>
    </w:pPr>
    <w:rPr>
      <w:rFonts w:ascii="Arial" w:eastAsia="Times New Roman" w:hAnsi="Arial"/>
      <w:b/>
      <w:i/>
      <w:color w:val="auto"/>
      <w:sz w:val="36"/>
    </w:rPr>
  </w:style>
  <w:style w:type="paragraph" w:customStyle="1" w:styleId="IPPAnnexHead">
    <w:name w:val="IPP AnnexHead"/>
    <w:basedOn w:val="IPPNormal"/>
    <w:next w:val="IPPNormal"/>
    <w:pPr>
      <w:keepNext/>
      <w:tabs>
        <w:tab w:val="left" w:pos="567"/>
      </w:tabs>
      <w:spacing w:before="120"/>
      <w:jc w:val="left"/>
    </w:pPr>
    <w:rPr>
      <w:b/>
      <w:sz w:val="24"/>
    </w:rPr>
  </w:style>
  <w:style w:type="paragraph" w:customStyle="1" w:styleId="IPPNormalCloseSpace">
    <w:name w:val="IPP NormalCloseSpace"/>
    <w:basedOn w:val="Normal"/>
    <w:pPr>
      <w:keepNext/>
      <w:tabs>
        <w:tab w:val="left" w:pos="720"/>
      </w:tabs>
      <w:spacing w:before="100" w:after="60"/>
      <w:ind w:right="720"/>
      <w:jc w:val="both"/>
    </w:pPr>
    <w:rPr>
      <w:rFonts w:eastAsia="Times New Roman"/>
      <w:i/>
      <w:color w:val="auto"/>
      <w:sz w:val="18"/>
    </w:rPr>
  </w:style>
  <w:style w:type="paragraph" w:customStyle="1" w:styleId="IPPHeading2">
    <w:name w:val="IPP Heading2"/>
    <w:basedOn w:val="IPPNormal"/>
    <w:next w:val="IPPNormal"/>
    <w:pPr>
      <w:keepNext/>
      <w:tabs>
        <w:tab w:val="left" w:pos="567"/>
      </w:tabs>
      <w:spacing w:before="120" w:after="120"/>
      <w:ind w:left="567" w:hanging="567"/>
      <w:jc w:val="left"/>
    </w:pPr>
    <w:rPr>
      <w:b/>
      <w:sz w:val="24"/>
    </w:rPr>
  </w:style>
  <w:style w:type="paragraph" w:customStyle="1" w:styleId="IPPReferences">
    <w:name w:val="IPP References"/>
    <w:basedOn w:val="IPPNormal"/>
    <w:pPr>
      <w:spacing w:after="60"/>
      <w:ind w:left="567" w:hanging="567"/>
    </w:pPr>
  </w:style>
  <w:style w:type="paragraph" w:customStyle="1" w:styleId="IPPArial">
    <w:name w:val="IPP Arial"/>
    <w:basedOn w:val="IPPNormal"/>
    <w:pPr>
      <w:spacing w:after="0"/>
    </w:pPr>
    <w:rPr>
      <w:rFonts w:ascii="Arial" w:hAnsi="Arial"/>
    </w:rPr>
  </w:style>
  <w:style w:type="paragraph" w:customStyle="1" w:styleId="IPPArialTable">
    <w:name w:val="IPP Arial Table"/>
    <w:basedOn w:val="IPPArial"/>
    <w:pPr>
      <w:spacing w:before="60" w:after="60"/>
      <w:jc w:val="left"/>
    </w:pPr>
  </w:style>
  <w:style w:type="paragraph" w:customStyle="1" w:styleId="IPPSubheadSpace">
    <w:name w:val="IPP Subhead Space"/>
    <w:basedOn w:val="IPPSubhead"/>
    <w:pPr>
      <w:tabs>
        <w:tab w:val="left" w:pos="567"/>
      </w:tabs>
      <w:spacing w:before="60" w:after="60"/>
    </w:pPr>
  </w:style>
  <w:style w:type="paragraph" w:customStyle="1" w:styleId="IPPNumberedList">
    <w:name w:val="IPP NumberedList"/>
    <w:basedOn w:val="IPPBullet1"/>
    <w:pPr>
      <w:tabs>
        <w:tab w:val="clear" w:pos="720"/>
      </w:tabs>
    </w:pPr>
  </w:style>
  <w:style w:type="paragraph" w:customStyle="1" w:styleId="IPPNumberedListLast">
    <w:name w:val="IPP NumberedListLast"/>
    <w:basedOn w:val="IPPNumberedList"/>
    <w:pPr>
      <w:spacing w:after="180"/>
    </w:pPr>
  </w:style>
  <w:style w:type="paragraph" w:customStyle="1" w:styleId="IPPHdg1Num">
    <w:name w:val="IPP Hdg1Num"/>
    <w:basedOn w:val="IPPNormal"/>
    <w:next w:val="IPPNormal"/>
    <w:pPr>
      <w:keepNext/>
      <w:tabs>
        <w:tab w:val="left" w:pos="0"/>
        <w:tab w:val="left" w:pos="567"/>
      </w:tabs>
      <w:spacing w:before="240" w:after="120"/>
      <w:ind w:hanging="482"/>
    </w:pPr>
    <w:rPr>
      <w:b/>
      <w:sz w:val="24"/>
    </w:rPr>
  </w:style>
  <w:style w:type="paragraph" w:customStyle="1" w:styleId="IPPNumberedList0">
    <w:name w:val="IPPNumberedList"/>
    <w:basedOn w:val="IPPBullet1"/>
  </w:style>
  <w:style w:type="paragraph" w:customStyle="1" w:styleId="IPPLetterList">
    <w:name w:val="IPP LetterList"/>
    <w:basedOn w:val="IPPBullet2"/>
    <w:pPr>
      <w:tabs>
        <w:tab w:val="left" w:pos="120"/>
      </w:tabs>
      <w:ind w:left="120" w:hanging="180"/>
      <w:jc w:val="left"/>
    </w:pPr>
  </w:style>
  <w:style w:type="paragraph" w:customStyle="1" w:styleId="IPPSubheadSpace3">
    <w:name w:val="IPP Subhead Space3"/>
    <w:basedOn w:val="IPPSubhead"/>
    <w:pPr>
      <w:spacing w:before="60" w:after="60"/>
    </w:pPr>
  </w:style>
  <w:style w:type="paragraph" w:customStyle="1" w:styleId="font1">
    <w:name w:val="font1"/>
    <w:basedOn w:val="Normal"/>
    <w:pPr>
      <w:spacing w:before="100" w:after="100"/>
      <w:ind w:right="720"/>
    </w:pPr>
    <w:rPr>
      <w:rFonts w:ascii="Arial" w:eastAsia="Times New Roman"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eastAsia="Times New Roman" w:hAnsi="Courier"/>
      <w:spacing w:val="-3"/>
      <w:sz w:val="24"/>
      <w:lang w:val="en-GB" w:eastAsia="en-GB"/>
    </w:rPr>
  </w:style>
  <w:style w:type="paragraph" w:customStyle="1" w:styleId="IPPQuote">
    <w:name w:val="IPP Quote"/>
    <w:basedOn w:val="IPPNormal"/>
    <w:pPr>
      <w:ind w:left="851" w:right="851"/>
    </w:pPr>
    <w:rPr>
      <w:sz w:val="19"/>
    </w:rPr>
  </w:style>
  <w:style w:type="character" w:customStyle="1" w:styleId="NewParaChar">
    <w:name w:val="NewPara Char"/>
    <w:rPr>
      <w:rFonts w:ascii="Times New Roman" w:hAnsi="Times New Roman"/>
      <w:noProof/>
      <w:sz w:val="20"/>
    </w:rPr>
  </w:style>
  <w:style w:type="paragraph" w:customStyle="1" w:styleId="IPPHeading1Appendix">
    <w:name w:val="IPP Heading1 Appendix"/>
    <w:basedOn w:val="IPPHeading1"/>
    <w:pPr>
      <w:ind w:left="720" w:hanging="360"/>
    </w:pPr>
  </w:style>
  <w:style w:type="paragraph" w:customStyle="1" w:styleId="IPPHeadSectionAppendix">
    <w:name w:val="IPP HeadSection Appendix"/>
    <w:basedOn w:val="IPPHeadSection"/>
    <w:pPr>
      <w:ind w:left="720" w:hanging="360"/>
    </w:pPr>
  </w:style>
  <w:style w:type="paragraph" w:customStyle="1" w:styleId="IPPHeading2Appendix">
    <w:name w:val="IPP Heading2 Appendix"/>
    <w:basedOn w:val="IPPHeading2"/>
    <w:pPr>
      <w:tabs>
        <w:tab w:val="left" w:pos="851"/>
        <w:tab w:val="left" w:pos="1134"/>
      </w:tabs>
      <w:ind w:left="720" w:hanging="360"/>
    </w:pPr>
  </w:style>
  <w:style w:type="paragraph" w:customStyle="1" w:styleId="IPPAnnexHeadAppendix">
    <w:name w:val="IPP AnnexHead Appendix"/>
    <w:basedOn w:val="IPPAnnexHead"/>
    <w:pPr>
      <w:tabs>
        <w:tab w:val="clear" w:pos="567"/>
        <w:tab w:val="clear" w:pos="720"/>
        <w:tab w:val="left" w:pos="1080"/>
        <w:tab w:val="left" w:pos="1440"/>
      </w:tabs>
      <w:ind w:left="1440" w:hanging="720"/>
    </w:pPr>
  </w:style>
  <w:style w:type="paragraph" w:customStyle="1" w:styleId="IPPIndent">
    <w:name w:val="IPP Indent"/>
    <w:basedOn w:val="Normal"/>
    <w:pPr>
      <w:tabs>
        <w:tab w:val="left" w:pos="2835"/>
      </w:tabs>
      <w:spacing w:before="100" w:after="180"/>
      <w:ind w:left="567" w:right="720"/>
      <w:jc w:val="both"/>
    </w:pPr>
    <w:rPr>
      <w:rFonts w:eastAsia="Times New Roman"/>
      <w:i/>
      <w:color w:val="auto"/>
      <w:sz w:val="18"/>
    </w:rPr>
  </w:style>
  <w:style w:type="paragraph" w:customStyle="1" w:styleId="FooterLandscape">
    <w:name w:val="FooterLandscape"/>
    <w:basedOn w:val="Footer"/>
    <w:pPr>
      <w:tabs>
        <w:tab w:val="clear" w:pos="4320"/>
        <w:tab w:val="clear" w:pos="8640"/>
        <w:tab w:val="right" w:pos="13892"/>
      </w:tabs>
      <w:spacing w:before="100"/>
      <w:ind w:right="720"/>
    </w:pPr>
    <w:rPr>
      <w:rFonts w:ascii="Arial" w:eastAsia="Times New Roman" w:hAnsi="Arial"/>
      <w:i/>
      <w:color w:val="auto"/>
      <w:sz w:val="18"/>
    </w:rPr>
  </w:style>
  <w:style w:type="paragraph" w:customStyle="1" w:styleId="IPPNumberClose">
    <w:name w:val="IPP NumberClose"/>
    <w:basedOn w:val="IPPNumber"/>
    <w:pPr>
      <w:keepNext/>
      <w:spacing w:after="60"/>
    </w:pPr>
  </w:style>
  <w:style w:type="paragraph" w:customStyle="1" w:styleId="IPPNumber">
    <w:name w:val="IPP Number"/>
    <w:basedOn w:val="IPPNormal"/>
    <w:pPr>
      <w:tabs>
        <w:tab w:val="left" w:pos="2892"/>
      </w:tabs>
      <w:ind w:left="2892" w:hanging="579"/>
    </w:pPr>
  </w:style>
  <w:style w:type="paragraph" w:customStyle="1" w:styleId="IPPNumberedListLast0">
    <w:name w:val="IPPNumberedListLast"/>
    <w:basedOn w:val="IPPNumberedList0"/>
    <w:pPr>
      <w:tabs>
        <w:tab w:val="clear" w:pos="720"/>
        <w:tab w:val="left" w:pos="680"/>
        <w:tab w:val="left" w:pos="765"/>
      </w:tabs>
      <w:spacing w:after="180"/>
      <w:ind w:left="680" w:hanging="680"/>
    </w:pPr>
  </w:style>
  <w:style w:type="paragraph" w:customStyle="1" w:styleId="Comments">
    <w:name w:val="Comments"/>
    <w:basedOn w:val="Normal"/>
    <w:pPr>
      <w:spacing w:before="100"/>
      <w:ind w:left="284" w:right="720" w:hanging="284"/>
      <w:jc w:val="both"/>
    </w:pPr>
    <w:rPr>
      <w:rFonts w:eastAsia="Times New Roman"/>
      <w:i/>
      <w:color w:val="auto"/>
      <w:sz w:val="18"/>
    </w:rPr>
  </w:style>
  <w:style w:type="paragraph" w:customStyle="1" w:styleId="Indent1">
    <w:name w:val="Indent 1"/>
    <w:basedOn w:val="Normal"/>
    <w:pPr>
      <w:spacing w:before="100" w:after="60"/>
      <w:ind w:left="567" w:right="720"/>
    </w:pPr>
    <w:rPr>
      <w:rFonts w:ascii="Georgia" w:eastAsia="Times New Roman" w:hAnsi="Georgia"/>
      <w:i/>
      <w:color w:val="auto"/>
      <w:sz w:val="18"/>
      <w:lang w:val="en-AU"/>
    </w:rPr>
  </w:style>
  <w:style w:type="paragraph" w:customStyle="1" w:styleId="Subhead">
    <w:name w:val="Subhead"/>
    <w:basedOn w:val="Normal"/>
    <w:pPr>
      <w:keepNext/>
      <w:spacing w:before="120" w:after="60"/>
      <w:ind w:right="720"/>
    </w:pPr>
    <w:rPr>
      <w:rFonts w:ascii="Georgia" w:eastAsia="Times New Roman" w:hAnsi="Georgia"/>
      <w:b/>
      <w:i/>
      <w:color w:val="auto"/>
      <w:sz w:val="19"/>
      <w:lang w:val="en-AU"/>
    </w:rPr>
  </w:style>
  <w:style w:type="paragraph" w:customStyle="1" w:styleId="IPPNumberSubhead">
    <w:name w:val="IPP NumberSubhead"/>
    <w:basedOn w:val="IPPNumber"/>
    <w:pPr>
      <w:keepNext/>
      <w:tabs>
        <w:tab w:val="left" w:pos="567"/>
      </w:tabs>
      <w:spacing w:after="60"/>
      <w:ind w:left="720" w:firstLine="0"/>
    </w:pPr>
    <w:rPr>
      <w:b/>
    </w:rPr>
  </w:style>
  <w:style w:type="paragraph" w:customStyle="1" w:styleId="IPPSubheadNumber">
    <w:name w:val="IPP SubheadNumber"/>
    <w:basedOn w:val="IPPSubhead"/>
    <w:pPr>
      <w:tabs>
        <w:tab w:val="left" w:pos="720"/>
        <w:tab w:val="left" w:pos="3240"/>
      </w:tabs>
      <w:ind w:left="720" w:hanging="720"/>
    </w:pPr>
  </w:style>
  <w:style w:type="paragraph" w:customStyle="1" w:styleId="IPPLetterListIndent">
    <w:name w:val="IPP LetterList Indent"/>
    <w:basedOn w:val="IPPLetterList"/>
    <w:pPr>
      <w:tabs>
        <w:tab w:val="clear" w:pos="120"/>
        <w:tab w:val="clear" w:pos="567"/>
        <w:tab w:val="left" w:pos="720"/>
        <w:tab w:val="left" w:pos="990"/>
      </w:tabs>
      <w:ind w:left="720" w:hanging="360"/>
    </w:pPr>
  </w:style>
  <w:style w:type="paragraph" w:customStyle="1" w:styleId="IPPSubheadSpaceAfter">
    <w:name w:val="IPP Subhead SpaceAfter"/>
    <w:basedOn w:val="IPPSubhead"/>
    <w:pPr>
      <w:spacing w:after="60"/>
    </w:pPr>
  </w:style>
  <w:style w:type="paragraph" w:customStyle="1" w:styleId="IPPArialFootnote">
    <w:name w:val="IPP Arial Footnote"/>
    <w:basedOn w:val="IPPArialTable"/>
    <w:pPr>
      <w:tabs>
        <w:tab w:val="left" w:pos="567"/>
      </w:tabs>
      <w:ind w:left="567" w:hanging="567"/>
    </w:pPr>
    <w:rPr>
      <w:sz w:val="16"/>
    </w:rPr>
  </w:style>
  <w:style w:type="paragraph" w:customStyle="1" w:styleId="IPPContentsHead">
    <w:name w:val="IPP ContentsHead"/>
    <w:basedOn w:val="IPPSubhead"/>
    <w:next w:val="IPPNormal"/>
    <w:pPr>
      <w:spacing w:after="240"/>
    </w:pPr>
    <w:rPr>
      <w:sz w:val="24"/>
    </w:rPr>
  </w:style>
  <w:style w:type="paragraph" w:customStyle="1" w:styleId="IPPNumberedListArial">
    <w:name w:val="IPP NumberedListArial"/>
    <w:basedOn w:val="IPPNumberedList"/>
    <w:pPr>
      <w:tabs>
        <w:tab w:val="left" w:pos="360"/>
        <w:tab w:val="left" w:pos="567"/>
      </w:tabs>
      <w:ind w:left="567" w:hanging="567"/>
    </w:pPr>
    <w:rPr>
      <w:rFonts w:ascii="Arial" w:hAnsi="Arial"/>
    </w:rPr>
  </w:style>
  <w:style w:type="paragraph" w:customStyle="1" w:styleId="IPPIndentClose">
    <w:name w:val="IPP Indent Close"/>
    <w:basedOn w:val="IPPNormal"/>
    <w:pPr>
      <w:tabs>
        <w:tab w:val="left" w:pos="2835"/>
      </w:tabs>
      <w:spacing w:after="60"/>
      <w:ind w:left="567"/>
    </w:pPr>
  </w:style>
  <w:style w:type="paragraph" w:customStyle="1" w:styleId="IPPHdg2Num">
    <w:name w:val="IPP Hdg2Num"/>
    <w:basedOn w:val="IPPNormal"/>
    <w:next w:val="IPPNormal"/>
    <w:pPr>
      <w:keepNext/>
      <w:tabs>
        <w:tab w:val="left" w:pos="567"/>
        <w:tab w:val="left" w:pos="680"/>
      </w:tabs>
      <w:spacing w:before="120" w:after="120"/>
      <w:ind w:left="680" w:hanging="680"/>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i/>
      <w:color w:val="auto"/>
      <w:sz w:val="20"/>
    </w:rPr>
  </w:style>
  <w:style w:type="character" w:customStyle="1" w:styleId="txtboldonly">
    <w:name w:val="txtboldonly"/>
    <w:basedOn w:val="DefaultParagraphFont"/>
  </w:style>
  <w:style w:type="character" w:customStyle="1" w:styleId="pagination">
    <w:name w:val="pagination"/>
    <w:basedOn w:val="DefaultParagraphFont"/>
  </w:style>
  <w:style w:type="character" w:customStyle="1" w:styleId="CarCar5">
    <w:name w:val="Car Car5"/>
    <w:rPr>
      <w:noProof w:val="0"/>
      <w:sz w:val="24"/>
      <w:u w:val="single"/>
      <w:lang w:val="en-US"/>
    </w:rPr>
  </w:style>
  <w:style w:type="character" w:customStyle="1" w:styleId="CarCar4">
    <w:name w:val="Car Car4"/>
    <w:rPr>
      <w:b/>
      <w:noProof w:val="0"/>
      <w:kern w:val="32"/>
      <w:sz w:val="24"/>
      <w:lang w:val="en-US"/>
    </w:rPr>
  </w:style>
  <w:style w:type="character" w:customStyle="1" w:styleId="CarCar3">
    <w:name w:val="Car Car3"/>
    <w:rPr>
      <w:b/>
      <w:i/>
      <w:noProof w:val="0"/>
      <w:kern w:val="32"/>
      <w:sz w:val="26"/>
      <w:lang w:val="it-IT"/>
    </w:rPr>
  </w:style>
  <w:style w:type="paragraph" w:customStyle="1" w:styleId="mainheader">
    <w:name w:val="mainheader"/>
    <w:basedOn w:val="Normal"/>
    <w:pPr>
      <w:spacing w:before="100" w:after="100"/>
    </w:pPr>
    <w:rPr>
      <w:rFonts w:eastAsia="Times New Roman"/>
      <w:i/>
      <w:color w:val="auto"/>
      <w:sz w:val="18"/>
      <w:lang w:val="fr-FR"/>
    </w:rPr>
  </w:style>
  <w:style w:type="character" w:customStyle="1" w:styleId="surname">
    <w:name w:val="surname"/>
    <w:basedOn w:val="DefaultParagraphFont"/>
  </w:style>
  <w:style w:type="character" w:customStyle="1" w:styleId="CarCar6">
    <w:name w:val="Car Car6"/>
    <w:rPr>
      <w:noProof w:val="0"/>
      <w:sz w:val="24"/>
      <w:lang w:val="fr-FR"/>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pPr>
      <w:spacing w:after="200" w:line="276" w:lineRule="auto"/>
      <w:ind w:left="720"/>
    </w:pPr>
    <w:rPr>
      <w:rFonts w:ascii="Calibri" w:eastAsia="Times New Roman" w:hAnsi="Calibri"/>
      <w:i/>
      <w:color w:val="auto"/>
    </w:rPr>
  </w:style>
  <w:style w:type="character" w:customStyle="1" w:styleId="fm-citation-ids-label1">
    <w:name w:val="fm-citation-ids-label1"/>
    <w:rPr>
      <w:color w:val="000000"/>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rFonts w:eastAsia="Times New Roman"/>
      <w:i/>
      <w:color w:val="auto"/>
      <w:sz w:val="18"/>
    </w:rPr>
  </w:style>
  <w:style w:type="paragraph" w:customStyle="1" w:styleId="authlist">
    <w:name w:val="auth_list"/>
    <w:basedOn w:val="Normal"/>
    <w:pPr>
      <w:spacing w:before="100" w:after="100"/>
    </w:pPr>
    <w:rPr>
      <w:rFonts w:eastAsia="Times New Roman"/>
      <w:i/>
      <w:color w:val="auto"/>
      <w:sz w:val="18"/>
    </w:rPr>
  </w:style>
  <w:style w:type="paragraph" w:customStyle="1" w:styleId="MDthesisHeading2">
    <w:name w:val="MD thesis Heading 2"/>
    <w:basedOn w:val="Heading2"/>
    <w:next w:val="Normal"/>
    <w:pPr>
      <w:widowControl w:val="0"/>
      <w:tabs>
        <w:tab w:val="clear" w:pos="1080"/>
        <w:tab w:val="left" w:pos="709"/>
        <w:tab w:val="left" w:pos="1134"/>
        <w:tab w:val="left" w:pos="1440"/>
      </w:tabs>
      <w:spacing w:before="120" w:after="60" w:line="360" w:lineRule="auto"/>
      <w:ind w:left="709" w:right="28" w:firstLine="720"/>
      <w:jc w:val="both"/>
      <w:outlineLvl w:val="9"/>
    </w:pPr>
    <w:rPr>
      <w:rFonts w:eastAsia="Times New Roman"/>
      <w:b w:val="0"/>
      <w:i/>
      <w:color w:val="auto"/>
    </w:rPr>
  </w:style>
  <w:style w:type="paragraph" w:customStyle="1" w:styleId="title10">
    <w:name w:val="title1"/>
    <w:basedOn w:val="Normal"/>
    <w:rPr>
      <w:rFonts w:eastAsia="Times New Roman"/>
      <w:i/>
      <w:color w:val="auto"/>
      <w:sz w:val="29"/>
    </w:rPr>
  </w:style>
  <w:style w:type="paragraph" w:customStyle="1" w:styleId="rprtbody1">
    <w:name w:val="rprtbody1"/>
    <w:basedOn w:val="Normal"/>
    <w:pPr>
      <w:spacing w:before="34" w:after="34"/>
    </w:pPr>
    <w:rPr>
      <w:rFonts w:eastAsia="Times New Roman"/>
      <w:i/>
      <w:color w:val="auto"/>
      <w:sz w:val="28"/>
    </w:rPr>
  </w:style>
  <w:style w:type="paragraph" w:customStyle="1" w:styleId="aux1">
    <w:name w:val="aux1"/>
    <w:basedOn w:val="Normal"/>
    <w:pPr>
      <w:spacing w:line="320" w:lineRule="atLeast"/>
    </w:pPr>
    <w:rPr>
      <w:rFonts w:eastAsia="Times New Roman"/>
      <w:i/>
      <w:color w:val="auto"/>
      <w:sz w:val="18"/>
    </w:rPr>
  </w:style>
  <w:style w:type="character" w:customStyle="1" w:styleId="src1">
    <w:name w:val="src1"/>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rFonts w:eastAsia="Times New Roman"/>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 Reference text + ?12 ?? ?????1"/>
    <w:basedOn w:val="Normal"/>
    <w:pPr>
      <w:spacing w:line="480" w:lineRule="auto"/>
      <w:jc w:val="both"/>
    </w:pPr>
    <w:rPr>
      <w:rFonts w:eastAsia="Times New Roman"/>
      <w:i/>
      <w:color w:val="auto"/>
      <w:sz w:val="18"/>
    </w:rPr>
  </w:style>
  <w:style w:type="paragraph" w:customStyle="1" w:styleId="11">
    <w:name w:val="????? ????? 1 +"/>
    <w:basedOn w:val="Heading1"/>
    <w:pPr>
      <w:tabs>
        <w:tab w:val="left" w:pos="1134"/>
      </w:tabs>
      <w:spacing w:before="240" w:after="60" w:line="240" w:lineRule="auto"/>
      <w:ind w:left="432" w:hanging="432"/>
      <w:jc w:val="left"/>
      <w:outlineLvl w:val="9"/>
    </w:pPr>
    <w:rPr>
      <w:rFonts w:ascii="Arial" w:eastAsia="Times New Roman" w:hAnsi="Arial"/>
      <w:i/>
      <w:color w:val="auto"/>
      <w:kern w:val="32"/>
      <w:sz w:val="32"/>
    </w:rPr>
  </w:style>
  <w:style w:type="paragraph" w:customStyle="1" w:styleId="14">
    <w:name w:val="?????? ?????? 14"/>
    <w:basedOn w:val="11"/>
    <w:rPr>
      <w:b w:val="0"/>
    </w:rPr>
  </w:style>
  <w:style w:type="paragraph" w:customStyle="1" w:styleId="a4">
    <w:name w:val="???? ?????"/>
    <w:basedOn w:val="Normal"/>
    <w:pPr>
      <w:spacing w:line="480" w:lineRule="auto"/>
      <w:jc w:val="both"/>
    </w:pPr>
    <w:rPr>
      <w:rFonts w:ascii="Arial" w:eastAsia="Times New Roman" w:hAnsi="Arial"/>
      <w:i/>
      <w:color w:val="auto"/>
      <w:sz w:val="18"/>
    </w:rPr>
  </w:style>
  <w:style w:type="character" w:customStyle="1" w:styleId="search1">
    <w:name w:val="search1"/>
    <w:rPr>
      <w:color w:val="008000"/>
    </w:rPr>
  </w:style>
  <w:style w:type="character" w:customStyle="1" w:styleId="style221">
    <w:name w:val="style221"/>
    <w:rPr>
      <w:color w:val="008000"/>
    </w:rPr>
  </w:style>
  <w:style w:type="character" w:customStyle="1" w:styleId="medium-normal1">
    <w:name w:val="medium-normal1"/>
    <w:rPr>
      <w:rFonts w:ascii="Arial" w:hAnsi="Arial"/>
      <w:sz w:val="20"/>
    </w:rPr>
  </w:style>
  <w:style w:type="character" w:styleId="HTMLVariable">
    <w:name w:val="HTML Variable"/>
    <w:rPr>
      <w:rFonts w:ascii="Verdana" w:hAnsi="Verdana"/>
      <w:color w:val="000000"/>
      <w:sz w:val="20"/>
    </w:rPr>
  </w:style>
  <w:style w:type="paragraph" w:customStyle="1" w:styleId="last">
    <w:name w:val="last"/>
    <w:basedOn w:val="Normal"/>
    <w:pPr>
      <w:spacing w:before="100" w:after="100"/>
    </w:pPr>
    <w:rPr>
      <w:rFonts w:eastAsia="Times New Roman"/>
      <w:i/>
      <w:color w:val="auto"/>
      <w:sz w:val="18"/>
    </w:rPr>
  </w:style>
  <w:style w:type="paragraph" w:customStyle="1" w:styleId="firstlast">
    <w:name w:val="first last"/>
    <w:basedOn w:val="Normal"/>
    <w:pPr>
      <w:spacing w:before="100" w:after="100"/>
    </w:pPr>
    <w:rPr>
      <w:rFonts w:eastAsia="Times New Roman"/>
      <w:i/>
      <w:color w:val="auto"/>
      <w:sz w:val="18"/>
    </w:rPr>
  </w:style>
  <w:style w:type="character" w:customStyle="1" w:styleId="databold1">
    <w:name w:val="data_bold1"/>
    <w:rPr>
      <w:b/>
    </w:rPr>
  </w:style>
  <w:style w:type="paragraph" w:customStyle="1" w:styleId="normaltext">
    <w:name w:val="normaltext"/>
    <w:basedOn w:val="Normal"/>
    <w:pPr>
      <w:spacing w:before="120" w:after="60"/>
    </w:pPr>
    <w:rPr>
      <w:rFonts w:ascii="Arial" w:eastAsia="Times New Roman" w:hAnsi="Arial"/>
      <w:i/>
      <w:sz w:val="20"/>
    </w:rPr>
  </w:style>
  <w:style w:type="paragraph" w:customStyle="1" w:styleId="heading10">
    <w:name w:val="heading1"/>
    <w:basedOn w:val="Normal"/>
    <w:next w:val="Normal"/>
    <w:pPr>
      <w:keepNext/>
      <w:keepLines/>
      <w:tabs>
        <w:tab w:val="left" w:pos="454"/>
      </w:tabs>
      <w:suppressAutoHyphens/>
      <w:spacing w:before="600" w:after="320" w:line="240" w:lineRule="atLeast"/>
    </w:pPr>
    <w:rPr>
      <w:rFonts w:ascii="Times" w:eastAsia="Times New Roman" w:hAnsi="Times"/>
      <w:b/>
      <w:i/>
      <w:color w:val="auto"/>
      <w:sz w:val="18"/>
    </w:rPr>
  </w:style>
  <w:style w:type="character" w:customStyle="1" w:styleId="heading1Carattere">
    <w:name w:val="heading1 Carattere"/>
    <w:rPr>
      <w:rFonts w:ascii="Times" w:hAnsi="Times"/>
      <w:b/>
      <w:noProof w:val="0"/>
      <w:sz w:val="24"/>
      <w:lang w:val="en-US"/>
    </w:rPr>
  </w:style>
  <w:style w:type="paragraph" w:customStyle="1" w:styleId="literaturelist">
    <w:name w:val="literature list"/>
    <w:basedOn w:val="Normal"/>
    <w:pPr>
      <w:tabs>
        <w:tab w:val="left" w:pos="720"/>
        <w:tab w:val="left" w:pos="5760"/>
      </w:tabs>
      <w:spacing w:line="480" w:lineRule="auto"/>
      <w:ind w:left="720" w:right="170" w:hanging="360"/>
      <w:jc w:val="both"/>
    </w:pPr>
    <w:rPr>
      <w:rFonts w:eastAsia="Times New Roman"/>
      <w:i/>
      <w:noProof/>
      <w:color w:val="auto"/>
      <w:sz w:val="18"/>
    </w:rPr>
  </w:style>
  <w:style w:type="character" w:customStyle="1" w:styleId="bodybold1">
    <w:name w:val="bodybold1"/>
    <w:rPr>
      <w:rFonts w:ascii="Verdana" w:hAnsi="Verdana"/>
      <w:b/>
      <w:sz w:val="20"/>
    </w:rPr>
  </w:style>
  <w:style w:type="paragraph" w:customStyle="1" w:styleId="CM27">
    <w:name w:val="CM27"/>
    <w:basedOn w:val="Default"/>
    <w:next w:val="Default"/>
    <w:pPr>
      <w:autoSpaceDE/>
      <w:autoSpaceDN/>
      <w:adjustRightInd/>
      <w:spacing w:after="78"/>
    </w:pPr>
    <w:rPr>
      <w:rFonts w:ascii="Times New Roman" w:eastAsia="Times New Roman" w:hAnsi="Times New Roman"/>
      <w:color w:val="auto"/>
    </w:rPr>
  </w:style>
  <w:style w:type="paragraph" w:customStyle="1" w:styleId="CM28">
    <w:name w:val="CM28"/>
    <w:basedOn w:val="Default"/>
    <w:next w:val="Default"/>
    <w:pPr>
      <w:autoSpaceDE/>
      <w:autoSpaceDN/>
      <w:adjustRightInd/>
      <w:spacing w:after="412"/>
    </w:pPr>
    <w:rPr>
      <w:rFonts w:ascii="Times New Roman" w:eastAsia="Times New Roman" w:hAnsi="Times New Roman"/>
      <w:color w:val="auto"/>
    </w:rPr>
  </w:style>
  <w:style w:type="paragraph" w:customStyle="1" w:styleId="CM30">
    <w:name w:val="CM30"/>
    <w:basedOn w:val="Default"/>
    <w:next w:val="Default"/>
    <w:pPr>
      <w:autoSpaceDE/>
      <w:autoSpaceDN/>
      <w:adjustRightInd/>
      <w:spacing w:after="75"/>
    </w:pPr>
    <w:rPr>
      <w:rFonts w:ascii="Times New Roman" w:eastAsia="Times New Roman" w:hAnsi="Times New Roman"/>
      <w:color w:val="auto"/>
    </w:rPr>
  </w:style>
  <w:style w:type="paragraph" w:customStyle="1" w:styleId="CM32">
    <w:name w:val="CM32"/>
    <w:basedOn w:val="Default"/>
    <w:next w:val="Default"/>
    <w:pPr>
      <w:autoSpaceDE/>
      <w:autoSpaceDN/>
      <w:adjustRightInd/>
      <w:spacing w:after="725"/>
    </w:pPr>
    <w:rPr>
      <w:rFonts w:ascii="Times New Roman" w:eastAsia="Times New Roman" w:hAnsi="Times New Roman"/>
      <w:color w:val="auto"/>
    </w:rPr>
  </w:style>
  <w:style w:type="paragraph" w:customStyle="1" w:styleId="CM33">
    <w:name w:val="CM33"/>
    <w:basedOn w:val="Default"/>
    <w:next w:val="Default"/>
    <w:pPr>
      <w:autoSpaceDE/>
      <w:autoSpaceDN/>
      <w:adjustRightInd/>
      <w:spacing w:after="538"/>
    </w:pPr>
    <w:rPr>
      <w:rFonts w:ascii="Times New Roman" w:eastAsia="Times New Roman" w:hAnsi="Times New Roman"/>
      <w:color w:val="auto"/>
    </w:rPr>
  </w:style>
  <w:style w:type="character" w:customStyle="1" w:styleId="ZchnZchn16">
    <w:name w:val="Zchn Zchn16"/>
    <w:rPr>
      <w:rFonts w:ascii="Arial" w:hAnsi="Arial"/>
      <w:b/>
      <w:noProof w:val="0"/>
      <w:kern w:val="32"/>
      <w:sz w:val="32"/>
      <w:lang w:val="en-US"/>
    </w:rPr>
  </w:style>
  <w:style w:type="character" w:customStyle="1" w:styleId="ZchnZchn1">
    <w:name w:val="Zchn Zchn1"/>
    <w:rPr>
      <w:rFonts w:ascii="Cambria" w:hAnsi="Cambria"/>
      <w:b/>
      <w:noProof w:val="0"/>
      <w:kern w:val="28"/>
      <w:sz w:val="32"/>
      <w:lang w:val="ca-ES"/>
    </w:rPr>
  </w:style>
  <w:style w:type="paragraph" w:customStyle="1" w:styleId="MediumGrid21">
    <w:name w:val="Medium Grid 21"/>
    <w:uiPriority w:val="1"/>
    <w:qFormat/>
    <w:rPr>
      <w:rFonts w:ascii="Times New Roman" w:eastAsia="Times New Roman" w:hAnsi="Times New Roman"/>
      <w:sz w:val="24"/>
      <w:lang w:val="en-US" w:eastAsia="en-GB"/>
    </w:rPr>
  </w:style>
  <w:style w:type="character" w:customStyle="1" w:styleId="ZchnZchn">
    <w:name w:val="Zchn Zchn"/>
    <w:rPr>
      <w:rFonts w:ascii="Calibri" w:hAnsi="Calibri"/>
      <w:noProof w:val="0"/>
      <w:lang w:val="ca-ES"/>
    </w:rPr>
  </w:style>
  <w:style w:type="paragraph" w:customStyle="1" w:styleId="refs">
    <w:name w:val="refs"/>
    <w:basedOn w:val="Normal"/>
    <w:pPr>
      <w:spacing w:before="100" w:after="100"/>
    </w:pPr>
    <w:rPr>
      <w:rFonts w:eastAsia="Times New Roman"/>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pPr>
      <w:spacing w:after="200" w:line="276" w:lineRule="auto"/>
    </w:pPr>
    <w:rPr>
      <w:rFonts w:ascii="Calibri" w:eastAsia="Times New Roman"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ReferencesNIPIndia">
    <w:name w:val="References NIP India"/>
    <w:basedOn w:val="Normal"/>
    <w:pPr>
      <w:spacing w:before="20" w:after="20"/>
      <w:ind w:left="709" w:right="720" w:hanging="709"/>
    </w:pPr>
    <w:rPr>
      <w:rFonts w:eastAsia="Times New Roman"/>
      <w:b/>
      <w:i/>
      <w:color w:val="auto"/>
      <w:sz w:val="18"/>
      <w:lang w:val="en-CA"/>
    </w:rPr>
  </w:style>
  <w:style w:type="paragraph" w:customStyle="1" w:styleId="Textedebulles">
    <w:name w:val="Texte de bulles"/>
    <w:basedOn w:val="Normal"/>
    <w:pPr>
      <w:spacing w:before="100"/>
      <w:ind w:right="720"/>
      <w:jc w:val="both"/>
    </w:pPr>
    <w:rPr>
      <w:rFonts w:ascii="Tahoma" w:eastAsia="Times New Roman" w:hAnsi="Tahoma"/>
      <w:color w:val="auto"/>
      <w:sz w:val="16"/>
    </w:rPr>
  </w:style>
  <w:style w:type="character" w:customStyle="1" w:styleId="CarCar2">
    <w:name w:val="Car Car2"/>
    <w:rPr>
      <w:noProof w:val="0"/>
      <w:lang w:val="en-US"/>
    </w:rPr>
  </w:style>
  <w:style w:type="character" w:customStyle="1" w:styleId="CarCar1">
    <w:name w:val="Car Car1"/>
    <w:rPr>
      <w:noProof w:val="0"/>
      <w:lang w:val="en-US"/>
    </w:rPr>
  </w:style>
  <w:style w:type="character" w:customStyle="1" w:styleId="CharChar4">
    <w:name w:val="Char Char4"/>
    <w:aliases w:val="Heading 3 Char2 Char"/>
    <w:rPr>
      <w:sz w:val="22"/>
    </w:rPr>
  </w:style>
  <w:style w:type="character" w:customStyle="1" w:styleId="ZchnZchn15">
    <w:name w:val="Zchn Zchn15"/>
    <w:rPr>
      <w:rFonts w:ascii="Arial" w:hAnsi="Arial"/>
      <w:b/>
      <w:i/>
      <w:noProof w:val="0"/>
      <w:sz w:val="28"/>
      <w:lang w:val="en-US"/>
    </w:rPr>
  </w:style>
  <w:style w:type="character" w:customStyle="1" w:styleId="ZchnZchn14">
    <w:name w:val="Zchn Zchn14"/>
    <w:rPr>
      <w:rFonts w:ascii="Arial" w:hAnsi="Arial"/>
      <w:b/>
      <w:noProof w:val="0"/>
      <w:sz w:val="26"/>
      <w:lang w:val="en-US"/>
    </w:rPr>
  </w:style>
  <w:style w:type="character" w:customStyle="1" w:styleId="ZchnZchn13">
    <w:name w:val="Zchn Zchn13"/>
    <w:rPr>
      <w:rFonts w:ascii="Arial" w:hAnsi="Arial"/>
      <w:b/>
      <w:noProof w:val="0"/>
      <w:sz w:val="24"/>
      <w:lang w:val="de-DE"/>
    </w:rPr>
  </w:style>
  <w:style w:type="character" w:customStyle="1" w:styleId="ZchnZchn12">
    <w:name w:val="Zchn Zchn12"/>
    <w:rPr>
      <w:rFonts w:ascii="Arial" w:hAnsi="Arial"/>
      <w:b/>
      <w:noProof w:val="0"/>
      <w:sz w:val="24"/>
      <w:lang w:val="de-DE"/>
    </w:rPr>
  </w:style>
  <w:style w:type="character" w:customStyle="1" w:styleId="ZchnZchn11">
    <w:name w:val="Zchn Zchn11"/>
    <w:rPr>
      <w:rFonts w:ascii="Arial" w:hAnsi="Arial"/>
      <w:b/>
      <w:noProof w:val="0"/>
      <w:lang w:val="de-DE"/>
    </w:rPr>
  </w:style>
  <w:style w:type="character" w:customStyle="1" w:styleId="ZchnZchn10">
    <w:name w:val="Zchn Zchn10"/>
    <w:rPr>
      <w:rFonts w:ascii="Arial" w:hAnsi="Arial"/>
      <w:b/>
      <w:noProof w:val="0"/>
      <w:sz w:val="28"/>
      <w:lang w:val="de-DE"/>
    </w:rPr>
  </w:style>
  <w:style w:type="character" w:customStyle="1" w:styleId="ZchnZchn9">
    <w:name w:val="Zchn Zchn9"/>
    <w:rPr>
      <w:rFonts w:ascii="Arial" w:hAnsi="Arial"/>
      <w:b/>
      <w:noProof w:val="0"/>
      <w:lang w:val="de-DE"/>
    </w:rPr>
  </w:style>
  <w:style w:type="character" w:customStyle="1" w:styleId="ZchnZchn8">
    <w:name w:val="Zchn Zchn8"/>
    <w:rPr>
      <w:rFonts w:ascii="Arial" w:hAnsi="Arial"/>
      <w:noProof w:val="0"/>
      <w:sz w:val="24"/>
      <w:lang w:val="de-DE"/>
    </w:rPr>
  </w:style>
  <w:style w:type="character" w:customStyle="1" w:styleId="CharCharZchn">
    <w:name w:val="Char Char Zchn"/>
    <w:aliases w:val="Body Text Char Char Char Char Char Zchn,Body Text Char Char Char Char Zchn Zchn"/>
    <w:rPr>
      <w:noProof w:val="0"/>
      <w:color w:val="000000"/>
      <w:sz w:val="24"/>
      <w:lang w:val="en-GB"/>
    </w:rPr>
  </w:style>
  <w:style w:type="character" w:customStyle="1" w:styleId="ZchnZchn4">
    <w:name w:val="Zchn Zchn4"/>
    <w:rPr>
      <w:noProof w:val="0"/>
      <w:sz w:val="24"/>
      <w:lang w:val="en-US"/>
    </w:rPr>
  </w:style>
  <w:style w:type="character" w:customStyle="1" w:styleId="ZchnZchn7">
    <w:name w:val="Zchn Zchn7"/>
    <w:rPr>
      <w:noProof w:val="0"/>
      <w:sz w:val="24"/>
      <w:lang w:val="en-US"/>
    </w:rPr>
  </w:style>
  <w:style w:type="character" w:customStyle="1" w:styleId="ZchnZchn6">
    <w:name w:val="Zchn Zchn6"/>
    <w:rPr>
      <w:rFonts w:ascii="Courier New" w:hAnsi="Courier New"/>
      <w:noProof w:val="0"/>
      <w:lang w:val="de-DE"/>
    </w:rPr>
  </w:style>
  <w:style w:type="character" w:customStyle="1" w:styleId="ZchnZchn5">
    <w:name w:val="Zchn Zchn5"/>
    <w:rPr>
      <w:rFonts w:ascii="Arial" w:hAnsi="Arial"/>
      <w:noProof w:val="0"/>
      <w:sz w:val="24"/>
      <w:lang w:val="de-DE"/>
    </w:rPr>
  </w:style>
  <w:style w:type="character" w:customStyle="1" w:styleId="ZchnZchn3">
    <w:name w:val="Zchn Zchn3"/>
    <w:rPr>
      <w:rFonts w:ascii="Arial" w:hAnsi="Arial"/>
      <w:noProof w:val="0"/>
      <w:sz w:val="24"/>
      <w:lang w:val="de-DE"/>
    </w:rPr>
  </w:style>
  <w:style w:type="paragraph" w:customStyle="1" w:styleId="Textodeglobo1">
    <w:name w:val="Texto de globo1"/>
    <w:basedOn w:val="Normal"/>
    <w:pPr>
      <w:widowControl w:val="0"/>
      <w:jc w:val="both"/>
    </w:pPr>
    <w:rPr>
      <w:rFonts w:eastAsia="Times New Roman"/>
      <w:color w:val="auto"/>
      <w:kern w:val="2"/>
      <w:sz w:val="16"/>
      <w:lang w:val="en-US"/>
    </w:rPr>
  </w:style>
  <w:style w:type="paragraph" w:customStyle="1" w:styleId="BodyText10">
    <w:name w:val="Body Text1"/>
    <w:basedOn w:val="Normal"/>
    <w:pPr>
      <w:spacing w:after="240"/>
    </w:pPr>
    <w:rPr>
      <w:rFonts w:eastAsia="Times New Roman"/>
    </w:rPr>
  </w:style>
  <w:style w:type="paragraph" w:customStyle="1" w:styleId="Tableandfigureheaders">
    <w:name w:val="Table and figure headers"/>
    <w:basedOn w:val="Caption"/>
    <w:pPr>
      <w:keepNext/>
      <w:pBdr>
        <w:bottom w:val="none" w:sz="0" w:space="0" w:color="auto"/>
      </w:pBdr>
      <w:tabs>
        <w:tab w:val="clear" w:pos="9639"/>
      </w:tabs>
      <w:spacing w:after="200"/>
      <w:ind w:left="1417" w:hanging="992"/>
      <w:jc w:val="both"/>
    </w:pPr>
    <w:rPr>
      <w:rFonts w:ascii="Calibri" w:eastAsia="Times New Roman" w:hAnsi="Calibri"/>
      <w:i w:val="0"/>
      <w:sz w:val="20"/>
      <w:lang w:val="en-GB"/>
    </w:rPr>
  </w:style>
  <w:style w:type="paragraph" w:customStyle="1" w:styleId="Tableandfigfooter">
    <w:name w:val="Table and fig footer"/>
    <w:basedOn w:val="Paraindent"/>
    <w:pPr>
      <w:spacing w:before="0" w:after="0"/>
      <w:ind w:left="425" w:right="0"/>
    </w:pPr>
    <w:rPr>
      <w:rFonts w:ascii="Calibri" w:hAnsi="Calibri"/>
      <w:i w:val="0"/>
      <w:noProof/>
      <w:color w:val="auto"/>
      <w:sz w:val="18"/>
    </w:rPr>
  </w:style>
  <w:style w:type="character" w:customStyle="1" w:styleId="CharChar21">
    <w:name w:val="Char Char21"/>
    <w:rPr>
      <w:b/>
      <w:noProof w:val="0"/>
      <w:color w:val="000000"/>
      <w:sz w:val="28"/>
      <w:lang w:val="en-GB"/>
    </w:rPr>
  </w:style>
  <w:style w:type="character" w:customStyle="1" w:styleId="CharChar11">
    <w:name w:val="Char Char11"/>
    <w:rPr>
      <w:rFonts w:ascii="Arial" w:hAnsi="Arial"/>
      <w:noProof w:val="0"/>
      <w:lang w:val="en-GB"/>
    </w:rPr>
  </w:style>
  <w:style w:type="character" w:customStyle="1" w:styleId="3">
    <w:name w:val="(3"/>
    <w:rPr>
      <w:noProof w:val="0"/>
      <w:sz w:val="24"/>
      <w:lang w:val="en-US"/>
    </w:rPr>
  </w:style>
  <w:style w:type="character" w:customStyle="1" w:styleId="2">
    <w:name w:val="(2"/>
    <w:rPr>
      <w:b/>
      <w:noProof w:val="0"/>
      <w:sz w:val="24"/>
      <w:lang w:val="en-US"/>
    </w:rPr>
  </w:style>
  <w:style w:type="character" w:customStyle="1" w:styleId="CarCar191">
    <w:name w:val="Car Car191"/>
    <w:rPr>
      <w:noProof w:val="0"/>
      <w:color w:val="000000"/>
      <w:sz w:val="24"/>
      <w:lang w:val="en-GB"/>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Pr>
      <w:b/>
      <w:noProof w:val="0"/>
      <w:color w:val="000000"/>
      <w:sz w:val="28"/>
      <w:lang w:val="en-GB"/>
    </w:rPr>
  </w:style>
  <w:style w:type="character" w:customStyle="1" w:styleId="Heading4Char1">
    <w:name w:val="Heading 4 Char1"/>
    <w:rPr>
      <w:b/>
      <w:i/>
      <w:noProof w:val="0"/>
      <w:color w:val="000000"/>
      <w:sz w:val="24"/>
      <w:lang w:val="en-GB"/>
    </w:rPr>
  </w:style>
  <w:style w:type="character" w:customStyle="1" w:styleId="Heading311ptBoldChar">
    <w:name w:val="Heading 3 + 11 pt Bold Char"/>
    <w:rPr>
      <w:b/>
      <w:sz w:val="24"/>
    </w:rPr>
  </w:style>
  <w:style w:type="character" w:customStyle="1" w:styleId="A20">
    <w:name w:val="A2"/>
    <w:rPr>
      <w:b/>
      <w:color w:val="000000"/>
      <w:sz w:val="12"/>
    </w:rPr>
  </w:style>
  <w:style w:type="character" w:customStyle="1" w:styleId="StyleHeading4Left0Firstline0Char">
    <w:name w:val="Style Heading 4 + Left:  0&quot; First line:  0&quot; Char"/>
    <w:rPr>
      <w:b/>
      <w:i/>
      <w:noProof w:val="0"/>
      <w:color w:val="000000"/>
      <w:sz w:val="24"/>
      <w:lang w:val="en-GB"/>
    </w:rPr>
  </w:style>
  <w:style w:type="character" w:customStyle="1" w:styleId="ECMStableheaderChar">
    <w:name w:val="ECMS table header Char"/>
    <w:rPr>
      <w:b/>
      <w:noProof w:val="0"/>
      <w:sz w:val="24"/>
      <w:lang w:val="en-GB"/>
    </w:rPr>
  </w:style>
  <w:style w:type="character" w:customStyle="1" w:styleId="maintext1">
    <w:name w:val="maintext1"/>
    <w:rPr>
      <w:rFonts w:ascii="Verdana" w:hAnsi="Verdana"/>
      <w:sz w:val="20"/>
    </w:rPr>
  </w:style>
  <w:style w:type="character" w:customStyle="1" w:styleId="CharChar41">
    <w:name w:val="Char Char41"/>
    <w:rPr>
      <w:noProof w:val="0"/>
      <w:sz w:val="24"/>
      <w:lang w:val="en-US"/>
    </w:rPr>
  </w:style>
  <w:style w:type="character" w:customStyle="1" w:styleId="apple-style-span">
    <w:name w:val="apple-style-span"/>
    <w:rPr>
      <w:rFonts w:ascii="Times New Roman" w:hAnsi="Times New Roman"/>
    </w:rPr>
  </w:style>
  <w:style w:type="character" w:customStyle="1" w:styleId="CharChar5">
    <w:name w:val="Char Char5"/>
    <w:rPr>
      <w:rFonts w:ascii="Tahoma" w:hAnsi="Tahoma"/>
      <w:noProof w:val="0"/>
      <w:sz w:val="16"/>
      <w:lang w:val="en-US"/>
    </w:rPr>
  </w:style>
  <w:style w:type="character" w:customStyle="1" w:styleId="CharChar31">
    <w:name w:val="Char Char31"/>
    <w:rPr>
      <w:noProof w:val="0"/>
      <w:color w:val="000000"/>
      <w:sz w:val="24"/>
      <w:lang w:val="en-GB"/>
    </w:rPr>
  </w:style>
  <w:style w:type="paragraph" w:customStyle="1" w:styleId="listparagraphcxspmiddle">
    <w:name w:val="listparagraphcxspmiddle"/>
    <w:basedOn w:val="Normal"/>
    <w:pPr>
      <w:spacing w:before="100" w:after="100"/>
    </w:pPr>
    <w:rPr>
      <w:rFonts w:eastAsia="Times New Roman"/>
      <w:color w:val="auto"/>
      <w:lang w:val="en-US"/>
    </w:rPr>
  </w:style>
  <w:style w:type="paragraph" w:customStyle="1" w:styleId="StyleBodyText1After6pt">
    <w:name w:val="Style Body Text1 + After:  6 pt"/>
    <w:basedOn w:val="BodyText10"/>
  </w:style>
  <w:style w:type="character" w:customStyle="1" w:styleId="SubtitleChar">
    <w:name w:val="Subtitle Char"/>
    <w:rPr>
      <w:rFonts w:ascii="Cambria" w:hAnsi="Cambria"/>
      <w:color w:val="000000"/>
      <w:sz w:val="24"/>
    </w:rPr>
  </w:style>
  <w:style w:type="character" w:customStyle="1" w:styleId="QuoteChar">
    <w:name w:val="Quote Char"/>
    <w:link w:val="Quote"/>
    <w:rPr>
      <w:rFonts w:ascii="Times New Roman" w:hAnsi="Times New Roman"/>
      <w:i/>
      <w:color w:val="000000"/>
      <w:sz w:val="24"/>
    </w:rPr>
  </w:style>
  <w:style w:type="character" w:customStyle="1" w:styleId="IntenseQuoteChar">
    <w:name w:val="Intense Quote Char"/>
    <w:link w:val="IntenseQuote"/>
    <w:rPr>
      <w:rFonts w:ascii="Times New Roman" w:hAnsi="Times New Roman"/>
      <w:b/>
      <w:i/>
      <w:color w:val="808080"/>
      <w:sz w:val="24"/>
    </w:rPr>
  </w:style>
  <w:style w:type="character" w:customStyle="1" w:styleId="A00">
    <w:name w:val="A0"/>
    <w:rPr>
      <w:color w:val="000000"/>
      <w:sz w:val="22"/>
    </w:rPr>
  </w:style>
  <w:style w:type="character" w:customStyle="1" w:styleId="HTMLPreformattedChar">
    <w:name w:val="HTML Preformatted Char"/>
    <w:rPr>
      <w:rFonts w:ascii="Courier New" w:hAnsi="Courier New"/>
    </w:rPr>
  </w:style>
  <w:style w:type="character" w:customStyle="1" w:styleId="srch-url21">
    <w:name w:val="srch-url21"/>
    <w:rPr>
      <w:color w:val="808000"/>
      <w:u w:val="single"/>
    </w:rPr>
  </w:style>
  <w:style w:type="character" w:customStyle="1" w:styleId="Titre5Car">
    <w:name w:val="Titre 5 Car"/>
    <w:aliases w:val="Subpara 2 Car"/>
    <w:rPr>
      <w:rFonts w:ascii="Calibri" w:hAnsi="Calibri"/>
      <w:b/>
      <w:i/>
      <w:noProof w:val="0"/>
      <w:sz w:val="26"/>
      <w:lang w:val="en-AU"/>
    </w:rPr>
  </w:style>
  <w:style w:type="character" w:customStyle="1" w:styleId="Titre6Car">
    <w:name w:val="Titre 6 Car"/>
    <w:rPr>
      <w:rFonts w:ascii="Calibri" w:hAnsi="Calibri"/>
      <w:b/>
      <w:noProof w:val="0"/>
      <w:lang w:val="en-AU"/>
    </w:rPr>
  </w:style>
  <w:style w:type="character" w:customStyle="1" w:styleId="Titre7Car">
    <w:name w:val="Titre 7 Car"/>
    <w:aliases w:val="Subpara 4 Car"/>
    <w:rPr>
      <w:rFonts w:ascii="Calibri" w:hAnsi="Calibri"/>
      <w:noProof w:val="0"/>
      <w:sz w:val="24"/>
      <w:lang w:val="en-AU"/>
    </w:rPr>
  </w:style>
  <w:style w:type="character" w:customStyle="1" w:styleId="Titre8Car">
    <w:name w:val="Titre 8 Car"/>
    <w:aliases w:val="Subpara 5 Car"/>
    <w:rPr>
      <w:rFonts w:ascii="Calibri" w:hAnsi="Calibri"/>
      <w:i/>
      <w:noProof w:val="0"/>
      <w:sz w:val="24"/>
      <w:lang w:val="en-AU"/>
    </w:rPr>
  </w:style>
  <w:style w:type="character" w:customStyle="1" w:styleId="Titre9Car">
    <w:name w:val="Titre 9 Car"/>
    <w:aliases w:val="Subpara 6 Car"/>
    <w:rPr>
      <w:rFonts w:ascii="Cambria" w:hAnsi="Cambria"/>
      <w:noProof w:val="0"/>
      <w:lang w:val="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lang w:val="en-US"/>
    </w:rPr>
  </w:style>
  <w:style w:type="character" w:customStyle="1" w:styleId="PrformatHTMLCar">
    <w:name w:val="Préformaté HTML Car"/>
    <w:rPr>
      <w:rFonts w:ascii="Courier New" w:hAnsi="Courier New"/>
      <w:noProof w:val="0"/>
      <w:sz w:val="20"/>
      <w:lang w:val="en-AU"/>
    </w:rPr>
  </w:style>
  <w:style w:type="character" w:customStyle="1" w:styleId="RetraitcorpsdetexteCar">
    <w:name w:val="Retrait corps de texte Car"/>
    <w:rPr>
      <w:noProof w:val="0"/>
      <w:sz w:val="24"/>
      <w:lang w:val="en-AU"/>
    </w:rPr>
  </w:style>
  <w:style w:type="character" w:customStyle="1" w:styleId="Retraitcorpset1religCar">
    <w:name w:val="Retrait corps et 1re lig. Car"/>
    <w:basedOn w:val="RetraitcorpsdetexteCar"/>
    <w:rPr>
      <w:noProof w:val="0"/>
      <w:sz w:val="24"/>
      <w:lang w:val="en-AU"/>
    </w:rPr>
  </w:style>
  <w:style w:type="character" w:customStyle="1" w:styleId="CommentaireCar">
    <w:name w:val="Commentaire Car"/>
    <w:rPr>
      <w:noProof w:val="0"/>
      <w:lang w:val="en-AU"/>
    </w:rPr>
  </w:style>
  <w:style w:type="paragraph" w:customStyle="1" w:styleId="Objetducommentaire">
    <w:name w:val="Objet du commentaire"/>
    <w:basedOn w:val="CommentText"/>
    <w:next w:val="CommentText"/>
    <w:pPr>
      <w:tabs>
        <w:tab w:val="clear" w:pos="720"/>
        <w:tab w:val="clear" w:pos="1440"/>
        <w:tab w:val="clear" w:pos="5760"/>
      </w:tabs>
      <w:jc w:val="left"/>
    </w:pPr>
    <w:rPr>
      <w:rFonts w:eastAsia="Times New Roman"/>
      <w:b/>
      <w:lang w:val="en-AU"/>
    </w:rPr>
  </w:style>
  <w:style w:type="character" w:customStyle="1" w:styleId="ObjetducommentaireCar">
    <w:name w:val="Objet du commentaire Car"/>
    <w:rPr>
      <w:b/>
      <w:noProof w:val="0"/>
      <w:lang w:val="en-AU"/>
    </w:rPr>
  </w:style>
  <w:style w:type="paragraph" w:customStyle="1" w:styleId="En-ttedetabledesmatires">
    <w:name w:val="En-tête de table des matières"/>
    <w:basedOn w:val="Heading1"/>
    <w:next w:val="Normal"/>
    <w:pPr>
      <w:keepLines/>
      <w:tabs>
        <w:tab w:val="left" w:pos="1134"/>
      </w:tabs>
      <w:spacing w:before="480" w:after="0" w:line="276" w:lineRule="auto"/>
      <w:ind w:left="0" w:firstLine="0"/>
      <w:jc w:val="left"/>
      <w:outlineLvl w:val="9"/>
    </w:pPr>
    <w:rPr>
      <w:rFonts w:eastAsia="Times New Roman"/>
      <w:color w:val="808080"/>
      <w:lang w:val="fr-FR"/>
    </w:rPr>
  </w:style>
  <w:style w:type="paragraph" w:customStyle="1" w:styleId="Paragraphedeliste">
    <w:name w:val="Paragraphe de liste"/>
    <w:basedOn w:val="Normal"/>
    <w:rPr>
      <w:rFonts w:eastAsia="Times New Roman"/>
      <w:color w:val="auto"/>
      <w:sz w:val="24"/>
      <w:lang w:val="en-AU"/>
    </w:rPr>
  </w:style>
  <w:style w:type="character" w:customStyle="1" w:styleId="bold0">
    <w:name w:val="bold"/>
  </w:style>
  <w:style w:type="paragraph" w:customStyle="1" w:styleId="first">
    <w:name w:val="first"/>
    <w:basedOn w:val="Normal"/>
    <w:pPr>
      <w:spacing w:before="100" w:after="100"/>
    </w:pPr>
    <w:rPr>
      <w:rFonts w:eastAsia="Times New Roman"/>
      <w:color w:val="auto"/>
      <w:sz w:val="24"/>
      <w:lang w:val="fr-FR"/>
    </w:rPr>
  </w:style>
  <w:style w:type="character" w:customStyle="1" w:styleId="En-tteCar">
    <w:name w:val="En-tête Car"/>
    <w:rPr>
      <w:noProof w:val="0"/>
      <w:sz w:val="24"/>
      <w:lang w:val="en-AU"/>
    </w:rPr>
  </w:style>
  <w:style w:type="character" w:customStyle="1" w:styleId="PieddepageCar">
    <w:name w:val="Pied de page Car"/>
    <w:rPr>
      <w:noProof w:val="0"/>
      <w:sz w:val="24"/>
      <w:lang w:val="en-AU"/>
    </w:rPr>
  </w:style>
  <w:style w:type="paragraph" w:customStyle="1" w:styleId="Sansinterligne">
    <w:name w:val="Sans interligne"/>
    <w:rPr>
      <w:rFonts w:ascii="Times New Roman" w:eastAsia="Times New Roman" w:hAnsi="Times New Roman"/>
      <w:noProof/>
      <w:sz w:val="24"/>
      <w:lang w:val="en-GB" w:eastAsia="en-GB"/>
    </w:rPr>
  </w:style>
  <w:style w:type="character" w:customStyle="1" w:styleId="ExplorateurdedocumentsCar">
    <w:name w:val="Explorateur de documents Car"/>
    <w:rPr>
      <w:rFonts w:ascii="Tahoma" w:hAnsi="Tahoma"/>
      <w:noProof w:val="0"/>
      <w:sz w:val="16"/>
      <w:lang w:val="en-AU"/>
    </w:rPr>
  </w:style>
  <w:style w:type="character" w:customStyle="1" w:styleId="hit">
    <w:name w:val="hit"/>
  </w:style>
  <w:style w:type="character" w:customStyle="1" w:styleId="NotedebasdepageCar">
    <w:name w:val="Note de bas de page Car"/>
    <w:rPr>
      <w:noProof w:val="0"/>
      <w:sz w:val="24"/>
      <w:lang w:val="en-AU"/>
    </w:rPr>
  </w:style>
  <w:style w:type="paragraph" w:customStyle="1" w:styleId="Rvision">
    <w:name w:val="Révision"/>
    <w:rPr>
      <w:rFonts w:ascii="Times New Roman" w:eastAsia="Times New Roman" w:hAnsi="Times New Roman"/>
      <w:sz w:val="24"/>
      <w:lang w:val="en-AU" w:eastAsia="en-GB"/>
    </w:rPr>
  </w:style>
  <w:style w:type="paragraph" w:customStyle="1" w:styleId="Ref">
    <w:name w:val="Ref"/>
    <w:basedOn w:val="Footnote"/>
  </w:style>
  <w:style w:type="character" w:customStyle="1" w:styleId="SansinterligneCar">
    <w:name w:val="Sans interligne Car"/>
    <w:rPr>
      <w:sz w:val="24"/>
    </w:rPr>
  </w:style>
  <w:style w:type="paragraph" w:customStyle="1" w:styleId="Hea">
    <w:name w:val="Hea"/>
    <w:rPr>
      <w:rFonts w:ascii="Times New Roman" w:eastAsia="Times New Roman" w:hAnsi="Times New Roman"/>
      <w:sz w:val="24"/>
      <w:lang w:val="en-US" w:eastAsia="en-GB"/>
    </w:rPr>
  </w:style>
  <w:style w:type="paragraph" w:customStyle="1" w:styleId="PageImage">
    <w:name w:val="PageImage"/>
    <w:pPr>
      <w:spacing w:before="240"/>
      <w:jc w:val="center"/>
    </w:pPr>
    <w:rPr>
      <w:rFonts w:ascii="Times New Roman" w:eastAsia="Times New Roman" w:hAnsi="Times New Roman"/>
      <w:sz w:val="24"/>
      <w:lang w:val="en-AU" w:eastAsia="en-GB"/>
    </w:rPr>
  </w:style>
  <w:style w:type="paragraph" w:customStyle="1" w:styleId="Italicindent">
    <w:name w:val="Italic indent"/>
    <w:pPr>
      <w:spacing w:after="200" w:line="276" w:lineRule="auto"/>
      <w:ind w:left="1701" w:right="662"/>
    </w:pPr>
    <w:rPr>
      <w:rFonts w:ascii="Calibri" w:eastAsia="Times New Roman" w:hAnsi="Calibri"/>
      <w:i/>
      <w:color w:val="000000"/>
      <w:sz w:val="24"/>
      <w:lang w:val="en-GB" w:eastAsia="en-GB"/>
    </w:rPr>
  </w:style>
  <w:style w:type="paragraph" w:customStyle="1" w:styleId="12">
    <w:name w:val="(1"/>
    <w:pPr>
      <w:spacing w:after="160" w:line="240" w:lineRule="exact"/>
    </w:pPr>
    <w:rPr>
      <w:rFonts w:ascii="Times New Roman" w:eastAsia="Times New Roman" w:hAnsi="Times New Roman"/>
      <w:sz w:val="24"/>
      <w:lang w:val="en-US" w:eastAsia="en-GB"/>
    </w:rPr>
  </w:style>
  <w:style w:type="character" w:customStyle="1" w:styleId="style61">
    <w:name w:val="style61"/>
    <w:rPr>
      <w:rFonts w:ascii="Verdana" w:hAnsi="Verdana"/>
      <w:b/>
      <w:color w:val="808080"/>
      <w:sz w:val="24"/>
    </w:rPr>
  </w:style>
  <w:style w:type="paragraph" w:customStyle="1" w:styleId="Rvision1">
    <w:name w:val="Révision1"/>
    <w:rPr>
      <w:rFonts w:ascii="Times New Roman" w:eastAsia="Times New Roman" w:hAnsi="Times New Roman"/>
      <w:sz w:val="24"/>
      <w:lang w:val="en-US" w:eastAsia="en-GB"/>
    </w:rPr>
  </w:style>
  <w:style w:type="paragraph" w:customStyle="1" w:styleId="Bibliographie1">
    <w:name w:val="Bibliographie1"/>
    <w:basedOn w:val="Normal"/>
    <w:next w:val="Normal"/>
    <w:pPr>
      <w:spacing w:before="120" w:after="120"/>
      <w:ind w:left="1134"/>
      <w:jc w:val="both"/>
    </w:pPr>
    <w:rPr>
      <w:rFonts w:eastAsia="Times New Roman"/>
      <w:color w:val="auto"/>
    </w:rPr>
  </w:style>
  <w:style w:type="paragraph" w:customStyle="1" w:styleId="Sansinterligne1">
    <w:name w:val="Sans interligne1"/>
    <w:basedOn w:val="Normal"/>
    <w:rPr>
      <w:rFonts w:ascii="Arial" w:eastAsia="Times New Roman" w:hAnsi="Arial"/>
      <w:color w:val="auto"/>
    </w:rPr>
  </w:style>
  <w:style w:type="paragraph" w:customStyle="1" w:styleId="Citation1">
    <w:name w:val="Citation1"/>
    <w:basedOn w:val="Normal"/>
    <w:next w:val="Normal"/>
    <w:pPr>
      <w:spacing w:before="200"/>
      <w:ind w:left="360" w:right="360"/>
    </w:pPr>
    <w:rPr>
      <w:rFonts w:eastAsia="Times New Roman"/>
      <w:i/>
      <w:sz w:val="24"/>
    </w:rPr>
  </w:style>
  <w:style w:type="paragraph" w:customStyle="1" w:styleId="Citationintense1">
    <w:name w:val="Citation intense1"/>
    <w:basedOn w:val="Normal"/>
    <w:next w:val="Normal"/>
    <w:pPr>
      <w:pBdr>
        <w:bottom w:val="single" w:sz="6" w:space="1" w:color="auto"/>
      </w:pBdr>
      <w:spacing w:before="200" w:after="280"/>
      <w:ind w:left="1008" w:right="1152"/>
      <w:jc w:val="both"/>
    </w:pPr>
    <w:rPr>
      <w:rFonts w:eastAsia="Times New Roman"/>
      <w:b/>
      <w:i/>
      <w:color w:val="808080"/>
      <w:sz w:val="24"/>
    </w:rPr>
  </w:style>
  <w:style w:type="character" w:customStyle="1" w:styleId="Emphaseple1">
    <w:name w:val="Emphase pâle1"/>
    <w:rPr>
      <w:i/>
    </w:rPr>
  </w:style>
  <w:style w:type="character" w:customStyle="1" w:styleId="Emphaseintense1">
    <w:name w:val="Emphase intense1"/>
    <w:rPr>
      <w:b/>
    </w:rPr>
  </w:style>
  <w:style w:type="character" w:customStyle="1" w:styleId="Rfrenceple1">
    <w:name w:val="Référence pâle1"/>
    <w:rPr>
      <w:smallCaps/>
    </w:rPr>
  </w:style>
  <w:style w:type="character" w:customStyle="1" w:styleId="Rfrenceintense1">
    <w:name w:val="Référence intense1"/>
    <w:rPr>
      <w:smallCaps/>
      <w:spacing w:val="5"/>
      <w:u w:val="single"/>
    </w:rPr>
  </w:style>
  <w:style w:type="character" w:customStyle="1" w:styleId="Titredulivre1">
    <w:name w:val="Titre du livre1"/>
    <w:rPr>
      <w:i/>
      <w:smallCaps/>
      <w:spacing w:val="5"/>
    </w:rPr>
  </w:style>
  <w:style w:type="paragraph" w:customStyle="1" w:styleId="En-ttedetabledesmatires1">
    <w:name w:val="En-tête de table des matières1"/>
    <w:basedOn w:val="Heading1"/>
    <w:next w:val="Normal"/>
    <w:pPr>
      <w:keepLines/>
      <w:tabs>
        <w:tab w:val="left" w:pos="851"/>
        <w:tab w:val="left" w:pos="1134"/>
      </w:tabs>
      <w:spacing w:after="240" w:line="240" w:lineRule="auto"/>
      <w:ind w:left="1100" w:hanging="660"/>
      <w:jc w:val="left"/>
      <w:outlineLvl w:val="9"/>
    </w:pPr>
    <w:rPr>
      <w:rFonts w:ascii="Arial" w:eastAsia="Times New Roman" w:hAnsi="Arial"/>
      <w:color w:val="auto"/>
      <w:sz w:val="32"/>
      <w:lang w:val="nb-NO"/>
    </w:rPr>
  </w:style>
  <w:style w:type="paragraph" w:customStyle="1" w:styleId="BodyText11">
    <w:name w:val="Body Text11"/>
    <w:basedOn w:val="Normal"/>
    <w:rPr>
      <w:rFonts w:eastAsia="Times New Roman"/>
    </w:rPr>
  </w:style>
  <w:style w:type="paragraph" w:customStyle="1" w:styleId="paraindentFootnoteQPS">
    <w:name w:val="para indent Footnote QPS"/>
    <w:basedOn w:val="FootnoteText"/>
    <w:pPr>
      <w:widowControl/>
      <w:spacing w:after="0"/>
      <w:ind w:left="426" w:hanging="284"/>
    </w:pPr>
    <w:rPr>
      <w:rFonts w:ascii="Calibri" w:eastAsia="Times New Roman" w:hAnsi="Calibri"/>
      <w:color w:val="000000"/>
      <w:sz w:val="16"/>
      <w:lang w:val="en-NZ"/>
    </w:rPr>
  </w:style>
  <w:style w:type="paragraph" w:customStyle="1" w:styleId="yiv587168716msonormal">
    <w:name w:val="yiv587168716msonormal"/>
    <w:basedOn w:val="Normal"/>
    <w:pPr>
      <w:spacing w:before="100" w:after="100"/>
    </w:pPr>
    <w:rPr>
      <w:rFonts w:eastAsia="Times New Roman"/>
      <w:color w:val="auto"/>
      <w:sz w:val="24"/>
      <w:lang w:val="en-AU"/>
    </w:rPr>
  </w:style>
  <w:style w:type="paragraph" w:customStyle="1" w:styleId="Paragraphedeliste11">
    <w:name w:val="Paragraphe de liste11"/>
    <w:basedOn w:val="Normal"/>
    <w:pPr>
      <w:spacing w:after="240"/>
      <w:ind w:left="720"/>
    </w:pPr>
    <w:rPr>
      <w:rFonts w:eastAsia="Times New Roman"/>
    </w:rPr>
  </w:style>
  <w:style w:type="character" w:customStyle="1" w:styleId="CharChar8">
    <w:name w:val="Char Char8"/>
    <w:rPr>
      <w:rFonts w:ascii="Times New Roman" w:hAnsi="Times New Roman"/>
      <w:noProof w:val="0"/>
      <w:sz w:val="24"/>
      <w:lang w:val="x-none"/>
    </w:rPr>
  </w:style>
  <w:style w:type="character" w:customStyle="1" w:styleId="CharChar10">
    <w:name w:val="Char Char10"/>
    <w:rPr>
      <w:rFonts w:ascii="Times New Roman" w:hAnsi="Times New Roman"/>
      <w:noProof w:val="0"/>
      <w:color w:val="000000"/>
      <w:sz w:val="20"/>
      <w:lang w:val="en-GB"/>
    </w:rPr>
  </w:style>
  <w:style w:type="character" w:styleId="HTMLCite">
    <w:name w:val="HTML Cite"/>
    <w:rPr>
      <w:i/>
    </w:rPr>
  </w:style>
  <w:style w:type="character" w:customStyle="1" w:styleId="st">
    <w:name w:val="st"/>
  </w:style>
  <w:style w:type="paragraph" w:customStyle="1" w:styleId="TitleofManuscript">
    <w:name w:val="Title of Manuscript"/>
    <w:basedOn w:val="Normal"/>
    <w:rPr>
      <w:rFonts w:eastAsia="Times New Roman"/>
      <w:b/>
      <w:spacing w:val="-4"/>
      <w:sz w:val="32"/>
      <w:lang w:val="en-CA"/>
    </w:rPr>
  </w:style>
  <w:style w:type="character" w:customStyle="1" w:styleId="author2">
    <w:name w:val="author2"/>
  </w:style>
  <w:style w:type="character" w:customStyle="1" w:styleId="al-hide">
    <w:name w:val="al-hide"/>
  </w:style>
  <w:style w:type="character" w:customStyle="1" w:styleId="al-vis">
    <w:name w:val="al-vis"/>
  </w:style>
  <w:style w:type="character" w:customStyle="1" w:styleId="container2">
    <w:name w:val="container2"/>
  </w:style>
  <w:style w:type="character" w:customStyle="1" w:styleId="year">
    <w:name w:val="year"/>
  </w:style>
  <w:style w:type="paragraph" w:customStyle="1" w:styleId="Normal-pool">
    <w:name w:val="Normal-pool"/>
    <w:pPr>
      <w:tabs>
        <w:tab w:val="left" w:pos="1247"/>
        <w:tab w:val="left" w:pos="1814"/>
        <w:tab w:val="left" w:pos="2381"/>
        <w:tab w:val="left" w:pos="2948"/>
        <w:tab w:val="left" w:pos="3515"/>
        <w:tab w:val="left" w:pos="4082"/>
      </w:tabs>
    </w:pPr>
    <w:rPr>
      <w:rFonts w:ascii="Times New Roman" w:eastAsia="Times New Roman" w:hAnsi="Times New Roman"/>
      <w:lang w:val="en-GB" w:eastAsia="en-US"/>
    </w:rPr>
  </w:style>
  <w:style w:type="character" w:styleId="Strong">
    <w:name w:val="Strong"/>
    <w:qFormat/>
    <w:rPr>
      <w:b/>
      <w:bCs/>
    </w:rPr>
  </w:style>
  <w:style w:type="paragraph" w:customStyle="1" w:styleId="a5">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NormalNonumber">
    <w:name w:val="Normal_No_number"/>
    <w:basedOn w:val="Normal"/>
    <w:rsid w:val="00D55777"/>
    <w:pPr>
      <w:spacing w:after="120"/>
      <w:ind w:left="1247"/>
    </w:pPr>
    <w:rPr>
      <w:rFonts w:eastAsia="Times New Roman"/>
      <w:color w:val="auto"/>
      <w:sz w:val="20"/>
      <w:szCs w:val="20"/>
      <w:lang w:eastAsia="en-US"/>
    </w:rPr>
  </w:style>
  <w:style w:type="paragraph" w:customStyle="1" w:styleId="CH2">
    <w:name w:val="CH2"/>
    <w:basedOn w:val="Normal"/>
    <w:next w:val="Normalnumber"/>
    <w:rsid w:val="004F79DC"/>
    <w:pPr>
      <w:keepNext/>
      <w:keepLines/>
      <w:tabs>
        <w:tab w:val="right" w:pos="851"/>
        <w:tab w:val="left" w:pos="1247"/>
      </w:tabs>
      <w:suppressAutoHyphens/>
      <w:spacing w:before="80" w:after="120"/>
      <w:ind w:left="1247" w:right="284" w:hanging="1247"/>
    </w:pPr>
    <w:rPr>
      <w:rFonts w:eastAsia="Times New Roman"/>
      <w:b/>
      <w:color w:val="auto"/>
      <w:sz w:val="24"/>
      <w:lang w:eastAsia="en-US"/>
    </w:rPr>
  </w:style>
  <w:style w:type="table" w:styleId="TableGrid">
    <w:name w:val="Table Grid"/>
    <w:basedOn w:val="TableNormal"/>
    <w:uiPriority w:val="39"/>
    <w:rsid w:val="00843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1">
    <w:name w:val="Title1"/>
    <w:rsid w:val="00F3759D"/>
    <w:pPr>
      <w:jc w:val="center"/>
      <w:outlineLvl w:val="0"/>
    </w:pPr>
    <w:rPr>
      <w:rFonts w:ascii="Times New Roman" w:hAnsi="Times New Roman"/>
      <w:b/>
      <w:bCs/>
      <w:caps/>
      <w:sz w:val="24"/>
      <w:szCs w:val="24"/>
      <w:lang w:val="en-GB"/>
    </w:rPr>
  </w:style>
  <w:style w:type="paragraph" w:customStyle="1" w:styleId="List10">
    <w:name w:val="List1"/>
    <w:basedOn w:val="Normal"/>
    <w:autoRedefine/>
    <w:rsid w:val="00F3759D"/>
    <w:pPr>
      <w:tabs>
        <w:tab w:val="num" w:pos="810"/>
      </w:tabs>
      <w:spacing w:before="120" w:after="120"/>
      <w:ind w:left="810" w:hanging="360"/>
    </w:pPr>
    <w:rPr>
      <w:rFonts w:eastAsia="MS ??"/>
      <w:color w:val="auto"/>
    </w:rPr>
  </w:style>
  <w:style w:type="paragraph" w:customStyle="1" w:styleId="CommentSubject30">
    <w:name w:val="Comment Subject3"/>
    <w:basedOn w:val="CommentText"/>
    <w:next w:val="CommentText"/>
    <w:rsid w:val="00F3759D"/>
    <w:pPr>
      <w:widowControl w:val="0"/>
      <w:tabs>
        <w:tab w:val="clear" w:pos="720"/>
        <w:tab w:val="clear" w:pos="1440"/>
        <w:tab w:val="clear" w:pos="5760"/>
      </w:tabs>
      <w:spacing w:after="120"/>
    </w:pPr>
    <w:rPr>
      <w:rFonts w:eastAsia="Times New Roman"/>
      <w:b/>
      <w:bCs/>
      <w:kern w:val="2"/>
      <w:lang w:val="en-US"/>
    </w:rPr>
  </w:style>
  <w:style w:type="table" w:styleId="DarkList-Accent3">
    <w:name w:val="Dark List Accent 3"/>
    <w:basedOn w:val="TableNormal"/>
    <w:uiPriority w:val="61"/>
    <w:rsid w:val="00F3759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losingChar">
    <w:name w:val="Closing Char"/>
    <w:link w:val="Closing"/>
    <w:semiHidden/>
    <w:rsid w:val="00AA13B1"/>
    <w:rPr>
      <w:rFonts w:ascii="Times New Roman" w:hAnsi="Times New Roman"/>
      <w:color w:val="000000"/>
      <w:sz w:val="22"/>
      <w:szCs w:val="24"/>
      <w:lang w:val="en-GB" w:eastAsia="nl-NL"/>
    </w:rPr>
  </w:style>
  <w:style w:type="character" w:customStyle="1" w:styleId="FooterChar1">
    <w:name w:val="Footer Char1"/>
    <w:link w:val="Footer"/>
    <w:rsid w:val="0030116D"/>
    <w:rPr>
      <w:rFonts w:ascii="Times New Roman" w:hAnsi="Times New Roman"/>
      <w:color w:val="000000"/>
      <w:sz w:val="22"/>
      <w:szCs w:val="24"/>
      <w:lang w:val="en-GB" w:eastAsia="nl-NL"/>
    </w:rPr>
  </w:style>
  <w:style w:type="character" w:customStyle="1" w:styleId="BodyTextChar1">
    <w:name w:val="Body Text Char1"/>
    <w:aliases w:val="Char Char Char4,Body Text Char Char Char Char Char Char1,Body Text Char Char Char Char Char11,Char Char3 Char1"/>
    <w:semiHidden/>
    <w:locked/>
    <w:rsid w:val="00F42B63"/>
    <w:rPr>
      <w:rFonts w:ascii="Times New Roman" w:eastAsia="SimSun" w:hAnsi="Times New Roman" w:cs="Times New Roman" w:hint="default"/>
      <w:color w:val="000000"/>
      <w:szCs w:val="24"/>
      <w:lang w:val="en-GB" w:eastAsia="nl-NL"/>
    </w:rPr>
  </w:style>
  <w:style w:type="character" w:customStyle="1" w:styleId="BodyTextChar2">
    <w:name w:val="Body Text Char2"/>
    <w:uiPriority w:val="99"/>
    <w:semiHidden/>
    <w:rsid w:val="00F42B63"/>
    <w:rPr>
      <w:rFonts w:ascii="Times New Roman" w:eastAsia="Times New Roman" w:hAnsi="Times New Roman"/>
      <w:sz w:val="24"/>
      <w:lang w:val="en-US" w:eastAsia="fr-FR"/>
    </w:rPr>
  </w:style>
  <w:style w:type="character" w:customStyle="1" w:styleId="BodyTextChar3">
    <w:name w:val="Body Text Char3"/>
    <w:aliases w:val=" Char Char Char,Body Text Char Char Char Char Char Char2,Body Text Char Char Char Char Char2,Char Char3 Char2"/>
    <w:link w:val="BodyText"/>
    <w:semiHidden/>
    <w:rsid w:val="00F42B63"/>
    <w:rPr>
      <w:rFonts w:ascii="Times New Roman" w:hAnsi="Times New Roman"/>
      <w:color w:val="000000"/>
      <w:sz w:val="22"/>
      <w:szCs w:val="24"/>
      <w:lang w:val="en-GB"/>
    </w:rPr>
  </w:style>
  <w:style w:type="paragraph" w:styleId="ListParagraph">
    <w:name w:val="List Paragraph"/>
    <w:basedOn w:val="Normal"/>
    <w:uiPriority w:val="34"/>
    <w:qFormat/>
    <w:rsid w:val="00F82BCB"/>
    <w:pPr>
      <w:autoSpaceDE w:val="0"/>
      <w:autoSpaceDN w:val="0"/>
      <w:ind w:left="720"/>
    </w:pPr>
    <w:rPr>
      <w:rFonts w:ascii="Cambria" w:eastAsia="Times New Roman" w:hAnsi="Cambria"/>
      <w:color w:val="auto"/>
    </w:rPr>
  </w:style>
  <w:style w:type="paragraph" w:styleId="Revision">
    <w:name w:val="Revision"/>
    <w:rsid w:val="00F82BCB"/>
    <w:rPr>
      <w:rFonts w:ascii="Times New Roman" w:eastAsia="Times New Roman" w:hAnsi="Times New Roman"/>
      <w:sz w:val="24"/>
      <w:lang w:val="en-US" w:eastAsia="en-GB"/>
    </w:rPr>
  </w:style>
  <w:style w:type="paragraph" w:styleId="Bibliography">
    <w:name w:val="Bibliography"/>
    <w:basedOn w:val="Normal"/>
    <w:next w:val="Normal"/>
    <w:rsid w:val="00F82BCB"/>
    <w:pPr>
      <w:spacing w:before="120" w:after="120"/>
      <w:ind w:left="1134"/>
      <w:jc w:val="both"/>
    </w:pPr>
    <w:rPr>
      <w:rFonts w:eastAsia="Times New Roman"/>
      <w:color w:val="auto"/>
    </w:rPr>
  </w:style>
  <w:style w:type="paragraph" w:customStyle="1" w:styleId="NoteLevel2">
    <w:name w:val="Note Level 2"/>
    <w:basedOn w:val="Normal"/>
    <w:rsid w:val="00F82BCB"/>
    <w:rPr>
      <w:rFonts w:ascii="Arial" w:eastAsia="Times New Roman" w:hAnsi="Arial"/>
      <w:color w:val="auto"/>
    </w:rPr>
  </w:style>
  <w:style w:type="paragraph" w:styleId="Quote">
    <w:name w:val="Quote"/>
    <w:basedOn w:val="Normal"/>
    <w:next w:val="Normal"/>
    <w:link w:val="QuoteChar"/>
    <w:qFormat/>
    <w:rsid w:val="00F82BCB"/>
    <w:pPr>
      <w:spacing w:before="200"/>
      <w:ind w:left="360" w:right="360"/>
    </w:pPr>
    <w:rPr>
      <w:i/>
      <w:sz w:val="24"/>
      <w:szCs w:val="20"/>
      <w:lang w:val="nl-NL"/>
    </w:rPr>
  </w:style>
  <w:style w:type="character" w:customStyle="1" w:styleId="QuoteChar1">
    <w:name w:val="Quote Char1"/>
    <w:rsid w:val="00F82BCB"/>
    <w:rPr>
      <w:rFonts w:ascii="Times New Roman" w:hAnsi="Times New Roman"/>
      <w:i/>
      <w:iCs/>
      <w:color w:val="404040"/>
      <w:sz w:val="22"/>
      <w:szCs w:val="24"/>
      <w:lang w:val="en-GB"/>
    </w:rPr>
  </w:style>
  <w:style w:type="paragraph" w:styleId="IntenseQuote">
    <w:name w:val="Intense Quote"/>
    <w:basedOn w:val="Normal"/>
    <w:next w:val="Normal"/>
    <w:link w:val="IntenseQuoteChar"/>
    <w:qFormat/>
    <w:rsid w:val="00F82BCB"/>
    <w:pPr>
      <w:pBdr>
        <w:bottom w:val="single" w:sz="6" w:space="1" w:color="auto"/>
      </w:pBdr>
      <w:spacing w:before="200" w:after="280"/>
      <w:ind w:left="1008" w:right="1152"/>
      <w:jc w:val="both"/>
    </w:pPr>
    <w:rPr>
      <w:b/>
      <w:i/>
      <w:color w:val="808080"/>
      <w:sz w:val="24"/>
      <w:szCs w:val="20"/>
      <w:lang w:val="nl-NL"/>
    </w:rPr>
  </w:style>
  <w:style w:type="character" w:customStyle="1" w:styleId="IntenseQuoteChar1">
    <w:name w:val="Intense Quote Char1"/>
    <w:rsid w:val="00F82BCB"/>
    <w:rPr>
      <w:rFonts w:ascii="Times New Roman" w:hAnsi="Times New Roman"/>
      <w:i/>
      <w:iCs/>
      <w:color w:val="5B9BD5"/>
      <w:sz w:val="22"/>
      <w:szCs w:val="24"/>
      <w:lang w:val="en-GB"/>
    </w:rPr>
  </w:style>
  <w:style w:type="character" w:styleId="SubtleEmphasis">
    <w:name w:val="Subtle Emphasis"/>
    <w:qFormat/>
    <w:rsid w:val="00F82BCB"/>
    <w:rPr>
      <w:i/>
    </w:rPr>
  </w:style>
  <w:style w:type="character" w:styleId="IntenseEmphasis">
    <w:name w:val="Intense Emphasis"/>
    <w:qFormat/>
    <w:rsid w:val="00F82BCB"/>
    <w:rPr>
      <w:b/>
    </w:rPr>
  </w:style>
  <w:style w:type="character" w:styleId="SubtleReference">
    <w:name w:val="Subtle Reference"/>
    <w:qFormat/>
    <w:rsid w:val="00F82BCB"/>
    <w:rPr>
      <w:smallCaps/>
    </w:rPr>
  </w:style>
  <w:style w:type="character" w:styleId="IntenseReference">
    <w:name w:val="Intense Reference"/>
    <w:qFormat/>
    <w:rsid w:val="00F82BCB"/>
    <w:rPr>
      <w:smallCaps/>
      <w:spacing w:val="5"/>
      <w:u w:val="single"/>
    </w:rPr>
  </w:style>
  <w:style w:type="character" w:styleId="BookTitle">
    <w:name w:val="Book Title"/>
    <w:qFormat/>
    <w:rsid w:val="00F82BCB"/>
    <w:rPr>
      <w:i/>
      <w:smallCaps/>
      <w:spacing w:val="5"/>
    </w:rPr>
  </w:style>
  <w:style w:type="paragraph" w:styleId="TOCHeading">
    <w:name w:val="TOC Heading"/>
    <w:basedOn w:val="Heading1"/>
    <w:next w:val="Normal"/>
    <w:qFormat/>
    <w:rsid w:val="00F82BCB"/>
    <w:pPr>
      <w:keepLines/>
      <w:tabs>
        <w:tab w:val="left" w:pos="1134"/>
      </w:tabs>
      <w:spacing w:after="240" w:line="240" w:lineRule="auto"/>
      <w:ind w:left="0" w:firstLine="0"/>
      <w:jc w:val="left"/>
      <w:outlineLvl w:val="9"/>
    </w:pPr>
    <w:rPr>
      <w:rFonts w:ascii="Arial" w:eastAsia="Times New Roman" w:hAnsi="Arial"/>
      <w:color w:val="auto"/>
      <w:sz w:val="32"/>
    </w:rPr>
  </w:style>
  <w:style w:type="table" w:styleId="LightList-Accent3">
    <w:name w:val="Light List Accent 3"/>
    <w:basedOn w:val="TableNormal"/>
    <w:uiPriority w:val="61"/>
    <w:rsid w:val="00F82BC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leChar1">
    <w:name w:val="Title Char1"/>
    <w:link w:val="Title"/>
    <w:rsid w:val="001F455C"/>
    <w:rPr>
      <w:rFonts w:ascii="Calibri" w:eastAsia="MS ????" w:hAnsi="Calibri"/>
      <w:color w:val="000080"/>
      <w:spacing w:val="5"/>
      <w:kern w:val="28"/>
      <w:sz w:val="52"/>
      <w:szCs w:val="5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table of figures" w:uiPriority="0"/>
    <w:lsdException w:name="envelope address" w:uiPriority="0"/>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3" w:uiPriority="0"/>
    <w:lsdException w:name="List Bullet 4" w:uiPriority="0"/>
    <w:lsdException w:name="List Number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HTML Variabl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34" w:unhideWhenUsed="0" w:qFormat="1"/>
    <w:lsdException w:name="Colorful Grid Accent 1" w:semiHidden="0" w:uiPriority="0" w:unhideWhenUsed="0" w:qFormat="1"/>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6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DC1D14"/>
    <w:rPr>
      <w:rFonts w:ascii="Times New Roman" w:hAnsi="Times New Roman"/>
      <w:color w:val="000000"/>
      <w:sz w:val="22"/>
      <w:szCs w:val="24"/>
      <w:lang w:val="en-GB"/>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2 Char1 Char Ch"/>
    <w:basedOn w:val="Normal"/>
    <w:next w:val="Normal"/>
    <w:qFormat/>
    <w:pPr>
      <w:keepNext/>
      <w:spacing w:after="120" w:line="240" w:lineRule="atLeast"/>
      <w:ind w:left="1077" w:hanging="1077"/>
      <w:jc w:val="both"/>
      <w:outlineLvl w:val="0"/>
    </w:pPr>
    <w:rPr>
      <w:b/>
      <w:bCs/>
      <w:sz w:val="28"/>
      <w:szCs w:val="28"/>
    </w:rPr>
  </w:style>
  <w:style w:type="paragraph" w:styleId="Heading2">
    <w:name w:val="heading 2"/>
    <w:aliases w:val="SubPara (a),Heading 2 Char,Heading 2 Char1 Char,Heading 2 Char Char Char,SubPara (a) Char Char Char,Heading 2 Char3 Char Char Char,Heading 2 Char Char2 Char Char Char,Heading 2 Char1 Char Char1 Char Char Char,Heading 2 Char3"/>
    <w:basedOn w:val="Normal"/>
    <w:next w:val="Normal"/>
    <w:qFormat/>
    <w:rsid w:val="008D5F11"/>
    <w:pPr>
      <w:keepNext/>
      <w:numPr>
        <w:ilvl w:val="1"/>
      </w:numPr>
      <w:tabs>
        <w:tab w:val="num" w:pos="578"/>
        <w:tab w:val="left" w:pos="1080"/>
      </w:tabs>
      <w:spacing w:after="120" w:line="240" w:lineRule="atLeast"/>
      <w:ind w:left="578" w:hanging="578"/>
      <w:outlineLvl w:val="1"/>
    </w:pPr>
    <w:rPr>
      <w:b/>
      <w:bCs/>
      <w:sz w:val="24"/>
      <w:lang w:eastAsia="ja-JP"/>
    </w:rPr>
  </w:style>
  <w:style w:type="paragraph" w:styleId="Heading3">
    <w:name w:val="heading 3"/>
    <w:aliases w:val="Char,Char Char,Heading 3 Char,Heading 3 Char1,Heading 3 Char Char,Char Char Char,Char Char1,Heading 3 Char1 Char,Heading 3 Char Char Char,Char Char Char Char,Char Char1 Char,Heading 3 Char2,Char Char2,Char Char Char1,Heading 3 Char Char1,H"/>
    <w:basedOn w:val="Normal"/>
    <w:next w:val="Normal"/>
    <w:qFormat/>
    <w:pPr>
      <w:keepNext/>
      <w:tabs>
        <w:tab w:val="left" w:pos="1080"/>
        <w:tab w:val="left" w:pos="1134"/>
      </w:tabs>
      <w:spacing w:after="120" w:line="240" w:lineRule="atLeast"/>
      <w:ind w:left="1077" w:hanging="1077"/>
      <w:outlineLvl w:val="2"/>
    </w:pPr>
    <w:rPr>
      <w:b/>
      <w:bCs/>
      <w:i/>
      <w:iCs/>
    </w:rPr>
  </w:style>
  <w:style w:type="paragraph" w:styleId="Heading4">
    <w:name w:val="heading 4"/>
    <w:aliases w:val="MainPara"/>
    <w:basedOn w:val="Normal"/>
    <w:next w:val="Normal"/>
    <w:qFormat/>
    <w:pPr>
      <w:keepNext/>
      <w:widowControl w:val="0"/>
      <w:tabs>
        <w:tab w:val="left" w:pos="1080"/>
      </w:tabs>
      <w:spacing w:after="120"/>
      <w:jc w:val="both"/>
      <w:outlineLvl w:val="3"/>
    </w:pPr>
    <w:rPr>
      <w:b/>
      <w:bCs/>
      <w:i/>
      <w:iCs/>
    </w:rPr>
  </w:style>
  <w:style w:type="paragraph" w:styleId="Heading5">
    <w:name w:val="heading 5"/>
    <w:aliases w:val="Subpara 2"/>
    <w:basedOn w:val="Normal"/>
    <w:next w:val="Normal"/>
    <w:qFormat/>
    <w:pPr>
      <w:keepNext/>
      <w:widowControl w:val="0"/>
      <w:tabs>
        <w:tab w:val="left" w:pos="2160"/>
        <w:tab w:val="left" w:pos="2880"/>
        <w:tab w:val="left" w:pos="3600"/>
        <w:tab w:val="left" w:pos="4320"/>
        <w:tab w:val="left" w:pos="5040"/>
        <w:tab w:val="left" w:pos="6480"/>
        <w:tab w:val="left" w:pos="7200"/>
        <w:tab w:val="left" w:pos="7920"/>
      </w:tabs>
      <w:outlineLvl w:val="4"/>
    </w:pPr>
    <w:rPr>
      <w:b/>
      <w:bCs/>
      <w:sz w:val="28"/>
      <w:szCs w:val="28"/>
    </w:rPr>
  </w:style>
  <w:style w:type="paragraph" w:styleId="Heading6">
    <w:name w:val="heading 6"/>
    <w:aliases w:val="Subpara 3"/>
    <w:basedOn w:val="Normal"/>
    <w:next w:val="Normal"/>
    <w:qFormat/>
    <w:pPr>
      <w:keepNext/>
      <w:tabs>
        <w:tab w:val="left" w:pos="230"/>
        <w:tab w:val="left" w:pos="1877"/>
      </w:tabs>
      <w:spacing w:before="48"/>
      <w:ind w:left="900"/>
      <w:outlineLvl w:val="5"/>
    </w:pPr>
    <w:rPr>
      <w:b/>
      <w:bCs/>
    </w:rPr>
  </w:style>
  <w:style w:type="paragraph" w:styleId="Heading7">
    <w:name w:val="heading 7"/>
    <w:aliases w:val="Subpara 4"/>
    <w:basedOn w:val="Normal"/>
    <w:next w:val="Normal"/>
    <w:qFormat/>
    <w:pPr>
      <w:keepNext/>
      <w:spacing w:before="48"/>
      <w:ind w:left="163"/>
      <w:jc w:val="center"/>
      <w:outlineLvl w:val="6"/>
    </w:pPr>
    <w:rPr>
      <w:b/>
      <w:bCs/>
    </w:rPr>
  </w:style>
  <w:style w:type="paragraph" w:styleId="Heading8">
    <w:name w:val="heading 8"/>
    <w:aliases w:val="Subpara 5"/>
    <w:basedOn w:val="Normal"/>
    <w:next w:val="Normal"/>
    <w:qFormat/>
    <w:pPr>
      <w:keepNext/>
      <w:tabs>
        <w:tab w:val="left" w:pos="1440"/>
        <w:tab w:val="left" w:pos="2160"/>
        <w:tab w:val="left" w:pos="2880"/>
        <w:tab w:val="left" w:pos="3600"/>
        <w:tab w:val="left" w:pos="6480"/>
        <w:tab w:val="left" w:pos="7290"/>
        <w:tab w:val="left" w:pos="7920"/>
        <w:tab w:val="left" w:pos="8640"/>
      </w:tabs>
      <w:spacing w:line="240" w:lineRule="exact"/>
      <w:outlineLvl w:val="7"/>
    </w:pPr>
    <w:rPr>
      <w:b/>
      <w:bCs/>
    </w:rPr>
  </w:style>
  <w:style w:type="paragraph" w:styleId="Heading9">
    <w:name w:val="heading 9"/>
    <w:aliases w:val="Subpara 6"/>
    <w:basedOn w:val="Normal"/>
    <w:next w:val="Normal"/>
    <w:qFormat/>
    <w:pPr>
      <w:keepNext/>
      <w:tabs>
        <w:tab w:val="left" w:pos="0"/>
      </w:tabs>
      <w:suppressAutoHyphens/>
      <w:ind w:hanging="567"/>
      <w:outlineLvl w:val="8"/>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Body Text Char Char Char Char Char,Body Text Char Char Char Char,Char Char3"/>
    <w:basedOn w:val="Normal"/>
    <w:link w:val="BodyTextChar3"/>
    <w:semiHidden/>
    <w:pPr>
      <w:spacing w:line="240" w:lineRule="atLeast"/>
    </w:p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emiHidden/>
  </w:style>
  <w:style w:type="paragraph" w:styleId="Header">
    <w:name w:val="header"/>
    <w:aliases w:val="EthylHeader"/>
    <w:basedOn w:val="Normal"/>
    <w:uiPriority w:val="99"/>
    <w:pPr>
      <w:tabs>
        <w:tab w:val="center" w:pos="4320"/>
        <w:tab w:val="right" w:pos="8640"/>
      </w:tabs>
    </w:pPr>
  </w:style>
  <w:style w:type="paragraph" w:customStyle="1" w:styleId="ChapterHeading">
    <w:name w:val="Chapter Heading"/>
    <w:basedOn w:val="Heading1"/>
  </w:style>
  <w:style w:type="paragraph" w:styleId="BodyTextIndent2">
    <w:name w:val="Body Text Indent 2"/>
    <w:basedOn w:val="Normal"/>
    <w:semiHidden/>
    <w:pPr>
      <w:widowControl w:val="0"/>
      <w:ind w:left="720" w:hanging="720"/>
      <w:jc w:val="both"/>
    </w:pPr>
    <w:rPr>
      <w:b/>
      <w:bCs/>
      <w:sz w:val="32"/>
      <w:szCs w:val="32"/>
    </w:rPr>
  </w:style>
  <w:style w:type="paragraph" w:customStyle="1" w:styleId="Sectionheading">
    <w:name w:val="Section heading"/>
    <w:basedOn w:val="Heading2"/>
  </w:style>
  <w:style w:type="paragraph" w:customStyle="1" w:styleId="Sectionsub-heading">
    <w:name w:val="Section sub-heading"/>
    <w:basedOn w:val="Heading3"/>
  </w:style>
  <w:style w:type="paragraph" w:customStyle="1" w:styleId="Bullet">
    <w:name w:val="Bullet"/>
    <w:basedOn w:val="Normal"/>
    <w:pPr>
      <w:numPr>
        <w:numId w:val="1"/>
      </w:numPr>
      <w:spacing w:before="120"/>
      <w:ind w:left="144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
    <w:semiHidden/>
    <w:rPr>
      <w:vertAlign w:val="superscript"/>
    </w:rPr>
  </w:style>
  <w:style w:type="paragraph" w:styleId="ListBullet">
    <w:name w:val="List Bullet"/>
    <w:basedOn w:val="Normal"/>
    <w:semiHidden/>
    <w:pPr>
      <w:widowControl w:val="0"/>
      <w:spacing w:after="240"/>
      <w:ind w:left="425" w:hanging="425"/>
    </w:pPr>
    <w:rPr>
      <w:color w:val="auto"/>
    </w:rPr>
  </w:style>
  <w:style w:type="paragraph" w:styleId="ListNumber">
    <w:name w:val="List Number"/>
    <w:basedOn w:val="Normal"/>
    <w:semiHidden/>
    <w:pPr>
      <w:widowControl w:val="0"/>
      <w:spacing w:before="120"/>
      <w:ind w:left="1512" w:hanging="432"/>
    </w:pPr>
    <w:rPr>
      <w:color w:val="auto"/>
    </w:rPr>
  </w:style>
  <w:style w:type="paragraph" w:styleId="FootnoteText">
    <w:name w:val="footnote text"/>
    <w:aliases w:val="Fußnotentextf,Geneva 9,Font: Geneva 9,Boston 10,f,-E Fußnotentext,Fußnotentext Ursprung,-E Fußnotentext1,-E Fußnotentext2,-E Fußnotentext3,Fußnotentext Char1,Fußnotentext Char Char,Fußnotentext Char1 Char Char"/>
    <w:basedOn w:val="Normal"/>
    <w:semiHidden/>
    <w:pPr>
      <w:widowControl w:val="0"/>
      <w:spacing w:after="240"/>
    </w:pPr>
    <w:rPr>
      <w:color w:val="auto"/>
      <w:sz w:val="20"/>
      <w:szCs w:val="20"/>
    </w:rPr>
  </w:style>
  <w:style w:type="paragraph" w:customStyle="1" w:styleId="HTOCReport">
    <w:name w:val="HTOC Report"/>
    <w:basedOn w:val="Normal"/>
    <w:rPr>
      <w:rFonts w:ascii="Times" w:hAnsi="Times" w:cs="Arial Unicode MS"/>
      <w:color w:val="auto"/>
    </w:rPr>
  </w:style>
  <w:style w:type="paragraph" w:customStyle="1" w:styleId="Style1">
    <w:name w:val="Style1"/>
    <w:basedOn w:val="Normal"/>
    <w:pPr>
      <w:tabs>
        <w:tab w:val="left" w:pos="720"/>
        <w:tab w:val="left" w:pos="1440"/>
        <w:tab w:val="left" w:pos="5760"/>
      </w:tabs>
      <w:jc w:val="both"/>
    </w:pPr>
    <w:rPr>
      <w:rFonts w:ascii="Symbol" w:hAnsi="Symbol"/>
      <w:color w:val="auto"/>
    </w:rPr>
  </w:style>
  <w:style w:type="character" w:styleId="CommentReference">
    <w:name w:val="annotation reference"/>
    <w:uiPriority w:val="99"/>
    <w:semiHidden/>
    <w:rPr>
      <w:sz w:val="16"/>
      <w:szCs w:val="16"/>
    </w:rPr>
  </w:style>
  <w:style w:type="paragraph" w:styleId="CommentText">
    <w:name w:val="annotation text"/>
    <w:basedOn w:val="Normal"/>
    <w:semiHidden/>
    <w:pPr>
      <w:tabs>
        <w:tab w:val="left" w:pos="720"/>
        <w:tab w:val="left" w:pos="1440"/>
        <w:tab w:val="left" w:pos="5760"/>
      </w:tabs>
      <w:jc w:val="both"/>
    </w:pPr>
    <w:rPr>
      <w:color w:val="auto"/>
      <w:sz w:val="20"/>
      <w:szCs w:val="20"/>
    </w:rPr>
  </w:style>
  <w:style w:type="paragraph" w:styleId="BodyTextIndent">
    <w:name w:val="Body Text Indent"/>
    <w:basedOn w:val="Normal"/>
    <w:semiHidden/>
    <w:pPr>
      <w:tabs>
        <w:tab w:val="left" w:pos="720"/>
        <w:tab w:val="center" w:pos="3870"/>
        <w:tab w:val="left" w:pos="4320"/>
        <w:tab w:val="left" w:pos="5040"/>
        <w:tab w:val="left" w:pos="6480"/>
        <w:tab w:val="left" w:pos="7200"/>
        <w:tab w:val="left" w:pos="7920"/>
      </w:tabs>
      <w:ind w:left="709" w:hanging="709"/>
      <w:jc w:val="both"/>
    </w:pPr>
    <w:rPr>
      <w:color w:val="auto"/>
    </w:rPr>
  </w:style>
  <w:style w:type="paragraph" w:styleId="BodyTextIndent3">
    <w:name w:val="Body Text Indent 3"/>
    <w:basedOn w:val="Normal"/>
    <w:semiHidden/>
    <w:pPr>
      <w:tabs>
        <w:tab w:val="left" w:pos="1134"/>
        <w:tab w:val="left" w:pos="4230"/>
      </w:tabs>
      <w:ind w:left="1134" w:hanging="1134"/>
    </w:pPr>
    <w:rPr>
      <w:i/>
      <w:iCs/>
      <w:color w:val="auto"/>
    </w:rPr>
  </w:style>
  <w:style w:type="paragraph" w:styleId="BodyText2">
    <w:name w:val="Body Text 2"/>
    <w:basedOn w:val="Normal"/>
    <w:semiHidden/>
    <w:pPr>
      <w:jc w:val="both"/>
    </w:pPr>
    <w:rPr>
      <w:color w:val="auto"/>
      <w:sz w:val="32"/>
      <w:szCs w:val="32"/>
    </w:rPr>
  </w:style>
  <w:style w:type="paragraph" w:styleId="BodyText3">
    <w:name w:val="Body Text 3"/>
    <w:basedOn w:val="Normal"/>
    <w:semiHidden/>
    <w:pPr>
      <w:spacing w:before="120" w:after="120"/>
      <w:jc w:val="both"/>
    </w:pPr>
    <w:rPr>
      <w:color w:val="auto"/>
      <w:lang w:val="en-AU"/>
    </w:rPr>
  </w:style>
  <w:style w:type="paragraph" w:styleId="TOC1">
    <w:name w:val="toc 1"/>
    <w:basedOn w:val="Normal"/>
    <w:next w:val="Normal"/>
    <w:autoRedefine/>
    <w:uiPriority w:val="39"/>
    <w:pPr>
      <w:keepNext/>
      <w:tabs>
        <w:tab w:val="left" w:pos="425"/>
        <w:tab w:val="right" w:leader="dot" w:pos="9000"/>
      </w:tabs>
      <w:spacing w:before="120"/>
      <w:ind w:left="425" w:hanging="425"/>
    </w:pPr>
    <w:rPr>
      <w:b/>
      <w:caps/>
      <w:noProof/>
      <w:sz w:val="20"/>
    </w:rPr>
  </w:style>
  <w:style w:type="paragraph" w:styleId="TOC2">
    <w:name w:val="toc 2"/>
    <w:basedOn w:val="Normal"/>
    <w:next w:val="Normal"/>
    <w:autoRedefine/>
    <w:uiPriority w:val="39"/>
    <w:pPr>
      <w:tabs>
        <w:tab w:val="left" w:pos="426"/>
        <w:tab w:val="left" w:pos="851"/>
        <w:tab w:val="right" w:pos="9000"/>
      </w:tabs>
      <w:ind w:left="709" w:hanging="709"/>
    </w:pPr>
    <w:rPr>
      <w:smallCaps/>
      <w:noProof/>
      <w:sz w:val="20"/>
    </w:rPr>
  </w:style>
  <w:style w:type="paragraph" w:styleId="TOC3">
    <w:name w:val="toc 3"/>
    <w:basedOn w:val="Normal"/>
    <w:next w:val="Normal"/>
    <w:autoRedefine/>
    <w:uiPriority w:val="39"/>
    <w:pPr>
      <w:tabs>
        <w:tab w:val="right" w:leader="dot" w:pos="9000"/>
      </w:tabs>
      <w:ind w:left="1170" w:hanging="690"/>
    </w:pPr>
    <w:rPr>
      <w:i/>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BlockText">
    <w:name w:val="Block Text"/>
    <w:basedOn w:val="Normal"/>
    <w:semiHidden/>
    <w:pPr>
      <w:suppressAutoHyphens/>
      <w:ind w:right="216"/>
    </w:pPr>
    <w:rPr>
      <w:szCs w:val="22"/>
    </w:rPr>
  </w:style>
  <w:style w:type="paragraph" w:customStyle="1" w:styleId="Decision">
    <w:name w:val="Decision"/>
    <w:basedOn w:val="Normal"/>
    <w:pPr>
      <w:keepLines/>
      <w:jc w:val="right"/>
    </w:pPr>
    <w:rPr>
      <w:b/>
      <w:bCs/>
      <w:color w:val="auto"/>
    </w:rPr>
  </w:style>
  <w:style w:type="paragraph" w:customStyle="1" w:styleId="sub-title">
    <w:name w:val="sub-title"/>
    <w:pPr>
      <w:jc w:val="both"/>
      <w:outlineLvl w:val="0"/>
    </w:pPr>
    <w:rPr>
      <w:rFonts w:ascii="Times New Roman" w:hAnsi="Times New Roman"/>
      <w:b/>
      <w:bCs/>
      <w:noProof/>
      <w:sz w:val="24"/>
      <w:szCs w:val="24"/>
    </w:rPr>
  </w:style>
  <w:style w:type="paragraph" w:customStyle="1" w:styleId="Title1">
    <w:name w:val="Title1"/>
    <w:pPr>
      <w:jc w:val="center"/>
      <w:outlineLvl w:val="0"/>
    </w:pPr>
    <w:rPr>
      <w:rFonts w:ascii="Times New Roman" w:hAnsi="Times New Roman"/>
      <w:b/>
      <w:bCs/>
      <w:caps/>
      <w:sz w:val="24"/>
      <w:szCs w:val="24"/>
      <w:lang w:val="en-GB"/>
    </w:rPr>
  </w:style>
  <w:style w:type="paragraph" w:customStyle="1" w:styleId="StyleHeading2SubParaaHeading2Char2SubParaaChar1Headi">
    <w:name w:val="Style Heading 2SubPara (a)Heading 2 Char2SubPara (a) Char1Headi..."/>
    <w:basedOn w:val="Heading2"/>
    <w:pPr>
      <w:keepNext w:val="0"/>
      <w:widowControl w:val="0"/>
      <w:tabs>
        <w:tab w:val="num" w:pos="360"/>
      </w:tabs>
      <w:spacing w:after="240" w:line="240" w:lineRule="auto"/>
      <w:ind w:left="1440" w:hanging="720"/>
      <w:jc w:val="both"/>
    </w:pPr>
    <w:rPr>
      <w:b w:val="0"/>
      <w:bCs w:val="0"/>
      <w:color w:val="auto"/>
      <w:lang w:eastAsia="en-US"/>
    </w:rPr>
  </w:style>
  <w:style w:type="paragraph" w:styleId="Caption">
    <w:name w:val="caption"/>
    <w:basedOn w:val="Normal"/>
    <w:next w:val="Normal"/>
    <w:qFormat/>
    <w:pPr>
      <w:pBdr>
        <w:bottom w:val="single" w:sz="6" w:space="1" w:color="auto"/>
      </w:pBdr>
      <w:tabs>
        <w:tab w:val="right" w:pos="9639"/>
      </w:tabs>
      <w:jc w:val="center"/>
    </w:pPr>
    <w:rPr>
      <w:b/>
      <w:bCs/>
      <w:i/>
      <w:iCs/>
      <w:color w:val="auto"/>
      <w:szCs w:val="22"/>
      <w:lang w:val="nl-NL" w:eastAsia="en-US"/>
    </w:rPr>
  </w:style>
  <w:style w:type="character" w:styleId="Hyperlink">
    <w:name w:val="Hyperlink"/>
    <w:semiHidden/>
    <w:rPr>
      <w:color w:val="0000FF"/>
      <w:u w:val="single"/>
    </w:rPr>
  </w:style>
  <w:style w:type="paragraph" w:customStyle="1" w:styleId="Table">
    <w:name w:val="Table"/>
    <w:basedOn w:val="Normal"/>
    <w:pPr>
      <w:keepLines/>
      <w:ind w:left="72" w:right="72"/>
    </w:pPr>
    <w:rPr>
      <w:snapToGrid w:val="0"/>
      <w:sz w:val="20"/>
      <w:szCs w:val="20"/>
      <w:lang w:eastAsia="zh-CN"/>
    </w:rPr>
  </w:style>
  <w:style w:type="paragraph" w:styleId="BalloonText">
    <w:name w:val="Balloon Text"/>
    <w:basedOn w:val="Normal"/>
    <w:rPr>
      <w:sz w:val="18"/>
      <w:szCs w:val="18"/>
    </w:rPr>
  </w:style>
  <w:style w:type="paragraph" w:styleId="CommentSubject">
    <w:name w:val="annotation subject"/>
    <w:basedOn w:val="CommentText"/>
    <w:next w:val="CommentText"/>
    <w:semiHidden/>
    <w:pPr>
      <w:tabs>
        <w:tab w:val="clear" w:pos="720"/>
        <w:tab w:val="clear" w:pos="1440"/>
        <w:tab w:val="clear" w:pos="5760"/>
      </w:tabs>
      <w:ind w:left="1080"/>
      <w:jc w:val="left"/>
    </w:pPr>
    <w:rPr>
      <w:b/>
      <w:bCs/>
      <w:color w:val="000000"/>
      <w:lang w:val="en-US"/>
    </w:rPr>
  </w:style>
  <w:style w:type="character" w:customStyle="1" w:styleId="KoptekstChar">
    <w:name w:val="Koptekst Char"/>
    <w:semiHidden/>
    <w:rPr>
      <w:rFonts w:ascii="Times New Roman" w:hAnsi="Times New Roman"/>
      <w:color w:val="000000"/>
      <w:sz w:val="24"/>
      <w:szCs w:val="24"/>
      <w:lang w:eastAsia="nl-NL"/>
    </w:rPr>
  </w:style>
  <w:style w:type="paragraph" w:customStyle="1" w:styleId="ExecSumTitle">
    <w:name w:val="ExecSumTitle"/>
    <w:basedOn w:val="BodyText"/>
    <w:pPr>
      <w:widowControl w:val="0"/>
      <w:spacing w:before="240" w:after="120" w:line="240" w:lineRule="auto"/>
      <w:jc w:val="both"/>
    </w:pPr>
    <w:rPr>
      <w:rFonts w:eastAsia="Times New Roman"/>
      <w:i/>
      <w:iCs/>
      <w:color w:val="auto"/>
      <w:sz w:val="20"/>
      <w:szCs w:val="20"/>
      <w:lang w:eastAsia="fr-FR"/>
    </w:rPr>
  </w:style>
  <w:style w:type="character" w:customStyle="1" w:styleId="TekstopmerkingChar">
    <w:name w:val="Tekst opmerking Char"/>
    <w:semiHidden/>
    <w:rPr>
      <w:rFonts w:ascii="Times New Roman" w:hAnsi="Times New Roman"/>
      <w:noProof w:val="0"/>
      <w:lang w:val="en-GB" w:eastAsia="nl-NL"/>
    </w:rPr>
  </w:style>
  <w:style w:type="paragraph" w:customStyle="1" w:styleId="Ballontekst">
    <w:name w:val="Ballontekst"/>
    <w:basedOn w:val="Normal"/>
    <w:semiHidden/>
    <w:unhideWhenUsed/>
    <w:rPr>
      <w:rFonts w:ascii="Tahoma" w:hAnsi="Tahoma" w:cs="Palatino Linotype"/>
      <w:sz w:val="16"/>
      <w:szCs w:val="16"/>
    </w:rPr>
  </w:style>
  <w:style w:type="character" w:customStyle="1" w:styleId="BallontekstChar">
    <w:name w:val="Ballontekst Char"/>
    <w:semiHidden/>
    <w:rPr>
      <w:rFonts w:ascii="Tahoma" w:hAnsi="Tahoma" w:cs="New York"/>
      <w:color w:val="000000"/>
      <w:sz w:val="16"/>
      <w:szCs w:val="16"/>
      <w:lang w:eastAsia="nl-NL"/>
    </w:rPr>
  </w:style>
  <w:style w:type="paragraph" w:customStyle="1" w:styleId="Lijstalinea">
    <w:name w:val="Lijstalinea"/>
    <w:basedOn w:val="Normal"/>
    <w:qFormat/>
    <w:pPr>
      <w:ind w:left="720"/>
    </w:pPr>
  </w:style>
  <w:style w:type="paragraph" w:customStyle="1" w:styleId="ColorfulList-Accent11">
    <w:name w:val="Colorful List - Accent 11"/>
    <w:basedOn w:val="Normal"/>
    <w:uiPriority w:val="34"/>
    <w:qFormat/>
    <w:pPr>
      <w:autoSpaceDE w:val="0"/>
      <w:autoSpaceDN w:val="0"/>
      <w:ind w:left="720"/>
    </w:pPr>
    <w:rPr>
      <w:rFonts w:ascii="Cambria" w:eastAsia="Times New Roman" w:hAnsi="Cambria"/>
      <w:color w:val="auto"/>
    </w:rPr>
  </w:style>
  <w:style w:type="paragraph" w:customStyle="1" w:styleId="StyleStyleBoldBefore5ptAfter5ptBefore12pt">
    <w:name w:val="Style Style Bold Before:  5 pt After:  5 pt + Before:  12 pt"/>
    <w:basedOn w:val="Normal"/>
    <w:pPr>
      <w:keepNext/>
      <w:keepLines/>
      <w:spacing w:before="240" w:after="100"/>
    </w:pPr>
    <w:rPr>
      <w:rFonts w:eastAsia="Batang"/>
      <w:b/>
      <w:bCs/>
      <w:color w:val="auto"/>
      <w:sz w:val="26"/>
      <w:szCs w:val="26"/>
      <w:lang w:eastAsia="ko-KR"/>
    </w:rPr>
  </w:style>
  <w:style w:type="paragraph" w:customStyle="1" w:styleId="StyleStyle10ptBoldBefore5ptAfter5ptBefore12pt">
    <w:name w:val="Style Style 10 pt Bold Before:  5 pt After:  5 pt + Before:  12 pt"/>
    <w:basedOn w:val="Normal"/>
    <w:pPr>
      <w:keepLines/>
      <w:spacing w:before="240" w:after="100"/>
    </w:pPr>
    <w:rPr>
      <w:rFonts w:eastAsia="Batang"/>
      <w:color w:val="auto"/>
      <w:sz w:val="20"/>
      <w:szCs w:val="20"/>
      <w:lang w:eastAsia="ko-KR"/>
    </w:rPr>
  </w:style>
  <w:style w:type="paragraph" w:styleId="Closing">
    <w:name w:val="Closing"/>
    <w:basedOn w:val="Normal"/>
    <w:link w:val="ClosingChar"/>
    <w:semiHidden/>
    <w:pPr>
      <w:ind w:left="4320"/>
    </w:pPr>
  </w:style>
  <w:style w:type="character" w:customStyle="1" w:styleId="CharChar1">
    <w:name w:val="Char Char1"/>
    <w:rPr>
      <w:rFonts w:eastAsia="SimSun"/>
      <w:noProof w:val="0"/>
      <w:color w:val="000000"/>
      <w:sz w:val="24"/>
      <w:szCs w:val="24"/>
      <w:lang w:val="en-US" w:eastAsia="nl-NL" w:bidi="ar-SA"/>
    </w:rPr>
  </w:style>
  <w:style w:type="paragraph" w:customStyle="1" w:styleId="CM1">
    <w:name w:val="CM1"/>
    <w:basedOn w:val="Normal"/>
    <w:next w:val="Normal"/>
    <w:pPr>
      <w:widowControl w:val="0"/>
      <w:autoSpaceDE w:val="0"/>
      <w:autoSpaceDN w:val="0"/>
      <w:adjustRightInd w:val="0"/>
    </w:pPr>
    <w:rPr>
      <w:rFonts w:eastAsia="MS Mincho"/>
      <w:color w:val="auto"/>
      <w:lang w:eastAsia="ja-JP"/>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customStyle="1" w:styleId="ToDoList">
    <w:name w:val="ToDoList"/>
    <w:basedOn w:val="Normal"/>
    <w:pPr>
      <w:numPr>
        <w:numId w:val="3"/>
      </w:numPr>
      <w:spacing w:before="240" w:after="240"/>
    </w:pPr>
    <w:rPr>
      <w:rFonts w:eastAsia="MS ??"/>
      <w:color w:val="auto"/>
    </w:rPr>
  </w:style>
  <w:style w:type="paragraph" w:customStyle="1" w:styleId="List1">
    <w:name w:val="List1"/>
    <w:basedOn w:val="Normal"/>
    <w:autoRedefine/>
    <w:pPr>
      <w:numPr>
        <w:numId w:val="4"/>
      </w:numPr>
      <w:spacing w:before="120" w:after="120"/>
    </w:pPr>
    <w:rPr>
      <w:rFonts w:eastAsia="MS ??"/>
      <w:color w:val="auto"/>
    </w:rPr>
  </w:style>
  <w:style w:type="paragraph" w:styleId="Title">
    <w:name w:val="Title"/>
    <w:basedOn w:val="Normal"/>
    <w:next w:val="Normal"/>
    <w:link w:val="TitleChar1"/>
    <w:qFormat/>
    <w:pPr>
      <w:pBdr>
        <w:bottom w:val="single" w:sz="8" w:space="4" w:color="808080"/>
      </w:pBdr>
      <w:spacing w:after="300"/>
    </w:pPr>
    <w:rPr>
      <w:rFonts w:ascii="Calibri" w:eastAsia="MS ????" w:hAnsi="Calibri"/>
      <w:color w:val="000080"/>
      <w:spacing w:val="5"/>
      <w:kern w:val="28"/>
      <w:sz w:val="52"/>
      <w:szCs w:val="52"/>
    </w:rPr>
  </w:style>
  <w:style w:type="character" w:styleId="LineNumber">
    <w:name w:val="line number"/>
    <w:basedOn w:val="DefaultParagraphFont"/>
    <w:semiHidden/>
  </w:style>
  <w:style w:type="paragraph" w:customStyle="1" w:styleId="Style">
    <w:name w:val="Style"/>
    <w:rPr>
      <w:rFonts w:ascii="Times New Roman" w:eastAsia="Times New Roman" w:hAnsi="Times New Roman"/>
      <w:b/>
      <w:bCs/>
      <w:snapToGrid w:val="0"/>
      <w:color w:val="000000"/>
      <w:spacing w:val="-1"/>
      <w:w w:val="65535"/>
      <w:position w:val="-1"/>
      <w:sz w:val="28"/>
      <w:szCs w:val="28"/>
      <w:bdr w:val="nil"/>
      <w:lang w:val="en-GB"/>
    </w:rPr>
  </w:style>
  <w:style w:type="paragraph" w:customStyle="1" w:styleId="Normalnumber">
    <w:name w:val="Normal_number"/>
    <w:basedOn w:val="Normal"/>
    <w:pPr>
      <w:numPr>
        <w:numId w:val="5"/>
      </w:numPr>
      <w:tabs>
        <w:tab w:val="left" w:pos="1247"/>
        <w:tab w:val="left" w:pos="1814"/>
        <w:tab w:val="left" w:pos="2381"/>
        <w:tab w:val="left" w:pos="2948"/>
        <w:tab w:val="left" w:pos="3515"/>
      </w:tabs>
      <w:spacing w:after="120" w:line="240" w:lineRule="atLeast"/>
      <w:ind w:right="-574"/>
      <w:jc w:val="both"/>
    </w:pPr>
    <w:rPr>
      <w:rFonts w:eastAsia="Times New Roman"/>
      <w:color w:val="auto"/>
      <w:sz w:val="20"/>
      <w:szCs w:val="20"/>
    </w:rPr>
  </w:style>
  <w:style w:type="character" w:styleId="FollowedHyperlink">
    <w:name w:val="FollowedHyperlink"/>
    <w:semiHidden/>
    <w:rPr>
      <w:color w:val="800080"/>
      <w:u w:val="single"/>
    </w:rPr>
  </w:style>
  <w:style w:type="paragraph" w:customStyle="1" w:styleId="CharChar1CharCharCharCharCharCharCharCharCharCharCharCharChar">
    <w:name w:val="Char Char1 Char Char Char Char Char Char Char Char Char Char Char Char Char"/>
    <w:basedOn w:val="Normal"/>
    <w:pPr>
      <w:spacing w:after="160" w:line="240" w:lineRule="exact"/>
      <w:ind w:right="-574"/>
      <w:jc w:val="both"/>
    </w:pPr>
    <w:rPr>
      <w:rFonts w:ascii="Verdana" w:eastAsia="Times New Roman" w:hAnsi="Verdana"/>
      <w:color w:val="auto"/>
      <w:sz w:val="20"/>
      <w:szCs w:val="20"/>
    </w:rPr>
  </w:style>
  <w:style w:type="paragraph" w:customStyle="1" w:styleId="CommentSubject1">
    <w:name w:val="Comment Subject1"/>
    <w:basedOn w:val="CommentText"/>
    <w:next w:val="CommentText"/>
    <w:semiHidden/>
    <w:pPr>
      <w:tabs>
        <w:tab w:val="clear" w:pos="720"/>
        <w:tab w:val="clear" w:pos="1440"/>
        <w:tab w:val="clear" w:pos="5760"/>
      </w:tabs>
      <w:spacing w:line="240" w:lineRule="atLeast"/>
      <w:ind w:right="-574"/>
    </w:pPr>
    <w:rPr>
      <w:b/>
      <w:bCs/>
      <w:noProof/>
    </w:rPr>
  </w:style>
  <w:style w:type="paragraph" w:customStyle="1" w:styleId="TableTitle2006GL">
    <w:name w:val="Table Title 2006GL"/>
    <w:basedOn w:val="Normal"/>
    <w:pPr>
      <w:keepNext/>
      <w:spacing w:before="60" w:after="60"/>
      <w:ind w:right="-574"/>
      <w:jc w:val="both"/>
    </w:pPr>
    <w:rPr>
      <w:rFonts w:eastAsia="Times New Roman"/>
      <w:b/>
      <w:bCs/>
      <w:smallCaps/>
      <w:color w:val="auto"/>
      <w:sz w:val="18"/>
      <w:szCs w:val="18"/>
      <w:lang w:eastAsia="zh-CN"/>
    </w:rPr>
  </w:style>
  <w:style w:type="paragraph" w:customStyle="1" w:styleId="TablecolheadIPCCGP">
    <w:name w:val="Table col head IPCC GP"/>
    <w:basedOn w:val="Normal"/>
    <w:semiHidden/>
    <w:pPr>
      <w:spacing w:before="60" w:after="60"/>
      <w:ind w:right="-574"/>
      <w:jc w:val="both"/>
    </w:pPr>
    <w:rPr>
      <w:rFonts w:eastAsia="Times New Roman"/>
      <w:b/>
      <w:bCs/>
      <w:color w:val="auto"/>
      <w:sz w:val="18"/>
      <w:szCs w:val="18"/>
    </w:rPr>
  </w:style>
  <w:style w:type="paragraph" w:customStyle="1" w:styleId="TabletxtIPCCGP">
    <w:name w:val="Table txt IPCC GP"/>
    <w:basedOn w:val="Normal"/>
    <w:semiHidden/>
    <w:pPr>
      <w:keepNext/>
      <w:spacing w:before="60" w:after="60"/>
      <w:ind w:right="-574"/>
      <w:jc w:val="both"/>
    </w:pPr>
    <w:rPr>
      <w:rFonts w:eastAsia="Times New Roman"/>
      <w:color w:val="auto"/>
      <w:sz w:val="18"/>
      <w:szCs w:val="18"/>
    </w:rPr>
  </w:style>
  <w:style w:type="paragraph" w:customStyle="1" w:styleId="TabletextIPCCGP">
    <w:name w:val="Table text IPCC GP"/>
    <w:basedOn w:val="Normal"/>
    <w:autoRedefine/>
    <w:pPr>
      <w:keepNext/>
      <w:spacing w:before="60" w:after="60"/>
      <w:ind w:right="-574"/>
      <w:jc w:val="both"/>
    </w:pPr>
    <w:rPr>
      <w:rFonts w:eastAsia="Times New Roman"/>
      <w:color w:val="auto"/>
      <w:sz w:val="18"/>
      <w:szCs w:val="18"/>
    </w:rPr>
  </w:style>
  <w:style w:type="paragraph" w:styleId="Subtitle">
    <w:name w:val="Subtitle"/>
    <w:basedOn w:val="Heading3"/>
    <w:next w:val="Normal"/>
    <w:qFormat/>
    <w:pPr>
      <w:keepNext w:val="0"/>
      <w:tabs>
        <w:tab w:val="clear" w:pos="1134"/>
      </w:tabs>
      <w:spacing w:after="0"/>
      <w:ind w:right="-574"/>
      <w:jc w:val="both"/>
    </w:pPr>
    <w:rPr>
      <w:i w:val="0"/>
      <w:iCs w:val="0"/>
      <w:szCs w:val="22"/>
    </w:rPr>
  </w:style>
  <w:style w:type="paragraph" w:customStyle="1" w:styleId="MediumGrid1-Accent21">
    <w:name w:val="Medium Grid 1 - Accent 21"/>
    <w:basedOn w:val="Normal"/>
    <w:pPr>
      <w:ind w:right="-574"/>
      <w:jc w:val="both"/>
    </w:pPr>
    <w:rPr>
      <w:rFonts w:eastAsia="Times New Roman"/>
      <w:color w:val="auto"/>
      <w:sz w:val="20"/>
      <w:szCs w:val="20"/>
    </w:rPr>
  </w:style>
  <w:style w:type="paragraph" w:customStyle="1" w:styleId="CommentSubject2">
    <w:name w:val="Comment Subject2"/>
    <w:basedOn w:val="CommentText"/>
    <w:next w:val="CommentText"/>
    <w:semiHidden/>
    <w:pPr>
      <w:tabs>
        <w:tab w:val="clear" w:pos="720"/>
        <w:tab w:val="clear" w:pos="1440"/>
        <w:tab w:val="clear" w:pos="5760"/>
      </w:tabs>
      <w:ind w:right="-574"/>
    </w:pPr>
    <w:rPr>
      <w:b/>
      <w:bCs/>
      <w:noProof/>
    </w:rPr>
  </w:style>
  <w:style w:type="paragraph" w:customStyle="1" w:styleId="BodyTextLeft">
    <w:name w:val="Body Text Left"/>
    <w:basedOn w:val="Normal"/>
    <w:pPr>
      <w:widowControl w:val="0"/>
      <w:spacing w:after="240"/>
    </w:pPr>
    <w:rPr>
      <w:rFonts w:eastAsia="Times New Roman"/>
      <w:color w:val="auto"/>
      <w:kern w:val="2"/>
      <w:sz w:val="20"/>
      <w:szCs w:val="20"/>
    </w:rPr>
  </w:style>
  <w:style w:type="paragraph" w:customStyle="1" w:styleId="TableTitle">
    <w:name w:val="Table Title"/>
    <w:basedOn w:val="Normal"/>
    <w:pPr>
      <w:widowControl w:val="0"/>
      <w:spacing w:after="120"/>
      <w:jc w:val="center"/>
    </w:pPr>
    <w:rPr>
      <w:rFonts w:eastAsia="Times New Roman"/>
      <w:b/>
      <w:bCs/>
      <w:color w:val="auto"/>
      <w:kern w:val="2"/>
      <w:sz w:val="20"/>
      <w:szCs w:val="20"/>
    </w:rPr>
  </w:style>
  <w:style w:type="character" w:customStyle="1" w:styleId="TableTitleChar">
    <w:name w:val="Table Title Char"/>
    <w:rPr>
      <w:b/>
      <w:bCs/>
      <w:noProof w:val="0"/>
      <w:kern w:val="2"/>
      <w:lang w:val="en-GB"/>
    </w:rPr>
  </w:style>
  <w:style w:type="character" w:customStyle="1" w:styleId="HeaderChar">
    <w:name w:val="Header Char"/>
    <w:aliases w:val="EthylHeader Char"/>
    <w:uiPriority w:val="99"/>
    <w:rPr>
      <w:noProof w:val="0"/>
      <w:kern w:val="2"/>
      <w:lang w:val="x-none"/>
    </w:rPr>
  </w:style>
  <w:style w:type="character" w:customStyle="1" w:styleId="Heading4Char">
    <w:name w:val="Heading 4 Char"/>
    <w:aliases w:val="MainPara Char"/>
    <w:rPr>
      <w:b/>
      <w:bCs/>
      <w:noProof w:val="0"/>
      <w:kern w:val="2"/>
      <w:lang w:val="en-GB"/>
    </w:rPr>
  </w:style>
  <w:style w:type="character" w:customStyle="1" w:styleId="Heading5Char">
    <w:name w:val="Heading 5 Char"/>
    <w:aliases w:val="Subpara 2 Char"/>
    <w:rPr>
      <w:b/>
      <w:bCs/>
      <w:i/>
      <w:iCs/>
      <w:noProof w:val="0"/>
      <w:kern w:val="2"/>
      <w:sz w:val="26"/>
      <w:szCs w:val="26"/>
      <w:lang w:val="en-GB"/>
    </w:rPr>
  </w:style>
  <w:style w:type="paragraph" w:customStyle="1" w:styleId="xl60">
    <w:name w:val="xl60"/>
    <w:basedOn w:val="Normal"/>
    <w:pPr>
      <w:spacing w:before="100" w:after="100"/>
    </w:pPr>
    <w:rPr>
      <w:rFonts w:eastAsia="Times New Roman"/>
      <w:color w:val="auto"/>
      <w:sz w:val="20"/>
      <w:szCs w:val="20"/>
    </w:rPr>
  </w:style>
  <w:style w:type="character" w:customStyle="1" w:styleId="Heading6Char">
    <w:name w:val="Heading 6 Char"/>
    <w:aliases w:val="Subpara 3 Char"/>
    <w:rPr>
      <w:b/>
      <w:bCs/>
      <w:noProof w:val="0"/>
      <w:kern w:val="2"/>
      <w:sz w:val="22"/>
      <w:szCs w:val="22"/>
      <w:lang w:val="en-GB"/>
    </w:rPr>
  </w:style>
  <w:style w:type="character" w:customStyle="1" w:styleId="Heading7Char">
    <w:name w:val="Heading 7 Char"/>
    <w:aliases w:val="Subpara 4 Char"/>
    <w:rPr>
      <w:noProof w:val="0"/>
      <w:kern w:val="2"/>
      <w:lang w:val="en-GB"/>
    </w:rPr>
  </w:style>
  <w:style w:type="character" w:customStyle="1" w:styleId="Heading8Char">
    <w:name w:val="Heading 8 Char"/>
    <w:aliases w:val="Subpara 5 Char"/>
    <w:rPr>
      <w:i/>
      <w:iCs/>
      <w:noProof w:val="0"/>
      <w:kern w:val="2"/>
      <w:lang w:val="en-GB"/>
    </w:rPr>
  </w:style>
  <w:style w:type="character" w:customStyle="1" w:styleId="Heading9Char">
    <w:name w:val="Heading 9 Char"/>
    <w:aliases w:val="Subpara 6 Char"/>
    <w:rPr>
      <w:noProof w:val="0"/>
      <w:kern w:val="2"/>
      <w:sz w:val="22"/>
      <w:szCs w:val="22"/>
      <w:lang w:val="en-GB"/>
    </w:rPr>
  </w:style>
  <w:style w:type="character" w:customStyle="1" w:styleId="FooterChar">
    <w:name w:val="Footer Char"/>
    <w:uiPriority w:val="99"/>
    <w:rPr>
      <w:noProof w:val="0"/>
      <w:kern w:val="2"/>
      <w:lang w:val="x-none"/>
    </w:rPr>
  </w:style>
  <w:style w:type="character" w:customStyle="1" w:styleId="CommentTextChar">
    <w:name w:val="Comment Text Char"/>
    <w:rPr>
      <w:noProof w:val="0"/>
      <w:kern w:val="2"/>
      <w:lang w:val="x-none"/>
    </w:rPr>
  </w:style>
  <w:style w:type="paragraph" w:customStyle="1" w:styleId="1">
    <w:name w:val="??????1"/>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10">
    <w:name w:val="????1"/>
    <w:basedOn w:val="Normal"/>
    <w:pPr>
      <w:widowControl w:val="0"/>
      <w:spacing w:after="120"/>
    </w:pPr>
    <w:rPr>
      <w:rFonts w:eastAsia="Times New Roman"/>
      <w:color w:val="auto"/>
      <w:kern w:val="2"/>
      <w:sz w:val="18"/>
      <w:szCs w:val="18"/>
    </w:rPr>
  </w:style>
  <w:style w:type="paragraph" w:customStyle="1" w:styleId="a">
    <w:name w:val="?????"/>
    <w:basedOn w:val="Normal"/>
    <w:pPr>
      <w:widowControl w:val="0"/>
      <w:spacing w:after="120"/>
    </w:pPr>
    <w:rPr>
      <w:rFonts w:eastAsia="Times New Roman"/>
      <w:color w:val="auto"/>
      <w:kern w:val="2"/>
      <w:sz w:val="18"/>
      <w:szCs w:val="18"/>
    </w:rPr>
  </w:style>
  <w:style w:type="paragraph" w:customStyle="1" w:styleId="a0">
    <w:name w:val="????"/>
    <w:basedOn w:val="CommentText"/>
    <w:next w:val="CommentText"/>
    <w:pPr>
      <w:widowControl w:val="0"/>
      <w:tabs>
        <w:tab w:val="clear" w:pos="720"/>
        <w:tab w:val="clear" w:pos="1440"/>
        <w:tab w:val="clear" w:pos="5760"/>
      </w:tabs>
      <w:spacing w:after="120"/>
      <w:jc w:val="left"/>
    </w:pPr>
    <w:rPr>
      <w:rFonts w:eastAsia="Times New Roman"/>
      <w:b/>
      <w:bCs/>
      <w:kern w:val="2"/>
      <w:sz w:val="24"/>
      <w:szCs w:val="24"/>
      <w:lang w:val="en-US"/>
    </w:rPr>
  </w:style>
  <w:style w:type="paragraph" w:customStyle="1" w:styleId="Textodeglobo">
    <w:name w:val="Texto de globo"/>
    <w:basedOn w:val="Normal"/>
    <w:pPr>
      <w:widowControl w:val="0"/>
      <w:spacing w:after="120"/>
    </w:pPr>
    <w:rPr>
      <w:rFonts w:eastAsia="Times New Roman"/>
      <w:color w:val="auto"/>
      <w:kern w:val="2"/>
      <w:sz w:val="16"/>
      <w:szCs w:val="16"/>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
    <w:rPr>
      <w:b/>
      <w:bCs/>
      <w:noProof w:val="0"/>
      <w:kern w:val="32"/>
      <w:sz w:val="32"/>
      <w:szCs w:val="32"/>
      <w:lang w:val="en-US"/>
    </w:rPr>
  </w:style>
  <w:style w:type="paragraph" w:customStyle="1" w:styleId="Titulo3">
    <w:name w:val="Titulo 3"/>
    <w:basedOn w:val="Normal"/>
    <w:pPr>
      <w:widowControl w:val="0"/>
      <w:spacing w:after="120"/>
      <w:ind w:left="1185"/>
    </w:pPr>
    <w:rPr>
      <w:rFonts w:eastAsia="Times New Roman"/>
      <w:b/>
      <w:bCs/>
      <w:i/>
      <w:iCs/>
      <w:color w:val="auto"/>
      <w:kern w:val="2"/>
    </w:rPr>
  </w:style>
  <w:style w:type="paragraph" w:styleId="DocumentMap">
    <w:name w:val="Document Map"/>
    <w:basedOn w:val="Normal"/>
    <w:semiHidden/>
    <w:pPr>
      <w:widowControl w:val="0"/>
      <w:shd w:val="clear" w:color="auto" w:fill="000080"/>
      <w:spacing w:after="120"/>
    </w:pPr>
    <w:rPr>
      <w:rFonts w:eastAsia="Times New Roman"/>
      <w:color w:val="auto"/>
      <w:kern w:val="2"/>
      <w:sz w:val="20"/>
      <w:szCs w:val="20"/>
    </w:rPr>
  </w:style>
  <w:style w:type="character" w:customStyle="1" w:styleId="DocumentMapChar">
    <w:name w:val="Document Map Char"/>
    <w:rPr>
      <w:noProof w:val="0"/>
      <w:kern w:val="2"/>
      <w:sz w:val="20"/>
      <w:szCs w:val="20"/>
      <w:lang w:val="en-GB"/>
    </w:rPr>
  </w:style>
  <w:style w:type="character" w:customStyle="1" w:styleId="BalloonTextChar">
    <w:name w:val="Balloon Text Char"/>
    <w:rPr>
      <w:kern w:val="2"/>
      <w:sz w:val="18"/>
      <w:szCs w:val="18"/>
    </w:rPr>
  </w:style>
  <w:style w:type="character" w:customStyle="1" w:styleId="BodyTextChar">
    <w:name w:val="Body Text Char"/>
    <w:aliases w:val="Char Char31 Char,Body Text Char Char Char Char Char Char,Body Text Char Char Char Char Char1,Char Char3 Char"/>
    <w:rPr>
      <w:i/>
      <w:iCs/>
      <w:noProof w:val="0"/>
      <w:sz w:val="20"/>
      <w:szCs w:val="20"/>
      <w:lang w:val="en-GB"/>
    </w:rPr>
  </w:style>
  <w:style w:type="character" w:customStyle="1" w:styleId="FootnoteTextChar">
    <w:name w:val="Footnote Text Char"/>
    <w:aliases w:val="Fußnotentextf Char,Geneva 9 Char,Font: Geneva 9 Char,Boston 10 Char,f Char,-E Fußnotentext Char,Fußnotentext Ursprung Char,-E Fußnotentext1 Char,-E Fußnotentext2 Char,-E Fußnotentext3 Char,Fußnotentext Char1 Char,Fußnotentextf Char1"/>
    <w:rPr>
      <w:noProof w:val="0"/>
      <w:sz w:val="20"/>
      <w:szCs w:val="20"/>
      <w:lang w:val="x-none"/>
    </w:rPr>
  </w:style>
  <w:style w:type="paragraph" w:customStyle="1" w:styleId="MSDefaults">
    <w:name w:val="MSDefaults"/>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pPr>
    <w:rPr>
      <w:rFonts w:ascii="Chicago" w:eastAsia="Times New Roman" w:hAnsi="Chicago"/>
      <w:kern w:val="2"/>
      <w:sz w:val="24"/>
      <w:szCs w:val="24"/>
      <w:lang w:val="en-US"/>
    </w:rPr>
  </w:style>
  <w:style w:type="paragraph" w:customStyle="1" w:styleId="MSNormal">
    <w:name w:val="MSNormal"/>
    <w:basedOn w:val="MSDefaults"/>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kern w:val="2"/>
      <w:sz w:val="24"/>
      <w:szCs w:val="24"/>
      <w:lang w:val="en-US"/>
    </w:rPr>
  </w:style>
  <w:style w:type="paragraph" w:customStyle="1" w:styleId="Document">
    <w:name w:val="Document"/>
    <w:basedOn w:val="WPDefaults"/>
  </w:style>
  <w:style w:type="paragraph" w:customStyle="1" w:styleId="font5">
    <w:name w:val="font5"/>
    <w:basedOn w:val="Normal"/>
    <w:pPr>
      <w:spacing w:before="100" w:after="100"/>
    </w:pPr>
    <w:rPr>
      <w:rFonts w:eastAsia="Times New Roman"/>
      <w:color w:val="auto"/>
    </w:rPr>
  </w:style>
  <w:style w:type="paragraph" w:customStyle="1" w:styleId="font6">
    <w:name w:val="font6"/>
    <w:basedOn w:val="Normal"/>
    <w:pPr>
      <w:spacing w:before="100" w:after="100"/>
    </w:pPr>
    <w:rPr>
      <w:rFonts w:eastAsia="Times New Roman"/>
      <w:color w:val="auto"/>
    </w:rPr>
  </w:style>
  <w:style w:type="paragraph" w:customStyle="1" w:styleId="font7">
    <w:name w:val="font7"/>
    <w:basedOn w:val="Normal"/>
    <w:pPr>
      <w:spacing w:before="100" w:after="100"/>
    </w:pPr>
    <w:rPr>
      <w:rFonts w:eastAsia="Times New Roman"/>
      <w:color w:val="auto"/>
    </w:rPr>
  </w:style>
  <w:style w:type="paragraph" w:customStyle="1" w:styleId="xl24">
    <w:name w:val="xl24"/>
    <w:basedOn w:val="Normal"/>
    <w:pPr>
      <w:pBdr>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25">
    <w:name w:val="xl25"/>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26">
    <w:name w:val="xl26"/>
    <w:basedOn w:val="Normal"/>
    <w:pPr>
      <w:pBdr>
        <w:left w:val="single" w:sz="6" w:space="0" w:color="auto"/>
      </w:pBdr>
      <w:spacing w:before="100" w:after="100"/>
    </w:pPr>
    <w:rPr>
      <w:rFonts w:eastAsia="Times New Roman"/>
      <w:color w:val="auto"/>
    </w:rPr>
  </w:style>
  <w:style w:type="paragraph" w:customStyle="1" w:styleId="xl27">
    <w:name w:val="xl27"/>
    <w:basedOn w:val="Normal"/>
    <w:pPr>
      <w:pBdr>
        <w:left w:val="single" w:sz="6" w:space="0" w:color="auto"/>
        <w:right w:val="single" w:sz="6" w:space="0" w:color="auto"/>
      </w:pBdr>
      <w:spacing w:before="100" w:after="100"/>
    </w:pPr>
    <w:rPr>
      <w:rFonts w:eastAsia="Times New Roman"/>
      <w:color w:val="auto"/>
    </w:rPr>
  </w:style>
  <w:style w:type="paragraph" w:customStyle="1" w:styleId="xl28">
    <w:name w:val="xl28"/>
    <w:basedOn w:val="Normal"/>
    <w:pPr>
      <w:pBdr>
        <w:left w:val="single" w:sz="6" w:space="0" w:color="auto"/>
        <w:bottom w:val="single" w:sz="6" w:space="0" w:color="auto"/>
      </w:pBdr>
      <w:spacing w:before="100" w:after="100"/>
    </w:pPr>
    <w:rPr>
      <w:rFonts w:eastAsia="Times New Roman"/>
      <w:color w:val="auto"/>
    </w:rPr>
  </w:style>
  <w:style w:type="paragraph" w:customStyle="1" w:styleId="xl29">
    <w:name w:val="xl29"/>
    <w:basedOn w:val="Normal"/>
    <w:pPr>
      <w:spacing w:before="100" w:after="100"/>
    </w:pPr>
    <w:rPr>
      <w:rFonts w:eastAsia="Times New Roman"/>
      <w:color w:val="auto"/>
    </w:rPr>
  </w:style>
  <w:style w:type="paragraph" w:customStyle="1" w:styleId="xl30">
    <w:name w:val="xl30"/>
    <w:basedOn w:val="Normal"/>
    <w:pPr>
      <w:spacing w:before="100" w:after="100"/>
    </w:pPr>
    <w:rPr>
      <w:rFonts w:eastAsia="Times New Roman"/>
      <w:color w:val="auto"/>
    </w:rPr>
  </w:style>
  <w:style w:type="paragraph" w:customStyle="1" w:styleId="xl31">
    <w:name w:val="xl31"/>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32">
    <w:name w:val="xl32"/>
    <w:basedOn w:val="Normal"/>
    <w:pPr>
      <w:spacing w:before="100" w:after="100"/>
      <w:jc w:val="center"/>
    </w:pPr>
    <w:rPr>
      <w:rFonts w:eastAsia="Times New Roman"/>
      <w:b/>
      <w:bCs/>
      <w:color w:val="auto"/>
    </w:rPr>
  </w:style>
  <w:style w:type="paragraph" w:customStyle="1" w:styleId="xl33">
    <w:name w:val="xl33"/>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34">
    <w:name w:val="xl34"/>
    <w:basedOn w:val="Normal"/>
    <w:pPr>
      <w:pBdr>
        <w:top w:val="single" w:sz="6" w:space="0" w:color="auto"/>
        <w:left w:val="single" w:sz="6" w:space="0" w:color="auto"/>
      </w:pBdr>
      <w:spacing w:before="100" w:after="100"/>
    </w:pPr>
    <w:rPr>
      <w:rFonts w:eastAsia="Times New Roman"/>
      <w:color w:val="auto"/>
    </w:rPr>
  </w:style>
  <w:style w:type="paragraph" w:customStyle="1" w:styleId="xl35">
    <w:name w:val="xl35"/>
    <w:basedOn w:val="Normal"/>
    <w:pPr>
      <w:pBdr>
        <w:top w:val="single" w:sz="6" w:space="0" w:color="auto"/>
        <w:right w:val="single" w:sz="6" w:space="0" w:color="auto"/>
      </w:pBdr>
      <w:spacing w:before="100" w:after="100"/>
      <w:jc w:val="center"/>
    </w:pPr>
    <w:rPr>
      <w:rFonts w:eastAsia="Times New Roman"/>
      <w:color w:val="auto"/>
    </w:rPr>
  </w:style>
  <w:style w:type="paragraph" w:customStyle="1" w:styleId="xl36">
    <w:name w:val="xl36"/>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37">
    <w:name w:val="xl37"/>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38">
    <w:name w:val="xl38"/>
    <w:basedOn w:val="Normal"/>
    <w:pPr>
      <w:spacing w:before="100" w:after="100"/>
    </w:pPr>
    <w:rPr>
      <w:rFonts w:eastAsia="Times New Roman"/>
      <w:b/>
      <w:bCs/>
      <w:color w:val="auto"/>
    </w:rPr>
  </w:style>
  <w:style w:type="paragraph" w:customStyle="1" w:styleId="xl39">
    <w:name w:val="xl39"/>
    <w:basedOn w:val="Normal"/>
    <w:pPr>
      <w:pBdr>
        <w:top w:val="single" w:sz="6" w:space="0" w:color="auto"/>
        <w:bottom w:val="single" w:sz="6" w:space="0" w:color="auto"/>
      </w:pBdr>
      <w:spacing w:before="100" w:after="100"/>
    </w:pPr>
    <w:rPr>
      <w:rFonts w:eastAsia="Times New Roman"/>
      <w:color w:val="auto"/>
    </w:rPr>
  </w:style>
  <w:style w:type="paragraph" w:customStyle="1" w:styleId="xl40">
    <w:name w:val="xl40"/>
    <w:basedOn w:val="Normal"/>
    <w:pPr>
      <w:pBdr>
        <w:top w:val="single" w:sz="6" w:space="0" w:color="auto"/>
        <w:bottom w:val="single" w:sz="6" w:space="0" w:color="auto"/>
      </w:pBdr>
      <w:spacing w:before="100" w:after="100"/>
      <w:jc w:val="center"/>
    </w:pPr>
    <w:rPr>
      <w:rFonts w:eastAsia="Times New Roman"/>
      <w:b/>
      <w:bCs/>
      <w:color w:val="auto"/>
    </w:rPr>
  </w:style>
  <w:style w:type="paragraph" w:customStyle="1" w:styleId="xl41">
    <w:name w:val="xl41"/>
    <w:basedOn w:val="Normal"/>
    <w:pPr>
      <w:pBdr>
        <w:top w:val="single" w:sz="6" w:space="0" w:color="auto"/>
        <w:left w:val="single" w:sz="6" w:space="0" w:color="auto"/>
        <w:right w:val="single" w:sz="6" w:space="0" w:color="auto"/>
      </w:pBdr>
      <w:spacing w:before="100" w:after="100"/>
      <w:jc w:val="center"/>
    </w:pPr>
    <w:rPr>
      <w:rFonts w:eastAsia="Times New Roman"/>
      <w:color w:val="auto"/>
    </w:rPr>
  </w:style>
  <w:style w:type="paragraph" w:customStyle="1" w:styleId="xl42">
    <w:name w:val="xl42"/>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43">
    <w:name w:val="xl43"/>
    <w:basedOn w:val="Normal"/>
    <w:pPr>
      <w:pBdr>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4">
    <w:name w:val="xl44"/>
    <w:basedOn w:val="Normal"/>
    <w:pPr>
      <w:pBdr>
        <w:bottom w:val="single" w:sz="6" w:space="0" w:color="auto"/>
        <w:right w:val="single" w:sz="6" w:space="0" w:color="auto"/>
      </w:pBdr>
      <w:spacing w:before="100" w:after="100"/>
      <w:jc w:val="center"/>
    </w:pPr>
    <w:rPr>
      <w:rFonts w:eastAsia="Times New Roman"/>
      <w:color w:val="auto"/>
    </w:rPr>
  </w:style>
  <w:style w:type="paragraph" w:customStyle="1" w:styleId="xl45">
    <w:name w:val="xl45"/>
    <w:basedOn w:val="Normal"/>
    <w:pPr>
      <w:pBdr>
        <w:top w:val="single" w:sz="6" w:space="0" w:color="auto"/>
        <w:bottom w:val="single" w:sz="6" w:space="0" w:color="auto"/>
        <w:right w:val="single" w:sz="6" w:space="0" w:color="auto"/>
      </w:pBdr>
      <w:spacing w:before="100" w:after="100"/>
    </w:pPr>
    <w:rPr>
      <w:rFonts w:eastAsia="Times New Roman"/>
      <w:color w:val="auto"/>
    </w:rPr>
  </w:style>
  <w:style w:type="paragraph" w:customStyle="1" w:styleId="xl46">
    <w:name w:val="xl46"/>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47">
    <w:name w:val="xl47"/>
    <w:basedOn w:val="Normal"/>
    <w:pPr>
      <w:pBdr>
        <w:left w:val="single" w:sz="6" w:space="0" w:color="auto"/>
        <w:bottom w:val="single" w:sz="6" w:space="0" w:color="auto"/>
      </w:pBdr>
      <w:spacing w:before="100" w:after="100"/>
    </w:pPr>
    <w:rPr>
      <w:rFonts w:eastAsia="Times New Roman"/>
      <w:color w:val="auto"/>
    </w:rPr>
  </w:style>
  <w:style w:type="paragraph" w:customStyle="1" w:styleId="xl48">
    <w:name w:val="xl4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49">
    <w:name w:val="xl49"/>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0">
    <w:name w:val="xl50"/>
    <w:basedOn w:val="Normal"/>
    <w:pPr>
      <w:pBdr>
        <w:top w:val="single" w:sz="6" w:space="0" w:color="auto"/>
        <w:left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xl51">
    <w:name w:val="xl51"/>
    <w:basedOn w:val="Normal"/>
    <w:pPr>
      <w:pBdr>
        <w:right w:val="single" w:sz="6" w:space="0" w:color="auto"/>
      </w:pBdr>
      <w:spacing w:before="100" w:after="100"/>
      <w:jc w:val="center"/>
    </w:pPr>
    <w:rPr>
      <w:rFonts w:eastAsia="Times New Roman"/>
      <w:color w:val="auto"/>
    </w:rPr>
  </w:style>
  <w:style w:type="paragraph" w:customStyle="1" w:styleId="xl52">
    <w:name w:val="xl52"/>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53">
    <w:name w:val="xl53"/>
    <w:basedOn w:val="Normal"/>
    <w:pPr>
      <w:pBdr>
        <w:top w:val="single" w:sz="6" w:space="0" w:color="auto"/>
        <w:left w:val="single" w:sz="6" w:space="0" w:color="auto"/>
        <w:right w:val="single" w:sz="6" w:space="0" w:color="auto"/>
      </w:pBdr>
      <w:spacing w:before="100" w:after="100"/>
    </w:pPr>
    <w:rPr>
      <w:rFonts w:eastAsia="Times New Roman"/>
      <w:color w:val="auto"/>
    </w:rPr>
  </w:style>
  <w:style w:type="paragraph" w:customStyle="1" w:styleId="xl54">
    <w:name w:val="xl54"/>
    <w:basedOn w:val="Normal"/>
    <w:pPr>
      <w:pBdr>
        <w:top w:val="single" w:sz="6" w:space="0" w:color="auto"/>
        <w:right w:val="single" w:sz="6" w:space="0" w:color="auto"/>
      </w:pBdr>
      <w:spacing w:before="100" w:after="100"/>
    </w:pPr>
    <w:rPr>
      <w:rFonts w:eastAsia="Times New Roman"/>
      <w:color w:val="auto"/>
    </w:rPr>
  </w:style>
  <w:style w:type="paragraph" w:customStyle="1" w:styleId="xl55">
    <w:name w:val="xl55"/>
    <w:basedOn w:val="Normal"/>
    <w:pPr>
      <w:pBdr>
        <w:left w:val="single" w:sz="6" w:space="0" w:color="auto"/>
        <w:right w:val="single" w:sz="6" w:space="0" w:color="auto"/>
      </w:pBdr>
      <w:spacing w:before="100" w:after="100"/>
      <w:jc w:val="center"/>
    </w:pPr>
    <w:rPr>
      <w:rFonts w:eastAsia="Times New Roman"/>
      <w:color w:val="auto"/>
    </w:rPr>
  </w:style>
  <w:style w:type="paragraph" w:customStyle="1" w:styleId="xl56">
    <w:name w:val="xl56"/>
    <w:basedOn w:val="Normal"/>
    <w:pPr>
      <w:pBdr>
        <w:left w:val="single" w:sz="6" w:space="0" w:color="auto"/>
        <w:right w:val="single" w:sz="6" w:space="0" w:color="auto"/>
      </w:pBdr>
      <w:spacing w:before="100" w:after="100"/>
    </w:pPr>
    <w:rPr>
      <w:rFonts w:eastAsia="Times New Roman"/>
      <w:color w:val="auto"/>
    </w:rPr>
  </w:style>
  <w:style w:type="paragraph" w:customStyle="1" w:styleId="xl57">
    <w:name w:val="xl57"/>
    <w:basedOn w:val="Normal"/>
    <w:pPr>
      <w:pBdr>
        <w:right w:val="single" w:sz="6" w:space="0" w:color="auto"/>
      </w:pBdr>
      <w:spacing w:before="100" w:after="100"/>
    </w:pPr>
    <w:rPr>
      <w:rFonts w:eastAsia="Times New Roman"/>
      <w:color w:val="auto"/>
    </w:rPr>
  </w:style>
  <w:style w:type="paragraph" w:customStyle="1" w:styleId="xl58">
    <w:name w:val="xl58"/>
    <w:basedOn w:val="Normal"/>
    <w:pPr>
      <w:pBdr>
        <w:top w:val="single" w:sz="6" w:space="0" w:color="auto"/>
        <w:left w:val="single" w:sz="6" w:space="0" w:color="auto"/>
        <w:bottom w:val="single" w:sz="6" w:space="0" w:color="auto"/>
      </w:pBdr>
      <w:spacing w:before="100" w:after="100"/>
    </w:pPr>
    <w:rPr>
      <w:rFonts w:eastAsia="Times New Roman"/>
      <w:color w:val="auto"/>
    </w:rPr>
  </w:style>
  <w:style w:type="paragraph" w:customStyle="1" w:styleId="xl59">
    <w:name w:val="xl59"/>
    <w:basedOn w:val="Normal"/>
    <w:pPr>
      <w:pBdr>
        <w:top w:val="single" w:sz="6" w:space="0" w:color="auto"/>
        <w:left w:val="single" w:sz="6" w:space="0" w:color="auto"/>
        <w:bottom w:val="single" w:sz="6" w:space="0" w:color="auto"/>
        <w:right w:val="single" w:sz="6" w:space="0" w:color="auto"/>
      </w:pBdr>
      <w:spacing w:before="100" w:after="100"/>
    </w:pPr>
    <w:rPr>
      <w:rFonts w:eastAsia="Times New Roman"/>
      <w:color w:val="auto"/>
    </w:rPr>
  </w:style>
  <w:style w:type="paragraph" w:customStyle="1" w:styleId="xl61">
    <w:name w:val="xl61"/>
    <w:basedOn w:val="Normal"/>
    <w:pPr>
      <w:pBdr>
        <w:top w:val="single" w:sz="6" w:space="0" w:color="auto"/>
        <w:left w:val="single" w:sz="6" w:space="0" w:color="auto"/>
        <w:bottom w:val="single" w:sz="6" w:space="0" w:color="auto"/>
      </w:pBdr>
      <w:spacing w:before="100" w:after="100"/>
      <w:jc w:val="center"/>
    </w:pPr>
    <w:rPr>
      <w:rFonts w:eastAsia="Times New Roman"/>
      <w:color w:val="auto"/>
    </w:rPr>
  </w:style>
  <w:style w:type="paragraph" w:customStyle="1" w:styleId="xl62">
    <w:name w:val="xl62"/>
    <w:basedOn w:val="Normal"/>
    <w:pPr>
      <w:pBdr>
        <w:top w:val="single" w:sz="6" w:space="0" w:color="auto"/>
        <w:bottom w:val="single" w:sz="6" w:space="0" w:color="auto"/>
        <w:right w:val="single" w:sz="6" w:space="0" w:color="auto"/>
      </w:pBdr>
      <w:spacing w:before="100" w:after="100"/>
      <w:jc w:val="center"/>
    </w:pPr>
    <w:rPr>
      <w:rFonts w:eastAsia="Times New Roman"/>
      <w:color w:val="auto"/>
    </w:rPr>
  </w:style>
  <w:style w:type="paragraph" w:customStyle="1" w:styleId="CommentSubject3">
    <w:name w:val="Comment Subject3"/>
    <w:basedOn w:val="CommentText"/>
    <w:next w:val="CommentText"/>
    <w:pPr>
      <w:widowControl w:val="0"/>
      <w:tabs>
        <w:tab w:val="clear" w:pos="720"/>
        <w:tab w:val="clear" w:pos="1440"/>
        <w:tab w:val="clear" w:pos="5760"/>
      </w:tabs>
      <w:spacing w:after="120"/>
    </w:pPr>
    <w:rPr>
      <w:rFonts w:eastAsia="Times New Roman"/>
      <w:b/>
      <w:bCs/>
      <w:kern w:val="2"/>
      <w:lang w:val="en-US"/>
    </w:rPr>
  </w:style>
  <w:style w:type="character" w:customStyle="1" w:styleId="CommentSubjectChar">
    <w:name w:val="Comment Subject Char"/>
    <w:rPr>
      <w:b/>
      <w:bCs/>
      <w:noProof w:val="0"/>
      <w:kern w:val="2"/>
      <w:sz w:val="20"/>
      <w:szCs w:val="20"/>
      <w:lang w:val="x-none"/>
    </w:rPr>
  </w:style>
  <w:style w:type="paragraph" w:customStyle="1" w:styleId="CM9">
    <w:name w:val="CM9"/>
    <w:basedOn w:val="Default"/>
    <w:next w:val="Default"/>
    <w:pPr>
      <w:autoSpaceDE/>
      <w:autoSpaceDN/>
      <w:adjustRightInd/>
      <w:spacing w:after="270"/>
    </w:pPr>
    <w:rPr>
      <w:rFonts w:ascii="Times New Roman" w:eastAsia="Times New Roman" w:hAnsi="Times New Roman" w:cs="Times New Roman"/>
      <w:color w:val="auto"/>
      <w:kern w:val="2"/>
      <w:lang w:val="en-GB"/>
    </w:rPr>
  </w:style>
  <w:style w:type="paragraph" w:customStyle="1" w:styleId="CM11">
    <w:name w:val="CM11"/>
    <w:basedOn w:val="Default"/>
    <w:next w:val="Default"/>
    <w:pPr>
      <w:autoSpaceDE/>
      <w:autoSpaceDN/>
      <w:adjustRightInd/>
      <w:spacing w:after="535"/>
    </w:pPr>
    <w:rPr>
      <w:rFonts w:ascii="Times New Roman" w:eastAsia="Times New Roman" w:hAnsi="Times New Roman" w:cs="Times New Roman"/>
      <w:color w:val="auto"/>
      <w:kern w:val="2"/>
      <w:lang w:val="en-GB"/>
    </w:rPr>
  </w:style>
  <w:style w:type="paragraph" w:customStyle="1" w:styleId="CM13">
    <w:name w:val="CM13"/>
    <w:basedOn w:val="Default"/>
    <w:next w:val="Default"/>
    <w:pPr>
      <w:autoSpaceDE/>
      <w:autoSpaceDN/>
      <w:adjustRightInd/>
      <w:spacing w:after="60"/>
    </w:pPr>
    <w:rPr>
      <w:rFonts w:ascii="Times New Roman" w:eastAsia="Times New Roman" w:hAnsi="Times New Roman" w:cs="Times New Roman"/>
      <w:color w:val="auto"/>
      <w:kern w:val="2"/>
      <w:lang w:val="en-GB"/>
    </w:rPr>
  </w:style>
  <w:style w:type="paragraph" w:customStyle="1" w:styleId="CM10">
    <w:name w:val="CM10"/>
    <w:basedOn w:val="Default"/>
    <w:next w:val="Default"/>
    <w:pPr>
      <w:autoSpaceDE/>
      <w:autoSpaceDN/>
      <w:adjustRightInd/>
      <w:spacing w:after="265"/>
    </w:pPr>
    <w:rPr>
      <w:rFonts w:ascii="Times New Roman PS" w:eastAsia="Times New Roman" w:hAnsi="Times New Roman PS"/>
      <w:color w:val="auto"/>
      <w:kern w:val="2"/>
    </w:rPr>
  </w:style>
  <w:style w:type="paragraph" w:customStyle="1" w:styleId="CM12">
    <w:name w:val="CM12"/>
    <w:basedOn w:val="Default"/>
    <w:next w:val="Default"/>
    <w:pPr>
      <w:autoSpaceDE/>
      <w:autoSpaceDN/>
      <w:adjustRightInd/>
      <w:spacing w:after="545"/>
    </w:pPr>
    <w:rPr>
      <w:rFonts w:ascii="Times New Roman PS" w:eastAsia="Times New Roman" w:hAnsi="Times New Roman PS"/>
      <w:color w:val="auto"/>
      <w:kern w:val="2"/>
    </w:rPr>
  </w:style>
  <w:style w:type="paragraph" w:customStyle="1" w:styleId="CM4">
    <w:name w:val="CM4"/>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4">
    <w:name w:val="CM14"/>
    <w:basedOn w:val="Default"/>
    <w:next w:val="Default"/>
    <w:pPr>
      <w:autoSpaceDE/>
      <w:autoSpaceDN/>
      <w:adjustRightInd/>
      <w:spacing w:after="638"/>
    </w:pPr>
    <w:rPr>
      <w:rFonts w:ascii="Times New Roman PS" w:eastAsia="Times New Roman" w:hAnsi="Times New Roman PS"/>
      <w:color w:val="auto"/>
      <w:kern w:val="2"/>
    </w:rPr>
  </w:style>
  <w:style w:type="paragraph" w:customStyle="1" w:styleId="CM5">
    <w:name w:val="CM5"/>
    <w:basedOn w:val="Default"/>
    <w:next w:val="Default"/>
    <w:pPr>
      <w:autoSpaceDE/>
      <w:autoSpaceDN/>
      <w:adjustRightInd/>
      <w:spacing w:line="278" w:lineRule="atLeast"/>
    </w:pPr>
    <w:rPr>
      <w:rFonts w:ascii="Times New Roman PS" w:eastAsia="Times New Roman" w:hAnsi="Times New Roman PS"/>
      <w:color w:val="auto"/>
      <w:kern w:val="2"/>
    </w:rPr>
  </w:style>
  <w:style w:type="paragraph" w:customStyle="1" w:styleId="CM15">
    <w:name w:val="CM15"/>
    <w:basedOn w:val="Default"/>
    <w:next w:val="Default"/>
    <w:pPr>
      <w:autoSpaceDE/>
      <w:autoSpaceDN/>
      <w:adjustRightInd/>
      <w:spacing w:after="58"/>
    </w:pPr>
    <w:rPr>
      <w:rFonts w:ascii="Times New Roman PS" w:eastAsia="Times New Roman" w:hAnsi="Times New Roman PS"/>
      <w:color w:val="auto"/>
      <w:kern w:val="2"/>
    </w:rPr>
  </w:style>
  <w:style w:type="paragraph" w:customStyle="1" w:styleId="CM16">
    <w:name w:val="CM16"/>
    <w:basedOn w:val="Default"/>
    <w:next w:val="Default"/>
    <w:pPr>
      <w:autoSpaceDE/>
      <w:autoSpaceDN/>
      <w:adjustRightInd/>
      <w:spacing w:after="413"/>
    </w:pPr>
    <w:rPr>
      <w:rFonts w:ascii="Times New Roman PS" w:eastAsia="Times New Roman" w:hAnsi="Times New Roman PS"/>
      <w:color w:val="auto"/>
      <w:kern w:val="2"/>
    </w:rPr>
  </w:style>
  <w:style w:type="paragraph" w:customStyle="1" w:styleId="CM7">
    <w:name w:val="CM7"/>
    <w:basedOn w:val="Normal"/>
    <w:next w:val="Normal"/>
    <w:pPr>
      <w:widowControl w:val="0"/>
      <w:spacing w:after="263"/>
    </w:pPr>
    <w:rPr>
      <w:rFonts w:eastAsia="Times New Roman"/>
      <w:color w:val="auto"/>
    </w:rPr>
  </w:style>
  <w:style w:type="paragraph" w:customStyle="1" w:styleId="CM8">
    <w:name w:val="CM8"/>
    <w:basedOn w:val="Normal"/>
    <w:next w:val="Normal"/>
    <w:pPr>
      <w:widowControl w:val="0"/>
      <w:spacing w:after="210"/>
    </w:pPr>
    <w:rPr>
      <w:rFonts w:eastAsia="Times New Roman"/>
      <w:color w:val="auto"/>
    </w:rPr>
  </w:style>
  <w:style w:type="paragraph" w:customStyle="1" w:styleId="CM3">
    <w:name w:val="CM3"/>
    <w:basedOn w:val="Normal"/>
    <w:next w:val="Normal"/>
    <w:pPr>
      <w:widowControl w:val="0"/>
      <w:spacing w:after="120"/>
    </w:pPr>
    <w:rPr>
      <w:rFonts w:eastAsia="Times New Roman"/>
      <w:color w:val="auto"/>
    </w:rPr>
  </w:style>
  <w:style w:type="paragraph" w:customStyle="1" w:styleId="CM19">
    <w:name w:val="CM19"/>
    <w:basedOn w:val="Default"/>
    <w:next w:val="Default"/>
    <w:pPr>
      <w:autoSpaceDE/>
      <w:autoSpaceDN/>
      <w:adjustRightInd/>
      <w:spacing w:after="385"/>
    </w:pPr>
    <w:rPr>
      <w:rFonts w:ascii="Times New Roman" w:eastAsia="Times New Roman" w:hAnsi="Times New Roman" w:cs="Times New Roman"/>
      <w:color w:val="auto"/>
      <w:kern w:val="2"/>
    </w:rPr>
  </w:style>
  <w:style w:type="paragraph" w:customStyle="1" w:styleId="CM18">
    <w:name w:val="CM18"/>
    <w:basedOn w:val="Default"/>
    <w:next w:val="Default"/>
    <w:pPr>
      <w:autoSpaceDE/>
      <w:autoSpaceDN/>
      <w:adjustRightInd/>
      <w:spacing w:after="603"/>
    </w:pPr>
    <w:rPr>
      <w:rFonts w:ascii="Times New Roman" w:eastAsia="Times New Roman" w:hAnsi="Times New Roman" w:cs="Times New Roman"/>
      <w:color w:val="auto"/>
      <w:kern w:val="2"/>
    </w:rPr>
  </w:style>
  <w:style w:type="paragraph" w:customStyle="1" w:styleId="CM20">
    <w:name w:val="CM20"/>
    <w:basedOn w:val="Default"/>
    <w:next w:val="Default"/>
    <w:pPr>
      <w:autoSpaceDE/>
      <w:autoSpaceDN/>
      <w:adjustRightInd/>
      <w:spacing w:after="70"/>
    </w:pPr>
    <w:rPr>
      <w:rFonts w:ascii="Times New Roman" w:eastAsia="Times New Roman" w:hAnsi="Times New Roman" w:cs="Times New Roman"/>
      <w:color w:val="auto"/>
      <w:kern w:val="2"/>
    </w:rPr>
  </w:style>
  <w:style w:type="character" w:customStyle="1" w:styleId="required1">
    <w:name w:val="required1"/>
    <w:rPr>
      <w:color w:val="008080"/>
    </w:rPr>
  </w:style>
  <w:style w:type="character" w:customStyle="1" w:styleId="BodyText2Char">
    <w:name w:val="Body Text 2 Char"/>
    <w:rPr>
      <w:noProof w:val="0"/>
      <w:sz w:val="20"/>
      <w:szCs w:val="20"/>
      <w:lang w:val="en-GB"/>
    </w:rPr>
  </w:style>
  <w:style w:type="paragraph" w:customStyle="1" w:styleId="CM2">
    <w:name w:val="CM2"/>
    <w:basedOn w:val="Default"/>
    <w:next w:val="Default"/>
    <w:pPr>
      <w:autoSpaceDE/>
      <w:autoSpaceDN/>
      <w:adjustRightInd/>
      <w:spacing w:line="278" w:lineRule="atLeast"/>
    </w:pPr>
    <w:rPr>
      <w:rFonts w:ascii="Times New Roman" w:eastAsia="Times New Roman" w:hAnsi="Times New Roman" w:cs="Times New Roman"/>
      <w:color w:val="auto"/>
      <w:kern w:val="2"/>
    </w:rPr>
  </w:style>
  <w:style w:type="paragraph" w:customStyle="1" w:styleId="CM17">
    <w:name w:val="CM17"/>
    <w:basedOn w:val="Default"/>
    <w:next w:val="Default"/>
    <w:pPr>
      <w:autoSpaceDE/>
      <w:autoSpaceDN/>
      <w:adjustRightInd/>
      <w:spacing w:after="558"/>
    </w:pPr>
    <w:rPr>
      <w:rFonts w:ascii="Times New Roman" w:eastAsia="Times New Roman" w:hAnsi="Times New Roman" w:cs="Times New Roman"/>
      <w:color w:val="auto"/>
      <w:kern w:val="2"/>
    </w:rPr>
  </w:style>
  <w:style w:type="paragraph" w:customStyle="1" w:styleId="CM21">
    <w:name w:val="CM21"/>
    <w:basedOn w:val="Default"/>
    <w:next w:val="Default"/>
    <w:pPr>
      <w:autoSpaceDE/>
      <w:autoSpaceDN/>
      <w:adjustRightInd/>
      <w:spacing w:after="250"/>
    </w:pPr>
    <w:rPr>
      <w:rFonts w:ascii="Times New Roman" w:eastAsia="Times New Roman" w:hAnsi="Times New Roman" w:cs="Times New Roman"/>
      <w:color w:val="auto"/>
      <w:kern w:val="2"/>
    </w:rPr>
  </w:style>
  <w:style w:type="paragraph" w:customStyle="1" w:styleId="CM25">
    <w:name w:val="CM25"/>
    <w:basedOn w:val="Default"/>
    <w:next w:val="Default"/>
    <w:pPr>
      <w:autoSpaceDE/>
      <w:autoSpaceDN/>
      <w:adjustRightInd/>
      <w:spacing w:after="180"/>
    </w:pPr>
    <w:rPr>
      <w:rFonts w:ascii="Times New Roman" w:eastAsia="Times New Roman" w:hAnsi="Times New Roman" w:cs="Times New Roman"/>
      <w:color w:val="auto"/>
      <w:kern w:val="2"/>
    </w:rPr>
  </w:style>
  <w:style w:type="paragraph" w:customStyle="1" w:styleId="CM26">
    <w:name w:val="CM26"/>
    <w:basedOn w:val="Default"/>
    <w:next w:val="Default"/>
    <w:pPr>
      <w:autoSpaceDE/>
      <w:autoSpaceDN/>
      <w:adjustRightInd/>
      <w:spacing w:after="110"/>
    </w:pPr>
    <w:rPr>
      <w:rFonts w:ascii="Times New Roman" w:eastAsia="Times New Roman" w:hAnsi="Times New Roman" w:cs="Times New Roman"/>
      <w:color w:val="auto"/>
      <w:kern w:val="2"/>
    </w:rPr>
  </w:style>
  <w:style w:type="paragraph" w:styleId="EnvelopeAddress">
    <w:name w:val="envelope address"/>
    <w:basedOn w:val="Normal"/>
    <w:semiHidden/>
    <w:pPr>
      <w:framePr w:w="7920" w:h="1980" w:hRule="exact" w:hSpace="180" w:wrap="auto" w:hAnchor="page" w:xAlign="center" w:yAlign="bottom"/>
      <w:spacing w:after="120"/>
      <w:ind w:left="2880"/>
    </w:pPr>
    <w:rPr>
      <w:rFonts w:ascii="Lucida Calligraphy" w:eastAsia="Times New Roman" w:hAnsi="Lucida Calligraphy"/>
      <w:color w:val="auto"/>
    </w:rPr>
  </w:style>
  <w:style w:type="paragraph" w:customStyle="1" w:styleId="H1">
    <w:name w:val="_ H_1"/>
    <w:basedOn w:val="Normal"/>
    <w:next w:val="SingleTxt"/>
    <w:pPr>
      <w:keepNext/>
      <w:keepLines/>
      <w:suppressAutoHyphens/>
      <w:spacing w:after="120"/>
    </w:pPr>
    <w:rPr>
      <w:rFonts w:eastAsia="Times New Roman"/>
      <w:b/>
      <w:bCs/>
      <w:color w:val="auto"/>
      <w:spacing w:val="4"/>
      <w:kern w:val="14"/>
      <w:sz w:val="20"/>
      <w:szCs w:val="20"/>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rPr>
      <w:rFonts w:eastAsia="Times New Roman"/>
      <w:color w:val="auto"/>
      <w:spacing w:val="4"/>
      <w:kern w:val="14"/>
      <w:sz w:val="20"/>
      <w:szCs w:val="20"/>
      <w:lang w:val="fr-CA"/>
    </w:rPr>
  </w:style>
  <w:style w:type="paragraph" w:customStyle="1" w:styleId="Level1">
    <w:name w:val="Level1"/>
    <w:basedOn w:val="Normal"/>
    <w:pPr>
      <w:tabs>
        <w:tab w:val="left" w:pos="360"/>
        <w:tab w:val="left" w:pos="578"/>
        <w:tab w:val="left" w:pos="1157"/>
      </w:tabs>
      <w:spacing w:after="240" w:line="360" w:lineRule="auto"/>
    </w:pPr>
    <w:rPr>
      <w:rFonts w:eastAsia="Times New Roman"/>
      <w:color w:val="auto"/>
      <w:sz w:val="20"/>
      <w:szCs w:val="20"/>
    </w:rPr>
  </w:style>
  <w:style w:type="character" w:customStyle="1" w:styleId="BodyTextIndentChar">
    <w:name w:val="Body Text Indent Char"/>
    <w:rPr>
      <w:noProof w:val="0"/>
      <w:sz w:val="20"/>
      <w:szCs w:val="20"/>
      <w:lang w:val="en-GB"/>
    </w:rPr>
  </w:style>
  <w:style w:type="character" w:customStyle="1" w:styleId="BodyTextIndent2Char">
    <w:name w:val="Body Text Indent 2 Char"/>
    <w:rPr>
      <w:b/>
      <w:bCs/>
      <w:noProof w:val="0"/>
      <w:sz w:val="20"/>
      <w:szCs w:val="20"/>
      <w:lang w:val="en-GB"/>
    </w:rPr>
  </w:style>
  <w:style w:type="paragraph" w:customStyle="1" w:styleId="main">
    <w:name w:val="main"/>
    <w:basedOn w:val="Normal"/>
    <w:pPr>
      <w:widowControl w:val="0"/>
      <w:tabs>
        <w:tab w:val="left" w:pos="720"/>
        <w:tab w:val="left" w:pos="1440"/>
      </w:tabs>
      <w:spacing w:after="120"/>
    </w:pPr>
    <w:rPr>
      <w:rFonts w:eastAsia="Times New Roman"/>
      <w:color w:val="auto"/>
      <w:sz w:val="18"/>
      <w:szCs w:val="18"/>
    </w:rPr>
  </w:style>
  <w:style w:type="character" w:customStyle="1" w:styleId="TitleChar">
    <w:name w:val="Title Char"/>
    <w:rPr>
      <w:noProof w:val="0"/>
      <w:sz w:val="20"/>
      <w:szCs w:val="20"/>
      <w:lang w:val="en-GB"/>
    </w:rPr>
  </w:style>
  <w:style w:type="paragraph" w:customStyle="1" w:styleId="tabletextbullet">
    <w:name w:val="table text bullet"/>
    <w:basedOn w:val="Normal"/>
    <w:pPr>
      <w:tabs>
        <w:tab w:val="left" w:pos="288"/>
      </w:tabs>
      <w:spacing w:after="120"/>
      <w:ind w:left="288" w:hanging="288"/>
    </w:pPr>
    <w:rPr>
      <w:rFonts w:eastAsia="Times New Roman"/>
      <w:color w:val="auto"/>
      <w:szCs w:val="22"/>
    </w:rPr>
  </w:style>
  <w:style w:type="paragraph" w:customStyle="1" w:styleId="default0">
    <w:name w:val="default"/>
    <w:basedOn w:val="Normal"/>
    <w:pPr>
      <w:spacing w:after="120"/>
    </w:pPr>
    <w:rPr>
      <w:rFonts w:eastAsia="Times New Roman"/>
    </w:rPr>
  </w:style>
  <w:style w:type="character" w:styleId="Emphasis">
    <w:name w:val="Emphasis"/>
    <w:uiPriority w:val="20"/>
    <w:qFormat/>
    <w:rPr>
      <w:i/>
      <w:iCs/>
    </w:rPr>
  </w:style>
  <w:style w:type="paragraph" w:customStyle="1" w:styleId="DefaultText">
    <w:name w:val="Default Text"/>
    <w:basedOn w:val="Normal"/>
    <w:pPr>
      <w:spacing w:after="120"/>
    </w:pPr>
    <w:rPr>
      <w:rFonts w:eastAsia="Times New Roman"/>
    </w:rPr>
  </w:style>
  <w:style w:type="paragraph" w:customStyle="1" w:styleId="ExecSumHeading">
    <w:name w:val="Exec Sum Heading"/>
    <w:basedOn w:val="Heading1"/>
    <w:pPr>
      <w:widowControl w:val="0"/>
      <w:tabs>
        <w:tab w:val="left" w:pos="720"/>
      </w:tabs>
      <w:spacing w:after="240" w:line="240" w:lineRule="auto"/>
      <w:ind w:left="0" w:firstLine="0"/>
      <w:jc w:val="left"/>
      <w:outlineLvl w:val="9"/>
    </w:pPr>
    <w:rPr>
      <w:rFonts w:eastAsia="Times New Roman"/>
      <w:color w:val="auto"/>
      <w:kern w:val="32"/>
    </w:rPr>
  </w:style>
  <w:style w:type="character" w:customStyle="1" w:styleId="BodyTextLeftChar">
    <w:name w:val="Body Text Left Char"/>
    <w:rPr>
      <w:noProof w:val="0"/>
      <w:kern w:val="2"/>
      <w:lang w:val="en-GB"/>
    </w:rPr>
  </w:style>
  <w:style w:type="paragraph" w:customStyle="1" w:styleId="Figure">
    <w:name w:val="Figure"/>
    <w:basedOn w:val="Normal"/>
    <w:pPr>
      <w:widowControl w:val="0"/>
      <w:tabs>
        <w:tab w:val="left" w:pos="3600"/>
      </w:tabs>
      <w:spacing w:after="240"/>
      <w:ind w:left="3600" w:hanging="360"/>
    </w:pPr>
    <w:rPr>
      <w:rFonts w:eastAsia="Times New Roman"/>
      <w:b/>
      <w:bCs/>
      <w:color w:val="auto"/>
      <w:kern w:val="2"/>
    </w:rPr>
  </w:style>
  <w:style w:type="paragraph" w:customStyle="1" w:styleId="sublist2">
    <w:name w:val="sublist 2"/>
    <w:basedOn w:val="Normal"/>
    <w:pPr>
      <w:widowControl w:val="0"/>
      <w:tabs>
        <w:tab w:val="left" w:pos="3600"/>
      </w:tabs>
      <w:spacing w:after="120"/>
      <w:ind w:left="3600" w:hanging="360"/>
    </w:pPr>
    <w:rPr>
      <w:rFonts w:eastAsia="Times New Roman"/>
      <w:color w:val="auto"/>
      <w:kern w:val="2"/>
    </w:rPr>
  </w:style>
  <w:style w:type="paragraph" w:customStyle="1" w:styleId="StyleTOC1Left0Hanging397ch">
    <w:name w:val="Style TOC 1 + Left:  0&quot; Hanging:  3.97 ch"/>
    <w:basedOn w:val="TOC1"/>
    <w:pPr>
      <w:keepNext w:val="0"/>
      <w:widowControl w:val="0"/>
      <w:tabs>
        <w:tab w:val="clear" w:pos="425"/>
        <w:tab w:val="left" w:pos="720"/>
        <w:tab w:val="right" w:leader="dot" w:pos="9360"/>
      </w:tabs>
      <w:spacing w:before="0"/>
      <w:ind w:left="720" w:hanging="720"/>
    </w:pPr>
    <w:rPr>
      <w:rFonts w:eastAsia="Times New Roman"/>
      <w:b w:val="0"/>
      <w:bCs/>
      <w:caps w:val="0"/>
      <w:color w:val="auto"/>
      <w:kern w:val="2"/>
      <w:sz w:val="24"/>
    </w:rPr>
  </w:style>
  <w:style w:type="paragraph" w:customStyle="1" w:styleId="Considrant">
    <w:name w:val="Considérant"/>
    <w:basedOn w:val="Normal"/>
    <w:pPr>
      <w:tabs>
        <w:tab w:val="left" w:pos="709"/>
      </w:tabs>
      <w:spacing w:before="120" w:after="120"/>
      <w:ind w:left="709" w:hanging="709"/>
    </w:pPr>
    <w:rPr>
      <w:rFonts w:eastAsia="Times New Roman"/>
      <w:noProof/>
      <w:color w:val="auto"/>
    </w:rPr>
  </w:style>
  <w:style w:type="paragraph" w:styleId="EndnoteText">
    <w:name w:val="endnote text"/>
    <w:basedOn w:val="Normal"/>
    <w:semiHidden/>
    <w:pPr>
      <w:widowControl w:val="0"/>
      <w:spacing w:after="120"/>
    </w:pPr>
    <w:rPr>
      <w:rFonts w:eastAsia="Times New Roman"/>
      <w:color w:val="auto"/>
      <w:kern w:val="2"/>
      <w:sz w:val="20"/>
      <w:szCs w:val="20"/>
    </w:rPr>
  </w:style>
  <w:style w:type="character" w:customStyle="1" w:styleId="EndnoteTextChar">
    <w:name w:val="Endnote Text Char"/>
    <w:rPr>
      <w:noProof w:val="0"/>
      <w:kern w:val="2"/>
      <w:sz w:val="20"/>
      <w:szCs w:val="20"/>
      <w:lang w:val="x-none"/>
    </w:rPr>
  </w:style>
  <w:style w:type="character" w:styleId="EndnoteReference">
    <w:name w:val="endnote reference"/>
    <w:semiHidden/>
    <w:rPr>
      <w:vertAlign w:val="superscript"/>
    </w:rPr>
  </w:style>
  <w:style w:type="paragraph" w:customStyle="1" w:styleId="Equation">
    <w:name w:val="Equation"/>
    <w:basedOn w:val="Normal"/>
    <w:pPr>
      <w:spacing w:before="120" w:after="120"/>
      <w:jc w:val="center"/>
    </w:pPr>
    <w:rPr>
      <w:rFonts w:ascii="Arial" w:eastAsia="Times New Roman" w:hAnsi="Arial" w:cs="Arial"/>
      <w:color w:val="auto"/>
      <w:sz w:val="18"/>
      <w:szCs w:val="18"/>
    </w:rPr>
  </w:style>
  <w:style w:type="paragraph" w:customStyle="1" w:styleId="Discussion">
    <w:name w:val="Discussion"/>
    <w:basedOn w:val="Normal"/>
    <w:pPr>
      <w:spacing w:after="120"/>
      <w:ind w:firstLine="288"/>
    </w:pPr>
    <w:rPr>
      <w:rFonts w:eastAsia="Times New Roman"/>
      <w:color w:val="auto"/>
      <w:sz w:val="20"/>
      <w:szCs w:val="20"/>
    </w:rPr>
  </w:style>
  <w:style w:type="character" w:customStyle="1" w:styleId="body1">
    <w:name w:val="body1"/>
    <w:rPr>
      <w:rFonts w:ascii="Arial" w:hAnsi="Arial"/>
      <w:color w:val="000000"/>
      <w:sz w:val="18"/>
      <w:szCs w:val="18"/>
    </w:rPr>
  </w:style>
  <w:style w:type="paragraph" w:styleId="NormalWeb">
    <w:name w:val="Normal (Web)"/>
    <w:basedOn w:val="Normal"/>
    <w:uiPriority w:val="99"/>
    <w:pPr>
      <w:spacing w:before="100" w:after="100"/>
    </w:pPr>
    <w:rPr>
      <w:rFonts w:eastAsia="Times New Roman"/>
      <w:color w:val="auto"/>
    </w:rPr>
  </w:style>
  <w:style w:type="paragraph" w:customStyle="1" w:styleId="Committeelist">
    <w:name w:val="Committee list"/>
    <w:basedOn w:val="Normal"/>
    <w:pPr>
      <w:widowControl w:val="0"/>
      <w:jc w:val="center"/>
    </w:pPr>
    <w:rPr>
      <w:rFonts w:eastAsia="Times New Roman"/>
      <w:color w:val="auto"/>
      <w:kern w:val="2"/>
    </w:rPr>
  </w:style>
  <w:style w:type="paragraph" w:customStyle="1" w:styleId="ExecSumHeading1">
    <w:name w:val="Exec Sum Heading 1"/>
    <w:basedOn w:val="ExecSumHeading"/>
    <w:pPr>
      <w:ind w:left="720" w:hanging="720"/>
    </w:pPr>
    <w:rPr>
      <w:sz w:val="24"/>
      <w:szCs w:val="24"/>
    </w:rPr>
  </w:style>
  <w:style w:type="paragraph" w:customStyle="1" w:styleId="BodyTextLeftBold">
    <w:name w:val="Body Text Left (Bold)"/>
    <w:basedOn w:val="BodyTextLeft"/>
    <w:rPr>
      <w:b/>
      <w:bCs/>
    </w:rPr>
  </w:style>
  <w:style w:type="paragraph" w:customStyle="1" w:styleId="Numberedlist">
    <w:name w:val="Numbered list"/>
    <w:basedOn w:val="Heading1"/>
    <w:pPr>
      <w:widowControl w:val="0"/>
      <w:tabs>
        <w:tab w:val="left" w:pos="576"/>
      </w:tabs>
      <w:spacing w:after="240" w:line="240" w:lineRule="auto"/>
      <w:ind w:left="360" w:hanging="360"/>
      <w:jc w:val="left"/>
      <w:outlineLvl w:val="9"/>
    </w:pPr>
    <w:rPr>
      <w:rFonts w:eastAsia="Times New Roman"/>
      <w:b w:val="0"/>
      <w:bCs w:val="0"/>
      <w:color w:val="auto"/>
      <w:sz w:val="24"/>
      <w:szCs w:val="24"/>
    </w:rPr>
  </w:style>
  <w:style w:type="paragraph" w:customStyle="1" w:styleId="BoldText">
    <w:name w:val="Bold Text"/>
    <w:basedOn w:val="TableTitle"/>
  </w:style>
  <w:style w:type="character" w:customStyle="1" w:styleId="StyleHeading311ptChar">
    <w:name w:val="Style Heading 3 + 11 pt Char"/>
    <w:rPr>
      <w:rFonts w:ascii="Times New Roman Bold" w:eastAsia="Times New Roman" w:hAnsi="Times New Roman Bold"/>
      <w:b/>
      <w:bCs/>
      <w:i/>
      <w:iCs/>
      <w:noProof w:val="0"/>
      <w:snapToGrid/>
      <w:color w:val="000000"/>
      <w:sz w:val="22"/>
      <w:szCs w:val="22"/>
      <w:lang w:val="en-US" w:eastAsia="fr-FR" w:bidi="ar-SA"/>
    </w:rPr>
  </w:style>
  <w:style w:type="paragraph" w:customStyle="1" w:styleId="StyleHeading311ptAfter12pt">
    <w:name w:val="Style Heading 3 + 11 pt After:  12 pt"/>
    <w:basedOn w:val="Heading3"/>
    <w:pPr>
      <w:tabs>
        <w:tab w:val="clear" w:pos="1134"/>
        <w:tab w:val="left" w:pos="851"/>
      </w:tabs>
      <w:spacing w:before="240" w:after="240" w:line="240" w:lineRule="auto"/>
      <w:jc w:val="both"/>
    </w:pPr>
    <w:rPr>
      <w:rFonts w:eastAsia="Times New Roman"/>
      <w:b w:val="0"/>
      <w:bCs w:val="0"/>
      <w:i w:val="0"/>
      <w:iCs w:val="0"/>
      <w:color w:val="auto"/>
      <w:szCs w:val="22"/>
      <w:lang w:val="en-US" w:eastAsia="zh-CN"/>
    </w:rPr>
  </w:style>
  <w:style w:type="paragraph" w:customStyle="1" w:styleId="StyleHeading4Left0cmHanging152cmAfter12pt">
    <w:name w:val="Style Heading 4 + Left:  0 cm Hanging:  1.52 cm After:  12 pt"/>
    <w:basedOn w:val="Heading4"/>
    <w:pPr>
      <w:widowControl/>
      <w:tabs>
        <w:tab w:val="left" w:pos="851"/>
      </w:tabs>
      <w:ind w:left="864" w:hanging="864"/>
      <w:jc w:val="left"/>
    </w:pPr>
    <w:rPr>
      <w:rFonts w:eastAsia="Times New Roman"/>
      <w:b w:val="0"/>
      <w:bCs w:val="0"/>
      <w:color w:val="auto"/>
      <w:szCs w:val="22"/>
      <w:lang w:eastAsia="zh-CN"/>
    </w:rPr>
  </w:style>
  <w:style w:type="paragraph" w:styleId="ListContinue">
    <w:name w:val="List Continue"/>
    <w:basedOn w:val="Normal"/>
    <w:semiHidden/>
    <w:pPr>
      <w:tabs>
        <w:tab w:val="left" w:pos="4680"/>
        <w:tab w:val="right" w:pos="9360"/>
      </w:tabs>
      <w:spacing w:before="220" w:after="120" w:line="220" w:lineRule="exact"/>
      <w:ind w:left="360"/>
      <w:jc w:val="both"/>
    </w:pPr>
    <w:rPr>
      <w:rFonts w:ascii="Arial" w:eastAsia="Times New Roman" w:hAnsi="Arial" w:cs="Arial"/>
      <w:color w:val="auto"/>
      <w:szCs w:val="22"/>
    </w:rPr>
  </w:style>
  <w:style w:type="character" w:customStyle="1" w:styleId="italic1">
    <w:name w:val="italic1"/>
    <w:rPr>
      <w:i/>
      <w:iCs/>
      <w:sz w:val="24"/>
      <w:szCs w:val="24"/>
    </w:rPr>
  </w:style>
  <w:style w:type="character" w:customStyle="1" w:styleId="st1">
    <w:name w:val="st1"/>
    <w:basedOn w:val="DefaultParagraphFont"/>
  </w:style>
  <w:style w:type="character" w:customStyle="1" w:styleId="Titre1Car">
    <w:name w:val="Titre 1 Car"/>
    <w:rPr>
      <w:rFonts w:ascii="Cambria" w:eastAsia="Times New Roman" w:hAnsi="Cambria" w:cs="Times New Roman"/>
      <w:b/>
      <w:bCs/>
      <w:noProof w:val="0"/>
      <w:kern w:val="32"/>
      <w:sz w:val="32"/>
      <w:szCs w:val="32"/>
      <w:lang w:val="fr-FR"/>
    </w:rPr>
  </w:style>
  <w:style w:type="character" w:customStyle="1" w:styleId="Titre2Car">
    <w:name w:val="Titre 2 Car"/>
    <w:aliases w:val="Heading 2 Char3 Car,SubPara (a) Car,Heading 2 Char1 Char Car,SubPara (a) Char1 Char Car,Heading 2 Char3 Char Char Car,Heading 2 Char Char2 Char Char Car,Heading 2 Char1 Char Char1 Char Char Car,SubPara (a) Char Char Char1 Char Char Car"/>
    <w:rPr>
      <w:rFonts w:ascii="Cambria" w:eastAsia="Times New Roman" w:hAnsi="Cambria" w:cs="Times New Roman"/>
      <w:b/>
      <w:bCs/>
      <w:i/>
      <w:iCs/>
      <w:noProof w:val="0"/>
      <w:sz w:val="28"/>
      <w:szCs w:val="28"/>
      <w:lang w:val="fr-FR"/>
    </w:rPr>
  </w:style>
  <w:style w:type="character" w:customStyle="1" w:styleId="Titre3Car">
    <w:name w:val="Titre 3 Car"/>
    <w:aliases w:val="Heading 3 Char1 Char Car,Heading 3 Char Char Char Car,Char Char Char Char Car,Char Char1 Char Car,Sec Car"/>
    <w:semiHidden/>
    <w:rPr>
      <w:rFonts w:ascii="Cambria" w:eastAsia="Times New Roman" w:hAnsi="Cambria" w:cs="Times New Roman"/>
      <w:b/>
      <w:bCs/>
      <w:noProof w:val="0"/>
      <w:sz w:val="26"/>
      <w:szCs w:val="26"/>
      <w:lang w:val="fr-FR"/>
    </w:rPr>
  </w:style>
  <w:style w:type="character" w:customStyle="1" w:styleId="Titre4Car">
    <w:name w:val="Titre 4 Car"/>
    <w:aliases w:val="MainPara Car"/>
    <w:semiHidden/>
    <w:rPr>
      <w:b/>
      <w:bCs/>
      <w:noProof w:val="0"/>
      <w:sz w:val="28"/>
      <w:szCs w:val="28"/>
      <w:lang w:val="fr-FR"/>
    </w:rPr>
  </w:style>
  <w:style w:type="paragraph" w:customStyle="1" w:styleId="Textedebulles1">
    <w:name w:val="Texte de bulles1"/>
    <w:basedOn w:val="Normal"/>
    <w:pPr>
      <w:autoSpaceDE w:val="0"/>
      <w:autoSpaceDN w:val="0"/>
    </w:pPr>
    <w:rPr>
      <w:rFonts w:ascii="Tahoma" w:eastAsia="Times New Roman" w:hAnsi="Tahoma" w:cs="Palatino Linotype"/>
      <w:color w:val="auto"/>
      <w:sz w:val="16"/>
      <w:szCs w:val="16"/>
      <w:lang w:val="fr-FR"/>
    </w:rPr>
  </w:style>
  <w:style w:type="character" w:customStyle="1" w:styleId="TextedebullesCar">
    <w:name w:val="Texte de bulles Car"/>
    <w:rPr>
      <w:rFonts w:ascii="Tahoma" w:hAnsi="Tahoma" w:cs="Calibri"/>
      <w:sz w:val="16"/>
      <w:szCs w:val="16"/>
    </w:rPr>
  </w:style>
  <w:style w:type="paragraph" w:customStyle="1" w:styleId="Paragraphedeliste1">
    <w:name w:val="Paragraphe de liste1"/>
    <w:basedOn w:val="Normal"/>
    <w:qFormat/>
    <w:pPr>
      <w:autoSpaceDE w:val="0"/>
      <w:autoSpaceDN w:val="0"/>
      <w:ind w:left="720"/>
    </w:pPr>
    <w:rPr>
      <w:rFonts w:ascii="Calibri" w:eastAsia="Times New Roman" w:hAnsi="Calibri"/>
      <w:color w:val="auto"/>
      <w:szCs w:val="22"/>
      <w:lang w:val="fr-FR"/>
    </w:rPr>
  </w:style>
  <w:style w:type="character" w:customStyle="1" w:styleId="TitreCar">
    <w:name w:val="Titre Car"/>
    <w:rPr>
      <w:rFonts w:ascii="Cambria" w:eastAsia="Times New Roman" w:hAnsi="Cambria" w:cs="Times New Roman"/>
      <w:b/>
      <w:bCs/>
      <w:noProof w:val="0"/>
      <w:kern w:val="28"/>
      <w:sz w:val="32"/>
      <w:szCs w:val="32"/>
      <w:lang w:val="fr-FR"/>
    </w:rPr>
  </w:style>
  <w:style w:type="character" w:customStyle="1" w:styleId="CorpsdetexteCar">
    <w:name w:val="Corps de texte Car"/>
    <w:aliases w:val="Char Char Car,Body Text Char Car, Char Char Char Char Char Char Char Char Char Char Char Char Char Char Char Char Char Char Char Char Char Char Char Char Char Char Char Char Char Char Char Car, Char Char Car"/>
    <w:semiHidden/>
    <w:rPr>
      <w:rFonts w:ascii="Calibri" w:hAnsi="Calibri" w:cs="Times"/>
      <w:noProof w:val="0"/>
      <w:lang w:val="fr-FR"/>
    </w:rPr>
  </w:style>
  <w:style w:type="character" w:customStyle="1" w:styleId="Corpsdetexte2Car">
    <w:name w:val="Corps de texte 2 Car"/>
    <w:semiHidden/>
    <w:rPr>
      <w:rFonts w:cs="Times"/>
      <w:sz w:val="22"/>
      <w:szCs w:val="22"/>
      <w:lang w:eastAsia="en-GB"/>
    </w:rPr>
  </w:style>
  <w:style w:type="character" w:customStyle="1" w:styleId="Retraitcorpsdetexte3Car">
    <w:name w:val="Retrait corps de texte 3 Car"/>
    <w:semiHidden/>
    <w:rPr>
      <w:rFonts w:cs="Times"/>
      <w:sz w:val="16"/>
      <w:szCs w:val="16"/>
      <w:lang w:eastAsia="en-GB"/>
    </w:rPr>
  </w:style>
  <w:style w:type="paragraph" w:customStyle="1" w:styleId="Asuntodelcomentario">
    <w:name w:val="Asunto del comentario"/>
    <w:basedOn w:val="CommentText"/>
    <w:next w:val="CommentText"/>
    <w:semiHidden/>
    <w:pPr>
      <w:tabs>
        <w:tab w:val="clear" w:pos="720"/>
        <w:tab w:val="clear" w:pos="1440"/>
        <w:tab w:val="clear" w:pos="5760"/>
      </w:tabs>
      <w:spacing w:line="240" w:lineRule="atLeast"/>
      <w:ind w:right="-574"/>
    </w:pPr>
    <w:rPr>
      <w:b/>
      <w:bCs/>
      <w:color w:val="000000"/>
      <w:lang w:val="en-US"/>
    </w:rPr>
  </w:style>
  <w:style w:type="paragraph" w:customStyle="1" w:styleId="ListParagraph1">
    <w:name w:val="List Paragraph1"/>
    <w:aliases w:val="Bullets"/>
    <w:basedOn w:val="Normal"/>
    <w:pPr>
      <w:autoSpaceDE w:val="0"/>
      <w:autoSpaceDN w:val="0"/>
      <w:spacing w:line="240" w:lineRule="atLeast"/>
      <w:ind w:right="-574"/>
      <w:jc w:val="both"/>
    </w:pPr>
    <w:rPr>
      <w:rFonts w:ascii="Cambria" w:eastAsia="Times New Roman" w:hAnsi="Cambria"/>
      <w:color w:val="auto"/>
      <w:szCs w:val="22"/>
    </w:rPr>
  </w:style>
  <w:style w:type="character" w:customStyle="1" w:styleId="CierreCar">
    <w:name w:val="Cierre Car"/>
    <w:rPr>
      <w:rFonts w:eastAsia="SimSun"/>
      <w:noProof w:val="0"/>
      <w:color w:val="000000"/>
      <w:sz w:val="24"/>
      <w:szCs w:val="24"/>
      <w:lang w:val="en-US" w:eastAsia="nl-NL" w:bidi="ar-SA"/>
    </w:rPr>
  </w:style>
  <w:style w:type="paragraph" w:customStyle="1" w:styleId="para">
    <w:name w:val="para"/>
    <w:basedOn w:val="Normal"/>
    <w:pPr>
      <w:tabs>
        <w:tab w:val="left" w:pos="540"/>
      </w:tabs>
      <w:spacing w:line="320" w:lineRule="atLeast"/>
      <w:ind w:right="-574"/>
      <w:jc w:val="both"/>
    </w:pPr>
    <w:rPr>
      <w:rFonts w:ascii="Palatino" w:eastAsia="Times New Roman" w:hAnsi="Palatino"/>
    </w:rPr>
  </w:style>
  <w:style w:type="character" w:customStyle="1" w:styleId="TextocomentarioCar">
    <w:name w:val="Texto comentario Car"/>
    <w:semiHidden/>
    <w:rPr>
      <w:rFonts w:ascii="Times New Roman" w:hAnsi="Times New Roman"/>
      <w:noProof w:val="0"/>
      <w:lang w:val="en-GB" w:eastAsia="nl-NL"/>
    </w:rPr>
  </w:style>
  <w:style w:type="character" w:customStyle="1" w:styleId="TtuloCar">
    <w:name w:val="Título Car"/>
    <w:rPr>
      <w:rFonts w:ascii="Times New Roman" w:hAnsi="Times New Roman"/>
      <w:b/>
      <w:bCs/>
      <w:color w:val="000000"/>
      <w:sz w:val="22"/>
      <w:szCs w:val="22"/>
      <w:lang w:eastAsia="nl-NL"/>
    </w:rPr>
  </w:style>
  <w:style w:type="character" w:customStyle="1" w:styleId="SubttuloCar">
    <w:name w:val="Subtítulo Car"/>
    <w:rPr>
      <w:rFonts w:ascii="Times New Roman" w:hAnsi="Times New Roman"/>
      <w:b/>
      <w:bCs/>
      <w:color w:val="000000"/>
      <w:sz w:val="22"/>
      <w:szCs w:val="22"/>
      <w:lang w:eastAsia="nl-NL"/>
    </w:rPr>
  </w:style>
  <w:style w:type="character" w:customStyle="1" w:styleId="Textodecuerpo3Car">
    <w:name w:val="Texto de cuerpo 3 Car"/>
    <w:semiHidden/>
    <w:rPr>
      <w:rFonts w:ascii="Times New Roman" w:hAnsi="Times New Roman"/>
      <w:noProof w:val="0"/>
      <w:sz w:val="22"/>
      <w:szCs w:val="22"/>
      <w:lang w:val="en-AU" w:eastAsia="nl-NL"/>
    </w:rPr>
  </w:style>
  <w:style w:type="paragraph" w:customStyle="1" w:styleId="Prrafodelista">
    <w:name w:val="Párrafo de lista"/>
    <w:basedOn w:val="Normal"/>
    <w:qFormat/>
    <w:pPr>
      <w:ind w:right="-574"/>
      <w:jc w:val="both"/>
    </w:pPr>
    <w:rPr>
      <w:rFonts w:eastAsia="Calibri"/>
      <w:color w:val="auto"/>
    </w:rPr>
  </w:style>
  <w:style w:type="paragraph" w:customStyle="1" w:styleId="Thesisheading1">
    <w:name w:val="Thesisheading1"/>
    <w:basedOn w:val="BodyTextIndent2"/>
    <w:pPr>
      <w:widowControl/>
      <w:numPr>
        <w:numId w:val="13"/>
      </w:numPr>
      <w:autoSpaceDE w:val="0"/>
      <w:autoSpaceDN w:val="0"/>
      <w:spacing w:line="360" w:lineRule="auto"/>
    </w:pPr>
    <w:rPr>
      <w:rFonts w:ascii="Arial" w:eastAsia="Times New Roman" w:hAnsi="Arial" w:cs="Arial"/>
      <w:caps/>
      <w:color w:val="auto"/>
    </w:rPr>
  </w:style>
  <w:style w:type="paragraph" w:customStyle="1" w:styleId="Thesisheading4">
    <w:name w:val="Thesisheading4"/>
    <w:basedOn w:val="Heading3"/>
    <w:pPr>
      <w:numPr>
        <w:numId w:val="15"/>
      </w:numPr>
      <w:tabs>
        <w:tab w:val="clear" w:pos="1134"/>
      </w:tabs>
      <w:autoSpaceDE w:val="0"/>
      <w:autoSpaceDN w:val="0"/>
      <w:spacing w:before="240" w:after="0" w:line="360" w:lineRule="auto"/>
      <w:jc w:val="both"/>
    </w:pPr>
    <w:rPr>
      <w:rFonts w:ascii="Arial" w:eastAsia="Times New Roman" w:hAnsi="Arial" w:cs="Arial"/>
      <w:b w:val="0"/>
      <w:bCs w:val="0"/>
      <w:color w:val="auto"/>
    </w:rPr>
  </w:style>
  <w:style w:type="paragraph" w:customStyle="1" w:styleId="OurCaption">
    <w:name w:val="OurCaption"/>
    <w:pPr>
      <w:numPr>
        <w:numId w:val="14"/>
      </w:numPr>
      <w:tabs>
        <w:tab w:val="clear" w:pos="360"/>
      </w:tabs>
      <w:autoSpaceDE w:val="0"/>
      <w:autoSpaceDN w:val="0"/>
      <w:ind w:left="0" w:right="12" w:firstLine="0"/>
    </w:pPr>
    <w:rPr>
      <w:rFonts w:ascii="Times New Roman" w:eastAsia="Times New Roman" w:hAnsi="Times New Roman"/>
      <w:lang w:val="en-GB" w:eastAsia="en-US"/>
    </w:rPr>
  </w:style>
  <w:style w:type="paragraph" w:customStyle="1" w:styleId="Chap">
    <w:name w:val="Chap"/>
    <w:pPr>
      <w:numPr>
        <w:numId w:val="8"/>
      </w:numPr>
      <w:autoSpaceDE w:val="0"/>
      <w:autoSpaceDN w:val="0"/>
    </w:pPr>
    <w:rPr>
      <w:rFonts w:ascii="TimesNewRomanPSMT" w:eastAsia="Times New Roman" w:hAnsi="TimesNewRomanPSMT"/>
      <w:b/>
      <w:bCs/>
      <w:sz w:val="28"/>
      <w:szCs w:val="28"/>
      <w:lang w:val="en-US" w:eastAsia="en-US"/>
    </w:rPr>
  </w:style>
  <w:style w:type="paragraph" w:customStyle="1" w:styleId="Indentedbullet">
    <w:name w:val="Indented bullet"/>
    <w:basedOn w:val="Indentedbodytext"/>
    <w:pPr>
      <w:numPr>
        <w:numId w:val="7"/>
      </w:numPr>
      <w:spacing w:after="240"/>
      <w:ind w:left="1434" w:hanging="357"/>
    </w:pPr>
  </w:style>
  <w:style w:type="paragraph" w:customStyle="1" w:styleId="Indentedbodytext">
    <w:name w:val="Indented body text"/>
    <w:autoRedefine/>
    <w:rPr>
      <w:rFonts w:ascii="Times New Roman" w:hAnsi="Times New Roman"/>
      <w:color w:val="000000"/>
      <w:sz w:val="22"/>
      <w:lang w:val="en-GB" w:eastAsia="en-GB"/>
    </w:rPr>
  </w:style>
  <w:style w:type="paragraph" w:customStyle="1" w:styleId="StyleHeading3Heading3Char1CharHeading3CharCharCharChar">
    <w:name w:val="Style Heading 3Heading 3 Char1 CharHeading 3 Char Char CharChar ..."/>
    <w:basedOn w:val="Heading3"/>
    <w:pPr>
      <w:tabs>
        <w:tab w:val="clear" w:pos="1134"/>
        <w:tab w:val="num" w:pos="360"/>
      </w:tabs>
      <w:autoSpaceDE w:val="0"/>
      <w:autoSpaceDN w:val="0"/>
      <w:spacing w:before="60" w:after="240" w:line="240" w:lineRule="auto"/>
      <w:ind w:left="360" w:hanging="360"/>
      <w:jc w:val="center"/>
    </w:pPr>
    <w:rPr>
      <w:rFonts w:eastAsia="Times New Roman"/>
      <w:b w:val="0"/>
      <w:bCs w:val="0"/>
      <w:color w:val="auto"/>
      <w:szCs w:val="22"/>
    </w:rPr>
  </w:style>
  <w:style w:type="paragraph" w:customStyle="1" w:styleId="Alt2-LevelLegal7">
    <w:name w:val="Alt 2-Level Legal7"/>
    <w:pPr>
      <w:tabs>
        <w:tab w:val="num" w:pos="360"/>
      </w:tabs>
      <w:autoSpaceDE w:val="0"/>
      <w:autoSpaceDN w:val="0"/>
      <w:spacing w:after="240"/>
      <w:ind w:left="1440" w:hanging="360"/>
      <w:outlineLvl w:val="6"/>
    </w:pPr>
    <w:rPr>
      <w:rFonts w:ascii="Times New Roman" w:eastAsia="Times New Roman" w:hAnsi="Times New Roman"/>
      <w:color w:val="000000"/>
      <w:sz w:val="24"/>
      <w:szCs w:val="24"/>
      <w:lang w:val="en-GB" w:eastAsia="en-US"/>
    </w:rPr>
  </w:style>
  <w:style w:type="paragraph" w:customStyle="1" w:styleId="bullets">
    <w:name w:val="bullets"/>
    <w:pPr>
      <w:widowControl w:val="0"/>
      <w:numPr>
        <w:numId w:val="12"/>
      </w:numPr>
      <w:tabs>
        <w:tab w:val="left" w:pos="794"/>
      </w:tabs>
      <w:autoSpaceDE w:val="0"/>
      <w:autoSpaceDN w:val="0"/>
      <w:spacing w:before="120" w:line="220" w:lineRule="exact"/>
      <w:ind w:right="288"/>
    </w:pPr>
    <w:rPr>
      <w:rFonts w:ascii="Arial" w:eastAsia="Times New Roman" w:hAnsi="Arial" w:cs="Arial"/>
      <w:sz w:val="22"/>
      <w:szCs w:val="22"/>
      <w:lang w:val="en-US" w:eastAsia="en-US"/>
    </w:rPr>
  </w:style>
  <w:style w:type="paragraph" w:styleId="ListNumber2">
    <w:name w:val="List Number 2"/>
    <w:basedOn w:val="Normal"/>
    <w:semiHidden/>
    <w:pPr>
      <w:numPr>
        <w:numId w:val="9"/>
      </w:numPr>
      <w:tabs>
        <w:tab w:val="left" w:pos="4680"/>
        <w:tab w:val="right" w:pos="9360"/>
      </w:tabs>
      <w:autoSpaceDE w:val="0"/>
      <w:autoSpaceDN w:val="0"/>
      <w:jc w:val="both"/>
    </w:pPr>
    <w:rPr>
      <w:rFonts w:ascii="Garamond" w:eastAsia="Times New Roman" w:hAnsi="Garamond"/>
      <w:color w:val="auto"/>
      <w:sz w:val="18"/>
      <w:szCs w:val="18"/>
    </w:rPr>
  </w:style>
  <w:style w:type="paragraph" w:styleId="ListBullet3">
    <w:name w:val="List Bullet 3"/>
    <w:basedOn w:val="Normal"/>
    <w:autoRedefine/>
    <w:semiHidden/>
    <w:pPr>
      <w:numPr>
        <w:numId w:val="10"/>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paragraph" w:styleId="ListBullet4">
    <w:name w:val="List Bullet 4"/>
    <w:basedOn w:val="Normal"/>
    <w:autoRedefine/>
    <w:semiHidden/>
    <w:pPr>
      <w:numPr>
        <w:numId w:val="11"/>
      </w:numPr>
      <w:tabs>
        <w:tab w:val="left" w:pos="4680"/>
        <w:tab w:val="right" w:pos="9360"/>
      </w:tabs>
      <w:autoSpaceDE w:val="0"/>
      <w:autoSpaceDN w:val="0"/>
      <w:spacing w:before="220" w:line="220" w:lineRule="exact"/>
      <w:jc w:val="both"/>
    </w:pPr>
    <w:rPr>
      <w:rFonts w:ascii="Arial" w:eastAsia="Times New Roman" w:hAnsi="Arial" w:cs="Arial"/>
      <w:color w:val="auto"/>
      <w:szCs w:val="22"/>
    </w:rPr>
  </w:style>
  <w:style w:type="character" w:customStyle="1" w:styleId="Heading3Char3">
    <w:name w:val="Heading 3 Char3"/>
    <w:aliases w:val="Char Char Char2,Heading 3 Char Char2,Heading 3 Char1 Char1,Heading 3 Char Char Char1,Char Char Char Char1,Char Char1 Char1,Heading 3 Char1 Char Char,Heading 3 Char Char Char Char,Char Char Char Char Char,Char Char1 Char Char"/>
    <w:rPr>
      <w:b/>
      <w:bCs/>
      <w:i/>
      <w:iCs/>
      <w:noProof w:val="0"/>
      <w:color w:val="000000"/>
      <w:sz w:val="22"/>
      <w:szCs w:val="22"/>
      <w:lang w:val="en-GB"/>
    </w:rPr>
  </w:style>
  <w:style w:type="paragraph" w:customStyle="1" w:styleId="Corpsdetexte1">
    <w:name w:val="Corps de texte1"/>
    <w:pPr>
      <w:autoSpaceDE w:val="0"/>
      <w:autoSpaceDN w:val="0"/>
    </w:pPr>
    <w:rPr>
      <w:rFonts w:ascii="Times New Roman" w:eastAsia="Times New Roman" w:hAnsi="Times New Roman"/>
      <w:color w:val="000000"/>
      <w:sz w:val="22"/>
      <w:szCs w:val="22"/>
      <w:lang w:val="en-GB" w:eastAsia="en-US"/>
    </w:rPr>
  </w:style>
  <w:style w:type="paragraph" w:customStyle="1" w:styleId="Tabel">
    <w:name w:val="Tabel"/>
    <w:pPr>
      <w:autoSpaceDE w:val="0"/>
      <w:autoSpaceDN w:val="0"/>
      <w:spacing w:after="120"/>
    </w:pPr>
    <w:rPr>
      <w:rFonts w:ascii="Times New Roman" w:eastAsia="Times New Roman" w:hAnsi="Times New Roman"/>
      <w:color w:val="000000"/>
      <w:sz w:val="24"/>
      <w:szCs w:val="24"/>
      <w:lang w:val="en-GB" w:eastAsia="en-US"/>
    </w:rPr>
  </w:style>
  <w:style w:type="paragraph" w:customStyle="1" w:styleId="StylereferencesTimesNewRoman">
    <w:name w:val="Style references + Times New Roman"/>
    <w:basedOn w:val="references"/>
    <w:pPr>
      <w:keepLines/>
      <w:widowControl w:val="0"/>
      <w:numPr>
        <w:numId w:val="0"/>
      </w:numPr>
      <w:autoSpaceDE/>
      <w:autoSpaceDN/>
      <w:spacing w:before="120"/>
      <w:ind w:left="964" w:hanging="964"/>
    </w:pPr>
    <w:rPr>
      <w:rFonts w:ascii="Times New Roman" w:hAnsi="Times New Roman" w:cs="Times New Roman"/>
      <w:sz w:val="20"/>
      <w:szCs w:val="20"/>
    </w:rPr>
  </w:style>
  <w:style w:type="paragraph" w:customStyle="1" w:styleId="references">
    <w:name w:val="references"/>
    <w:pPr>
      <w:numPr>
        <w:numId w:val="6"/>
      </w:numPr>
      <w:tabs>
        <w:tab w:val="clear" w:pos="720"/>
        <w:tab w:val="left" w:pos="1134"/>
      </w:tabs>
      <w:autoSpaceDE w:val="0"/>
      <w:autoSpaceDN w:val="0"/>
      <w:spacing w:before="100"/>
      <w:ind w:left="1134" w:hanging="1134"/>
      <w:jc w:val="both"/>
    </w:pPr>
    <w:rPr>
      <w:rFonts w:ascii="Arial" w:eastAsia="Times New Roman" w:hAnsi="Arial" w:cs="Arial"/>
      <w:sz w:val="22"/>
      <w:szCs w:val="22"/>
      <w:lang w:val="en-US" w:eastAsia="en-US"/>
    </w:rPr>
  </w:style>
  <w:style w:type="character" w:customStyle="1" w:styleId="apple-converted-space">
    <w:name w:val="apple-converted-space"/>
    <w:basedOn w:val="DefaultParagraphFont"/>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rPr>
      <w:rFonts w:ascii="Times New Roman" w:hAnsi="Times New Roman"/>
      <w:b/>
      <w:bCs/>
      <w:noProof w:val="0"/>
      <w:color w:val="000000"/>
      <w:sz w:val="28"/>
      <w:szCs w:val="28"/>
      <w:lang w:val="en-GB"/>
    </w:rPr>
  </w:style>
  <w:style w:type="character" w:customStyle="1" w:styleId="Heading2Char1">
    <w:name w:val="Heading 2 Char1"/>
    <w:aliases w:val="SubPara (a) Char,Heading 2 Char Char,Heading 2 Char1 Char Char,Heading 2 Char Char Char Char,SubPara (a) Char Char Char Char,Heading 2 Char3 Char Char Char Char,Heading 2 Char Char2 Char Char Char Char,Heading 2 Char3 Char"/>
    <w:rPr>
      <w:rFonts w:ascii="Times New Roman" w:hAnsi="Times New Roman"/>
      <w:b/>
      <w:bCs/>
      <w:noProof w:val="0"/>
      <w:color w:val="000000"/>
      <w:sz w:val="22"/>
      <w:szCs w:val="24"/>
      <w:lang w:val="en-GB" w:eastAsia="ja-JP"/>
    </w:rPr>
  </w:style>
  <w:style w:type="paragraph" w:customStyle="1" w:styleId="ListParagraph2">
    <w:name w:val="List Paragraph2"/>
    <w:basedOn w:val="Normal"/>
    <w:qFormat/>
    <w:pPr>
      <w:autoSpaceDE w:val="0"/>
      <w:autoSpaceDN w:val="0"/>
      <w:ind w:left="720"/>
    </w:pPr>
    <w:rPr>
      <w:rFonts w:ascii="Cambria" w:eastAsia="Times New Roman" w:hAnsi="Cambria"/>
      <w:color w:val="auto"/>
    </w:rPr>
  </w:style>
  <w:style w:type="character" w:customStyle="1" w:styleId="SubParaaCharChar">
    <w:name w:val="SubPara (a) Char Char"/>
    <w:rPr>
      <w:b/>
      <w:noProof w:val="0"/>
      <w:color w:val="000000"/>
      <w:sz w:val="24"/>
      <w:lang w:val="en-GB"/>
    </w:rPr>
  </w:style>
  <w:style w:type="paragraph" w:customStyle="1" w:styleId="SummaryShading">
    <w:name w:val="Summary Shading"/>
    <w:basedOn w:val="Normal"/>
    <w:pPr>
      <w:shd w:val="pct5" w:color="808080" w:fill="auto"/>
      <w:spacing w:before="120" w:after="120"/>
      <w:jc w:val="both"/>
    </w:pPr>
    <w:rPr>
      <w:rFonts w:ascii="Garamond" w:eastAsia="Times New Roman" w:hAnsi="Garamond"/>
      <w:color w:val="auto"/>
    </w:rPr>
  </w:style>
  <w:style w:type="paragraph" w:customStyle="1" w:styleId="MainText">
    <w:name w:val="Main Text"/>
    <w:pPr>
      <w:widowControl w:val="0"/>
      <w:spacing w:line="240" w:lineRule="exact"/>
      <w:ind w:left="567" w:hanging="567"/>
    </w:pPr>
    <w:rPr>
      <w:rFonts w:eastAsia="Times New Roman"/>
      <w:color w:val="000000"/>
      <w:sz w:val="24"/>
      <w:lang w:val="en-US" w:eastAsia="en-GB"/>
    </w:rPr>
  </w:style>
  <w:style w:type="paragraph" w:customStyle="1" w:styleId="Paragraph">
    <w:name w:val="Paragraph"/>
    <w:basedOn w:val="Normal"/>
    <w:pPr>
      <w:spacing w:before="120" w:after="120"/>
      <w:jc w:val="both"/>
    </w:pPr>
    <w:rPr>
      <w:rFonts w:ascii="Garamond" w:eastAsia="Times New Roman" w:hAnsi="Garamond"/>
      <w:lang w:val="de-DE"/>
    </w:rPr>
  </w:style>
  <w:style w:type="paragraph" w:customStyle="1" w:styleId="DotPoints">
    <w:name w:val="Dot Points"/>
    <w:basedOn w:val="Normal"/>
    <w:pPr>
      <w:spacing w:after="60"/>
      <w:ind w:left="709" w:right="284" w:hanging="284"/>
      <w:jc w:val="both"/>
    </w:pPr>
    <w:rPr>
      <w:rFonts w:ascii="Garamond" w:eastAsia="Times New Roman" w:hAnsi="Garamond"/>
      <w:color w:val="auto"/>
    </w:rPr>
  </w:style>
  <w:style w:type="paragraph" w:customStyle="1" w:styleId="TableColumnHeading">
    <w:name w:val="Table Column Heading"/>
    <w:basedOn w:val="Normal"/>
    <w:pPr>
      <w:spacing w:before="80" w:after="120"/>
      <w:jc w:val="center"/>
    </w:pPr>
    <w:rPr>
      <w:rFonts w:ascii="Arial Narrow" w:eastAsia="Times New Roman" w:hAnsi="Arial Narrow"/>
      <w:b/>
      <w:color w:val="auto"/>
      <w:sz w:val="20"/>
    </w:rPr>
  </w:style>
  <w:style w:type="paragraph" w:customStyle="1" w:styleId="TableDetails">
    <w:name w:val="Table Details"/>
    <w:basedOn w:val="Normal"/>
    <w:pPr>
      <w:spacing w:before="60" w:after="60"/>
      <w:ind w:left="113" w:right="113"/>
      <w:jc w:val="both"/>
    </w:pPr>
    <w:rPr>
      <w:rFonts w:ascii="Arial Narrow" w:eastAsia="Times New Roman" w:hAnsi="Arial Narrow"/>
      <w:color w:val="auto"/>
      <w:sz w:val="20"/>
    </w:rPr>
  </w:style>
  <w:style w:type="paragraph" w:customStyle="1" w:styleId="TableHeading">
    <w:name w:val="Table Heading"/>
    <w:basedOn w:val="Normal"/>
    <w:pPr>
      <w:spacing w:before="120" w:after="120"/>
      <w:ind w:left="1134" w:hanging="1134"/>
      <w:jc w:val="both"/>
    </w:pPr>
    <w:rPr>
      <w:rFonts w:ascii="Arial" w:eastAsia="Times New Roman" w:hAnsi="Arial"/>
      <w:b/>
      <w:color w:val="auto"/>
      <w:sz w:val="20"/>
    </w:rPr>
  </w:style>
  <w:style w:type="paragraph" w:customStyle="1" w:styleId="References0">
    <w:name w:val="References"/>
    <w:basedOn w:val="Normal"/>
    <w:pPr>
      <w:keepLines/>
      <w:spacing w:before="60" w:after="60"/>
      <w:ind w:left="1134" w:hanging="1134"/>
      <w:jc w:val="both"/>
    </w:pPr>
    <w:rPr>
      <w:rFonts w:ascii="Garamond" w:eastAsia="Times New Roman" w:hAnsi="Garamond"/>
      <w:color w:val="auto"/>
      <w:sz w:val="20"/>
    </w:rPr>
  </w:style>
  <w:style w:type="paragraph" w:customStyle="1" w:styleId="Table-Labels">
    <w:name w:val="Table-Labels"/>
    <w:basedOn w:val="Normal"/>
    <w:next w:val="Normal"/>
    <w:pPr>
      <w:keepNext/>
      <w:keepLines/>
      <w:spacing w:after="60"/>
      <w:ind w:left="2160" w:hanging="1080"/>
    </w:pPr>
    <w:rPr>
      <w:rFonts w:eastAsia="Times New Roman"/>
      <w:i/>
    </w:rPr>
  </w:style>
  <w:style w:type="paragraph" w:customStyle="1" w:styleId="Bibliogrphy">
    <w:name w:val="Bibliogrphy"/>
    <w:basedOn w:val="Normal"/>
    <w:pPr>
      <w:ind w:left="720" w:firstLine="720"/>
    </w:pPr>
    <w:rPr>
      <w:rFonts w:ascii="CG Times" w:eastAsia="Times New Roman" w:hAnsi="CG Times"/>
    </w:rPr>
  </w:style>
  <w:style w:type="paragraph" w:customStyle="1" w:styleId="TechInit">
    <w:name w:val="Tech Init"/>
    <w:basedOn w:val="Normal"/>
    <w:rPr>
      <w:rFonts w:ascii="CG Times" w:eastAsia="Times New Roman" w:hAnsi="CG Times"/>
    </w:rPr>
  </w:style>
  <w:style w:type="paragraph" w:customStyle="1" w:styleId="Technical">
    <w:name w:val="Technical"/>
    <w:basedOn w:val="Normal"/>
    <w:rPr>
      <w:rFonts w:ascii="CG Times" w:eastAsia="Times New Roman" w:hAnsi="CG Times"/>
    </w:rPr>
  </w:style>
  <w:style w:type="paragraph" w:customStyle="1" w:styleId="Pleading">
    <w:name w:val="Pleading"/>
    <w:basedOn w:val="Normal"/>
    <w:pPr>
      <w:tabs>
        <w:tab w:val="right" w:pos="288"/>
      </w:tabs>
    </w:pPr>
    <w:rPr>
      <w:rFonts w:ascii="CG Times" w:eastAsia="Times New Roman" w:hAnsi="CG Times"/>
    </w:rPr>
  </w:style>
  <w:style w:type="paragraph" w:customStyle="1" w:styleId="BulletList">
    <w:name w:val="Bullet List"/>
    <w:basedOn w:val="Normal"/>
    <w:pPr>
      <w:ind w:left="720"/>
    </w:pPr>
    <w:rPr>
      <w:rFonts w:ascii="Roman" w:eastAsia="Times New Roman" w:hAnsi="Roman"/>
      <w:color w:val="auto"/>
      <w:lang w:val="it-IT"/>
    </w:rPr>
  </w:style>
  <w:style w:type="paragraph" w:customStyle="1" w:styleId="Outline">
    <w:name w:val="Outline"/>
    <w:basedOn w:val="Normal"/>
    <w:pPr>
      <w:spacing w:before="240"/>
    </w:pPr>
    <w:rPr>
      <w:rFonts w:eastAsia="Times New Roman"/>
      <w:color w:val="auto"/>
      <w:kern w:val="28"/>
    </w:rPr>
  </w:style>
  <w:style w:type="paragraph" w:customStyle="1" w:styleId="Body">
    <w:name w:val="Body"/>
    <w:pPr>
      <w:widowControl w:val="0"/>
    </w:pPr>
    <w:rPr>
      <w:rFonts w:ascii="Times New Roman" w:eastAsia="Times New Roman" w:hAnsi="Times New Roman"/>
      <w:sz w:val="24"/>
      <w:lang w:val="en-GB" w:eastAsia="en-GB"/>
    </w:rPr>
  </w:style>
  <w:style w:type="paragraph" w:customStyle="1" w:styleId="Reference">
    <w:name w:val="Reference"/>
    <w:basedOn w:val="Normal"/>
    <w:pPr>
      <w:spacing w:after="60"/>
      <w:ind w:left="284"/>
    </w:pPr>
    <w:rPr>
      <w:rFonts w:eastAsia="Times New Roman"/>
      <w:color w:val="auto"/>
    </w:rPr>
  </w:style>
  <w:style w:type="paragraph" w:customStyle="1" w:styleId="Figures">
    <w:name w:val="Figures"/>
    <w:basedOn w:val="Normal"/>
    <w:pPr>
      <w:tabs>
        <w:tab w:val="center" w:pos="4680"/>
      </w:tabs>
      <w:suppressAutoHyphens/>
      <w:spacing w:before="240" w:after="120"/>
      <w:jc w:val="both"/>
    </w:pPr>
    <w:rPr>
      <w:rFonts w:eastAsia="Times New Roman"/>
      <w:b/>
      <w:color w:val="auto"/>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eastAsia="Times New Roman" w:hAnsi="Times New Roman"/>
      <w:sz w:val="24"/>
      <w:lang w:val="en-US" w:eastAsia="en-GB"/>
    </w:rPr>
  </w:style>
  <w:style w:type="paragraph" w:customStyle="1" w:styleId="Tableheading0">
    <w:name w:val="Table heading"/>
    <w:basedOn w:val="Normal"/>
    <w:pPr>
      <w:keepNext/>
      <w:spacing w:before="120" w:after="240"/>
      <w:ind w:left="1984" w:hanging="907"/>
    </w:pPr>
    <w:rPr>
      <w:rFonts w:eastAsia="Times New Roman"/>
      <w:i/>
      <w:color w:val="auto"/>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after="240" w:line="360" w:lineRule="exact"/>
      <w:ind w:left="1701" w:hanging="1701"/>
    </w:pPr>
    <w:rPr>
      <w:rFonts w:ascii="Arial" w:eastAsia="Times New Roman" w:hAnsi="Arial"/>
    </w:rPr>
  </w:style>
  <w:style w:type="paragraph" w:customStyle="1" w:styleId="GCDCB12">
    <w:name w:val="GCD_CB12"/>
    <w:basedOn w:val="Normal"/>
    <w:next w:val="Normal"/>
    <w:pPr>
      <w:spacing w:after="240"/>
      <w:jc w:val="center"/>
    </w:pPr>
    <w:rPr>
      <w:rFonts w:eastAsia="Times New Roman"/>
      <w:b/>
      <w:color w:val="auto"/>
    </w:rPr>
  </w:style>
  <w:style w:type="paragraph" w:customStyle="1" w:styleId="Closeup">
    <w:name w:val="Closeup"/>
    <w:basedOn w:val="Normal"/>
    <w:rPr>
      <w:rFonts w:eastAsia="Times New Roman"/>
      <w:color w:val="auto"/>
    </w:rPr>
  </w:style>
  <w:style w:type="paragraph" w:customStyle="1" w:styleId="ScreenFormat-1">
    <w:name w:val="ScreenFormat-1"/>
    <w:basedOn w:val="Normal"/>
    <w:pPr>
      <w:spacing w:before="120" w:after="120"/>
    </w:pPr>
    <w:rPr>
      <w:rFonts w:eastAsia="Times New Roman"/>
      <w:color w:val="auto"/>
      <w:sz w:val="32"/>
    </w:rPr>
  </w:style>
  <w:style w:type="paragraph" w:customStyle="1" w:styleId="TableText">
    <w:name w:val="TableText"/>
    <w:basedOn w:val="BodyText"/>
    <w:pPr>
      <w:keepLines/>
      <w:spacing w:line="240" w:lineRule="auto"/>
    </w:pPr>
    <w:rPr>
      <w:rFonts w:eastAsia="Times New Roman"/>
      <w:color w:val="auto"/>
      <w:sz w:val="20"/>
      <w:lang w:val="en-US"/>
    </w:rPr>
  </w:style>
  <w:style w:type="paragraph" w:customStyle="1" w:styleId="Note">
    <w:name w:val="Note"/>
    <w:basedOn w:val="BodyText"/>
    <w:pPr>
      <w:keepLines/>
      <w:pBdr>
        <w:top w:val="single" w:sz="6" w:space="1" w:color="808080"/>
        <w:left w:val="single" w:sz="6" w:space="4" w:color="808080"/>
        <w:bottom w:val="single" w:sz="6" w:space="1" w:color="808080"/>
        <w:right w:val="single" w:sz="6" w:space="4" w:color="808080"/>
      </w:pBdr>
      <w:spacing w:line="240" w:lineRule="auto"/>
    </w:pPr>
    <w:rPr>
      <w:rFonts w:eastAsia="Times New Roman"/>
      <w:i/>
      <w:color w:val="auto"/>
      <w:lang w:val="en-US"/>
    </w:rPr>
  </w:style>
  <w:style w:type="paragraph" w:customStyle="1" w:styleId="AR4Listbullet1">
    <w:name w:val="AR4 List bullet 1"/>
    <w:basedOn w:val="Normal"/>
    <w:pPr>
      <w:tabs>
        <w:tab w:val="left" w:pos="360"/>
      </w:tabs>
      <w:ind w:left="360" w:hanging="360"/>
    </w:pPr>
    <w:rPr>
      <w:rFonts w:ascii="Times" w:eastAsia="Times New Roman" w:hAnsi="Times"/>
      <w:color w:val="auto"/>
      <w:lang w:val="en-US"/>
    </w:rPr>
  </w:style>
  <w:style w:type="paragraph" w:customStyle="1" w:styleId="Paralevel1">
    <w:name w:val="Para level1"/>
    <w:basedOn w:val="Normal"/>
    <w:pPr>
      <w:tabs>
        <w:tab w:val="left" w:pos="2070"/>
      </w:tabs>
      <w:suppressAutoHyphens/>
      <w:spacing w:after="240"/>
    </w:pPr>
    <w:rPr>
      <w:rFonts w:eastAsia="Times New Roman"/>
      <w:color w:val="auto"/>
      <w:sz w:val="20"/>
    </w:rPr>
  </w:style>
  <w:style w:type="paragraph" w:customStyle="1" w:styleId="CH4">
    <w:name w:val="CH4"/>
    <w:basedOn w:val="Normal"/>
    <w:pPr>
      <w:keepNext/>
      <w:keepLines/>
      <w:tabs>
        <w:tab w:val="left" w:pos="360"/>
      </w:tabs>
      <w:spacing w:before="120" w:after="240"/>
    </w:pPr>
    <w:rPr>
      <w:rFonts w:eastAsia="Times New Roman"/>
      <w:b/>
      <w:color w:val="auto"/>
      <w:sz w:val="20"/>
    </w:rPr>
  </w:style>
  <w:style w:type="paragraph" w:customStyle="1" w:styleId="Style2">
    <w:name w:val="Style2"/>
    <w:basedOn w:val="Normal"/>
    <w:rPr>
      <w:rFonts w:eastAsia="Times New Roman"/>
      <w:color w:val="auto"/>
    </w:rPr>
  </w:style>
  <w:style w:type="paragraph" w:customStyle="1" w:styleId="TEXTO">
    <w:name w:val="TEXTO"/>
    <w:pPr>
      <w:jc w:val="both"/>
    </w:pPr>
    <w:rPr>
      <w:rFonts w:ascii="Galliard" w:eastAsia="Times New Roman" w:hAnsi="Galliard"/>
      <w:color w:val="000000"/>
      <w:sz w:val="22"/>
      <w:lang w:val="en-US" w:eastAsia="en-GB"/>
    </w:rPr>
  </w:style>
  <w:style w:type="paragraph" w:customStyle="1" w:styleId="font8">
    <w:name w:val="font8"/>
    <w:basedOn w:val="Normal"/>
    <w:pPr>
      <w:spacing w:before="100" w:after="100"/>
    </w:pPr>
    <w:rPr>
      <w:rFonts w:ascii="Arial" w:eastAsia="Times New Roman" w:hAnsi="Arial"/>
      <w:color w:val="0000FF"/>
      <w:sz w:val="20"/>
    </w:rPr>
  </w:style>
  <w:style w:type="paragraph" w:customStyle="1" w:styleId="Normaalweb">
    <w:name w:val="Normaal (web)"/>
    <w:basedOn w:val="Normal"/>
    <w:pPr>
      <w:spacing w:before="100" w:after="100"/>
    </w:pPr>
    <w:rPr>
      <w:rFonts w:eastAsia="Times New Roman"/>
      <w:lang w:val="fr-FR"/>
    </w:rPr>
  </w:style>
  <w:style w:type="character" w:customStyle="1" w:styleId="epaltsans1">
    <w:name w:val="epaltsans1"/>
    <w:rPr>
      <w:rFonts w:ascii="Arial" w:hAnsi="Arial"/>
      <w:sz w:val="16"/>
    </w:rPr>
  </w:style>
  <w:style w:type="character" w:customStyle="1" w:styleId="w">
    <w:name w:val="w"/>
    <w:basedOn w:val="DefaultParagraphFont"/>
  </w:style>
  <w:style w:type="paragraph" w:customStyle="1" w:styleId="BodyTextLetterBullets">
    <w:name w:val="Body Text + Letter Bullets"/>
    <w:basedOn w:val="BodyText"/>
    <w:pPr>
      <w:tabs>
        <w:tab w:val="left" w:pos="360"/>
      </w:tabs>
      <w:spacing w:before="120" w:line="288" w:lineRule="auto"/>
    </w:pPr>
    <w:rPr>
      <w:rFonts w:eastAsia="Times New Roman"/>
      <w:color w:val="auto"/>
      <w:lang w:val="en-US"/>
    </w:rPr>
  </w:style>
  <w:style w:type="paragraph" w:customStyle="1" w:styleId="BodyTextSmallBullets">
    <w:name w:val="Body Text + Small Bullets"/>
    <w:basedOn w:val="BodyText"/>
    <w:pPr>
      <w:tabs>
        <w:tab w:val="left" w:pos="360"/>
      </w:tabs>
      <w:spacing w:line="288" w:lineRule="auto"/>
    </w:pPr>
    <w:rPr>
      <w:rFonts w:eastAsia="Times New Roman"/>
      <w:color w:val="auto"/>
      <w:lang w:val="en-AU"/>
    </w:rPr>
  </w:style>
  <w:style w:type="paragraph" w:customStyle="1" w:styleId="BodyTextbullet">
    <w:name w:val="Body Text + bullet"/>
    <w:basedOn w:val="BodyText"/>
    <w:pPr>
      <w:tabs>
        <w:tab w:val="left" w:pos="360"/>
      </w:tabs>
      <w:spacing w:line="288" w:lineRule="auto"/>
    </w:pPr>
    <w:rPr>
      <w:rFonts w:eastAsia="Times New Roman"/>
      <w:color w:val="auto"/>
      <w:lang w:val="en-AU"/>
    </w:rPr>
  </w:style>
  <w:style w:type="paragraph" w:customStyle="1" w:styleId="Head1">
    <w:name w:val="Head 1"/>
    <w:basedOn w:val="Normal"/>
    <w:pPr>
      <w:tabs>
        <w:tab w:val="left" w:pos="340"/>
        <w:tab w:val="left" w:pos="720"/>
        <w:tab w:val="left" w:pos="2775"/>
        <w:tab w:val="left" w:pos="6300"/>
      </w:tabs>
      <w:ind w:left="340" w:hanging="340"/>
    </w:pPr>
    <w:rPr>
      <w:rFonts w:eastAsia="Times New Roman"/>
      <w:b/>
      <w:color w:val="auto"/>
      <w:lang w:val="en-US"/>
    </w:rPr>
  </w:style>
  <w:style w:type="paragraph" w:customStyle="1" w:styleId="xl63">
    <w:name w:val="xl63"/>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4">
    <w:name w:val="xl64"/>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5">
    <w:name w:val="xl65"/>
    <w:basedOn w:val="Normal"/>
    <w:pPr>
      <w:pBdr>
        <w:top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66">
    <w:name w:val="xl66"/>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7">
    <w:name w:val="xl67"/>
    <w:basedOn w:val="Normal"/>
    <w:pPr>
      <w:pBdr>
        <w:top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8">
    <w:name w:val="xl68"/>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69">
    <w:name w:val="xl69"/>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0">
    <w:name w:val="xl70"/>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71">
    <w:name w:val="xl71"/>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2">
    <w:name w:val="xl72"/>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3">
    <w:name w:val="xl73"/>
    <w:basedOn w:val="Normal"/>
    <w:pPr>
      <w:pBdr>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74">
    <w:name w:val="xl74"/>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5">
    <w:name w:val="xl75"/>
    <w:basedOn w:val="Normal"/>
    <w:pPr>
      <w:pBdr>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76">
    <w:name w:val="xl76"/>
    <w:basedOn w:val="Normal"/>
    <w:pPr>
      <w:pBdr>
        <w:lef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7">
    <w:name w:val="xl77"/>
    <w:basedOn w:val="Normal"/>
    <w:pPr>
      <w:pBdr>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78">
    <w:name w:val="xl78"/>
    <w:basedOn w:val="Normal"/>
    <w:pPr>
      <w:pBdr>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79">
    <w:name w:val="xl79"/>
    <w:basedOn w:val="Normal"/>
    <w:pPr>
      <w:pBdr>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0">
    <w:name w:val="xl80"/>
    <w:basedOn w:val="Normal"/>
    <w:pPr>
      <w:pBdr>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1">
    <w:name w:val="xl81"/>
    <w:basedOn w:val="Normal"/>
    <w:pPr>
      <w:pBdr>
        <w:left w:val="single" w:sz="6" w:space="0" w:color="auto"/>
        <w:bottom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2">
    <w:name w:val="xl82"/>
    <w:basedOn w:val="Normal"/>
    <w:pPr>
      <w:pBdr>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3">
    <w:name w:val="xl83"/>
    <w:basedOn w:val="Normal"/>
    <w:pPr>
      <w:pBdr>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84">
    <w:name w:val="xl84"/>
    <w:basedOn w:val="Normal"/>
    <w:pPr>
      <w:pBdr>
        <w:bottom w:val="single" w:sz="6" w:space="0" w:color="auto"/>
        <w:right w:val="single" w:sz="6" w:space="0" w:color="auto"/>
      </w:pBdr>
      <w:shd w:val="clear" w:color="auto" w:fill="FFFFFF"/>
      <w:spacing w:before="100" w:after="100"/>
    </w:pPr>
    <w:rPr>
      <w:rFonts w:ascii="Arial Unicode MS" w:eastAsia="Times New Roman" w:hAnsi="Arial Unicode MS"/>
      <w:b/>
      <w:color w:val="auto"/>
      <w:sz w:val="12"/>
      <w:lang w:val="en-AU"/>
    </w:rPr>
  </w:style>
  <w:style w:type="paragraph" w:customStyle="1" w:styleId="xl85">
    <w:name w:val="xl85"/>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86">
    <w:name w:val="xl86"/>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87">
    <w:name w:val="xl87"/>
    <w:basedOn w:val="Normal"/>
    <w:pPr>
      <w:pBdr>
        <w:top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88">
    <w:name w:val="xl88"/>
    <w:basedOn w:val="Normal"/>
    <w:pPr>
      <w:pBdr>
        <w:top w:val="single" w:sz="6" w:space="0" w:color="auto"/>
        <w:left w:val="single" w:sz="6" w:space="0" w:color="auto"/>
        <w:bottom w:val="single" w:sz="6" w:space="0" w:color="auto"/>
        <w:right w:val="single" w:sz="6" w:space="0" w:color="auto"/>
      </w:pBdr>
      <w:shd w:val="clear" w:color="auto" w:fill="FFFFFF"/>
      <w:spacing w:before="100" w:after="100"/>
      <w:jc w:val="center"/>
    </w:pPr>
    <w:rPr>
      <w:rFonts w:ascii="Arial Unicode MS" w:eastAsia="Times New Roman" w:hAnsi="Arial Unicode MS"/>
      <w:b/>
      <w:color w:val="auto"/>
      <w:sz w:val="12"/>
      <w:lang w:val="en-AU"/>
    </w:rPr>
  </w:style>
  <w:style w:type="paragraph" w:customStyle="1" w:styleId="xl89">
    <w:name w:val="xl89"/>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0">
    <w:name w:val="xl90"/>
    <w:basedOn w:val="Normal"/>
    <w:pPr>
      <w:pBdr>
        <w:top w:val="single" w:sz="6" w:space="0" w:color="auto"/>
        <w:left w:val="single" w:sz="6" w:space="0" w:color="auto"/>
        <w:bottom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91">
    <w:name w:val="xl91"/>
    <w:basedOn w:val="Normal"/>
    <w:pPr>
      <w:pBdr>
        <w:top w:val="single" w:sz="6" w:space="0" w:color="auto"/>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2">
    <w:name w:val="xl92"/>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3">
    <w:name w:val="xl93"/>
    <w:basedOn w:val="Normal"/>
    <w:pPr>
      <w:pBdr>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94">
    <w:name w:val="xl94"/>
    <w:basedOn w:val="Normal"/>
    <w:pPr>
      <w:pBdr>
        <w:top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95">
    <w:name w:val="xl95"/>
    <w:basedOn w:val="Normal"/>
    <w:pPr>
      <w:pBdr>
        <w:top w:val="single" w:sz="6" w:space="0" w:color="auto"/>
        <w:left w:val="single" w:sz="6" w:space="0" w:color="auto"/>
        <w:bottom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6">
    <w:name w:val="xl96"/>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97">
    <w:name w:val="xl97"/>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98">
    <w:name w:val="xl98"/>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99">
    <w:name w:val="xl99"/>
    <w:basedOn w:val="Normal"/>
    <w:pPr>
      <w:pBdr>
        <w:top w:val="single" w:sz="6" w:space="0" w:color="auto"/>
        <w:left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00">
    <w:name w:val="xl100"/>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01">
    <w:name w:val="xl101"/>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2">
    <w:name w:val="xl102"/>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3">
    <w:name w:val="xl103"/>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04">
    <w:name w:val="xl104"/>
    <w:basedOn w:val="Normal"/>
    <w:pPr>
      <w:pBdr>
        <w:top w:val="single" w:sz="6" w:space="0" w:color="auto"/>
        <w:left w:val="single" w:sz="6" w:space="0" w:color="auto"/>
        <w:bottom w:val="single" w:sz="6" w:space="0" w:color="auto"/>
        <w:right w:val="single" w:sz="6" w:space="0" w:color="auto"/>
      </w:pBdr>
      <w:spacing w:before="100" w:after="100"/>
    </w:pPr>
    <w:rPr>
      <w:rFonts w:ascii="Arial Unicode MS" w:eastAsia="Times New Roman" w:hAnsi="Arial Unicode MS"/>
      <w:b/>
      <w:color w:val="auto"/>
      <w:sz w:val="12"/>
      <w:lang w:val="en-AU"/>
    </w:rPr>
  </w:style>
  <w:style w:type="paragraph" w:customStyle="1" w:styleId="xl105">
    <w:name w:val="xl105"/>
    <w:basedOn w:val="Normal"/>
    <w:pPr>
      <w:pBdr>
        <w:top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06">
    <w:name w:val="xl106"/>
    <w:basedOn w:val="Normal"/>
    <w:pPr>
      <w:pBdr>
        <w:top w:val="single" w:sz="6" w:space="0" w:color="auto"/>
        <w:left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07">
    <w:name w:val="xl107"/>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8">
    <w:name w:val="xl108"/>
    <w:basedOn w:val="Normal"/>
    <w:pPr>
      <w:pBdr>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09">
    <w:name w:val="xl109"/>
    <w:basedOn w:val="Normal"/>
    <w:pPr>
      <w:pBdr>
        <w:top w:val="single" w:sz="6" w:space="0" w:color="auto"/>
        <w:left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10">
    <w:name w:val="xl110"/>
    <w:basedOn w:val="Normal"/>
    <w:pPr>
      <w:pBdr>
        <w:top w:val="single" w:sz="6" w:space="0" w:color="auto"/>
        <w:bottom w:val="single" w:sz="6" w:space="0" w:color="auto"/>
      </w:pBdr>
      <w:spacing w:before="100" w:after="100"/>
      <w:jc w:val="center"/>
    </w:pPr>
    <w:rPr>
      <w:rFonts w:ascii="Arial Unicode MS" w:eastAsia="Times New Roman" w:hAnsi="Arial Unicode MS"/>
      <w:color w:val="auto"/>
      <w:lang w:val="en-AU"/>
    </w:rPr>
  </w:style>
  <w:style w:type="paragraph" w:customStyle="1" w:styleId="xl111">
    <w:name w:val="xl111"/>
    <w:basedOn w:val="Normal"/>
    <w:pPr>
      <w:pBdr>
        <w:top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12">
    <w:name w:val="xl112"/>
    <w:basedOn w:val="Normal"/>
    <w:pPr>
      <w:pBdr>
        <w:top w:val="single" w:sz="6" w:space="0" w:color="auto"/>
        <w:left w:val="single" w:sz="6" w:space="0" w:color="auto"/>
        <w:bottom w:val="single" w:sz="6" w:space="0" w:color="auto"/>
      </w:pBdr>
      <w:spacing w:before="100" w:after="100"/>
    </w:pPr>
    <w:rPr>
      <w:rFonts w:ascii="Arial Unicode MS" w:eastAsia="Times New Roman" w:hAnsi="Arial Unicode MS"/>
      <w:b/>
      <w:color w:val="auto"/>
      <w:sz w:val="12"/>
      <w:lang w:val="en-AU"/>
    </w:rPr>
  </w:style>
  <w:style w:type="paragraph" w:customStyle="1" w:styleId="xl113">
    <w:name w:val="xl113"/>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14">
    <w:name w:val="xl114"/>
    <w:basedOn w:val="Normal"/>
    <w:pPr>
      <w:pBdr>
        <w:right w:val="single" w:sz="6" w:space="0" w:color="auto"/>
      </w:pBdr>
      <w:spacing w:before="100" w:after="100"/>
    </w:pPr>
    <w:rPr>
      <w:rFonts w:ascii="Arial Unicode MS" w:eastAsia="Times New Roman" w:hAnsi="Arial Unicode MS"/>
      <w:color w:val="auto"/>
      <w:sz w:val="12"/>
      <w:lang w:val="en-AU"/>
    </w:rPr>
  </w:style>
  <w:style w:type="paragraph" w:customStyle="1" w:styleId="xl115">
    <w:name w:val="xl115"/>
    <w:basedOn w:val="Normal"/>
    <w:pPr>
      <w:pBdr>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16">
    <w:name w:val="xl116"/>
    <w:basedOn w:val="Normal"/>
    <w:pPr>
      <w:spacing w:before="100" w:after="100"/>
      <w:jc w:val="center"/>
    </w:pPr>
    <w:rPr>
      <w:rFonts w:ascii="Arial Unicode MS" w:eastAsia="Times New Roman" w:hAnsi="Arial Unicode MS"/>
      <w:color w:val="auto"/>
      <w:sz w:val="12"/>
      <w:lang w:val="en-AU"/>
    </w:rPr>
  </w:style>
  <w:style w:type="paragraph" w:customStyle="1" w:styleId="xl117">
    <w:name w:val="xl117"/>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8">
    <w:name w:val="xl118"/>
    <w:basedOn w:val="Normal"/>
    <w:pPr>
      <w:pBdr>
        <w:top w:val="single" w:sz="6" w:space="0" w:color="auto"/>
        <w:left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19">
    <w:name w:val="xl119"/>
    <w:basedOn w:val="Normal"/>
    <w:pPr>
      <w:spacing w:before="100" w:after="100"/>
      <w:jc w:val="center"/>
    </w:pPr>
    <w:rPr>
      <w:rFonts w:ascii="Arial Unicode MS" w:eastAsia="Times New Roman" w:hAnsi="Arial Unicode MS"/>
      <w:color w:val="auto"/>
      <w:sz w:val="12"/>
      <w:lang w:val="en-AU"/>
    </w:rPr>
  </w:style>
  <w:style w:type="paragraph" w:customStyle="1" w:styleId="xl120">
    <w:name w:val="xl120"/>
    <w:basedOn w:val="Normal"/>
    <w:pPr>
      <w:pBdr>
        <w:top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1">
    <w:name w:val="xl121"/>
    <w:basedOn w:val="Normal"/>
    <w:pPr>
      <w:pBdr>
        <w:top w:val="single" w:sz="6" w:space="0" w:color="auto"/>
        <w:left w:val="single" w:sz="6" w:space="0" w:color="auto"/>
      </w:pBdr>
      <w:spacing w:before="100" w:after="100"/>
      <w:jc w:val="center"/>
    </w:pPr>
    <w:rPr>
      <w:rFonts w:ascii="Arial Unicode MS" w:eastAsia="Times New Roman" w:hAnsi="Arial Unicode MS"/>
      <w:color w:val="auto"/>
      <w:sz w:val="12"/>
      <w:lang w:val="en-AU"/>
    </w:rPr>
  </w:style>
  <w:style w:type="paragraph" w:customStyle="1" w:styleId="xl122">
    <w:name w:val="xl122"/>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23">
    <w:name w:val="xl123"/>
    <w:basedOn w:val="Normal"/>
    <w:pPr>
      <w:pBdr>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4">
    <w:name w:val="xl124"/>
    <w:basedOn w:val="Normal"/>
    <w:pPr>
      <w:pBdr>
        <w:left w:val="single" w:sz="6" w:space="0" w:color="auto"/>
        <w:bottom w:val="single" w:sz="6" w:space="0" w:color="auto"/>
      </w:pBdr>
      <w:spacing w:before="100" w:after="100"/>
      <w:jc w:val="center"/>
    </w:pPr>
    <w:rPr>
      <w:rFonts w:ascii="Arial Unicode MS" w:eastAsia="Times New Roman" w:hAnsi="Arial Unicode MS"/>
      <w:color w:val="auto"/>
      <w:sz w:val="12"/>
      <w:lang w:val="en-AU"/>
    </w:rPr>
  </w:style>
  <w:style w:type="paragraph" w:customStyle="1" w:styleId="xl125">
    <w:name w:val="xl125"/>
    <w:basedOn w:val="Normal"/>
    <w:pPr>
      <w:pBdr>
        <w:bottom w:val="single" w:sz="6" w:space="0" w:color="auto"/>
        <w:right w:val="single" w:sz="6" w:space="0" w:color="auto"/>
      </w:pBdr>
      <w:spacing w:before="100" w:after="100"/>
    </w:pPr>
    <w:rPr>
      <w:rFonts w:ascii="Arial Unicode MS" w:eastAsia="Times New Roman" w:hAnsi="Arial Unicode MS"/>
      <w:color w:val="auto"/>
      <w:sz w:val="12"/>
      <w:lang w:val="en-AU"/>
    </w:rPr>
  </w:style>
  <w:style w:type="paragraph" w:customStyle="1" w:styleId="xl126">
    <w:name w:val="xl126"/>
    <w:basedOn w:val="Normal"/>
    <w:pPr>
      <w:pBdr>
        <w:top w:val="single" w:sz="6" w:space="0" w:color="auto"/>
        <w:left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7">
    <w:name w:val="xl127"/>
    <w:basedOn w:val="Normal"/>
    <w:pPr>
      <w:pBdr>
        <w:top w:val="single" w:sz="6" w:space="0" w:color="auto"/>
        <w:bottom w:val="single" w:sz="6" w:space="0" w:color="auto"/>
      </w:pBdr>
      <w:spacing w:before="100" w:after="100"/>
      <w:jc w:val="center"/>
    </w:pPr>
    <w:rPr>
      <w:rFonts w:ascii="Arial" w:eastAsia="Times New Roman" w:hAnsi="Arial"/>
      <w:b/>
      <w:color w:val="auto"/>
      <w:sz w:val="12"/>
      <w:lang w:val="en-AU"/>
    </w:rPr>
  </w:style>
  <w:style w:type="paragraph" w:customStyle="1" w:styleId="xl128">
    <w:name w:val="xl128"/>
    <w:basedOn w:val="Normal"/>
    <w:pPr>
      <w:pBdr>
        <w:top w:val="single" w:sz="6" w:space="0" w:color="auto"/>
        <w:bottom w:val="single" w:sz="6" w:space="0" w:color="auto"/>
        <w:right w:val="single" w:sz="6" w:space="0" w:color="auto"/>
      </w:pBdr>
      <w:spacing w:before="100" w:after="100"/>
      <w:jc w:val="center"/>
    </w:pPr>
    <w:rPr>
      <w:rFonts w:ascii="Arial" w:eastAsia="Times New Roman" w:hAnsi="Arial"/>
      <w:b/>
      <w:color w:val="auto"/>
      <w:sz w:val="12"/>
      <w:lang w:val="en-AU"/>
    </w:rPr>
  </w:style>
  <w:style w:type="paragraph" w:customStyle="1" w:styleId="xl129">
    <w:name w:val="xl129"/>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sz w:val="12"/>
      <w:lang w:val="en-AU"/>
    </w:rPr>
  </w:style>
  <w:style w:type="paragraph" w:customStyle="1" w:styleId="xl130">
    <w:name w:val="xl130"/>
    <w:basedOn w:val="Normal"/>
    <w:pPr>
      <w:pBdr>
        <w:top w:val="single" w:sz="6" w:space="0" w:color="auto"/>
        <w:left w:val="single" w:sz="6" w:space="0" w:color="auto"/>
        <w:bottom w:val="single" w:sz="6" w:space="0" w:color="auto"/>
        <w:right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1">
    <w:name w:val="xl131"/>
    <w:basedOn w:val="Normal"/>
    <w:pPr>
      <w:pBdr>
        <w:top w:val="single" w:sz="6" w:space="0" w:color="auto"/>
        <w:bottom w:val="single" w:sz="6" w:space="0" w:color="auto"/>
      </w:pBdr>
      <w:spacing w:before="100" w:after="100"/>
      <w:jc w:val="center"/>
    </w:pPr>
    <w:rPr>
      <w:rFonts w:ascii="Arial Unicode MS" w:eastAsia="Times New Roman" w:hAnsi="Arial Unicode MS"/>
      <w:b/>
      <w:color w:val="auto"/>
      <w:sz w:val="12"/>
      <w:lang w:val="en-AU"/>
    </w:rPr>
  </w:style>
  <w:style w:type="paragraph" w:customStyle="1" w:styleId="xl132">
    <w:name w:val="xl132"/>
    <w:basedOn w:val="Normal"/>
    <w:pPr>
      <w:pBdr>
        <w:top w:val="single" w:sz="6" w:space="0" w:color="auto"/>
        <w:bottom w:val="single" w:sz="6" w:space="0" w:color="auto"/>
      </w:pBdr>
      <w:spacing w:before="100" w:after="100"/>
    </w:pPr>
    <w:rPr>
      <w:rFonts w:ascii="Arial Unicode MS" w:eastAsia="Times New Roman" w:hAnsi="Arial Unicode MS"/>
      <w:color w:val="auto"/>
      <w:sz w:val="12"/>
      <w:lang w:val="en-AU"/>
    </w:rPr>
  </w:style>
  <w:style w:type="paragraph" w:customStyle="1" w:styleId="xl133">
    <w:name w:val="xl133"/>
    <w:basedOn w:val="Normal"/>
    <w:pPr>
      <w:pBdr>
        <w:left w:val="single" w:sz="6" w:space="0" w:color="auto"/>
        <w:bottom w:val="single" w:sz="6" w:space="0" w:color="auto"/>
        <w:right w:val="single" w:sz="6" w:space="0" w:color="auto"/>
      </w:pBdr>
      <w:shd w:val="clear" w:color="auto" w:fill="FFFFFF"/>
      <w:spacing w:before="100" w:after="100"/>
    </w:pPr>
    <w:rPr>
      <w:rFonts w:ascii="Arial Unicode MS" w:eastAsia="Times New Roman" w:hAnsi="Arial Unicode MS"/>
      <w:color w:val="auto"/>
      <w:sz w:val="12"/>
      <w:lang w:val="en-AU"/>
    </w:rPr>
  </w:style>
  <w:style w:type="paragraph" w:customStyle="1" w:styleId="xl134">
    <w:name w:val="xl134"/>
    <w:basedOn w:val="Normal"/>
    <w:pPr>
      <w:pBdr>
        <w:top w:val="single" w:sz="6" w:space="0" w:color="auto"/>
        <w:left w:val="single" w:sz="6" w:space="0" w:color="auto"/>
        <w:right w:val="single" w:sz="6" w:space="0" w:color="auto"/>
      </w:pBdr>
      <w:shd w:val="clear" w:color="auto" w:fill="FFFFFF"/>
      <w:spacing w:before="100" w:after="100"/>
      <w:jc w:val="center"/>
    </w:pPr>
    <w:rPr>
      <w:rFonts w:ascii="Arial Unicode MS" w:eastAsia="Times New Roman" w:hAnsi="Arial Unicode MS"/>
      <w:color w:val="auto"/>
      <w:sz w:val="12"/>
      <w:lang w:val="en-AU"/>
    </w:rPr>
  </w:style>
  <w:style w:type="paragraph" w:customStyle="1" w:styleId="xl135">
    <w:name w:val="xl135"/>
    <w:basedOn w:val="Normal"/>
    <w:pPr>
      <w:pBdr>
        <w:left w:val="single" w:sz="6" w:space="0" w:color="auto"/>
        <w:bottom w:val="single" w:sz="6" w:space="0" w:color="auto"/>
        <w:right w:val="single" w:sz="6" w:space="0" w:color="auto"/>
      </w:pBdr>
      <w:spacing w:before="100" w:after="100"/>
      <w:jc w:val="center"/>
    </w:pPr>
    <w:rPr>
      <w:rFonts w:ascii="Arial Unicode MS" w:eastAsia="Times New Roman" w:hAnsi="Arial Unicode MS"/>
      <w:color w:val="auto"/>
      <w:lang w:val="en-AU"/>
    </w:rPr>
  </w:style>
  <w:style w:type="paragraph" w:customStyle="1" w:styleId="xl136">
    <w:name w:val="xl136"/>
    <w:basedOn w:val="Normal"/>
    <w:pPr>
      <w:pBdr>
        <w:top w:val="single" w:sz="6" w:space="0" w:color="auto"/>
        <w:bottom w:val="single" w:sz="6" w:space="0" w:color="auto"/>
      </w:pBdr>
      <w:spacing w:before="100" w:after="100"/>
    </w:pPr>
    <w:rPr>
      <w:rFonts w:ascii="Arial Unicode MS" w:eastAsia="Times New Roman" w:hAnsi="Arial Unicode MS"/>
      <w:color w:val="auto"/>
      <w:lang w:val="en-AU"/>
    </w:rPr>
  </w:style>
  <w:style w:type="paragraph" w:customStyle="1" w:styleId="xl137">
    <w:name w:val="xl137"/>
    <w:basedOn w:val="Normal"/>
    <w:pPr>
      <w:pBdr>
        <w:top w:val="single" w:sz="6" w:space="0" w:color="auto"/>
        <w:bottom w:val="single" w:sz="6" w:space="0" w:color="auto"/>
        <w:right w:val="single" w:sz="6" w:space="0" w:color="auto"/>
      </w:pBdr>
      <w:spacing w:before="100" w:after="100"/>
    </w:pPr>
    <w:rPr>
      <w:rFonts w:ascii="Arial Unicode MS" w:eastAsia="Times New Roman" w:hAnsi="Arial Unicode MS"/>
      <w:color w:val="auto"/>
      <w:lang w:val="en-AU"/>
    </w:rPr>
  </w:style>
  <w:style w:type="paragraph" w:customStyle="1" w:styleId="xl138">
    <w:name w:val="xl138"/>
    <w:basedOn w:val="Normal"/>
    <w:pPr>
      <w:pBdr>
        <w:top w:val="single" w:sz="6" w:space="0" w:color="auto"/>
        <w:bottom w:val="single" w:sz="6" w:space="0" w:color="auto"/>
      </w:pBdr>
      <w:spacing w:before="100" w:after="100"/>
    </w:pPr>
    <w:rPr>
      <w:rFonts w:ascii="Arial" w:eastAsia="Times New Roman" w:hAnsi="Arial"/>
      <w:b/>
      <w:color w:val="auto"/>
      <w:sz w:val="12"/>
      <w:lang w:val="en-AU"/>
    </w:rPr>
  </w:style>
  <w:style w:type="paragraph" w:customStyle="1" w:styleId="Anxhead">
    <w:name w:val="Anx head"/>
    <w:basedOn w:val="Normal"/>
    <w:rPr>
      <w:rFonts w:eastAsia="Times New Roman"/>
      <w:b/>
      <w:color w:val="auto"/>
      <w:sz w:val="28"/>
    </w:rPr>
  </w:style>
  <w:style w:type="paragraph" w:customStyle="1" w:styleId="Anxtitle">
    <w:name w:val="Anx title"/>
    <w:basedOn w:val="Normal"/>
    <w:pPr>
      <w:ind w:left="1247"/>
    </w:pPr>
    <w:rPr>
      <w:rFonts w:eastAsia="Times New Roman"/>
      <w:b/>
      <w:color w:val="auto"/>
      <w:sz w:val="28"/>
    </w:rPr>
  </w:style>
  <w:style w:type="paragraph" w:customStyle="1" w:styleId="Style10ptAfter6pt1">
    <w:name w:val="Style 10 pt After:  6 pt1"/>
    <w:basedOn w:val="Normal"/>
    <w:pPr>
      <w:spacing w:after="120"/>
    </w:pPr>
    <w:rPr>
      <w:rFonts w:ascii="Arial" w:eastAsia="Times New Roman" w:hAnsi="Arial"/>
      <w:color w:val="auto"/>
      <w:sz w:val="18"/>
    </w:rPr>
  </w:style>
  <w:style w:type="paragraph" w:customStyle="1" w:styleId="StyleHeading311ptBold">
    <w:name w:val="Style Heading 3 + 11 pt Bold"/>
    <w:basedOn w:val="Heading3"/>
    <w:pPr>
      <w:keepLines/>
      <w:widowControl w:val="0"/>
      <w:tabs>
        <w:tab w:val="left" w:pos="2160"/>
      </w:tabs>
      <w:spacing w:before="120" w:after="240" w:line="240" w:lineRule="auto"/>
      <w:ind w:left="0" w:right="28" w:firstLine="0"/>
      <w:outlineLvl w:val="9"/>
    </w:pPr>
    <w:rPr>
      <w:rFonts w:eastAsia="Times New Roman"/>
      <w:b w:val="0"/>
    </w:rPr>
  </w:style>
  <w:style w:type="paragraph" w:customStyle="1" w:styleId="Subtitle0">
    <w:name w:val="Sub title"/>
    <w:basedOn w:val="Heading2"/>
    <w:pPr>
      <w:widowControl w:val="0"/>
      <w:tabs>
        <w:tab w:val="clear" w:pos="1080"/>
        <w:tab w:val="left" w:pos="1134"/>
        <w:tab w:val="left" w:pos="1440"/>
      </w:tabs>
      <w:spacing w:after="0" w:line="240" w:lineRule="auto"/>
      <w:ind w:left="1247" w:right="28" w:hanging="576"/>
      <w:outlineLvl w:val="9"/>
    </w:pPr>
    <w:rPr>
      <w:rFonts w:eastAsia="Times New Roman"/>
      <w:color w:val="auto"/>
    </w:rPr>
  </w:style>
  <w:style w:type="character" w:customStyle="1" w:styleId="maintextbldleft1">
    <w:name w:val="maintextbldleft1"/>
    <w:rPr>
      <w:rFonts w:ascii="Arial" w:hAnsi="Arial"/>
      <w:b/>
      <w:color w:val="000000"/>
      <w:sz w:val="18"/>
      <w:u w:val="none"/>
    </w:rPr>
  </w:style>
  <w:style w:type="character" w:customStyle="1" w:styleId="maintextleft1">
    <w:name w:val="maintextleft1"/>
    <w:rPr>
      <w:rFonts w:ascii="Arial" w:hAnsi="Arial"/>
      <w:color w:val="000000"/>
      <w:sz w:val="18"/>
      <w:u w:val="none"/>
    </w:rPr>
  </w:style>
  <w:style w:type="character" w:customStyle="1" w:styleId="SecChar">
    <w:name w:val="Sec Char"/>
    <w:rPr>
      <w:noProof w:val="0"/>
      <w:color w:val="000000"/>
      <w:sz w:val="24"/>
      <w:lang w:val="en-GB"/>
    </w:rPr>
  </w:style>
  <w:style w:type="paragraph" w:customStyle="1" w:styleId="StyleHeading311ptBold1">
    <w:name w:val="Style Heading 3 + 11 pt Bold1"/>
    <w:basedOn w:val="Heading3"/>
    <w:pPr>
      <w:keepLines/>
      <w:widowControl w:val="0"/>
      <w:tabs>
        <w:tab w:val="left" w:pos="2160"/>
      </w:tabs>
      <w:spacing w:before="120" w:after="240" w:line="240" w:lineRule="auto"/>
      <w:ind w:left="720" w:right="28" w:hanging="720"/>
      <w:outlineLvl w:val="9"/>
    </w:pPr>
    <w:rPr>
      <w:rFonts w:eastAsia="Times New Roman"/>
      <w:b w:val="0"/>
    </w:rPr>
  </w:style>
  <w:style w:type="paragraph" w:customStyle="1" w:styleId="ANNEXES">
    <w:name w:val="ANNEXES"/>
    <w:basedOn w:val="Normal"/>
    <w:pPr>
      <w:tabs>
        <w:tab w:val="left" w:pos="1080"/>
      </w:tabs>
      <w:spacing w:before="100" w:after="100"/>
    </w:pPr>
    <w:rPr>
      <w:rFonts w:eastAsia="Times New Roman"/>
      <w:b/>
      <w:sz w:val="28"/>
    </w:rPr>
  </w:style>
  <w:style w:type="paragraph" w:customStyle="1" w:styleId="Executivesummary">
    <w:name w:val="Executive summary"/>
    <w:basedOn w:val="TOC1"/>
    <w:pPr>
      <w:keepLines/>
      <w:tabs>
        <w:tab w:val="clear" w:pos="425"/>
        <w:tab w:val="clear" w:pos="9000"/>
        <w:tab w:val="left" w:pos="1134"/>
        <w:tab w:val="right" w:leader="dot" w:pos="8640"/>
      </w:tabs>
      <w:ind w:left="0" w:hanging="1134"/>
    </w:pPr>
    <w:rPr>
      <w:rFonts w:ascii="Times New Roman Bold" w:eastAsia="Times New Roman" w:hAnsi="Times New Roman Bold"/>
      <w:b w:val="0"/>
      <w:sz w:val="28"/>
    </w:rPr>
  </w:style>
  <w:style w:type="paragraph" w:customStyle="1" w:styleId="Execlevel2">
    <w:name w:val="Exec level2"/>
    <w:basedOn w:val="Anxhead"/>
    <w:rPr>
      <w:sz w:val="24"/>
    </w:rPr>
  </w:style>
  <w:style w:type="character" w:customStyle="1" w:styleId="AnxheadChar">
    <w:name w:val="Anx head Char"/>
    <w:rPr>
      <w:b/>
      <w:noProof w:val="0"/>
      <w:sz w:val="28"/>
      <w:lang w:val="en-GB"/>
    </w:rPr>
  </w:style>
  <w:style w:type="character" w:customStyle="1" w:styleId="Execlevel2Char">
    <w:name w:val="Exec level2 Char"/>
    <w:rPr>
      <w:b/>
      <w:noProof w:val="0"/>
      <w:sz w:val="28"/>
      <w:lang w:val="en-GB"/>
    </w:rPr>
  </w:style>
  <w:style w:type="character" w:customStyle="1" w:styleId="a1">
    <w:name w:val="_"/>
    <w:basedOn w:val="DefaultParagraphFont"/>
  </w:style>
  <w:style w:type="paragraph" w:customStyle="1" w:styleId="Smallnumberedbullet">
    <w:name w:val="Small numbered bullet"/>
    <w:basedOn w:val="Smallbullet"/>
    <w:pPr>
      <w:tabs>
        <w:tab w:val="clear" w:pos="360"/>
      </w:tabs>
      <w:ind w:left="539" w:hanging="539"/>
    </w:pPr>
  </w:style>
  <w:style w:type="paragraph" w:customStyle="1" w:styleId="Smallbullet">
    <w:name w:val="Small bullet"/>
    <w:basedOn w:val="BodyTextSmallBullets"/>
    <w:pPr>
      <w:tabs>
        <w:tab w:val="left" w:pos="426"/>
      </w:tabs>
      <w:spacing w:after="240" w:line="240" w:lineRule="auto"/>
      <w:ind w:left="425" w:hanging="425"/>
    </w:pPr>
  </w:style>
  <w:style w:type="paragraph" w:customStyle="1" w:styleId="BodyText1">
    <w:name w:val="Body Text1"/>
    <w:basedOn w:val="Normal"/>
    <w:pPr>
      <w:spacing w:after="240"/>
    </w:pPr>
    <w:rPr>
      <w:rFonts w:eastAsia="Times New Roman"/>
    </w:rPr>
  </w:style>
  <w:style w:type="paragraph" w:customStyle="1" w:styleId="Heading311ptBold">
    <w:name w:val="Heading 3 + 11 pt Bold"/>
    <w:basedOn w:val="Heading3"/>
    <w:pPr>
      <w:keepLines/>
      <w:widowControl w:val="0"/>
      <w:tabs>
        <w:tab w:val="left" w:pos="720"/>
        <w:tab w:val="left" w:pos="1800"/>
      </w:tabs>
      <w:spacing w:before="120" w:after="240" w:line="240" w:lineRule="auto"/>
      <w:ind w:left="0" w:right="28" w:firstLine="0"/>
      <w:outlineLvl w:val="9"/>
    </w:pPr>
    <w:rPr>
      <w:rFonts w:eastAsia="Times New Roman"/>
      <w:b w:val="0"/>
    </w:rPr>
  </w:style>
  <w:style w:type="paragraph" w:customStyle="1" w:styleId="Table5">
    <w:name w:val="Table 5"/>
    <w:basedOn w:val="Normal"/>
    <w:pPr>
      <w:spacing w:line="240" w:lineRule="exact"/>
      <w:ind w:left="567" w:hanging="567"/>
    </w:pPr>
    <w:rPr>
      <w:rFonts w:eastAsia="Times New Roman"/>
      <w:sz w:val="18"/>
    </w:rPr>
  </w:style>
  <w:style w:type="paragraph" w:customStyle="1" w:styleId="ColorfulList-Accent110">
    <w:name w:val="Colorful List - Accent 11"/>
    <w:basedOn w:val="Normal"/>
    <w:pPr>
      <w:ind w:left="720"/>
    </w:pPr>
    <w:rPr>
      <w:rFonts w:eastAsia="Times New Roman"/>
      <w:color w:val="auto"/>
      <w:lang w:val="en-US"/>
    </w:rPr>
  </w:style>
  <w:style w:type="character" w:customStyle="1" w:styleId="mw-headline">
    <w:name w:val="mw-headline"/>
    <w:basedOn w:val="DefaultParagraphFont"/>
  </w:style>
  <w:style w:type="paragraph" w:customStyle="1" w:styleId="ColorfulList-Accent12">
    <w:name w:val="Colorful List - Accent 12"/>
    <w:basedOn w:val="Normal"/>
    <w:rPr>
      <w:rFonts w:ascii="Cambria" w:eastAsia="Times New Roman" w:hAnsi="Cambria"/>
      <w:color w:val="auto"/>
      <w:sz w:val="24"/>
      <w:lang w:val="en-US"/>
    </w:rPr>
  </w:style>
  <w:style w:type="paragraph" w:customStyle="1" w:styleId="ColorfulShading-Accent11">
    <w:name w:val="Colorful Shading - Accent 11"/>
    <w:rPr>
      <w:rFonts w:ascii="Times New Roman" w:eastAsia="Times New Roman" w:hAnsi="Times New Roman"/>
      <w:sz w:val="24"/>
      <w:lang w:val="en-US" w:eastAsia="en-GB"/>
    </w:rPr>
  </w:style>
  <w:style w:type="paragraph" w:customStyle="1" w:styleId="ParaQPS">
    <w:name w:val="Para QPS"/>
    <w:basedOn w:val="Normal"/>
    <w:pPr>
      <w:spacing w:before="120" w:after="120"/>
      <w:ind w:left="1134"/>
      <w:jc w:val="both"/>
    </w:pPr>
    <w:rPr>
      <w:rFonts w:eastAsia="Times New Roman"/>
      <w:color w:val="auto"/>
      <w:lang w:val="en-US"/>
    </w:rPr>
  </w:style>
  <w:style w:type="paragraph" w:customStyle="1" w:styleId="ParaQPSItalicindent">
    <w:name w:val="Para QPS Italic indent"/>
    <w:basedOn w:val="ParaQPS"/>
    <w:rPr>
      <w:i/>
    </w:rPr>
  </w:style>
  <w:style w:type="paragraph" w:customStyle="1" w:styleId="GridTable21">
    <w:name w:val="Grid Table 21"/>
    <w:basedOn w:val="Normal"/>
    <w:next w:val="Normal"/>
    <w:pPr>
      <w:spacing w:before="120" w:after="120"/>
      <w:ind w:left="1134"/>
      <w:jc w:val="both"/>
    </w:pPr>
    <w:rPr>
      <w:rFonts w:eastAsia="Times New Roman"/>
      <w:color w:val="auto"/>
    </w:rPr>
  </w:style>
  <w:style w:type="paragraph" w:customStyle="1" w:styleId="Footnote">
    <w:name w:val="Footnote"/>
    <w:basedOn w:val="FootnoteText"/>
    <w:pPr>
      <w:widowControl/>
      <w:spacing w:after="0"/>
    </w:pPr>
    <w:rPr>
      <w:rFonts w:eastAsia="Times New Roman"/>
      <w:sz w:val="18"/>
    </w:rPr>
  </w:style>
  <w:style w:type="paragraph" w:customStyle="1" w:styleId="TableforUNEPreport">
    <w:name w:val="Table for UNEP report"/>
    <w:basedOn w:val="Caption"/>
    <w:pPr>
      <w:keepNext/>
      <w:pBdr>
        <w:bottom w:val="none" w:sz="0" w:space="0" w:color="auto"/>
      </w:pBdr>
      <w:tabs>
        <w:tab w:val="clear" w:pos="9639"/>
      </w:tabs>
      <w:spacing w:after="200"/>
      <w:jc w:val="both"/>
    </w:pPr>
    <w:rPr>
      <w:rFonts w:ascii="Calibri" w:eastAsia="Times New Roman" w:hAnsi="Calibri"/>
      <w:i w:val="0"/>
      <w:lang w:val="en-GB"/>
    </w:rPr>
  </w:style>
  <w:style w:type="paragraph" w:customStyle="1" w:styleId="TitleQPSReport">
    <w:name w:val="Title QPS Report"/>
    <w:basedOn w:val="Normal"/>
    <w:pPr>
      <w:spacing w:before="120" w:after="120"/>
      <w:jc w:val="center"/>
    </w:pPr>
    <w:rPr>
      <w:rFonts w:eastAsia="Times New Roman"/>
      <w:b/>
      <w:color w:val="auto"/>
      <w:sz w:val="28"/>
    </w:rPr>
  </w:style>
  <w:style w:type="paragraph" w:customStyle="1" w:styleId="Bulletdash">
    <w:name w:val="Bullet dash"/>
    <w:basedOn w:val="Normal"/>
    <w:pPr>
      <w:spacing w:before="120" w:after="120"/>
      <w:ind w:left="1854" w:hanging="360"/>
      <w:jc w:val="both"/>
    </w:pPr>
    <w:rPr>
      <w:rFonts w:eastAsia="Times New Roman"/>
      <w:color w:val="auto"/>
    </w:rPr>
  </w:style>
  <w:style w:type="paragraph" w:customStyle="1" w:styleId="Paraleft">
    <w:name w:val="Para left"/>
    <w:basedOn w:val="Normal"/>
    <w:pPr>
      <w:keepNext/>
      <w:spacing w:before="120" w:after="120"/>
      <w:ind w:left="1134"/>
    </w:pPr>
    <w:rPr>
      <w:rFonts w:eastAsia="Times New Roman"/>
      <w:b/>
      <w:color w:val="auto"/>
    </w:rPr>
  </w:style>
  <w:style w:type="paragraph" w:customStyle="1" w:styleId="TableandFiguretitles">
    <w:name w:val="Table and Figure titles"/>
    <w:basedOn w:val="Caption"/>
    <w:pPr>
      <w:keepNext/>
      <w:pBdr>
        <w:bottom w:val="none" w:sz="0" w:space="0" w:color="auto"/>
      </w:pBdr>
      <w:tabs>
        <w:tab w:val="clear" w:pos="9639"/>
      </w:tabs>
      <w:spacing w:after="200"/>
      <w:ind w:left="1134"/>
      <w:jc w:val="both"/>
    </w:pPr>
    <w:rPr>
      <w:rFonts w:eastAsia="Times New Roman"/>
      <w:i w:val="0"/>
      <w:lang w:val="en-GB"/>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rFonts w:eastAsia="Times New Roman"/>
      <w:color w:val="auto"/>
    </w:rPr>
  </w:style>
  <w:style w:type="paragraph" w:customStyle="1" w:styleId="StyleParaQPS11ptItalic">
    <w:name w:val="Style Para QPS + 11 pt Italic"/>
    <w:basedOn w:val="ParaQPS"/>
    <w:rPr>
      <w:i/>
    </w:rPr>
  </w:style>
  <w:style w:type="paragraph" w:customStyle="1" w:styleId="Bulletnumbered">
    <w:name w:val="Bullet numbered"/>
    <w:basedOn w:val="ParaQPS"/>
    <w:pPr>
      <w:ind w:left="1854" w:hanging="360"/>
    </w:pPr>
  </w:style>
  <w:style w:type="paragraph" w:customStyle="1" w:styleId="Annexheader">
    <w:name w:val="Annex header"/>
    <w:basedOn w:val="Header"/>
    <w:pPr>
      <w:tabs>
        <w:tab w:val="clear" w:pos="4320"/>
        <w:tab w:val="clear" w:pos="8640"/>
        <w:tab w:val="center" w:pos="4153"/>
        <w:tab w:val="right" w:pos="8306"/>
      </w:tabs>
      <w:spacing w:line="360" w:lineRule="auto"/>
      <w:ind w:firstLine="720"/>
      <w:jc w:val="center"/>
    </w:pPr>
    <w:rPr>
      <w:rFonts w:ascii="Times New Roman Bold" w:eastAsia="Times New Roman" w:hAnsi="Times New Roman Bold"/>
      <w:b/>
      <w:caps/>
      <w:color w:val="auto"/>
      <w:lang w:val="en-AU"/>
    </w:rPr>
  </w:style>
  <w:style w:type="paragraph" w:customStyle="1" w:styleId="Execlevel3">
    <w:name w:val="Exec level3"/>
    <w:basedOn w:val="Normal"/>
    <w:pPr>
      <w:tabs>
        <w:tab w:val="left" w:pos="1080"/>
      </w:tabs>
    </w:pPr>
    <w:rPr>
      <w:rFonts w:eastAsia="Times New Roman"/>
      <w:b/>
      <w:i/>
    </w:rPr>
  </w:style>
  <w:style w:type="paragraph" w:customStyle="1" w:styleId="0Heading0CharChar1Char">
    <w:name w:val="0 Heading 0 Char Char1 Char"/>
    <w:rPr>
      <w:rFonts w:ascii="Times New Roman" w:eastAsia="Times New Roman" w:hAnsi="Times New Roman"/>
      <w:color w:val="000000"/>
      <w:sz w:val="24"/>
      <w:lang w:val="en-GB" w:eastAsia="en-GB"/>
    </w:rPr>
  </w:style>
  <w:style w:type="character" w:customStyle="1" w:styleId="0Heading0CharChar1CharChar">
    <w:name w:val="0 Heading 0 Char Char1 Char Char"/>
    <w:rPr>
      <w:noProof w:val="0"/>
      <w:color w:val="000000"/>
      <w:sz w:val="24"/>
      <w:lang w:val="en-GB"/>
    </w:rPr>
  </w:style>
  <w:style w:type="paragraph" w:customStyle="1" w:styleId="Alt2-LevelLegal1">
    <w:name w:val="Alt 2-Level Legal1"/>
    <w:basedOn w:val="Normal"/>
    <w:next w:val="Normal"/>
    <w:pPr>
      <w:tabs>
        <w:tab w:val="left" w:pos="1440"/>
      </w:tabs>
      <w:spacing w:after="240"/>
      <w:jc w:val="center"/>
    </w:pPr>
    <w:rPr>
      <w:rFonts w:eastAsia="Times New Roman"/>
      <w:b/>
      <w:color w:val="auto"/>
    </w:rPr>
  </w:style>
  <w:style w:type="paragraph" w:customStyle="1" w:styleId="Alt2-LevelLegal2">
    <w:name w:val="Alt 2-Level Legal2"/>
    <w:basedOn w:val="Normal"/>
    <w:pPr>
      <w:tabs>
        <w:tab w:val="left" w:pos="720"/>
      </w:tabs>
      <w:spacing w:after="240"/>
      <w:ind w:left="720" w:hanging="720"/>
    </w:pPr>
    <w:rPr>
      <w:rFonts w:eastAsia="Times New Roman"/>
      <w:b/>
    </w:rPr>
  </w:style>
  <w:style w:type="paragraph" w:customStyle="1" w:styleId="Alt2-LevelLegal3">
    <w:name w:val="Alt 2-Level Legal3"/>
    <w:basedOn w:val="Normal"/>
    <w:pPr>
      <w:tabs>
        <w:tab w:val="left" w:pos="720"/>
      </w:tabs>
      <w:spacing w:after="240"/>
      <w:ind w:left="720" w:hanging="720"/>
    </w:pPr>
    <w:rPr>
      <w:rFonts w:eastAsia="Times New Roman"/>
      <w:b/>
    </w:rPr>
  </w:style>
  <w:style w:type="paragraph" w:customStyle="1" w:styleId="Alt2-LevelLegal4">
    <w:name w:val="Alt 2-Level Legal4"/>
    <w:basedOn w:val="Normal"/>
    <w:pPr>
      <w:tabs>
        <w:tab w:val="left" w:pos="1440"/>
      </w:tabs>
      <w:spacing w:after="240"/>
      <w:ind w:left="1440" w:hanging="720"/>
    </w:pPr>
    <w:rPr>
      <w:rFonts w:eastAsia="Times New Roman"/>
    </w:rPr>
  </w:style>
  <w:style w:type="paragraph" w:customStyle="1" w:styleId="Alt2-LevelLegal5">
    <w:name w:val="Alt 2-Level Legal5"/>
    <w:basedOn w:val="Normal"/>
    <w:pPr>
      <w:tabs>
        <w:tab w:val="left" w:pos="2160"/>
      </w:tabs>
      <w:spacing w:after="240"/>
      <w:ind w:left="2160" w:right="720" w:hanging="720"/>
      <w:jc w:val="both"/>
    </w:pPr>
    <w:rPr>
      <w:rFonts w:eastAsia="Times New Roman"/>
    </w:rPr>
  </w:style>
  <w:style w:type="paragraph" w:customStyle="1" w:styleId="Alt2-LevelLegal6">
    <w:name w:val="Alt 2-Level Legal6"/>
    <w:basedOn w:val="Normal"/>
    <w:pPr>
      <w:tabs>
        <w:tab w:val="left" w:pos="1440"/>
      </w:tabs>
      <w:spacing w:after="240"/>
      <w:ind w:left="1440" w:hanging="720"/>
      <w:jc w:val="both"/>
    </w:pPr>
    <w:rPr>
      <w:rFonts w:eastAsia="Times New Roman"/>
    </w:rPr>
  </w:style>
  <w:style w:type="paragraph" w:styleId="NoSpacing">
    <w:name w:val="No Spacing"/>
    <w:basedOn w:val="Normal"/>
    <w:uiPriority w:val="1"/>
    <w:qFormat/>
    <w:rPr>
      <w:rFonts w:ascii="Arial" w:eastAsia="Times New Roman" w:hAnsi="Arial"/>
      <w:color w:val="auto"/>
    </w:rPr>
  </w:style>
  <w:style w:type="paragraph" w:customStyle="1" w:styleId="ColorfulGrid-Accent11">
    <w:name w:val="Colorful Grid - Accent 11"/>
    <w:basedOn w:val="Normal"/>
    <w:next w:val="Normal"/>
    <w:qFormat/>
    <w:pPr>
      <w:spacing w:before="200"/>
      <w:ind w:left="360" w:right="360"/>
    </w:pPr>
    <w:rPr>
      <w:rFonts w:ascii="Arial" w:eastAsia="Times New Roman" w:hAnsi="Arial"/>
      <w:i/>
      <w:color w:val="auto"/>
    </w:rPr>
  </w:style>
  <w:style w:type="paragraph" w:customStyle="1" w:styleId="LightShading-Accent21">
    <w:name w:val="Light Shading - Accent 21"/>
    <w:basedOn w:val="Normal"/>
    <w:next w:val="Normal"/>
    <w:qFormat/>
    <w:pPr>
      <w:pBdr>
        <w:bottom w:val="single" w:sz="6" w:space="1" w:color="auto"/>
      </w:pBdr>
      <w:spacing w:before="200" w:after="280"/>
      <w:ind w:left="1008" w:right="1152"/>
      <w:jc w:val="both"/>
    </w:pPr>
    <w:rPr>
      <w:rFonts w:ascii="Arial" w:eastAsia="Times New Roman" w:hAnsi="Arial"/>
      <w:b/>
      <w:i/>
      <w:color w:val="auto"/>
    </w:rPr>
  </w:style>
  <w:style w:type="character" w:customStyle="1" w:styleId="PlainTable31">
    <w:name w:val="Plain Table 31"/>
    <w:qFormat/>
    <w:rPr>
      <w:i/>
    </w:rPr>
  </w:style>
  <w:style w:type="character" w:customStyle="1" w:styleId="PlainTable41">
    <w:name w:val="Plain Table 41"/>
    <w:qFormat/>
    <w:rPr>
      <w:b/>
    </w:rPr>
  </w:style>
  <w:style w:type="character" w:customStyle="1" w:styleId="PlainTable51">
    <w:name w:val="Plain Table 51"/>
    <w:qFormat/>
    <w:rPr>
      <w:smallCaps/>
    </w:rPr>
  </w:style>
  <w:style w:type="character" w:customStyle="1" w:styleId="TableGridLight1">
    <w:name w:val="Table Grid Light1"/>
    <w:qFormat/>
    <w:rPr>
      <w:smallCaps/>
      <w:spacing w:val="5"/>
      <w:u w:val="single"/>
    </w:rPr>
  </w:style>
  <w:style w:type="character" w:customStyle="1" w:styleId="GridTable1Light1">
    <w:name w:val="Grid Table 1 Light1"/>
    <w:qFormat/>
    <w:rPr>
      <w:i/>
      <w:smallCaps/>
      <w:spacing w:val="5"/>
    </w:rPr>
  </w:style>
  <w:style w:type="paragraph" w:customStyle="1" w:styleId="GridTable31">
    <w:name w:val="Grid Table 31"/>
    <w:basedOn w:val="Heading1"/>
    <w:next w:val="Normal"/>
    <w:qFormat/>
    <w:pPr>
      <w:keepLines/>
      <w:tabs>
        <w:tab w:val="left" w:pos="1134"/>
      </w:tabs>
      <w:spacing w:after="240" w:line="240" w:lineRule="auto"/>
      <w:ind w:left="0" w:firstLine="0"/>
      <w:jc w:val="left"/>
      <w:outlineLvl w:val="9"/>
    </w:pPr>
    <w:rPr>
      <w:rFonts w:ascii="Arial" w:eastAsia="Times New Roman" w:hAnsi="Arial"/>
      <w:color w:val="auto"/>
      <w:sz w:val="32"/>
    </w:rPr>
  </w:style>
  <w:style w:type="character" w:customStyle="1" w:styleId="PlainTextChar">
    <w:name w:val="Plain Text Char"/>
    <w:rPr>
      <w:rFonts w:ascii="Consolas" w:hAnsi="Consolas"/>
      <w:noProof w:val="0"/>
      <w:sz w:val="21"/>
      <w:lang w:val="en-US"/>
    </w:rPr>
  </w:style>
  <w:style w:type="character" w:customStyle="1" w:styleId="BodyTextIndent3Char">
    <w:name w:val="Body Text Indent 3 Char"/>
    <w:rPr>
      <w:color w:val="FF0000"/>
      <w:sz w:val="24"/>
    </w:rPr>
  </w:style>
  <w:style w:type="character" w:customStyle="1" w:styleId="Para1">
    <w:name w:val="Para (1) ("/>
    <w:rPr>
      <w:b/>
      <w:noProof w:val="0"/>
      <w:kern w:val="32"/>
      <w:sz w:val="32"/>
      <w:lang w:val="en-US"/>
    </w:rPr>
  </w:style>
  <w:style w:type="character" w:customStyle="1" w:styleId="SubParaa">
    <w:name w:val="SubPara (a) ("/>
    <w:rPr>
      <w:b/>
      <w:i/>
      <w:noProof w:val="0"/>
      <w:kern w:val="2"/>
      <w:sz w:val="28"/>
      <w:lang w:val="en-US"/>
    </w:rPr>
  </w:style>
  <w:style w:type="character" w:customStyle="1" w:styleId="a2">
    <w:name w:val="("/>
    <w:rPr>
      <w:noProof w:val="0"/>
      <w:sz w:val="24"/>
      <w:lang w:val="en-US"/>
    </w:rPr>
  </w:style>
  <w:style w:type="paragraph" w:customStyle="1" w:styleId="a3">
    <w:name w:val="??????"/>
    <w:basedOn w:val="CommentText"/>
    <w:next w:val="CommentText"/>
    <w:pPr>
      <w:tabs>
        <w:tab w:val="clear" w:pos="720"/>
        <w:tab w:val="clear" w:pos="1440"/>
        <w:tab w:val="clear" w:pos="5760"/>
      </w:tabs>
      <w:jc w:val="left"/>
    </w:pPr>
    <w:rPr>
      <w:rFonts w:eastAsia="Times New Roman"/>
      <w:b/>
      <w:lang w:val="en-US"/>
    </w:rPr>
  </w:style>
  <w:style w:type="character" w:customStyle="1" w:styleId="5">
    <w:name w:val="(5"/>
    <w:rPr>
      <w:b/>
      <w:noProof w:val="0"/>
      <w:sz w:val="24"/>
      <w:lang w:val="en-US"/>
    </w:rPr>
  </w:style>
  <w:style w:type="character" w:customStyle="1" w:styleId="CarCar19">
    <w:name w:val="Car Car19"/>
    <w:rPr>
      <w:noProof w:val="0"/>
      <w:color w:val="000000"/>
      <w:sz w:val="24"/>
      <w:lang w:val="en-GB"/>
    </w:rPr>
  </w:style>
  <w:style w:type="paragraph" w:customStyle="1" w:styleId="Decisionparagraphs">
    <w:name w:val="Decision paragraphs"/>
    <w:basedOn w:val="Normal"/>
    <w:rPr>
      <w:rFonts w:eastAsia="Times New Roman"/>
      <w:i/>
      <w:color w:val="auto"/>
    </w:rPr>
  </w:style>
  <w:style w:type="paragraph" w:customStyle="1" w:styleId="Style3">
    <w:name w:val="Style3"/>
    <w:basedOn w:val="Heading1"/>
    <w:pPr>
      <w:tabs>
        <w:tab w:val="left" w:pos="0"/>
        <w:tab w:val="left" w:pos="1134"/>
        <w:tab w:val="left" w:pos="1492"/>
      </w:tabs>
      <w:spacing w:after="0" w:line="240" w:lineRule="auto"/>
      <w:ind w:left="432" w:hanging="432"/>
      <w:jc w:val="left"/>
      <w:outlineLvl w:val="9"/>
    </w:pPr>
    <w:rPr>
      <w:rFonts w:eastAsia="Times New Roman"/>
    </w:rPr>
  </w:style>
  <w:style w:type="paragraph" w:customStyle="1" w:styleId="Style4">
    <w:name w:val="Style4"/>
    <w:basedOn w:val="Heading2"/>
    <w:pPr>
      <w:widowControl w:val="0"/>
      <w:tabs>
        <w:tab w:val="clear" w:pos="1080"/>
        <w:tab w:val="left" w:pos="720"/>
        <w:tab w:val="left" w:pos="1134"/>
        <w:tab w:val="left" w:pos="1440"/>
      </w:tabs>
      <w:spacing w:after="0" w:line="240" w:lineRule="auto"/>
      <w:ind w:left="720" w:right="28" w:hanging="720"/>
      <w:outlineLvl w:val="9"/>
    </w:pPr>
    <w:rPr>
      <w:rFonts w:eastAsia="Times New Roman"/>
    </w:rPr>
  </w:style>
  <w:style w:type="paragraph" w:customStyle="1" w:styleId="Style5">
    <w:name w:val="Style5"/>
    <w:basedOn w:val="Heading311ptBold"/>
    <w:pPr>
      <w:tabs>
        <w:tab w:val="clear" w:pos="1800"/>
        <w:tab w:val="center" w:pos="1440"/>
      </w:tabs>
      <w:spacing w:before="0" w:after="0"/>
    </w:pPr>
    <w:rPr>
      <w:b/>
    </w:rPr>
  </w:style>
  <w:style w:type="paragraph" w:customStyle="1" w:styleId="Style6">
    <w:name w:val="Style6"/>
    <w:basedOn w:val="Heading311ptBold"/>
    <w:next w:val="Style5"/>
    <w:pPr>
      <w:tabs>
        <w:tab w:val="clear" w:pos="1800"/>
        <w:tab w:val="center" w:pos="1440"/>
      </w:tabs>
      <w:spacing w:before="0" w:after="0"/>
    </w:pPr>
    <w:rPr>
      <w:b/>
    </w:rPr>
  </w:style>
  <w:style w:type="paragraph" w:customStyle="1" w:styleId="Style7">
    <w:name w:val="Style7"/>
    <w:basedOn w:val="Heading311ptBold"/>
    <w:pPr>
      <w:tabs>
        <w:tab w:val="clear" w:pos="1800"/>
        <w:tab w:val="center" w:pos="1440"/>
      </w:tabs>
      <w:spacing w:before="0" w:after="0"/>
      <w:ind w:left="720" w:hanging="720"/>
    </w:pPr>
    <w:rPr>
      <w:b/>
    </w:rPr>
  </w:style>
  <w:style w:type="paragraph" w:customStyle="1" w:styleId="StyleHeading2SubParaaHeading2Char1CharSubParaaChar1">
    <w:name w:val="Style Heading 2SubPara (a)Heading 2 Char1 CharSubPara (a) Char1 ..."/>
    <w:basedOn w:val="Heading2"/>
    <w:pPr>
      <w:widowControl w:val="0"/>
      <w:tabs>
        <w:tab w:val="clear" w:pos="1080"/>
        <w:tab w:val="left" w:pos="720"/>
        <w:tab w:val="left" w:pos="1134"/>
        <w:tab w:val="left" w:pos="1440"/>
      </w:tabs>
      <w:spacing w:after="0" w:line="240" w:lineRule="auto"/>
      <w:ind w:left="576" w:right="28" w:hanging="576"/>
      <w:outlineLvl w:val="9"/>
    </w:pPr>
    <w:rPr>
      <w:rFonts w:eastAsia="Times New Roman"/>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pPr>
      <w:tabs>
        <w:tab w:val="clear" w:pos="1080"/>
        <w:tab w:val="left" w:pos="720"/>
        <w:tab w:val="left" w:pos="1134"/>
        <w:tab w:val="left" w:pos="2880"/>
      </w:tabs>
      <w:spacing w:after="0"/>
      <w:ind w:left="720" w:hanging="720"/>
      <w:jc w:val="left"/>
      <w:outlineLvl w:val="9"/>
    </w:pPr>
    <w:rPr>
      <w:rFonts w:eastAsia="Times New Roman"/>
      <w:b w:val="0"/>
      <w:i w:val="0"/>
      <w:color w:val="auto"/>
    </w:rPr>
  </w:style>
  <w:style w:type="paragraph" w:customStyle="1" w:styleId="ECMSHeading1">
    <w:name w:val="ECMS Heading 1"/>
    <w:basedOn w:val="Heading1"/>
    <w:pPr>
      <w:tabs>
        <w:tab w:val="left" w:pos="1134"/>
      </w:tabs>
      <w:spacing w:before="120" w:after="1080" w:line="240" w:lineRule="auto"/>
      <w:ind w:left="0" w:firstLine="0"/>
      <w:jc w:val="left"/>
      <w:outlineLvl w:val="9"/>
    </w:pPr>
    <w:rPr>
      <w:rFonts w:ascii="Garamond" w:eastAsia="Times New Roman" w:hAnsi="Garamond"/>
      <w:color w:val="auto"/>
      <w:sz w:val="48"/>
    </w:rPr>
  </w:style>
  <w:style w:type="paragraph" w:customStyle="1" w:styleId="ECMStableheader">
    <w:name w:val="ECMS table header"/>
    <w:basedOn w:val="Normal"/>
    <w:pPr>
      <w:ind w:left="1320" w:hanging="1320"/>
    </w:pPr>
    <w:rPr>
      <w:rFonts w:eastAsia="Times New Roman"/>
      <w:b/>
      <w:color w:val="auto"/>
    </w:rPr>
  </w:style>
  <w:style w:type="paragraph" w:customStyle="1" w:styleId="Paralevel3">
    <w:name w:val="Para level3"/>
    <w:basedOn w:val="Normal"/>
    <w:pPr>
      <w:tabs>
        <w:tab w:val="left" w:pos="360"/>
      </w:tabs>
      <w:suppressAutoHyphens/>
      <w:spacing w:after="120"/>
    </w:pPr>
    <w:rPr>
      <w:rFonts w:eastAsia="Times New Roman"/>
      <w:color w:val="auto"/>
      <w:sz w:val="20"/>
    </w:rPr>
  </w:style>
  <w:style w:type="character" w:customStyle="1" w:styleId="ANNEXESChar">
    <w:name w:val="ANNEXES Char"/>
    <w:rPr>
      <w:b/>
      <w:noProof w:val="0"/>
      <w:color w:val="000000"/>
      <w:sz w:val="28"/>
      <w:lang w:val="en-GB"/>
    </w:rPr>
  </w:style>
  <w:style w:type="paragraph" w:customStyle="1" w:styleId="ColorfulShading-Accent31">
    <w:name w:val="Colorful Shading - Accent 31"/>
    <w:basedOn w:val="Normal"/>
    <w:rPr>
      <w:rFonts w:ascii="Cambria" w:eastAsia="Times New Roman" w:hAnsi="Cambria"/>
      <w:color w:val="auto"/>
      <w:sz w:val="24"/>
      <w:lang w:val="en-US"/>
    </w:rPr>
  </w:style>
  <w:style w:type="paragraph" w:customStyle="1" w:styleId="summarylevel3">
    <w:name w:val="summary level3"/>
    <w:basedOn w:val="Heading3"/>
    <w:next w:val="Normal"/>
    <w:pPr>
      <w:widowControl w:val="0"/>
      <w:suppressLineNumbers/>
      <w:tabs>
        <w:tab w:val="left" w:pos="851"/>
        <w:tab w:val="left" w:pos="2160"/>
      </w:tabs>
      <w:spacing w:before="100" w:after="240" w:line="240" w:lineRule="auto"/>
      <w:ind w:left="0" w:right="28" w:firstLine="0"/>
      <w:outlineLvl w:val="9"/>
    </w:pPr>
    <w:rPr>
      <w:rFonts w:eastAsia="Times New Roman"/>
      <w:color w:val="auto"/>
      <w:sz w:val="24"/>
      <w:lang w:val="en-AU"/>
    </w:rPr>
  </w:style>
  <w:style w:type="paragraph" w:customStyle="1" w:styleId="intro">
    <w:name w:val="intro"/>
    <w:basedOn w:val="Normal"/>
    <w:pPr>
      <w:spacing w:before="100" w:after="100"/>
    </w:pPr>
    <w:rPr>
      <w:rFonts w:eastAsia="Times New Roman"/>
      <w:color w:val="auto"/>
      <w:sz w:val="24"/>
      <w:lang w:val="en-US"/>
    </w:rPr>
  </w:style>
  <w:style w:type="paragraph" w:customStyle="1" w:styleId="bullet0">
    <w:name w:val="bullet"/>
    <w:basedOn w:val="Normal"/>
    <w:pPr>
      <w:ind w:left="1080"/>
    </w:pPr>
    <w:rPr>
      <w:rFonts w:eastAsia="Times New Roman"/>
      <w:color w:val="auto"/>
      <w:sz w:val="24"/>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 w:val="left" w:pos="1134"/>
      </w:tabs>
      <w:spacing w:before="240" w:after="60" w:line="240" w:lineRule="auto"/>
      <w:ind w:left="1080" w:hanging="432"/>
      <w:jc w:val="left"/>
      <w:outlineLvl w:val="9"/>
    </w:pPr>
    <w:rPr>
      <w:rFonts w:ascii="Times New Roman Bold" w:eastAsia="Times New Roman" w:hAnsi="Times New Roman Bold"/>
      <w:kern w:val="32"/>
      <w:sz w:val="30"/>
      <w:lang w:val="en-US"/>
    </w:rPr>
  </w:style>
  <w:style w:type="character" w:customStyle="1" w:styleId="StyleHeading1Para1Heading1Char1CharHeading1CharCharCChar">
    <w:name w:val="Style Heading 1Para (1)Heading 1 Char1 CharHeading 1 Char Char C... Char"/>
    <w:rPr>
      <w:b/>
      <w:noProof w:val="0"/>
      <w:color w:val="000000"/>
      <w:kern w:val="32"/>
      <w:sz w:val="32"/>
      <w:lang w:val="en-US"/>
    </w:rPr>
  </w:style>
  <w:style w:type="paragraph" w:customStyle="1" w:styleId="StyleBodyTextLeftAfter0pt">
    <w:name w:val="Style Body Text Left + After:  0 pt"/>
    <w:basedOn w:val="BodyTextLeft"/>
    <w:rPr>
      <w:sz w:val="24"/>
    </w:rPr>
  </w:style>
  <w:style w:type="paragraph" w:customStyle="1" w:styleId="StyleBodyTextIndent2Firstline0cm">
    <w:name w:val="Style Body Text Indent 2 + First line:  0 cm"/>
    <w:basedOn w:val="BodyTextIndent2"/>
    <w:pPr>
      <w:spacing w:after="240"/>
      <w:ind w:left="0" w:firstLine="0"/>
    </w:pPr>
    <w:rPr>
      <w:rFonts w:eastAsia="Times New Roman"/>
      <w:b w:val="0"/>
      <w:color w:val="auto"/>
      <w:sz w:val="22"/>
    </w:rPr>
  </w:style>
  <w:style w:type="paragraph" w:customStyle="1" w:styleId="StyleBodyTextIndent2Firstline0cm1">
    <w:name w:val="Style Body Text Indent 2 + First line:  0 cm1"/>
    <w:basedOn w:val="BodyTextIndent2"/>
    <w:pPr>
      <w:spacing w:after="240"/>
      <w:ind w:left="0" w:firstLine="0"/>
    </w:pPr>
    <w:rPr>
      <w:rFonts w:eastAsia="Times New Roman"/>
      <w:b w:val="0"/>
      <w:color w:val="auto"/>
      <w:sz w:val="22"/>
    </w:rPr>
  </w:style>
  <w:style w:type="paragraph" w:customStyle="1" w:styleId="NormalBold">
    <w:name w:val="Normal + Bold"/>
    <w:aliases w:val="Italic,Centered"/>
    <w:basedOn w:val="Execlevel3"/>
    <w:pPr>
      <w:spacing w:after="240"/>
      <w:jc w:val="center"/>
    </w:pPr>
  </w:style>
  <w:style w:type="paragraph" w:customStyle="1" w:styleId="enclosures">
    <w:name w:val="enclosures"/>
    <w:basedOn w:val="Normal"/>
    <w:next w:val="Normal"/>
    <w:pPr>
      <w:tabs>
        <w:tab w:val="right" w:pos="340"/>
        <w:tab w:val="left" w:pos="454"/>
        <w:tab w:val="right" w:pos="9360"/>
      </w:tabs>
      <w:spacing w:before="240"/>
    </w:pPr>
    <w:rPr>
      <w:rFonts w:ascii="Helvetica" w:eastAsia="Times New Roman" w:hAnsi="Helvetica"/>
      <w:color w:val="auto"/>
      <w:lang w:val="en-US"/>
    </w:rPr>
  </w:style>
  <w:style w:type="character" w:customStyle="1" w:styleId="CommentTextChar1">
    <w:name w:val="Comment Text Char1"/>
    <w:rPr>
      <w:noProof w:val="0"/>
      <w:sz w:val="24"/>
      <w:lang w:val="en-US"/>
    </w:rPr>
  </w:style>
  <w:style w:type="paragraph" w:customStyle="1" w:styleId="Paraindent">
    <w:name w:val="Para indent"/>
    <w:basedOn w:val="Normal"/>
    <w:pPr>
      <w:widowControl w:val="0"/>
      <w:spacing w:before="120" w:after="120"/>
      <w:ind w:left="709" w:right="720"/>
      <w:jc w:val="both"/>
    </w:pPr>
    <w:rPr>
      <w:rFonts w:eastAsia="Times New Roman"/>
      <w:i/>
      <w:sz w:val="20"/>
    </w:rPr>
  </w:style>
  <w:style w:type="paragraph" w:customStyle="1" w:styleId="BulletsinTable">
    <w:name w:val="Bullets in Table"/>
    <w:basedOn w:val="ListParagraph1"/>
    <w:pPr>
      <w:tabs>
        <w:tab w:val="left" w:pos="539"/>
      </w:tabs>
      <w:autoSpaceDE/>
      <w:autoSpaceDN/>
      <w:spacing w:before="60" w:after="60" w:line="240" w:lineRule="auto"/>
      <w:ind w:left="720" w:right="720" w:hanging="539"/>
      <w:jc w:val="left"/>
    </w:pPr>
    <w:rPr>
      <w:rFonts w:ascii="Times New Roman" w:hAnsi="Times New Roman"/>
      <w:i/>
      <w:color w:val="000000"/>
      <w:sz w:val="20"/>
      <w:lang w:val="en"/>
    </w:rPr>
  </w:style>
  <w:style w:type="paragraph" w:customStyle="1" w:styleId="Annex">
    <w:name w:val="Annex"/>
    <w:basedOn w:val="Caption"/>
    <w:pPr>
      <w:pBdr>
        <w:bottom w:val="none" w:sz="0" w:space="0" w:color="auto"/>
      </w:pBdr>
      <w:tabs>
        <w:tab w:val="clear" w:pos="9639"/>
      </w:tabs>
      <w:spacing w:before="100" w:after="100"/>
      <w:ind w:left="426" w:right="720"/>
      <w:jc w:val="left"/>
    </w:pPr>
    <w:rPr>
      <w:rFonts w:eastAsia="Times New Roman"/>
      <w:caps/>
      <w:sz w:val="20"/>
      <w:lang w:val="en-GB"/>
    </w:rPr>
  </w:style>
  <w:style w:type="paragraph" w:customStyle="1" w:styleId="Tableandfigureheadings">
    <w:name w:val="Table and figure headings"/>
    <w:basedOn w:val="TableofFigures"/>
    <w:pPr>
      <w:keepNext/>
      <w:ind w:left="0" w:right="720" w:firstLine="0"/>
      <w:jc w:val="left"/>
    </w:pPr>
    <w:rPr>
      <w:i/>
      <w:caps w:val="0"/>
      <w:sz w:val="24"/>
    </w:rPr>
  </w:style>
  <w:style w:type="paragraph" w:styleId="TableofFigures">
    <w:name w:val="table of figures"/>
    <w:basedOn w:val="Normal"/>
    <w:next w:val="Normal"/>
    <w:semiHidden/>
    <w:pPr>
      <w:spacing w:before="120" w:after="120"/>
      <w:ind w:left="1757" w:right="624" w:hanging="1077"/>
      <w:jc w:val="both"/>
    </w:pPr>
    <w:rPr>
      <w:rFonts w:eastAsia="Times New Roman"/>
      <w:b/>
      <w:caps/>
      <w:color w:val="auto"/>
    </w:rPr>
  </w:style>
  <w:style w:type="paragraph" w:customStyle="1" w:styleId="Bulletsnumbered">
    <w:name w:val="Bullets numbered"/>
    <w:basedOn w:val="Paraindent"/>
    <w:pPr>
      <w:tabs>
        <w:tab w:val="left" w:pos="720"/>
      </w:tabs>
      <w:ind w:left="1560" w:hanging="720"/>
    </w:pPr>
  </w:style>
  <w:style w:type="paragraph" w:customStyle="1" w:styleId="Chapternumber">
    <w:name w:val="Chapter number"/>
    <w:basedOn w:val="Normal"/>
    <w:pPr>
      <w:widowControl w:val="0"/>
      <w:suppressAutoHyphens/>
      <w:spacing w:before="100" w:after="567" w:line="640" w:lineRule="atLeast"/>
      <w:ind w:right="720"/>
    </w:pPr>
    <w:rPr>
      <w:rFonts w:ascii="FrutigerLTStd-Light" w:eastAsia="Times New Roman" w:hAnsi="FrutigerLTStd-Light"/>
      <w:i/>
      <w:sz w:val="60"/>
    </w:rPr>
  </w:style>
  <w:style w:type="paragraph" w:customStyle="1" w:styleId="Tabletext0">
    <w:name w:val="Table text"/>
    <w:basedOn w:val="Normal"/>
    <w:pPr>
      <w:widowControl w:val="0"/>
      <w:suppressAutoHyphens/>
      <w:spacing w:before="100" w:after="113" w:line="288" w:lineRule="auto"/>
      <w:ind w:right="720"/>
    </w:pPr>
    <w:rPr>
      <w:rFonts w:ascii="FrutigerLTStd-Light" w:eastAsia="Times New Roman" w:hAnsi="FrutigerLTStd-Light"/>
      <w:i/>
      <w:sz w:val="24"/>
    </w:rPr>
  </w:style>
  <w:style w:type="paragraph" w:customStyle="1" w:styleId="Bodycopynoindent">
    <w:name w:val="Body copy (no indent)"/>
    <w:basedOn w:val="Normal"/>
    <w:pPr>
      <w:widowControl w:val="0"/>
      <w:suppressAutoHyphens/>
      <w:spacing w:before="100" w:after="280" w:line="320" w:lineRule="atLeast"/>
      <w:ind w:right="720"/>
    </w:pPr>
    <w:rPr>
      <w:rFonts w:ascii="FrutigerLTStd-Light" w:eastAsia="Times New Roman" w:hAnsi="FrutigerLTStd-Light"/>
      <w:i/>
      <w:sz w:val="24"/>
    </w:rPr>
  </w:style>
  <w:style w:type="paragraph" w:customStyle="1" w:styleId="Bullettext">
    <w:name w:val="Bullet text"/>
    <w:basedOn w:val="Normal"/>
    <w:next w:val="Normal"/>
    <w:pPr>
      <w:widowControl w:val="0"/>
      <w:tabs>
        <w:tab w:val="left" w:pos="851"/>
      </w:tabs>
      <w:suppressAutoHyphens/>
      <w:spacing w:before="100" w:after="113" w:line="320" w:lineRule="atLeast"/>
      <w:ind w:left="851" w:right="720" w:hanging="284"/>
    </w:pPr>
    <w:rPr>
      <w:rFonts w:ascii="FrutigerLTStd-Light" w:eastAsia="Times New Roman" w:hAnsi="FrutigerLTStd-Light"/>
      <w:i/>
      <w:sz w:val="24"/>
    </w:rPr>
  </w:style>
  <w:style w:type="paragraph" w:customStyle="1" w:styleId="Bullettextlastline">
    <w:name w:val="Bullet text last line"/>
    <w:basedOn w:val="Normal"/>
    <w:pPr>
      <w:widowControl w:val="0"/>
      <w:tabs>
        <w:tab w:val="left" w:pos="851"/>
      </w:tabs>
      <w:suppressAutoHyphens/>
      <w:spacing w:before="100" w:after="280" w:line="320" w:lineRule="atLeast"/>
      <w:ind w:left="851" w:right="720" w:hanging="284"/>
    </w:pPr>
    <w:rPr>
      <w:rFonts w:ascii="FrutigerLTStd-Light" w:eastAsia="Times New Roman" w:hAnsi="FrutigerLTStd-Light"/>
      <w:i/>
      <w:sz w:val="24"/>
    </w:rPr>
  </w:style>
  <w:style w:type="paragraph" w:customStyle="1" w:styleId="Section2numbered">
    <w:name w:val="Section 2 numbered"/>
    <w:pPr>
      <w:tabs>
        <w:tab w:val="left" w:pos="1492"/>
      </w:tabs>
      <w:spacing w:after="227"/>
      <w:ind w:left="1492" w:hanging="360"/>
    </w:pPr>
    <w:rPr>
      <w:rFonts w:ascii="FrutigerLTStd-Light" w:eastAsia="Times New Roman" w:hAnsi="FrutigerLTStd-Light"/>
      <w:color w:val="000000"/>
      <w:sz w:val="24"/>
      <w:lang w:val="en-GB" w:eastAsia="en-GB"/>
    </w:rPr>
  </w:style>
  <w:style w:type="character" w:customStyle="1" w:styleId="Boldtext0">
    <w:name w:val="Bold text"/>
    <w:rPr>
      <w:rFonts w:ascii="FrutigerLTStd-Bold" w:hAnsi="FrutigerLTStd-Bold"/>
      <w:b/>
    </w:rPr>
  </w:style>
  <w:style w:type="paragraph" w:customStyle="1" w:styleId="Section3numbered">
    <w:name w:val="Section 3 numbered"/>
    <w:pPr>
      <w:tabs>
        <w:tab w:val="left" w:pos="680"/>
      </w:tabs>
      <w:spacing w:after="227"/>
      <w:ind w:left="680" w:hanging="680"/>
    </w:pPr>
    <w:rPr>
      <w:rFonts w:ascii="FrutigerLTStd-Light" w:eastAsia="Times New Roman" w:hAnsi="FrutigerLTStd-Light"/>
      <w:color w:val="000000"/>
      <w:sz w:val="24"/>
      <w:lang w:val="en-GB" w:eastAsia="en-GB"/>
    </w:rPr>
  </w:style>
  <w:style w:type="paragraph" w:customStyle="1" w:styleId="Section6numbered">
    <w:name w:val="Section 6 numbered"/>
    <w:pPr>
      <w:tabs>
        <w:tab w:val="left" w:pos="0"/>
      </w:tabs>
      <w:spacing w:after="227"/>
      <w:ind w:left="578"/>
    </w:pPr>
    <w:rPr>
      <w:rFonts w:ascii="FrutigerLTStd-Light" w:eastAsia="Times New Roman" w:hAnsi="FrutigerLTStd-Light"/>
      <w:color w:val="000000"/>
      <w:sz w:val="24"/>
      <w:lang w:val="en-GB" w:eastAsia="en-GB"/>
    </w:rPr>
  </w:style>
  <w:style w:type="paragraph" w:customStyle="1" w:styleId="BasicParagraph">
    <w:name w:val="[Basic Paragraph]"/>
    <w:basedOn w:val="Normal"/>
    <w:pPr>
      <w:widowControl w:val="0"/>
      <w:spacing w:before="100" w:line="288" w:lineRule="auto"/>
      <w:ind w:right="720"/>
    </w:pPr>
    <w:rPr>
      <w:rFonts w:ascii="Times-Roman" w:eastAsia="Times New 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pPr>
      <w:ind w:left="175" w:hanging="142"/>
    </w:pPr>
  </w:style>
  <w:style w:type="paragraph" w:customStyle="1" w:styleId="Recommendationsnumbered">
    <w:name w:val="Recommendations numbered"/>
    <w:basedOn w:val="Bulletsnumbered"/>
    <w:pPr>
      <w:ind w:left="1134" w:hanging="425"/>
    </w:pPr>
  </w:style>
  <w:style w:type="paragraph" w:customStyle="1" w:styleId="wbtbullet1">
    <w:name w:val="wbtbullet1"/>
    <w:basedOn w:val="Normal"/>
    <w:pPr>
      <w:spacing w:before="100"/>
      <w:ind w:right="720"/>
      <w:jc w:val="both"/>
    </w:pPr>
    <w:rPr>
      <w:rFonts w:ascii="Verdana" w:eastAsia="Times New Roman" w:hAnsi="Verdana"/>
      <w:i/>
      <w:color w:val="auto"/>
      <w:sz w:val="16"/>
    </w:rPr>
  </w:style>
  <w:style w:type="paragraph" w:customStyle="1" w:styleId="Box">
    <w:name w:val="Box"/>
    <w:basedOn w:val="BodyText"/>
    <w:pPr>
      <w:pBdr>
        <w:top w:val="single" w:sz="6" w:space="1" w:color="auto"/>
        <w:left w:val="single" w:sz="6" w:space="4" w:color="auto"/>
        <w:bottom w:val="single" w:sz="6" w:space="1" w:color="auto"/>
        <w:right w:val="single" w:sz="6" w:space="4" w:color="auto"/>
      </w:pBdr>
      <w:tabs>
        <w:tab w:val="left" w:pos="720"/>
      </w:tabs>
      <w:spacing w:before="100" w:line="240" w:lineRule="auto"/>
      <w:ind w:left="720" w:right="720" w:hanging="360"/>
    </w:pPr>
    <w:rPr>
      <w:rFonts w:ascii="Calibri" w:eastAsia="Times New Roman" w:hAnsi="Calibri"/>
      <w:i/>
      <w:color w:val="auto"/>
      <w:spacing w:val="-2"/>
      <w:sz w:val="18"/>
      <w:lang w:val="en-US"/>
    </w:rPr>
  </w:style>
  <w:style w:type="character" w:customStyle="1" w:styleId="content1">
    <w:name w:val="content1"/>
    <w:rPr>
      <w:rFonts w:ascii="Trebuchet MS" w:hAnsi="Trebuchet MS"/>
      <w:color w:val="000000"/>
      <w:sz w:val="18"/>
    </w:rPr>
  </w:style>
  <w:style w:type="character" w:customStyle="1" w:styleId="smbody1">
    <w:name w:val="smbody1"/>
    <w:rPr>
      <w:rFonts w:ascii="Verdana" w:hAnsi="Verdana"/>
      <w:color w:val="000000"/>
      <w:sz w:val="15"/>
    </w:rPr>
  </w:style>
  <w:style w:type="paragraph" w:customStyle="1" w:styleId="Text0">
    <w:name w:val="Text"/>
    <w:basedOn w:val="Normal"/>
    <w:pPr>
      <w:spacing w:before="100"/>
      <w:ind w:right="720"/>
      <w:jc w:val="both"/>
    </w:pPr>
    <w:rPr>
      <w:rFonts w:ascii="Arial" w:eastAsia="Times New Roman" w:hAnsi="Arial"/>
      <w:i/>
      <w:color w:val="auto"/>
      <w:sz w:val="18"/>
      <w:lang w:val="en-US"/>
    </w:rPr>
  </w:style>
  <w:style w:type="paragraph" w:customStyle="1" w:styleId="SimonUberschrift">
    <w:name w:val="Simon Uberschrift"/>
    <w:basedOn w:val="Heading3"/>
    <w:next w:val="Heading1"/>
    <w:pPr>
      <w:widowControl w:val="0"/>
      <w:tabs>
        <w:tab w:val="left" w:pos="1800"/>
        <w:tab w:val="left" w:pos="2160"/>
      </w:tabs>
      <w:spacing w:before="240" w:after="60" w:line="240" w:lineRule="auto"/>
      <w:ind w:left="1440" w:right="28" w:firstLine="0"/>
      <w:outlineLvl w:val="9"/>
    </w:pPr>
    <w:rPr>
      <w:rFonts w:eastAsia="Times New Roman"/>
      <w:b w:val="0"/>
      <w:i w:val="0"/>
      <w:sz w:val="24"/>
    </w:rPr>
  </w:style>
  <w:style w:type="paragraph" w:customStyle="1" w:styleId="xl22">
    <w:name w:val="xl22"/>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paragraph" w:customStyle="1" w:styleId="xl23">
    <w:name w:val="xl23"/>
    <w:basedOn w:val="Normal"/>
    <w:pPr>
      <w:pBdr>
        <w:top w:val="single" w:sz="6" w:space="0" w:color="auto"/>
        <w:left w:val="single" w:sz="6" w:space="0" w:color="auto"/>
        <w:bottom w:val="single" w:sz="6" w:space="0" w:color="auto"/>
        <w:right w:val="single" w:sz="6" w:space="0" w:color="auto"/>
      </w:pBdr>
      <w:spacing w:before="100" w:after="100"/>
      <w:ind w:right="720"/>
      <w:jc w:val="both"/>
    </w:pPr>
    <w:rPr>
      <w:rFonts w:ascii="Arial" w:eastAsia="Times New Roman" w:hAnsi="Arial"/>
      <w:i/>
      <w:color w:val="auto"/>
      <w:sz w:val="18"/>
      <w:lang w:val="en-US"/>
    </w:rPr>
  </w:style>
  <w:style w:type="character" w:customStyle="1" w:styleId="BodyText3Char">
    <w:name w:val="Body Text 3 Char"/>
    <w:rPr>
      <w:rFonts w:ascii="Arial" w:hAnsi="Arial"/>
      <w:noProof w:val="0"/>
      <w:sz w:val="16"/>
      <w:lang w:val="x-none"/>
    </w:rPr>
  </w:style>
  <w:style w:type="paragraph" w:customStyle="1" w:styleId="TablesinAnnexlandscape">
    <w:name w:val="Tables in Annex landscape"/>
    <w:basedOn w:val="Table"/>
    <w:pPr>
      <w:keepLines w:val="0"/>
      <w:spacing w:before="120" w:after="120"/>
      <w:ind w:left="709" w:right="720"/>
    </w:pPr>
    <w:rPr>
      <w:rFonts w:eastAsia="Times New Roman"/>
      <w:b/>
      <w:i/>
      <w:snapToGrid/>
    </w:rPr>
  </w:style>
  <w:style w:type="paragraph" w:customStyle="1" w:styleId="Tablefootnote">
    <w:name w:val="Table footnote"/>
    <w:basedOn w:val="Normal"/>
    <w:pPr>
      <w:tabs>
        <w:tab w:val="left" w:pos="3000"/>
      </w:tabs>
      <w:spacing w:before="100"/>
      <w:ind w:left="709" w:right="720"/>
    </w:pPr>
    <w:rPr>
      <w:rFonts w:eastAsia="Times New Roman"/>
      <w:i/>
      <w:color w:val="auto"/>
      <w:sz w:val="18"/>
    </w:rPr>
  </w:style>
  <w:style w:type="paragraph" w:customStyle="1" w:styleId="TableinfrontwithmeandKJ">
    <w:name w:val="Table in front with me and KJ"/>
    <w:basedOn w:val="Normal"/>
    <w:pPr>
      <w:spacing w:before="60" w:after="60"/>
      <w:ind w:right="720"/>
    </w:pPr>
    <w:rPr>
      <w:rFonts w:eastAsia="Times New Roman"/>
      <w:i/>
      <w:color w:val="auto"/>
      <w:sz w:val="18"/>
    </w:rPr>
  </w:style>
  <w:style w:type="paragraph" w:customStyle="1" w:styleId="ParaindentItalicsubheader">
    <w:name w:val="Para indent Italic subheader"/>
    <w:basedOn w:val="Paraindent"/>
    <w:rPr>
      <w:i w:val="0"/>
    </w:rPr>
  </w:style>
  <w:style w:type="paragraph" w:customStyle="1" w:styleId="Paratextintable">
    <w:name w:val="Para text in table"/>
    <w:basedOn w:val="Normal"/>
    <w:pPr>
      <w:spacing w:before="120" w:after="120"/>
      <w:ind w:right="720"/>
    </w:pPr>
    <w:rPr>
      <w:rFonts w:eastAsia="Times New Roman"/>
      <w:color w:val="auto"/>
      <w:sz w:val="18"/>
      <w:lang w:val="en-US"/>
    </w:rPr>
  </w:style>
  <w:style w:type="paragraph" w:customStyle="1" w:styleId="Bulletsnumberedintable">
    <w:name w:val="Bullets numbered in table"/>
    <w:basedOn w:val="ListParagraph1"/>
    <w:pPr>
      <w:tabs>
        <w:tab w:val="left" w:pos="539"/>
      </w:tabs>
      <w:autoSpaceDE/>
      <w:autoSpaceDN/>
      <w:spacing w:before="100" w:line="240" w:lineRule="auto"/>
      <w:ind w:left="539" w:right="720" w:hanging="539"/>
      <w:jc w:val="left"/>
    </w:pPr>
    <w:rPr>
      <w:rFonts w:ascii="Times New Roman" w:hAnsi="Times New Roman"/>
      <w:i/>
      <w:sz w:val="18"/>
      <w:lang w:val="en-US"/>
    </w:rPr>
  </w:style>
  <w:style w:type="paragraph" w:customStyle="1" w:styleId="Paranumbered">
    <w:name w:val="Para numbered"/>
    <w:basedOn w:val="ListParagraph1"/>
    <w:pPr>
      <w:tabs>
        <w:tab w:val="left" w:pos="720"/>
      </w:tabs>
      <w:autoSpaceDE/>
      <w:autoSpaceDN/>
      <w:spacing w:before="120" w:after="120" w:line="240" w:lineRule="auto"/>
      <w:ind w:left="709" w:right="720" w:hanging="709"/>
      <w:jc w:val="left"/>
    </w:pPr>
    <w:rPr>
      <w:rFonts w:ascii="Times New Roman" w:hAnsi="Times New Roman"/>
      <w:i/>
      <w:sz w:val="18"/>
      <w:lang w:val="en-US"/>
    </w:rPr>
  </w:style>
  <w:style w:type="paragraph" w:customStyle="1" w:styleId="Bulletsubindent">
    <w:name w:val="Bullet sub indent"/>
    <w:basedOn w:val="ListParagraph1"/>
    <w:pPr>
      <w:autoSpaceDE/>
      <w:autoSpaceDN/>
      <w:spacing w:before="60" w:after="60" w:line="240" w:lineRule="auto"/>
      <w:ind w:left="1985" w:right="720" w:hanging="360"/>
      <w:jc w:val="left"/>
    </w:pPr>
    <w:rPr>
      <w:rFonts w:ascii="Times New Roman" w:hAnsi="Times New Roman"/>
      <w:i/>
      <w:color w:val="000000"/>
      <w:lang w:val="en"/>
    </w:rPr>
  </w:style>
  <w:style w:type="paragraph" w:customStyle="1" w:styleId="TableandFigureVol1">
    <w:name w:val="Table and Figure Vol 1"/>
    <w:basedOn w:val="Caption"/>
    <w:pPr>
      <w:keepNext/>
      <w:pBdr>
        <w:bottom w:val="none" w:sz="0" w:space="0" w:color="auto"/>
      </w:pBdr>
      <w:tabs>
        <w:tab w:val="clear" w:pos="9639"/>
      </w:tabs>
      <w:spacing w:before="100" w:after="120"/>
      <w:ind w:left="709" w:right="720"/>
      <w:jc w:val="both"/>
    </w:pPr>
    <w:rPr>
      <w:rFonts w:ascii="Calibri" w:eastAsia="Times New Roman" w:hAnsi="Calibri"/>
      <w:sz w:val="20"/>
      <w:lang w:val="en-GB"/>
    </w:rPr>
  </w:style>
  <w:style w:type="paragraph" w:customStyle="1" w:styleId="GEFChar">
    <w:name w:val="GEF Char"/>
    <w:basedOn w:val="Normal"/>
    <w:pPr>
      <w:tabs>
        <w:tab w:val="left" w:pos="720"/>
      </w:tabs>
      <w:spacing w:before="180" w:line="250" w:lineRule="exact"/>
      <w:ind w:right="720"/>
      <w:jc w:val="both"/>
    </w:pPr>
    <w:rPr>
      <w:rFonts w:eastAsia="Times New Roman"/>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color w:val="008000"/>
      <w:sz w:val="27"/>
    </w:rPr>
  </w:style>
  <w:style w:type="character" w:customStyle="1" w:styleId="A6">
    <w:name w:val="A6"/>
    <w:rPr>
      <w:color w:val="000000"/>
      <w:sz w:val="20"/>
    </w:rPr>
  </w:style>
  <w:style w:type="character" w:customStyle="1" w:styleId="googqs-tidbit1">
    <w:name w:val="goog_qs-tidbit1"/>
  </w:style>
  <w:style w:type="paragraph" w:customStyle="1" w:styleId="bodytext0">
    <w:name w:val="bodytext"/>
    <w:basedOn w:val="Normal"/>
    <w:pPr>
      <w:spacing w:before="100" w:after="100"/>
      <w:ind w:right="720"/>
    </w:pPr>
    <w:rPr>
      <w:rFonts w:eastAsia="Times New Roman"/>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rFonts w:eastAsia="Times New Roman"/>
      <w:b/>
      <w:i/>
      <w:noProof/>
      <w:color w:val="auto"/>
      <w:sz w:val="28"/>
    </w:rPr>
  </w:style>
  <w:style w:type="paragraph" w:customStyle="1" w:styleId="BlankLine">
    <w:name w:val="BlankLine"/>
    <w:basedOn w:val="Normal"/>
    <w:next w:val="Normal"/>
    <w:pPr>
      <w:tabs>
        <w:tab w:val="left" w:pos="360"/>
      </w:tabs>
      <w:spacing w:before="100"/>
      <w:ind w:left="360" w:right="720" w:hanging="360"/>
    </w:pPr>
    <w:rPr>
      <w:rFonts w:eastAsia="Times New Roman"/>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left" w:pos="720"/>
      </w:tabs>
      <w:spacing w:before="100"/>
      <w:ind w:left="720" w:right="720" w:hanging="360"/>
      <w:jc w:val="both"/>
    </w:pPr>
    <w:rPr>
      <w:rFonts w:eastAsia="Times New Roman"/>
      <w:i/>
      <w:noProof/>
      <w:color w:val="auto"/>
      <w:sz w:val="20"/>
    </w:rPr>
  </w:style>
  <w:style w:type="paragraph" w:customStyle="1" w:styleId="FigureCaption">
    <w:name w:val="Figure Caption"/>
    <w:basedOn w:val="Normal"/>
    <w:pPr>
      <w:spacing w:before="120"/>
      <w:ind w:right="720"/>
    </w:pPr>
    <w:rPr>
      <w:rFonts w:eastAsia="Times New Roman"/>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ind w:right="720"/>
      <w:jc w:val="both"/>
    </w:pPr>
    <w:rPr>
      <w:rFonts w:eastAsia="Times New Roman"/>
      <w:noProof/>
      <w:color w:val="auto"/>
      <w:sz w:val="20"/>
    </w:rPr>
  </w:style>
  <w:style w:type="paragraph" w:customStyle="1" w:styleId="NewPara">
    <w:name w:val="NewPara"/>
    <w:basedOn w:val="Normal"/>
    <w:next w:val="Normal"/>
    <w:pPr>
      <w:tabs>
        <w:tab w:val="left" w:pos="709"/>
      </w:tabs>
      <w:spacing w:before="160" w:after="20"/>
      <w:ind w:right="720"/>
    </w:pPr>
    <w:rPr>
      <w:rFonts w:eastAsia="Times New Roman"/>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pBdr>
        <w:left w:val="single" w:sz="6" w:space="10" w:color="auto"/>
        <w:right w:val="single" w:sz="6" w:space="10" w:color="auto"/>
      </w:pBdr>
      <w:shd w:val="pct10" w:color="auto" w:fill="auto"/>
      <w:tabs>
        <w:tab w:val="left" w:pos="437"/>
        <w:tab w:val="left" w:pos="1278"/>
      </w:tabs>
      <w:spacing w:before="100" w:line="360" w:lineRule="auto"/>
      <w:ind w:left="437" w:right="181" w:hanging="256"/>
      <w:jc w:val="both"/>
    </w:pPr>
    <w:rPr>
      <w:rFonts w:eastAsia="Times New Roman"/>
      <w:i/>
      <w:noProof/>
      <w:color w:val="auto"/>
      <w:sz w:val="20"/>
    </w:rPr>
  </w:style>
  <w:style w:type="paragraph" w:customStyle="1" w:styleId="RandListLev1">
    <w:name w:val="Rand List Lev1"/>
    <w:basedOn w:val="Normal"/>
    <w:pPr>
      <w:tabs>
        <w:tab w:val="left" w:pos="754"/>
        <w:tab w:val="left" w:pos="1440"/>
      </w:tabs>
      <w:spacing w:before="100"/>
      <w:ind w:left="754" w:right="720" w:hanging="357"/>
    </w:pPr>
    <w:rPr>
      <w:rFonts w:eastAsia="Times New Roman"/>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pBdr>
        <w:left w:val="single" w:sz="6" w:space="8" w:color="auto"/>
        <w:right w:val="single" w:sz="6" w:space="10" w:color="auto"/>
      </w:pBdr>
      <w:shd w:val="pct10" w:color="auto" w:fill="auto"/>
      <w:tabs>
        <w:tab w:val="left" w:pos="567"/>
        <w:tab w:val="left" w:pos="720"/>
      </w:tabs>
      <w:spacing w:before="100" w:line="360" w:lineRule="auto"/>
      <w:ind w:left="567" w:right="181" w:hanging="425"/>
      <w:jc w:val="both"/>
    </w:pPr>
    <w:rPr>
      <w:rFonts w:eastAsia="Times New Roman"/>
      <w:i/>
      <w:noProof/>
      <w:color w:val="auto"/>
      <w:sz w:val="20"/>
    </w:rPr>
  </w:style>
  <w:style w:type="paragraph" w:customStyle="1" w:styleId="BoxSeqList3">
    <w:name w:val="Box SeqList 3"/>
    <w:basedOn w:val="BoxSeqList2"/>
    <w:pPr>
      <w:pBdr>
        <w:left w:val="single" w:sz="6" w:space="30" w:color="auto"/>
        <w:right w:val="single" w:sz="6" w:space="30" w:color="auto"/>
      </w:pBdr>
      <w:tabs>
        <w:tab w:val="left" w:pos="1009"/>
      </w:tabs>
      <w:ind w:left="1009" w:right="584" w:hanging="425"/>
    </w:pPr>
  </w:style>
  <w:style w:type="paragraph" w:customStyle="1" w:styleId="BoxSeqList2">
    <w:name w:val="Box SeqList 2"/>
    <w:basedOn w:val="BoxSeqList1"/>
    <w:pPr>
      <w:pBdr>
        <w:left w:val="single" w:sz="6" w:space="20" w:color="auto"/>
      </w:pBdr>
      <w:tabs>
        <w:tab w:val="clear" w:pos="567"/>
        <w:tab w:val="clear" w:pos="720"/>
      </w:tabs>
      <w:ind w:left="1080" w:hanging="360"/>
    </w:pPr>
  </w:style>
  <w:style w:type="paragraph" w:customStyle="1" w:styleId="TableEntry">
    <w:name w:val="TableEntry"/>
    <w:basedOn w:val="Normal"/>
    <w:pPr>
      <w:tabs>
        <w:tab w:val="left" w:pos="1440"/>
      </w:tabs>
      <w:spacing w:before="80"/>
      <w:ind w:right="720"/>
    </w:pPr>
    <w:rPr>
      <w:rFonts w:eastAsia="Times New Roman"/>
      <w:i/>
      <w:noProof/>
      <w:color w:val="auto"/>
      <w:sz w:val="18"/>
    </w:rPr>
  </w:style>
  <w:style w:type="paragraph" w:customStyle="1" w:styleId="BoxTitle">
    <w:name w:val="Box Title"/>
    <w:basedOn w:val="Normal"/>
    <w:next w:val="BoxText"/>
    <w:pPr>
      <w:pBdr>
        <w:top w:val="single" w:sz="6" w:space="7" w:color="auto"/>
        <w:left w:val="single" w:sz="6" w:space="7" w:color="auto"/>
        <w:right w:val="single" w:sz="6" w:space="7" w:color="auto"/>
      </w:pBdr>
      <w:shd w:val="pct10" w:color="auto" w:fill="auto"/>
      <w:tabs>
        <w:tab w:val="left" w:pos="2880"/>
      </w:tabs>
      <w:spacing w:before="120" w:line="360" w:lineRule="auto"/>
      <w:ind w:left="119" w:right="119"/>
      <w:jc w:val="center"/>
    </w:pPr>
    <w:rPr>
      <w:rFonts w:eastAsia="Times New Roman"/>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ind w:right="720"/>
    </w:pPr>
    <w:rPr>
      <w:rFonts w:eastAsia="Times New Roman"/>
      <w:b/>
      <w:i/>
      <w:caps/>
      <w:noProof/>
      <w:color w:val="auto"/>
      <w:sz w:val="28"/>
    </w:rPr>
  </w:style>
  <w:style w:type="paragraph" w:customStyle="1" w:styleId="DefinitionList">
    <w:name w:val="Definition List"/>
    <w:basedOn w:val="Normal"/>
    <w:next w:val="Normal"/>
    <w:pPr>
      <w:tabs>
        <w:tab w:val="left" w:pos="2835"/>
      </w:tabs>
      <w:spacing w:before="120"/>
      <w:ind w:left="2835" w:right="720" w:hanging="2835"/>
    </w:pPr>
    <w:rPr>
      <w:rFonts w:eastAsia="Times New Roman"/>
      <w:i/>
      <w:noProof/>
      <w:color w:val="auto"/>
      <w:sz w:val="18"/>
    </w:rPr>
  </w:style>
  <w:style w:type="paragraph" w:customStyle="1" w:styleId="DocTitle">
    <w:name w:val="DocTitle"/>
    <w:basedOn w:val="Normal"/>
    <w:next w:val="MeetingInfo"/>
    <w:pPr>
      <w:spacing w:before="120" w:after="480"/>
      <w:ind w:right="720"/>
      <w:jc w:val="center"/>
    </w:pPr>
    <w:rPr>
      <w:rFonts w:eastAsia="Times New Roman"/>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ind w:right="720"/>
    </w:pPr>
    <w:rPr>
      <w:rFonts w:eastAsia="Times New Roman"/>
      <w:i/>
      <w:noProof/>
      <w:color w:val="auto"/>
      <w:sz w:val="18"/>
    </w:rPr>
  </w:style>
  <w:style w:type="paragraph" w:customStyle="1" w:styleId="FigInfo-P">
    <w:name w:val="FigInfo-P"/>
    <w:basedOn w:val="Normal"/>
    <w:pPr>
      <w:spacing w:before="120"/>
      <w:ind w:right="720"/>
    </w:pPr>
    <w:rPr>
      <w:rFonts w:eastAsia="Times New Roman"/>
      <w:i/>
      <w:noProof/>
      <w:color w:val="auto"/>
      <w:sz w:val="18"/>
    </w:rPr>
  </w:style>
  <w:style w:type="paragraph" w:customStyle="1" w:styleId="FigureTitle">
    <w:name w:val="Figure Title"/>
    <w:basedOn w:val="Normal"/>
    <w:pPr>
      <w:keepNext/>
      <w:spacing w:before="120"/>
      <w:ind w:right="720"/>
    </w:pPr>
    <w:rPr>
      <w:rFonts w:eastAsia="Times New Roman"/>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ind w:right="720"/>
    </w:pPr>
    <w:rPr>
      <w:rFonts w:eastAsia="Times New Roman"/>
      <w:i/>
      <w:noProof/>
      <w:color w:val="auto"/>
      <w:sz w:val="18"/>
    </w:rPr>
  </w:style>
  <w:style w:type="paragraph" w:customStyle="1" w:styleId="MeetInfo">
    <w:name w:val="MeetInfo"/>
    <w:basedOn w:val="Normal"/>
    <w:next w:val="Normal"/>
    <w:pPr>
      <w:tabs>
        <w:tab w:val="left" w:pos="426"/>
      </w:tabs>
      <w:spacing w:before="60"/>
      <w:ind w:right="720"/>
    </w:pPr>
    <w:rPr>
      <w:rFonts w:eastAsia="Times New Roman"/>
      <w:i/>
      <w:noProof/>
      <w:color w:val="auto"/>
      <w:sz w:val="18"/>
    </w:rPr>
  </w:style>
  <w:style w:type="paragraph" w:customStyle="1" w:styleId="SpacePara">
    <w:name w:val="SpacePara"/>
    <w:basedOn w:val="Normal"/>
    <w:next w:val="DocTitle"/>
    <w:pPr>
      <w:spacing w:before="100" w:line="480" w:lineRule="auto"/>
      <w:ind w:right="720"/>
    </w:pPr>
    <w:rPr>
      <w:rFonts w:eastAsia="Times New Roman"/>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line="14" w:lineRule="exact"/>
      <w:ind w:right="720"/>
    </w:pPr>
    <w:rPr>
      <w:rFonts w:eastAsia="Times New Roman"/>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rFonts w:eastAsia="Times New Roman"/>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line="200" w:lineRule="exact"/>
      <w:ind w:right="720"/>
      <w:jc w:val="right"/>
    </w:pPr>
    <w:rPr>
      <w:rFonts w:eastAsia="Times New Roman"/>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rFonts w:eastAsia="Times New Roman"/>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ind w:right="720"/>
    </w:pPr>
    <w:rPr>
      <w:rFonts w:ascii="Courier New" w:eastAsia="Times New Roman" w:hAnsi="Courier New"/>
      <w:i/>
      <w:noProof/>
      <w:color w:val="auto"/>
      <w:sz w:val="18"/>
    </w:rPr>
  </w:style>
  <w:style w:type="paragraph" w:customStyle="1" w:styleId="Format2">
    <w:name w:val="Format2"/>
    <w:basedOn w:val="Normal"/>
    <w:pPr>
      <w:spacing w:before="60"/>
      <w:ind w:right="720"/>
    </w:pPr>
    <w:rPr>
      <w:rFonts w:ascii="Courier New" w:eastAsia="Times New Roman" w:hAnsi="Courier New"/>
      <w:i/>
      <w:noProof/>
      <w:color w:val="auto"/>
      <w:sz w:val="16"/>
    </w:rPr>
  </w:style>
  <w:style w:type="paragraph" w:customStyle="1" w:styleId="RightJust">
    <w:name w:val="RightJust"/>
    <w:basedOn w:val="Normal"/>
    <w:pPr>
      <w:spacing w:before="120"/>
      <w:ind w:right="720"/>
      <w:jc w:val="right"/>
    </w:pPr>
    <w:rPr>
      <w:rFonts w:eastAsia="Times New Roman"/>
      <w:i/>
      <w:noProof/>
      <w:color w:val="auto"/>
      <w:sz w:val="18"/>
    </w:rPr>
  </w:style>
  <w:style w:type="paragraph" w:customStyle="1" w:styleId="BlockQuote">
    <w:name w:val="BlockQuote"/>
    <w:basedOn w:val="Normal"/>
    <w:pPr>
      <w:spacing w:before="60"/>
      <w:ind w:left="284" w:right="284"/>
    </w:pPr>
    <w:rPr>
      <w:rFonts w:eastAsia="Times New Roman"/>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ind w:right="720"/>
      <w:jc w:val="both"/>
    </w:pPr>
    <w:rPr>
      <w:rFonts w:eastAsia="Times New Roman"/>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ind w:right="720"/>
      <w:jc w:val="both"/>
    </w:pPr>
    <w:rPr>
      <w:rFonts w:eastAsia="Times New Roman"/>
      <w:b/>
      <w:i/>
      <w:noProof/>
      <w:color w:val="auto"/>
      <w:sz w:val="20"/>
    </w:rPr>
  </w:style>
  <w:style w:type="paragraph" w:customStyle="1" w:styleId="BoxTblEntry">
    <w:name w:val="Box TblEntry"/>
    <w:basedOn w:val="Normal"/>
    <w:pPr>
      <w:shd w:val="pct10" w:color="auto" w:fill="auto"/>
      <w:spacing w:before="120"/>
      <w:ind w:right="720"/>
      <w:jc w:val="both"/>
    </w:pPr>
    <w:rPr>
      <w:rFonts w:eastAsia="Times New Roman"/>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left" w:pos="720"/>
      </w:tabs>
      <w:spacing w:before="100"/>
      <w:ind w:left="720" w:right="720" w:hanging="360"/>
    </w:pPr>
    <w:rPr>
      <w:rFonts w:eastAsia="Times New Roman"/>
      <w:i/>
      <w:noProof/>
      <w:color w:val="auto"/>
      <w:sz w:val="18"/>
    </w:rPr>
  </w:style>
  <w:style w:type="paragraph" w:customStyle="1" w:styleId="DashListLev2">
    <w:name w:val="Dash List Lev2"/>
    <w:basedOn w:val="DashListLev1"/>
    <w:pPr>
      <w:tabs>
        <w:tab w:val="clear" w:pos="720"/>
        <w:tab w:val="left" w:pos="1080"/>
        <w:tab w:val="left" w:pos="2892"/>
      </w:tabs>
      <w:ind w:left="981" w:hanging="357"/>
    </w:pPr>
  </w:style>
  <w:style w:type="paragraph" w:customStyle="1" w:styleId="DashListLev3">
    <w:name w:val="Dash List Lev3"/>
    <w:basedOn w:val="DashListLev2"/>
    <w:pPr>
      <w:ind w:left="1208"/>
    </w:pPr>
  </w:style>
  <w:style w:type="paragraph" w:customStyle="1" w:styleId="DashListLev4">
    <w:name w:val="Dash List Lev4"/>
    <w:basedOn w:val="DashListLev3"/>
    <w:pPr>
      <w:tabs>
        <w:tab w:val="clear" w:pos="1080"/>
        <w:tab w:val="left" w:pos="720"/>
      </w:tabs>
      <w:ind w:left="1434"/>
    </w:p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b/>
      <w:noProof/>
      <w:sz w:val="18"/>
    </w:rPr>
  </w:style>
  <w:style w:type="character" w:customStyle="1" w:styleId="Picture">
    <w:name w:val="Picture"/>
    <w:basedOn w:val="DefaultParagraphFont"/>
  </w:style>
  <w:style w:type="paragraph" w:customStyle="1" w:styleId="PlainList1">
    <w:name w:val="PlainList 1"/>
    <w:basedOn w:val="Normal"/>
    <w:pPr>
      <w:spacing w:before="100"/>
      <w:ind w:right="720"/>
    </w:pPr>
    <w:rPr>
      <w:rFonts w:eastAsia="Times New Roman"/>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ind w:left="709" w:right="709"/>
    </w:pPr>
    <w:rPr>
      <w:rFonts w:eastAsia="Times New Roman"/>
      <w:i/>
      <w:noProof/>
      <w:color w:val="auto"/>
      <w:sz w:val="18"/>
    </w:rPr>
  </w:style>
  <w:style w:type="paragraph" w:customStyle="1" w:styleId="CentredJust">
    <w:name w:val="CentredJust"/>
    <w:basedOn w:val="Normal"/>
    <w:pPr>
      <w:spacing w:before="120"/>
      <w:ind w:right="720"/>
      <w:jc w:val="center"/>
    </w:pPr>
    <w:rPr>
      <w:rFonts w:eastAsia="Times New Roman"/>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ind w:right="720"/>
      <w:jc w:val="center"/>
    </w:pPr>
    <w:rPr>
      <w:rFonts w:eastAsia="Times New Roman"/>
      <w:b/>
      <w:i/>
      <w:noProof/>
      <w:color w:val="auto"/>
      <w:sz w:val="18"/>
    </w:rPr>
  </w:style>
  <w:style w:type="paragraph" w:customStyle="1" w:styleId="Country">
    <w:name w:val="Country"/>
    <w:basedOn w:val="Normal"/>
    <w:next w:val="Role"/>
    <w:pPr>
      <w:keepNext/>
      <w:spacing w:before="120"/>
      <w:ind w:right="720"/>
    </w:pPr>
    <w:rPr>
      <w:rFonts w:eastAsia="Times New Roman"/>
      <w:b/>
      <w:i/>
      <w:caps/>
      <w:noProof/>
      <w:color w:val="auto"/>
      <w:sz w:val="18"/>
    </w:rPr>
  </w:style>
  <w:style w:type="paragraph" w:customStyle="1" w:styleId="Role">
    <w:name w:val="Role"/>
    <w:basedOn w:val="Normal"/>
    <w:next w:val="Name"/>
    <w:pPr>
      <w:keepNext/>
      <w:spacing w:before="120"/>
      <w:ind w:right="720"/>
    </w:pPr>
    <w:rPr>
      <w:rFonts w:eastAsia="Times New Roman"/>
      <w:i/>
      <w:noProof/>
      <w:color w:val="auto"/>
      <w:sz w:val="18"/>
    </w:rPr>
  </w:style>
  <w:style w:type="paragraph" w:customStyle="1" w:styleId="Name">
    <w:name w:val="Name"/>
    <w:basedOn w:val="Normal"/>
    <w:pPr>
      <w:keepLines/>
      <w:spacing w:before="120"/>
      <w:ind w:left="284" w:right="720"/>
    </w:pPr>
    <w:rPr>
      <w:rFonts w:eastAsia="Times New Roman"/>
      <w:i/>
      <w:noProof/>
      <w:color w:val="auto"/>
      <w:sz w:val="18"/>
    </w:rPr>
  </w:style>
  <w:style w:type="paragraph" w:customStyle="1" w:styleId="ColumnBreak">
    <w:name w:val="ColumnBreak"/>
    <w:basedOn w:val="Normal"/>
    <w:next w:val="Normal"/>
    <w:pPr>
      <w:spacing w:before="100" w:line="10" w:lineRule="exact"/>
      <w:ind w:right="720"/>
    </w:pPr>
    <w:rPr>
      <w:rFonts w:ascii="Courier New" w:eastAsia="Times New Roman" w:hAnsi="Courier New"/>
      <w:i/>
      <w:noProof/>
      <w:color w:val="auto"/>
      <w:sz w:val="18"/>
    </w:rPr>
  </w:style>
  <w:style w:type="paragraph" w:customStyle="1" w:styleId="ContBrk">
    <w:name w:val="ContBrk"/>
    <w:basedOn w:val="Normal"/>
    <w:next w:val="Normal"/>
    <w:pPr>
      <w:spacing w:before="120" w:line="360" w:lineRule="auto"/>
      <w:ind w:right="720"/>
    </w:pPr>
    <w:rPr>
      <w:rFonts w:ascii="Courier New" w:eastAsia="Times New Roman" w:hAnsi="Courier New"/>
      <w:i/>
      <w:noProof/>
      <w:color w:val="auto"/>
      <w:sz w:val="18"/>
    </w:rPr>
  </w:style>
  <w:style w:type="paragraph" w:customStyle="1" w:styleId="SectionBreak">
    <w:name w:val="SectionBreak"/>
    <w:basedOn w:val="Normal"/>
    <w:next w:val="Heading1"/>
    <w:pPr>
      <w:spacing w:before="100" w:line="10" w:lineRule="exact"/>
      <w:ind w:right="720"/>
    </w:pPr>
    <w:rPr>
      <w:rFonts w:ascii="Courier New" w:eastAsia="Times New Roman"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ind w:left="709" w:right="720" w:hanging="709"/>
      <w:jc w:val="center"/>
    </w:pPr>
    <w:rPr>
      <w:rFonts w:ascii="Times New Roman Bold" w:eastAsia="Times New Roman" w:hAnsi="Times New Roman Bold"/>
      <w:b/>
      <w:i/>
      <w:caps/>
      <w:noProof/>
      <w:color w:val="auto"/>
      <w:sz w:val="24"/>
    </w:rPr>
  </w:style>
  <w:style w:type="paragraph" w:customStyle="1" w:styleId="SeqListLev1">
    <w:name w:val="Seq List Lev1"/>
    <w:basedOn w:val="Normal"/>
    <w:pPr>
      <w:tabs>
        <w:tab w:val="left" w:pos="1080"/>
      </w:tabs>
      <w:spacing w:before="100"/>
      <w:ind w:left="1080" w:right="720" w:hanging="360"/>
    </w:pPr>
    <w:rPr>
      <w:rFonts w:eastAsia="Times New Roman"/>
      <w:i/>
      <w:noProof/>
      <w:color w:val="auto"/>
      <w:sz w:val="18"/>
    </w:rPr>
  </w:style>
  <w:style w:type="paragraph" w:customStyle="1" w:styleId="SeqListLev2">
    <w:name w:val="Seq List Lev2"/>
    <w:basedOn w:val="SeqListLev1"/>
    <w:pPr>
      <w:tabs>
        <w:tab w:val="clear" w:pos="1080"/>
        <w:tab w:val="left" w:pos="1800"/>
      </w:tabs>
      <w:ind w:left="1800" w:hanging="180"/>
    </w:pPr>
  </w:style>
  <w:style w:type="paragraph" w:customStyle="1" w:styleId="SeqListLev3">
    <w:name w:val="Seq List Lev3"/>
    <w:basedOn w:val="SeqListLev2"/>
    <w:pPr>
      <w:tabs>
        <w:tab w:val="clear" w:pos="1800"/>
        <w:tab w:val="left" w:pos="2520"/>
      </w:tabs>
      <w:ind w:left="2520" w:hanging="360"/>
    </w:pPr>
  </w:style>
  <w:style w:type="paragraph" w:customStyle="1" w:styleId="SeqListLev4">
    <w:name w:val="Seq List Lev4"/>
    <w:basedOn w:val="SeqListLev3"/>
    <w:pPr>
      <w:tabs>
        <w:tab w:val="clear" w:pos="2520"/>
        <w:tab w:val="left" w:pos="567"/>
        <w:tab w:val="left" w:pos="1440"/>
        <w:tab w:val="left" w:pos="2126"/>
      </w:tabs>
      <w:ind w:left="2126" w:hanging="425"/>
    </w:pPr>
  </w:style>
  <w:style w:type="paragraph" w:customStyle="1" w:styleId="CarCar">
    <w:name w:val="Car Car"/>
    <w:basedOn w:val="Normal"/>
    <w:pPr>
      <w:tabs>
        <w:tab w:val="left" w:pos="805"/>
        <w:tab w:val="left" w:pos="2160"/>
      </w:tabs>
      <w:spacing w:before="100" w:after="160" w:line="240" w:lineRule="exact"/>
      <w:ind w:right="720"/>
    </w:pPr>
    <w:rPr>
      <w:rFonts w:eastAsia="Times New Roman"/>
      <w:i/>
      <w:color w:val="auto"/>
      <w:sz w:val="20"/>
      <w:lang w:val="en-US"/>
    </w:rPr>
  </w:style>
  <w:style w:type="paragraph" w:customStyle="1" w:styleId="ListParagraph11">
    <w:name w:val="List Paragraph11"/>
    <w:basedOn w:val="Normal"/>
    <w:pPr>
      <w:spacing w:before="100" w:after="100"/>
      <w:ind w:left="720" w:right="720"/>
    </w:pPr>
    <w:rPr>
      <w:rFonts w:eastAsia="Times New Roman"/>
      <w:i/>
      <w:color w:val="auto"/>
      <w:sz w:val="24"/>
    </w:rPr>
  </w:style>
  <w:style w:type="paragraph" w:customStyle="1" w:styleId="4">
    <w:name w:val="(4"/>
    <w:basedOn w:val="Normal"/>
    <w:pPr>
      <w:tabs>
        <w:tab w:val="left" w:pos="2160"/>
      </w:tabs>
      <w:spacing w:before="100" w:after="160" w:line="240" w:lineRule="exact"/>
      <w:ind w:right="720"/>
    </w:pPr>
    <w:rPr>
      <w:rFonts w:eastAsia="Times New Roman"/>
      <w:i/>
      <w:color w:val="auto"/>
      <w:sz w:val="20"/>
      <w:lang w:val="en-US"/>
    </w:rPr>
  </w:style>
  <w:style w:type="paragraph" w:customStyle="1" w:styleId="IPPBullet2">
    <w:name w:val="IPP Bullet2"/>
    <w:basedOn w:val="IPPNormal"/>
    <w:next w:val="IPPBullet1"/>
    <w:pPr>
      <w:tabs>
        <w:tab w:val="clear" w:pos="720"/>
        <w:tab w:val="left" w:pos="567"/>
      </w:tabs>
      <w:spacing w:after="60"/>
      <w:ind w:left="720" w:hanging="360"/>
    </w:pPr>
  </w:style>
  <w:style w:type="paragraph" w:customStyle="1" w:styleId="IPPNormal">
    <w:name w:val="IPP Normal"/>
    <w:basedOn w:val="Normal"/>
    <w:pPr>
      <w:tabs>
        <w:tab w:val="left" w:pos="720"/>
      </w:tabs>
      <w:spacing w:before="100" w:after="180"/>
      <w:ind w:right="720"/>
      <w:jc w:val="both"/>
    </w:pPr>
    <w:rPr>
      <w:rFonts w:eastAsia="Times New Roman"/>
      <w:i/>
      <w:color w:val="auto"/>
      <w:sz w:val="18"/>
    </w:rPr>
  </w:style>
  <w:style w:type="paragraph" w:customStyle="1" w:styleId="IPPBullet1">
    <w:name w:val="IPP Bullet1"/>
    <w:basedOn w:val="Normal"/>
    <w:pPr>
      <w:tabs>
        <w:tab w:val="left" w:pos="720"/>
      </w:tabs>
      <w:spacing w:before="100" w:after="60"/>
      <w:ind w:left="720" w:right="720" w:hanging="360"/>
      <w:jc w:val="both"/>
    </w:pPr>
    <w:rPr>
      <w:rFonts w:eastAsia="Times New Roman"/>
      <w:i/>
      <w:color w:val="auto"/>
      <w:sz w:val="18"/>
    </w:rPr>
  </w:style>
  <w:style w:type="paragraph" w:customStyle="1" w:styleId="IPPTitle16ptIndent">
    <w:name w:val="IPP Title16pt Indent"/>
    <w:basedOn w:val="Normal"/>
    <w:pPr>
      <w:spacing w:before="100" w:after="720"/>
      <w:ind w:left="1701" w:right="1701"/>
      <w:jc w:val="center"/>
    </w:pPr>
    <w:rPr>
      <w:rFonts w:ascii="Arial" w:eastAsia="Times New Roman" w:hAnsi="Arial"/>
      <w:b/>
      <w:i/>
      <w:color w:val="auto"/>
      <w:sz w:val="32"/>
    </w:rPr>
  </w:style>
  <w:style w:type="paragraph" w:customStyle="1" w:styleId="IPPHeadSection">
    <w:name w:val="IPP HeadSection"/>
    <w:basedOn w:val="Normal"/>
    <w:next w:val="Normal"/>
    <w:pPr>
      <w:keepNext/>
      <w:tabs>
        <w:tab w:val="left" w:pos="720"/>
        <w:tab w:val="left" w:pos="851"/>
      </w:tabs>
      <w:spacing w:before="360" w:after="120"/>
      <w:ind w:left="851" w:right="720" w:hanging="851"/>
      <w:jc w:val="both"/>
    </w:pPr>
    <w:rPr>
      <w:rFonts w:eastAsia="Times New Roman"/>
      <w:b/>
      <w:i/>
      <w:caps/>
      <w:color w:val="auto"/>
      <w:sz w:val="24"/>
    </w:rPr>
  </w:style>
  <w:style w:type="paragraph" w:customStyle="1" w:styleId="IPPHeading1">
    <w:name w:val="IPP Heading1"/>
    <w:basedOn w:val="IPPNormal"/>
    <w:next w:val="IPPNormal"/>
    <w:pPr>
      <w:keepNext/>
      <w:tabs>
        <w:tab w:val="left" w:pos="567"/>
      </w:tabs>
      <w:spacing w:before="240" w:after="120"/>
      <w:ind w:left="567" w:hanging="567"/>
      <w:jc w:val="left"/>
    </w:pPr>
    <w:rPr>
      <w:b/>
      <w:sz w:val="24"/>
    </w:rPr>
  </w:style>
  <w:style w:type="paragraph" w:customStyle="1" w:styleId="IPPSubhead">
    <w:name w:val="IPP Subhead"/>
    <w:basedOn w:val="Normal"/>
    <w:pPr>
      <w:keepNext/>
      <w:spacing w:before="100"/>
      <w:ind w:left="567" w:right="720" w:hanging="567"/>
    </w:pPr>
    <w:rPr>
      <w:rFonts w:eastAsia="Times New Roman"/>
      <w:b/>
      <w:i/>
      <w:color w:val="auto"/>
      <w:sz w:val="18"/>
    </w:rPr>
  </w:style>
  <w:style w:type="paragraph" w:customStyle="1" w:styleId="IPPBullet1Last">
    <w:name w:val="IPP Bullet1Last"/>
    <w:basedOn w:val="IPPNormal"/>
    <w:next w:val="IPPBullet1"/>
    <w:pPr>
      <w:tabs>
        <w:tab w:val="clear" w:pos="720"/>
        <w:tab w:val="left" w:pos="360"/>
      </w:tabs>
      <w:ind w:left="360" w:hanging="360"/>
    </w:pPr>
    <w:rPr>
      <w:lang w:val="en-US"/>
    </w:rPr>
  </w:style>
  <w:style w:type="paragraph" w:customStyle="1" w:styleId="IPPTitle16pt">
    <w:name w:val="IPP Title16pt"/>
    <w:basedOn w:val="Normal"/>
    <w:pPr>
      <w:spacing w:before="100" w:after="720"/>
      <w:ind w:left="1701" w:right="1701"/>
      <w:jc w:val="center"/>
    </w:pPr>
    <w:rPr>
      <w:rFonts w:ascii="Arial" w:eastAsia="Times New Roman" w:hAnsi="Arial"/>
      <w:b/>
      <w:i/>
      <w:color w:val="auto"/>
      <w:sz w:val="32"/>
    </w:rPr>
  </w:style>
  <w:style w:type="paragraph" w:customStyle="1" w:styleId="IPPTitle18pt">
    <w:name w:val="IPP Title18pt"/>
    <w:basedOn w:val="Normal"/>
    <w:pPr>
      <w:spacing w:before="100" w:after="360"/>
      <w:ind w:right="720"/>
      <w:jc w:val="center"/>
    </w:pPr>
    <w:rPr>
      <w:rFonts w:ascii="Arial" w:eastAsia="Times New Roman" w:hAnsi="Arial"/>
      <w:b/>
      <w:i/>
      <w:color w:val="auto"/>
      <w:sz w:val="36"/>
    </w:rPr>
  </w:style>
  <w:style w:type="paragraph" w:customStyle="1" w:styleId="IPPAnnexHead">
    <w:name w:val="IPP AnnexHead"/>
    <w:basedOn w:val="IPPNormal"/>
    <w:next w:val="IPPNormal"/>
    <w:pPr>
      <w:keepNext/>
      <w:tabs>
        <w:tab w:val="left" w:pos="567"/>
      </w:tabs>
      <w:spacing w:before="120"/>
      <w:jc w:val="left"/>
    </w:pPr>
    <w:rPr>
      <w:b/>
      <w:sz w:val="24"/>
    </w:rPr>
  </w:style>
  <w:style w:type="paragraph" w:customStyle="1" w:styleId="IPPNormalCloseSpace">
    <w:name w:val="IPP NormalCloseSpace"/>
    <w:basedOn w:val="Normal"/>
    <w:pPr>
      <w:keepNext/>
      <w:tabs>
        <w:tab w:val="left" w:pos="720"/>
      </w:tabs>
      <w:spacing w:before="100" w:after="60"/>
      <w:ind w:right="720"/>
      <w:jc w:val="both"/>
    </w:pPr>
    <w:rPr>
      <w:rFonts w:eastAsia="Times New Roman"/>
      <w:i/>
      <w:color w:val="auto"/>
      <w:sz w:val="18"/>
    </w:rPr>
  </w:style>
  <w:style w:type="paragraph" w:customStyle="1" w:styleId="IPPHeading2">
    <w:name w:val="IPP Heading2"/>
    <w:basedOn w:val="IPPNormal"/>
    <w:next w:val="IPPNormal"/>
    <w:pPr>
      <w:keepNext/>
      <w:tabs>
        <w:tab w:val="left" w:pos="567"/>
      </w:tabs>
      <w:spacing w:before="120" w:after="120"/>
      <w:ind w:left="567" w:hanging="567"/>
      <w:jc w:val="left"/>
    </w:pPr>
    <w:rPr>
      <w:b/>
      <w:sz w:val="24"/>
    </w:rPr>
  </w:style>
  <w:style w:type="paragraph" w:customStyle="1" w:styleId="IPPReferences">
    <w:name w:val="IPP References"/>
    <w:basedOn w:val="IPPNormal"/>
    <w:pPr>
      <w:spacing w:after="60"/>
      <w:ind w:left="567" w:hanging="567"/>
    </w:pPr>
  </w:style>
  <w:style w:type="paragraph" w:customStyle="1" w:styleId="IPPArial">
    <w:name w:val="IPP Arial"/>
    <w:basedOn w:val="IPPNormal"/>
    <w:pPr>
      <w:spacing w:after="0"/>
    </w:pPr>
    <w:rPr>
      <w:rFonts w:ascii="Arial" w:hAnsi="Arial"/>
    </w:rPr>
  </w:style>
  <w:style w:type="paragraph" w:customStyle="1" w:styleId="IPPArialTable">
    <w:name w:val="IPP Arial Table"/>
    <w:basedOn w:val="IPPArial"/>
    <w:pPr>
      <w:spacing w:before="60" w:after="60"/>
      <w:jc w:val="left"/>
    </w:pPr>
  </w:style>
  <w:style w:type="paragraph" w:customStyle="1" w:styleId="IPPSubheadSpace">
    <w:name w:val="IPP Subhead Space"/>
    <w:basedOn w:val="IPPSubhead"/>
    <w:pPr>
      <w:tabs>
        <w:tab w:val="left" w:pos="567"/>
      </w:tabs>
      <w:spacing w:before="60" w:after="60"/>
    </w:pPr>
  </w:style>
  <w:style w:type="paragraph" w:customStyle="1" w:styleId="IPPNumberedList">
    <w:name w:val="IPP NumberedList"/>
    <w:basedOn w:val="IPPBullet1"/>
    <w:pPr>
      <w:tabs>
        <w:tab w:val="clear" w:pos="720"/>
      </w:tabs>
    </w:pPr>
  </w:style>
  <w:style w:type="paragraph" w:customStyle="1" w:styleId="IPPNumberedListLast">
    <w:name w:val="IPP NumberedListLast"/>
    <w:basedOn w:val="IPPNumberedList"/>
    <w:pPr>
      <w:spacing w:after="180"/>
    </w:pPr>
  </w:style>
  <w:style w:type="paragraph" w:customStyle="1" w:styleId="IPPHdg1Num">
    <w:name w:val="IPP Hdg1Num"/>
    <w:basedOn w:val="IPPNormal"/>
    <w:next w:val="IPPNormal"/>
    <w:pPr>
      <w:keepNext/>
      <w:tabs>
        <w:tab w:val="left" w:pos="0"/>
        <w:tab w:val="left" w:pos="567"/>
      </w:tabs>
      <w:spacing w:before="240" w:after="120"/>
      <w:ind w:hanging="482"/>
    </w:pPr>
    <w:rPr>
      <w:b/>
      <w:sz w:val="24"/>
    </w:rPr>
  </w:style>
  <w:style w:type="paragraph" w:customStyle="1" w:styleId="IPPNumberedList0">
    <w:name w:val="IPPNumberedList"/>
    <w:basedOn w:val="IPPBullet1"/>
  </w:style>
  <w:style w:type="paragraph" w:customStyle="1" w:styleId="IPPLetterList">
    <w:name w:val="IPP LetterList"/>
    <w:basedOn w:val="IPPBullet2"/>
    <w:pPr>
      <w:tabs>
        <w:tab w:val="left" w:pos="120"/>
      </w:tabs>
      <w:ind w:left="120" w:hanging="180"/>
      <w:jc w:val="left"/>
    </w:pPr>
  </w:style>
  <w:style w:type="paragraph" w:customStyle="1" w:styleId="IPPSubheadSpace3">
    <w:name w:val="IPP Subhead Space3"/>
    <w:basedOn w:val="IPPSubhead"/>
    <w:pPr>
      <w:spacing w:before="60" w:after="60"/>
    </w:pPr>
  </w:style>
  <w:style w:type="paragraph" w:customStyle="1" w:styleId="font1">
    <w:name w:val="font1"/>
    <w:basedOn w:val="Normal"/>
    <w:pPr>
      <w:spacing w:before="100" w:after="100"/>
      <w:ind w:right="720"/>
    </w:pPr>
    <w:rPr>
      <w:rFonts w:ascii="Arial" w:eastAsia="Times New Roman"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eastAsia="Times New Roman" w:hAnsi="Courier"/>
      <w:spacing w:val="-3"/>
      <w:sz w:val="24"/>
      <w:lang w:val="en-GB" w:eastAsia="en-GB"/>
    </w:rPr>
  </w:style>
  <w:style w:type="paragraph" w:customStyle="1" w:styleId="IPPQuote">
    <w:name w:val="IPP Quote"/>
    <w:basedOn w:val="IPPNormal"/>
    <w:pPr>
      <w:ind w:left="851" w:right="851"/>
    </w:pPr>
    <w:rPr>
      <w:sz w:val="19"/>
    </w:rPr>
  </w:style>
  <w:style w:type="character" w:customStyle="1" w:styleId="NewParaChar">
    <w:name w:val="NewPara Char"/>
    <w:rPr>
      <w:rFonts w:ascii="Times New Roman" w:hAnsi="Times New Roman"/>
      <w:noProof/>
      <w:sz w:val="20"/>
    </w:rPr>
  </w:style>
  <w:style w:type="paragraph" w:customStyle="1" w:styleId="IPPHeading1Appendix">
    <w:name w:val="IPP Heading1 Appendix"/>
    <w:basedOn w:val="IPPHeading1"/>
    <w:pPr>
      <w:ind w:left="720" w:hanging="360"/>
    </w:pPr>
  </w:style>
  <w:style w:type="paragraph" w:customStyle="1" w:styleId="IPPHeadSectionAppendix">
    <w:name w:val="IPP HeadSection Appendix"/>
    <w:basedOn w:val="IPPHeadSection"/>
    <w:pPr>
      <w:ind w:left="720" w:hanging="360"/>
    </w:pPr>
  </w:style>
  <w:style w:type="paragraph" w:customStyle="1" w:styleId="IPPHeading2Appendix">
    <w:name w:val="IPP Heading2 Appendix"/>
    <w:basedOn w:val="IPPHeading2"/>
    <w:pPr>
      <w:tabs>
        <w:tab w:val="left" w:pos="851"/>
        <w:tab w:val="left" w:pos="1134"/>
      </w:tabs>
      <w:ind w:left="720" w:hanging="360"/>
    </w:pPr>
  </w:style>
  <w:style w:type="paragraph" w:customStyle="1" w:styleId="IPPAnnexHeadAppendix">
    <w:name w:val="IPP AnnexHead Appendix"/>
    <w:basedOn w:val="IPPAnnexHead"/>
    <w:pPr>
      <w:tabs>
        <w:tab w:val="clear" w:pos="567"/>
        <w:tab w:val="clear" w:pos="720"/>
        <w:tab w:val="left" w:pos="1080"/>
        <w:tab w:val="left" w:pos="1440"/>
      </w:tabs>
      <w:ind w:left="1440" w:hanging="720"/>
    </w:pPr>
  </w:style>
  <w:style w:type="paragraph" w:customStyle="1" w:styleId="IPPIndent">
    <w:name w:val="IPP Indent"/>
    <w:basedOn w:val="Normal"/>
    <w:pPr>
      <w:tabs>
        <w:tab w:val="left" w:pos="2835"/>
      </w:tabs>
      <w:spacing w:before="100" w:after="180"/>
      <w:ind w:left="567" w:right="720"/>
      <w:jc w:val="both"/>
    </w:pPr>
    <w:rPr>
      <w:rFonts w:eastAsia="Times New Roman"/>
      <w:i/>
      <w:color w:val="auto"/>
      <w:sz w:val="18"/>
    </w:rPr>
  </w:style>
  <w:style w:type="paragraph" w:customStyle="1" w:styleId="FooterLandscape">
    <w:name w:val="FooterLandscape"/>
    <w:basedOn w:val="Footer"/>
    <w:pPr>
      <w:tabs>
        <w:tab w:val="clear" w:pos="4320"/>
        <w:tab w:val="clear" w:pos="8640"/>
        <w:tab w:val="right" w:pos="13892"/>
      </w:tabs>
      <w:spacing w:before="100"/>
      <w:ind w:right="720"/>
    </w:pPr>
    <w:rPr>
      <w:rFonts w:ascii="Arial" w:eastAsia="Times New Roman" w:hAnsi="Arial"/>
      <w:i/>
      <w:color w:val="auto"/>
      <w:sz w:val="18"/>
    </w:rPr>
  </w:style>
  <w:style w:type="paragraph" w:customStyle="1" w:styleId="IPPNumberClose">
    <w:name w:val="IPP NumberClose"/>
    <w:basedOn w:val="IPPNumber"/>
    <w:pPr>
      <w:keepNext/>
      <w:spacing w:after="60"/>
    </w:pPr>
  </w:style>
  <w:style w:type="paragraph" w:customStyle="1" w:styleId="IPPNumber">
    <w:name w:val="IPP Number"/>
    <w:basedOn w:val="IPPNormal"/>
    <w:pPr>
      <w:tabs>
        <w:tab w:val="left" w:pos="2892"/>
      </w:tabs>
      <w:ind w:left="2892" w:hanging="579"/>
    </w:pPr>
  </w:style>
  <w:style w:type="paragraph" w:customStyle="1" w:styleId="IPPNumberedListLast0">
    <w:name w:val="IPPNumberedListLast"/>
    <w:basedOn w:val="IPPNumberedList0"/>
    <w:pPr>
      <w:tabs>
        <w:tab w:val="clear" w:pos="720"/>
        <w:tab w:val="left" w:pos="680"/>
        <w:tab w:val="left" w:pos="765"/>
      </w:tabs>
      <w:spacing w:after="180"/>
      <w:ind w:left="680" w:hanging="680"/>
    </w:pPr>
  </w:style>
  <w:style w:type="paragraph" w:customStyle="1" w:styleId="Comments">
    <w:name w:val="Comments"/>
    <w:basedOn w:val="Normal"/>
    <w:pPr>
      <w:spacing w:before="100"/>
      <w:ind w:left="284" w:right="720" w:hanging="284"/>
      <w:jc w:val="both"/>
    </w:pPr>
    <w:rPr>
      <w:rFonts w:eastAsia="Times New Roman"/>
      <w:i/>
      <w:color w:val="auto"/>
      <w:sz w:val="18"/>
    </w:rPr>
  </w:style>
  <w:style w:type="paragraph" w:customStyle="1" w:styleId="Indent1">
    <w:name w:val="Indent 1"/>
    <w:basedOn w:val="Normal"/>
    <w:pPr>
      <w:spacing w:before="100" w:after="60"/>
      <w:ind w:left="567" w:right="720"/>
    </w:pPr>
    <w:rPr>
      <w:rFonts w:ascii="Georgia" w:eastAsia="Times New Roman" w:hAnsi="Georgia"/>
      <w:i/>
      <w:color w:val="auto"/>
      <w:sz w:val="18"/>
      <w:lang w:val="en-AU"/>
    </w:rPr>
  </w:style>
  <w:style w:type="paragraph" w:customStyle="1" w:styleId="Subhead">
    <w:name w:val="Subhead"/>
    <w:basedOn w:val="Normal"/>
    <w:pPr>
      <w:keepNext/>
      <w:spacing w:before="120" w:after="60"/>
      <w:ind w:right="720"/>
    </w:pPr>
    <w:rPr>
      <w:rFonts w:ascii="Georgia" w:eastAsia="Times New Roman" w:hAnsi="Georgia"/>
      <w:b/>
      <w:i/>
      <w:color w:val="auto"/>
      <w:sz w:val="19"/>
      <w:lang w:val="en-AU"/>
    </w:rPr>
  </w:style>
  <w:style w:type="paragraph" w:customStyle="1" w:styleId="IPPNumberSubhead">
    <w:name w:val="IPP NumberSubhead"/>
    <w:basedOn w:val="IPPNumber"/>
    <w:pPr>
      <w:keepNext/>
      <w:tabs>
        <w:tab w:val="left" w:pos="567"/>
      </w:tabs>
      <w:spacing w:after="60"/>
      <w:ind w:left="720" w:firstLine="0"/>
    </w:pPr>
    <w:rPr>
      <w:b/>
    </w:rPr>
  </w:style>
  <w:style w:type="paragraph" w:customStyle="1" w:styleId="IPPSubheadNumber">
    <w:name w:val="IPP SubheadNumber"/>
    <w:basedOn w:val="IPPSubhead"/>
    <w:pPr>
      <w:tabs>
        <w:tab w:val="left" w:pos="720"/>
        <w:tab w:val="left" w:pos="3240"/>
      </w:tabs>
      <w:ind w:left="720" w:hanging="720"/>
    </w:pPr>
  </w:style>
  <w:style w:type="paragraph" w:customStyle="1" w:styleId="IPPLetterListIndent">
    <w:name w:val="IPP LetterList Indent"/>
    <w:basedOn w:val="IPPLetterList"/>
    <w:pPr>
      <w:tabs>
        <w:tab w:val="clear" w:pos="120"/>
        <w:tab w:val="clear" w:pos="567"/>
        <w:tab w:val="left" w:pos="720"/>
        <w:tab w:val="left" w:pos="990"/>
      </w:tabs>
      <w:ind w:left="720" w:hanging="360"/>
    </w:pPr>
  </w:style>
  <w:style w:type="paragraph" w:customStyle="1" w:styleId="IPPSubheadSpaceAfter">
    <w:name w:val="IPP Subhead SpaceAfter"/>
    <w:basedOn w:val="IPPSubhead"/>
    <w:pPr>
      <w:spacing w:after="60"/>
    </w:pPr>
  </w:style>
  <w:style w:type="paragraph" w:customStyle="1" w:styleId="IPPArialFootnote">
    <w:name w:val="IPP Arial Footnote"/>
    <w:basedOn w:val="IPPArialTable"/>
    <w:pPr>
      <w:tabs>
        <w:tab w:val="left" w:pos="567"/>
      </w:tabs>
      <w:ind w:left="567" w:hanging="567"/>
    </w:pPr>
    <w:rPr>
      <w:sz w:val="16"/>
    </w:rPr>
  </w:style>
  <w:style w:type="paragraph" w:customStyle="1" w:styleId="IPPContentsHead">
    <w:name w:val="IPP ContentsHead"/>
    <w:basedOn w:val="IPPSubhead"/>
    <w:next w:val="IPPNormal"/>
    <w:pPr>
      <w:spacing w:after="240"/>
    </w:pPr>
    <w:rPr>
      <w:sz w:val="24"/>
    </w:rPr>
  </w:style>
  <w:style w:type="paragraph" w:customStyle="1" w:styleId="IPPNumberedListArial">
    <w:name w:val="IPP NumberedListArial"/>
    <w:basedOn w:val="IPPNumberedList"/>
    <w:pPr>
      <w:tabs>
        <w:tab w:val="left" w:pos="360"/>
        <w:tab w:val="left" w:pos="567"/>
      </w:tabs>
      <w:ind w:left="567" w:hanging="567"/>
    </w:pPr>
    <w:rPr>
      <w:rFonts w:ascii="Arial" w:hAnsi="Arial"/>
    </w:rPr>
  </w:style>
  <w:style w:type="paragraph" w:customStyle="1" w:styleId="IPPIndentClose">
    <w:name w:val="IPP Indent Close"/>
    <w:basedOn w:val="IPPNormal"/>
    <w:pPr>
      <w:tabs>
        <w:tab w:val="left" w:pos="2835"/>
      </w:tabs>
      <w:spacing w:after="60"/>
      <w:ind w:left="567"/>
    </w:pPr>
  </w:style>
  <w:style w:type="paragraph" w:customStyle="1" w:styleId="IPPHdg2Num">
    <w:name w:val="IPP Hdg2Num"/>
    <w:basedOn w:val="IPPNormal"/>
    <w:next w:val="IPPNormal"/>
    <w:pPr>
      <w:keepNext/>
      <w:tabs>
        <w:tab w:val="left" w:pos="567"/>
        <w:tab w:val="left" w:pos="680"/>
      </w:tabs>
      <w:spacing w:before="120" w:after="120"/>
      <w:ind w:left="680" w:hanging="680"/>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i/>
      <w:color w:val="auto"/>
      <w:sz w:val="20"/>
    </w:rPr>
  </w:style>
  <w:style w:type="character" w:customStyle="1" w:styleId="txtboldonly">
    <w:name w:val="txtboldonly"/>
    <w:basedOn w:val="DefaultParagraphFont"/>
  </w:style>
  <w:style w:type="character" w:customStyle="1" w:styleId="pagination">
    <w:name w:val="pagination"/>
    <w:basedOn w:val="DefaultParagraphFont"/>
  </w:style>
  <w:style w:type="character" w:customStyle="1" w:styleId="CarCar5">
    <w:name w:val="Car Car5"/>
    <w:rPr>
      <w:noProof w:val="0"/>
      <w:sz w:val="24"/>
      <w:u w:val="single"/>
      <w:lang w:val="en-US"/>
    </w:rPr>
  </w:style>
  <w:style w:type="character" w:customStyle="1" w:styleId="CarCar4">
    <w:name w:val="Car Car4"/>
    <w:rPr>
      <w:b/>
      <w:noProof w:val="0"/>
      <w:kern w:val="32"/>
      <w:sz w:val="24"/>
      <w:lang w:val="en-US"/>
    </w:rPr>
  </w:style>
  <w:style w:type="character" w:customStyle="1" w:styleId="CarCar3">
    <w:name w:val="Car Car3"/>
    <w:rPr>
      <w:b/>
      <w:i/>
      <w:noProof w:val="0"/>
      <w:kern w:val="32"/>
      <w:sz w:val="26"/>
      <w:lang w:val="it-IT"/>
    </w:rPr>
  </w:style>
  <w:style w:type="paragraph" w:customStyle="1" w:styleId="mainheader">
    <w:name w:val="mainheader"/>
    <w:basedOn w:val="Normal"/>
    <w:pPr>
      <w:spacing w:before="100" w:after="100"/>
    </w:pPr>
    <w:rPr>
      <w:rFonts w:eastAsia="Times New Roman"/>
      <w:i/>
      <w:color w:val="auto"/>
      <w:sz w:val="18"/>
      <w:lang w:val="fr-FR"/>
    </w:rPr>
  </w:style>
  <w:style w:type="character" w:customStyle="1" w:styleId="surname">
    <w:name w:val="surname"/>
    <w:basedOn w:val="DefaultParagraphFont"/>
  </w:style>
  <w:style w:type="character" w:customStyle="1" w:styleId="CarCar6">
    <w:name w:val="Car Car6"/>
    <w:rPr>
      <w:noProof w:val="0"/>
      <w:sz w:val="24"/>
      <w:lang w:val="fr-FR"/>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pPr>
      <w:spacing w:after="200" w:line="276" w:lineRule="auto"/>
      <w:ind w:left="720"/>
    </w:pPr>
    <w:rPr>
      <w:rFonts w:ascii="Calibri" w:eastAsia="Times New Roman" w:hAnsi="Calibri"/>
      <w:i/>
      <w:color w:val="auto"/>
    </w:rPr>
  </w:style>
  <w:style w:type="character" w:customStyle="1" w:styleId="fm-citation-ids-label1">
    <w:name w:val="fm-citation-ids-label1"/>
    <w:rPr>
      <w:color w:val="000000"/>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rFonts w:eastAsia="Times New Roman"/>
      <w:i/>
      <w:color w:val="auto"/>
      <w:sz w:val="18"/>
    </w:rPr>
  </w:style>
  <w:style w:type="paragraph" w:customStyle="1" w:styleId="authlist">
    <w:name w:val="auth_list"/>
    <w:basedOn w:val="Normal"/>
    <w:pPr>
      <w:spacing w:before="100" w:after="100"/>
    </w:pPr>
    <w:rPr>
      <w:rFonts w:eastAsia="Times New Roman"/>
      <w:i/>
      <w:color w:val="auto"/>
      <w:sz w:val="18"/>
    </w:rPr>
  </w:style>
  <w:style w:type="paragraph" w:customStyle="1" w:styleId="MDthesisHeading2">
    <w:name w:val="MD thesis Heading 2"/>
    <w:basedOn w:val="Heading2"/>
    <w:next w:val="Normal"/>
    <w:pPr>
      <w:widowControl w:val="0"/>
      <w:tabs>
        <w:tab w:val="clear" w:pos="1080"/>
        <w:tab w:val="left" w:pos="709"/>
        <w:tab w:val="left" w:pos="1134"/>
        <w:tab w:val="left" w:pos="1440"/>
      </w:tabs>
      <w:spacing w:before="120" w:after="60" w:line="360" w:lineRule="auto"/>
      <w:ind w:left="709" w:right="28" w:firstLine="720"/>
      <w:jc w:val="both"/>
      <w:outlineLvl w:val="9"/>
    </w:pPr>
    <w:rPr>
      <w:rFonts w:eastAsia="Times New Roman"/>
      <w:b w:val="0"/>
      <w:i/>
      <w:color w:val="auto"/>
    </w:rPr>
  </w:style>
  <w:style w:type="paragraph" w:customStyle="1" w:styleId="title10">
    <w:name w:val="title1"/>
    <w:basedOn w:val="Normal"/>
    <w:rPr>
      <w:rFonts w:eastAsia="Times New Roman"/>
      <w:i/>
      <w:color w:val="auto"/>
      <w:sz w:val="29"/>
    </w:rPr>
  </w:style>
  <w:style w:type="paragraph" w:customStyle="1" w:styleId="rprtbody1">
    <w:name w:val="rprtbody1"/>
    <w:basedOn w:val="Normal"/>
    <w:pPr>
      <w:spacing w:before="34" w:after="34"/>
    </w:pPr>
    <w:rPr>
      <w:rFonts w:eastAsia="Times New Roman"/>
      <w:i/>
      <w:color w:val="auto"/>
      <w:sz w:val="28"/>
    </w:rPr>
  </w:style>
  <w:style w:type="paragraph" w:customStyle="1" w:styleId="aux1">
    <w:name w:val="aux1"/>
    <w:basedOn w:val="Normal"/>
    <w:pPr>
      <w:spacing w:line="320" w:lineRule="atLeast"/>
    </w:pPr>
    <w:rPr>
      <w:rFonts w:eastAsia="Times New Roman"/>
      <w:i/>
      <w:color w:val="auto"/>
      <w:sz w:val="18"/>
    </w:rPr>
  </w:style>
  <w:style w:type="character" w:customStyle="1" w:styleId="src1">
    <w:name w:val="src1"/>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rFonts w:eastAsia="Times New Roman"/>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 Reference text + ?12 ?? ?????1"/>
    <w:basedOn w:val="Normal"/>
    <w:pPr>
      <w:spacing w:line="480" w:lineRule="auto"/>
      <w:jc w:val="both"/>
    </w:pPr>
    <w:rPr>
      <w:rFonts w:eastAsia="Times New Roman"/>
      <w:i/>
      <w:color w:val="auto"/>
      <w:sz w:val="18"/>
    </w:rPr>
  </w:style>
  <w:style w:type="paragraph" w:customStyle="1" w:styleId="11">
    <w:name w:val="????? ????? 1 +"/>
    <w:basedOn w:val="Heading1"/>
    <w:pPr>
      <w:tabs>
        <w:tab w:val="left" w:pos="1134"/>
      </w:tabs>
      <w:spacing w:before="240" w:after="60" w:line="240" w:lineRule="auto"/>
      <w:ind w:left="432" w:hanging="432"/>
      <w:jc w:val="left"/>
      <w:outlineLvl w:val="9"/>
    </w:pPr>
    <w:rPr>
      <w:rFonts w:ascii="Arial" w:eastAsia="Times New Roman" w:hAnsi="Arial"/>
      <w:i/>
      <w:color w:val="auto"/>
      <w:kern w:val="32"/>
      <w:sz w:val="32"/>
    </w:rPr>
  </w:style>
  <w:style w:type="paragraph" w:customStyle="1" w:styleId="14">
    <w:name w:val="?????? ?????? 14"/>
    <w:basedOn w:val="11"/>
    <w:rPr>
      <w:b w:val="0"/>
    </w:rPr>
  </w:style>
  <w:style w:type="paragraph" w:customStyle="1" w:styleId="a4">
    <w:name w:val="???? ?????"/>
    <w:basedOn w:val="Normal"/>
    <w:pPr>
      <w:spacing w:line="480" w:lineRule="auto"/>
      <w:jc w:val="both"/>
    </w:pPr>
    <w:rPr>
      <w:rFonts w:ascii="Arial" w:eastAsia="Times New Roman" w:hAnsi="Arial"/>
      <w:i/>
      <w:color w:val="auto"/>
      <w:sz w:val="18"/>
    </w:rPr>
  </w:style>
  <w:style w:type="character" w:customStyle="1" w:styleId="search1">
    <w:name w:val="search1"/>
    <w:rPr>
      <w:color w:val="008000"/>
    </w:rPr>
  </w:style>
  <w:style w:type="character" w:customStyle="1" w:styleId="style221">
    <w:name w:val="style221"/>
    <w:rPr>
      <w:color w:val="008000"/>
    </w:rPr>
  </w:style>
  <w:style w:type="character" w:customStyle="1" w:styleId="medium-normal1">
    <w:name w:val="medium-normal1"/>
    <w:rPr>
      <w:rFonts w:ascii="Arial" w:hAnsi="Arial"/>
      <w:sz w:val="20"/>
    </w:rPr>
  </w:style>
  <w:style w:type="character" w:styleId="HTMLVariable">
    <w:name w:val="HTML Variable"/>
    <w:rPr>
      <w:rFonts w:ascii="Verdana" w:hAnsi="Verdana"/>
      <w:color w:val="000000"/>
      <w:sz w:val="20"/>
    </w:rPr>
  </w:style>
  <w:style w:type="paragraph" w:customStyle="1" w:styleId="last">
    <w:name w:val="last"/>
    <w:basedOn w:val="Normal"/>
    <w:pPr>
      <w:spacing w:before="100" w:after="100"/>
    </w:pPr>
    <w:rPr>
      <w:rFonts w:eastAsia="Times New Roman"/>
      <w:i/>
      <w:color w:val="auto"/>
      <w:sz w:val="18"/>
    </w:rPr>
  </w:style>
  <w:style w:type="paragraph" w:customStyle="1" w:styleId="firstlast">
    <w:name w:val="first last"/>
    <w:basedOn w:val="Normal"/>
    <w:pPr>
      <w:spacing w:before="100" w:after="100"/>
    </w:pPr>
    <w:rPr>
      <w:rFonts w:eastAsia="Times New Roman"/>
      <w:i/>
      <w:color w:val="auto"/>
      <w:sz w:val="18"/>
    </w:rPr>
  </w:style>
  <w:style w:type="character" w:customStyle="1" w:styleId="databold1">
    <w:name w:val="data_bold1"/>
    <w:rPr>
      <w:b/>
    </w:rPr>
  </w:style>
  <w:style w:type="paragraph" w:customStyle="1" w:styleId="normaltext">
    <w:name w:val="normaltext"/>
    <w:basedOn w:val="Normal"/>
    <w:pPr>
      <w:spacing w:before="120" w:after="60"/>
    </w:pPr>
    <w:rPr>
      <w:rFonts w:ascii="Arial" w:eastAsia="Times New Roman" w:hAnsi="Arial"/>
      <w:i/>
      <w:sz w:val="20"/>
    </w:rPr>
  </w:style>
  <w:style w:type="paragraph" w:customStyle="1" w:styleId="heading10">
    <w:name w:val="heading1"/>
    <w:basedOn w:val="Normal"/>
    <w:next w:val="Normal"/>
    <w:pPr>
      <w:keepNext/>
      <w:keepLines/>
      <w:tabs>
        <w:tab w:val="left" w:pos="454"/>
      </w:tabs>
      <w:suppressAutoHyphens/>
      <w:spacing w:before="600" w:after="320" w:line="240" w:lineRule="atLeast"/>
    </w:pPr>
    <w:rPr>
      <w:rFonts w:ascii="Times" w:eastAsia="Times New Roman" w:hAnsi="Times"/>
      <w:b/>
      <w:i/>
      <w:color w:val="auto"/>
      <w:sz w:val="18"/>
    </w:rPr>
  </w:style>
  <w:style w:type="character" w:customStyle="1" w:styleId="heading1Carattere">
    <w:name w:val="heading1 Carattere"/>
    <w:rPr>
      <w:rFonts w:ascii="Times" w:hAnsi="Times"/>
      <w:b/>
      <w:noProof w:val="0"/>
      <w:sz w:val="24"/>
      <w:lang w:val="en-US"/>
    </w:rPr>
  </w:style>
  <w:style w:type="paragraph" w:customStyle="1" w:styleId="literaturelist">
    <w:name w:val="literature list"/>
    <w:basedOn w:val="Normal"/>
    <w:pPr>
      <w:tabs>
        <w:tab w:val="left" w:pos="720"/>
        <w:tab w:val="left" w:pos="5760"/>
      </w:tabs>
      <w:spacing w:line="480" w:lineRule="auto"/>
      <w:ind w:left="720" w:right="170" w:hanging="360"/>
      <w:jc w:val="both"/>
    </w:pPr>
    <w:rPr>
      <w:rFonts w:eastAsia="Times New Roman"/>
      <w:i/>
      <w:noProof/>
      <w:color w:val="auto"/>
      <w:sz w:val="18"/>
    </w:rPr>
  </w:style>
  <w:style w:type="character" w:customStyle="1" w:styleId="bodybold1">
    <w:name w:val="bodybold1"/>
    <w:rPr>
      <w:rFonts w:ascii="Verdana" w:hAnsi="Verdana"/>
      <w:b/>
      <w:sz w:val="20"/>
    </w:rPr>
  </w:style>
  <w:style w:type="paragraph" w:customStyle="1" w:styleId="CM27">
    <w:name w:val="CM27"/>
    <w:basedOn w:val="Default"/>
    <w:next w:val="Default"/>
    <w:pPr>
      <w:autoSpaceDE/>
      <w:autoSpaceDN/>
      <w:adjustRightInd/>
      <w:spacing w:after="78"/>
    </w:pPr>
    <w:rPr>
      <w:rFonts w:ascii="Times New Roman" w:eastAsia="Times New Roman" w:hAnsi="Times New Roman"/>
      <w:color w:val="auto"/>
    </w:rPr>
  </w:style>
  <w:style w:type="paragraph" w:customStyle="1" w:styleId="CM28">
    <w:name w:val="CM28"/>
    <w:basedOn w:val="Default"/>
    <w:next w:val="Default"/>
    <w:pPr>
      <w:autoSpaceDE/>
      <w:autoSpaceDN/>
      <w:adjustRightInd/>
      <w:spacing w:after="412"/>
    </w:pPr>
    <w:rPr>
      <w:rFonts w:ascii="Times New Roman" w:eastAsia="Times New Roman" w:hAnsi="Times New Roman"/>
      <w:color w:val="auto"/>
    </w:rPr>
  </w:style>
  <w:style w:type="paragraph" w:customStyle="1" w:styleId="CM30">
    <w:name w:val="CM30"/>
    <w:basedOn w:val="Default"/>
    <w:next w:val="Default"/>
    <w:pPr>
      <w:autoSpaceDE/>
      <w:autoSpaceDN/>
      <w:adjustRightInd/>
      <w:spacing w:after="75"/>
    </w:pPr>
    <w:rPr>
      <w:rFonts w:ascii="Times New Roman" w:eastAsia="Times New Roman" w:hAnsi="Times New Roman"/>
      <w:color w:val="auto"/>
    </w:rPr>
  </w:style>
  <w:style w:type="paragraph" w:customStyle="1" w:styleId="CM32">
    <w:name w:val="CM32"/>
    <w:basedOn w:val="Default"/>
    <w:next w:val="Default"/>
    <w:pPr>
      <w:autoSpaceDE/>
      <w:autoSpaceDN/>
      <w:adjustRightInd/>
      <w:spacing w:after="725"/>
    </w:pPr>
    <w:rPr>
      <w:rFonts w:ascii="Times New Roman" w:eastAsia="Times New Roman" w:hAnsi="Times New Roman"/>
      <w:color w:val="auto"/>
    </w:rPr>
  </w:style>
  <w:style w:type="paragraph" w:customStyle="1" w:styleId="CM33">
    <w:name w:val="CM33"/>
    <w:basedOn w:val="Default"/>
    <w:next w:val="Default"/>
    <w:pPr>
      <w:autoSpaceDE/>
      <w:autoSpaceDN/>
      <w:adjustRightInd/>
      <w:spacing w:after="538"/>
    </w:pPr>
    <w:rPr>
      <w:rFonts w:ascii="Times New Roman" w:eastAsia="Times New Roman" w:hAnsi="Times New Roman"/>
      <w:color w:val="auto"/>
    </w:rPr>
  </w:style>
  <w:style w:type="character" w:customStyle="1" w:styleId="ZchnZchn16">
    <w:name w:val="Zchn Zchn16"/>
    <w:rPr>
      <w:rFonts w:ascii="Arial" w:hAnsi="Arial"/>
      <w:b/>
      <w:noProof w:val="0"/>
      <w:kern w:val="32"/>
      <w:sz w:val="32"/>
      <w:lang w:val="en-US"/>
    </w:rPr>
  </w:style>
  <w:style w:type="character" w:customStyle="1" w:styleId="ZchnZchn1">
    <w:name w:val="Zchn Zchn1"/>
    <w:rPr>
      <w:rFonts w:ascii="Cambria" w:hAnsi="Cambria"/>
      <w:b/>
      <w:noProof w:val="0"/>
      <w:kern w:val="28"/>
      <w:sz w:val="32"/>
      <w:lang w:val="ca-ES"/>
    </w:rPr>
  </w:style>
  <w:style w:type="paragraph" w:customStyle="1" w:styleId="MediumGrid21">
    <w:name w:val="Medium Grid 21"/>
    <w:uiPriority w:val="1"/>
    <w:qFormat/>
    <w:rPr>
      <w:rFonts w:ascii="Times New Roman" w:eastAsia="Times New Roman" w:hAnsi="Times New Roman"/>
      <w:sz w:val="24"/>
      <w:lang w:val="en-US" w:eastAsia="en-GB"/>
    </w:rPr>
  </w:style>
  <w:style w:type="character" w:customStyle="1" w:styleId="ZchnZchn">
    <w:name w:val="Zchn Zchn"/>
    <w:rPr>
      <w:rFonts w:ascii="Calibri" w:hAnsi="Calibri"/>
      <w:noProof w:val="0"/>
      <w:lang w:val="ca-ES"/>
    </w:rPr>
  </w:style>
  <w:style w:type="paragraph" w:customStyle="1" w:styleId="refs">
    <w:name w:val="refs"/>
    <w:basedOn w:val="Normal"/>
    <w:pPr>
      <w:spacing w:before="100" w:after="100"/>
    </w:pPr>
    <w:rPr>
      <w:rFonts w:eastAsia="Times New Roman"/>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pPr>
      <w:spacing w:after="200" w:line="276" w:lineRule="auto"/>
    </w:pPr>
    <w:rPr>
      <w:rFonts w:ascii="Calibri" w:eastAsia="Times New Roman"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ReferencesNIPIndia">
    <w:name w:val="References NIP India"/>
    <w:basedOn w:val="Normal"/>
    <w:pPr>
      <w:spacing w:before="20" w:after="20"/>
      <w:ind w:left="709" w:right="720" w:hanging="709"/>
    </w:pPr>
    <w:rPr>
      <w:rFonts w:eastAsia="Times New Roman"/>
      <w:b/>
      <w:i/>
      <w:color w:val="auto"/>
      <w:sz w:val="18"/>
      <w:lang w:val="en-CA"/>
    </w:rPr>
  </w:style>
  <w:style w:type="paragraph" w:customStyle="1" w:styleId="Textedebulles">
    <w:name w:val="Texte de bulles"/>
    <w:basedOn w:val="Normal"/>
    <w:pPr>
      <w:spacing w:before="100"/>
      <w:ind w:right="720"/>
      <w:jc w:val="both"/>
    </w:pPr>
    <w:rPr>
      <w:rFonts w:ascii="Tahoma" w:eastAsia="Times New Roman" w:hAnsi="Tahoma"/>
      <w:color w:val="auto"/>
      <w:sz w:val="16"/>
    </w:rPr>
  </w:style>
  <w:style w:type="character" w:customStyle="1" w:styleId="CarCar2">
    <w:name w:val="Car Car2"/>
    <w:rPr>
      <w:noProof w:val="0"/>
      <w:lang w:val="en-US"/>
    </w:rPr>
  </w:style>
  <w:style w:type="character" w:customStyle="1" w:styleId="CarCar1">
    <w:name w:val="Car Car1"/>
    <w:rPr>
      <w:noProof w:val="0"/>
      <w:lang w:val="en-US"/>
    </w:rPr>
  </w:style>
  <w:style w:type="character" w:customStyle="1" w:styleId="CharChar4">
    <w:name w:val="Char Char4"/>
    <w:aliases w:val="Heading 3 Char2 Char"/>
    <w:rPr>
      <w:sz w:val="22"/>
    </w:rPr>
  </w:style>
  <w:style w:type="character" w:customStyle="1" w:styleId="ZchnZchn15">
    <w:name w:val="Zchn Zchn15"/>
    <w:rPr>
      <w:rFonts w:ascii="Arial" w:hAnsi="Arial"/>
      <w:b/>
      <w:i/>
      <w:noProof w:val="0"/>
      <w:sz w:val="28"/>
      <w:lang w:val="en-US"/>
    </w:rPr>
  </w:style>
  <w:style w:type="character" w:customStyle="1" w:styleId="ZchnZchn14">
    <w:name w:val="Zchn Zchn14"/>
    <w:rPr>
      <w:rFonts w:ascii="Arial" w:hAnsi="Arial"/>
      <w:b/>
      <w:noProof w:val="0"/>
      <w:sz w:val="26"/>
      <w:lang w:val="en-US"/>
    </w:rPr>
  </w:style>
  <w:style w:type="character" w:customStyle="1" w:styleId="ZchnZchn13">
    <w:name w:val="Zchn Zchn13"/>
    <w:rPr>
      <w:rFonts w:ascii="Arial" w:hAnsi="Arial"/>
      <w:b/>
      <w:noProof w:val="0"/>
      <w:sz w:val="24"/>
      <w:lang w:val="de-DE"/>
    </w:rPr>
  </w:style>
  <w:style w:type="character" w:customStyle="1" w:styleId="ZchnZchn12">
    <w:name w:val="Zchn Zchn12"/>
    <w:rPr>
      <w:rFonts w:ascii="Arial" w:hAnsi="Arial"/>
      <w:b/>
      <w:noProof w:val="0"/>
      <w:sz w:val="24"/>
      <w:lang w:val="de-DE"/>
    </w:rPr>
  </w:style>
  <w:style w:type="character" w:customStyle="1" w:styleId="ZchnZchn11">
    <w:name w:val="Zchn Zchn11"/>
    <w:rPr>
      <w:rFonts w:ascii="Arial" w:hAnsi="Arial"/>
      <w:b/>
      <w:noProof w:val="0"/>
      <w:lang w:val="de-DE"/>
    </w:rPr>
  </w:style>
  <w:style w:type="character" w:customStyle="1" w:styleId="ZchnZchn10">
    <w:name w:val="Zchn Zchn10"/>
    <w:rPr>
      <w:rFonts w:ascii="Arial" w:hAnsi="Arial"/>
      <w:b/>
      <w:noProof w:val="0"/>
      <w:sz w:val="28"/>
      <w:lang w:val="de-DE"/>
    </w:rPr>
  </w:style>
  <w:style w:type="character" w:customStyle="1" w:styleId="ZchnZchn9">
    <w:name w:val="Zchn Zchn9"/>
    <w:rPr>
      <w:rFonts w:ascii="Arial" w:hAnsi="Arial"/>
      <w:b/>
      <w:noProof w:val="0"/>
      <w:lang w:val="de-DE"/>
    </w:rPr>
  </w:style>
  <w:style w:type="character" w:customStyle="1" w:styleId="ZchnZchn8">
    <w:name w:val="Zchn Zchn8"/>
    <w:rPr>
      <w:rFonts w:ascii="Arial" w:hAnsi="Arial"/>
      <w:noProof w:val="0"/>
      <w:sz w:val="24"/>
      <w:lang w:val="de-DE"/>
    </w:rPr>
  </w:style>
  <w:style w:type="character" w:customStyle="1" w:styleId="CharCharZchn">
    <w:name w:val="Char Char Zchn"/>
    <w:aliases w:val="Body Text Char Char Char Char Char Zchn,Body Text Char Char Char Char Zchn Zchn"/>
    <w:rPr>
      <w:noProof w:val="0"/>
      <w:color w:val="000000"/>
      <w:sz w:val="24"/>
      <w:lang w:val="en-GB"/>
    </w:rPr>
  </w:style>
  <w:style w:type="character" w:customStyle="1" w:styleId="ZchnZchn4">
    <w:name w:val="Zchn Zchn4"/>
    <w:rPr>
      <w:noProof w:val="0"/>
      <w:sz w:val="24"/>
      <w:lang w:val="en-US"/>
    </w:rPr>
  </w:style>
  <w:style w:type="character" w:customStyle="1" w:styleId="ZchnZchn7">
    <w:name w:val="Zchn Zchn7"/>
    <w:rPr>
      <w:noProof w:val="0"/>
      <w:sz w:val="24"/>
      <w:lang w:val="en-US"/>
    </w:rPr>
  </w:style>
  <w:style w:type="character" w:customStyle="1" w:styleId="ZchnZchn6">
    <w:name w:val="Zchn Zchn6"/>
    <w:rPr>
      <w:rFonts w:ascii="Courier New" w:hAnsi="Courier New"/>
      <w:noProof w:val="0"/>
      <w:lang w:val="de-DE"/>
    </w:rPr>
  </w:style>
  <w:style w:type="character" w:customStyle="1" w:styleId="ZchnZchn5">
    <w:name w:val="Zchn Zchn5"/>
    <w:rPr>
      <w:rFonts w:ascii="Arial" w:hAnsi="Arial"/>
      <w:noProof w:val="0"/>
      <w:sz w:val="24"/>
      <w:lang w:val="de-DE"/>
    </w:rPr>
  </w:style>
  <w:style w:type="character" w:customStyle="1" w:styleId="ZchnZchn3">
    <w:name w:val="Zchn Zchn3"/>
    <w:rPr>
      <w:rFonts w:ascii="Arial" w:hAnsi="Arial"/>
      <w:noProof w:val="0"/>
      <w:sz w:val="24"/>
      <w:lang w:val="de-DE"/>
    </w:rPr>
  </w:style>
  <w:style w:type="paragraph" w:customStyle="1" w:styleId="Textodeglobo1">
    <w:name w:val="Texto de globo1"/>
    <w:basedOn w:val="Normal"/>
    <w:pPr>
      <w:widowControl w:val="0"/>
      <w:jc w:val="both"/>
    </w:pPr>
    <w:rPr>
      <w:rFonts w:eastAsia="Times New Roman"/>
      <w:color w:val="auto"/>
      <w:kern w:val="2"/>
      <w:sz w:val="16"/>
      <w:lang w:val="en-US"/>
    </w:rPr>
  </w:style>
  <w:style w:type="paragraph" w:customStyle="1" w:styleId="BodyText10">
    <w:name w:val="Body Text1"/>
    <w:basedOn w:val="Normal"/>
    <w:pPr>
      <w:spacing w:after="240"/>
    </w:pPr>
    <w:rPr>
      <w:rFonts w:eastAsia="Times New Roman"/>
    </w:rPr>
  </w:style>
  <w:style w:type="paragraph" w:customStyle="1" w:styleId="Tableandfigureheaders">
    <w:name w:val="Table and figure headers"/>
    <w:basedOn w:val="Caption"/>
    <w:pPr>
      <w:keepNext/>
      <w:pBdr>
        <w:bottom w:val="none" w:sz="0" w:space="0" w:color="auto"/>
      </w:pBdr>
      <w:tabs>
        <w:tab w:val="clear" w:pos="9639"/>
      </w:tabs>
      <w:spacing w:after="200"/>
      <w:ind w:left="1417" w:hanging="992"/>
      <w:jc w:val="both"/>
    </w:pPr>
    <w:rPr>
      <w:rFonts w:ascii="Calibri" w:eastAsia="Times New Roman" w:hAnsi="Calibri"/>
      <w:i w:val="0"/>
      <w:sz w:val="20"/>
      <w:lang w:val="en-GB"/>
    </w:rPr>
  </w:style>
  <w:style w:type="paragraph" w:customStyle="1" w:styleId="Tableandfigfooter">
    <w:name w:val="Table and fig footer"/>
    <w:basedOn w:val="Paraindent"/>
    <w:pPr>
      <w:spacing w:before="0" w:after="0"/>
      <w:ind w:left="425" w:right="0"/>
    </w:pPr>
    <w:rPr>
      <w:rFonts w:ascii="Calibri" w:hAnsi="Calibri"/>
      <w:i w:val="0"/>
      <w:noProof/>
      <w:color w:val="auto"/>
      <w:sz w:val="18"/>
    </w:rPr>
  </w:style>
  <w:style w:type="character" w:customStyle="1" w:styleId="CharChar21">
    <w:name w:val="Char Char21"/>
    <w:rPr>
      <w:b/>
      <w:noProof w:val="0"/>
      <w:color w:val="000000"/>
      <w:sz w:val="28"/>
      <w:lang w:val="en-GB"/>
    </w:rPr>
  </w:style>
  <w:style w:type="character" w:customStyle="1" w:styleId="CharChar11">
    <w:name w:val="Char Char11"/>
    <w:rPr>
      <w:rFonts w:ascii="Arial" w:hAnsi="Arial"/>
      <w:noProof w:val="0"/>
      <w:lang w:val="en-GB"/>
    </w:rPr>
  </w:style>
  <w:style w:type="character" w:customStyle="1" w:styleId="3">
    <w:name w:val="(3"/>
    <w:rPr>
      <w:noProof w:val="0"/>
      <w:sz w:val="24"/>
      <w:lang w:val="en-US"/>
    </w:rPr>
  </w:style>
  <w:style w:type="character" w:customStyle="1" w:styleId="2">
    <w:name w:val="(2"/>
    <w:rPr>
      <w:b/>
      <w:noProof w:val="0"/>
      <w:sz w:val="24"/>
      <w:lang w:val="en-US"/>
    </w:rPr>
  </w:style>
  <w:style w:type="character" w:customStyle="1" w:styleId="CarCar191">
    <w:name w:val="Car Car191"/>
    <w:rPr>
      <w:noProof w:val="0"/>
      <w:color w:val="000000"/>
      <w:sz w:val="24"/>
      <w:lang w:val="en-GB"/>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Pr>
      <w:b/>
      <w:noProof w:val="0"/>
      <w:color w:val="000000"/>
      <w:sz w:val="28"/>
      <w:lang w:val="en-GB"/>
    </w:rPr>
  </w:style>
  <w:style w:type="character" w:customStyle="1" w:styleId="Heading4Char1">
    <w:name w:val="Heading 4 Char1"/>
    <w:rPr>
      <w:b/>
      <w:i/>
      <w:noProof w:val="0"/>
      <w:color w:val="000000"/>
      <w:sz w:val="24"/>
      <w:lang w:val="en-GB"/>
    </w:rPr>
  </w:style>
  <w:style w:type="character" w:customStyle="1" w:styleId="Heading311ptBoldChar">
    <w:name w:val="Heading 3 + 11 pt Bold Char"/>
    <w:rPr>
      <w:b/>
      <w:sz w:val="24"/>
    </w:rPr>
  </w:style>
  <w:style w:type="character" w:customStyle="1" w:styleId="A20">
    <w:name w:val="A2"/>
    <w:rPr>
      <w:b/>
      <w:color w:val="000000"/>
      <w:sz w:val="12"/>
    </w:rPr>
  </w:style>
  <w:style w:type="character" w:customStyle="1" w:styleId="StyleHeading4Left0Firstline0Char">
    <w:name w:val="Style Heading 4 + Left:  0&quot; First line:  0&quot; Char"/>
    <w:rPr>
      <w:b/>
      <w:i/>
      <w:noProof w:val="0"/>
      <w:color w:val="000000"/>
      <w:sz w:val="24"/>
      <w:lang w:val="en-GB"/>
    </w:rPr>
  </w:style>
  <w:style w:type="character" w:customStyle="1" w:styleId="ECMStableheaderChar">
    <w:name w:val="ECMS table header Char"/>
    <w:rPr>
      <w:b/>
      <w:noProof w:val="0"/>
      <w:sz w:val="24"/>
      <w:lang w:val="en-GB"/>
    </w:rPr>
  </w:style>
  <w:style w:type="character" w:customStyle="1" w:styleId="maintext1">
    <w:name w:val="maintext1"/>
    <w:rPr>
      <w:rFonts w:ascii="Verdana" w:hAnsi="Verdana"/>
      <w:sz w:val="20"/>
    </w:rPr>
  </w:style>
  <w:style w:type="character" w:customStyle="1" w:styleId="CharChar41">
    <w:name w:val="Char Char41"/>
    <w:rPr>
      <w:noProof w:val="0"/>
      <w:sz w:val="24"/>
      <w:lang w:val="en-US"/>
    </w:rPr>
  </w:style>
  <w:style w:type="character" w:customStyle="1" w:styleId="apple-style-span">
    <w:name w:val="apple-style-span"/>
    <w:rPr>
      <w:rFonts w:ascii="Times New Roman" w:hAnsi="Times New Roman"/>
    </w:rPr>
  </w:style>
  <w:style w:type="character" w:customStyle="1" w:styleId="CharChar5">
    <w:name w:val="Char Char5"/>
    <w:rPr>
      <w:rFonts w:ascii="Tahoma" w:hAnsi="Tahoma"/>
      <w:noProof w:val="0"/>
      <w:sz w:val="16"/>
      <w:lang w:val="en-US"/>
    </w:rPr>
  </w:style>
  <w:style w:type="character" w:customStyle="1" w:styleId="CharChar31">
    <w:name w:val="Char Char31"/>
    <w:rPr>
      <w:noProof w:val="0"/>
      <w:color w:val="000000"/>
      <w:sz w:val="24"/>
      <w:lang w:val="en-GB"/>
    </w:rPr>
  </w:style>
  <w:style w:type="paragraph" w:customStyle="1" w:styleId="listparagraphcxspmiddle">
    <w:name w:val="listparagraphcxspmiddle"/>
    <w:basedOn w:val="Normal"/>
    <w:pPr>
      <w:spacing w:before="100" w:after="100"/>
    </w:pPr>
    <w:rPr>
      <w:rFonts w:eastAsia="Times New Roman"/>
      <w:color w:val="auto"/>
      <w:lang w:val="en-US"/>
    </w:rPr>
  </w:style>
  <w:style w:type="paragraph" w:customStyle="1" w:styleId="StyleBodyText1After6pt">
    <w:name w:val="Style Body Text1 + After:  6 pt"/>
    <w:basedOn w:val="BodyText10"/>
  </w:style>
  <w:style w:type="character" w:customStyle="1" w:styleId="SubtitleChar">
    <w:name w:val="Subtitle Char"/>
    <w:rPr>
      <w:rFonts w:ascii="Cambria" w:hAnsi="Cambria"/>
      <w:color w:val="000000"/>
      <w:sz w:val="24"/>
    </w:rPr>
  </w:style>
  <w:style w:type="character" w:customStyle="1" w:styleId="QuoteChar">
    <w:name w:val="Quote Char"/>
    <w:link w:val="Quote"/>
    <w:rPr>
      <w:rFonts w:ascii="Times New Roman" w:hAnsi="Times New Roman"/>
      <w:i/>
      <w:color w:val="000000"/>
      <w:sz w:val="24"/>
    </w:rPr>
  </w:style>
  <w:style w:type="character" w:customStyle="1" w:styleId="IntenseQuoteChar">
    <w:name w:val="Intense Quote Char"/>
    <w:link w:val="IntenseQuote"/>
    <w:rPr>
      <w:rFonts w:ascii="Times New Roman" w:hAnsi="Times New Roman"/>
      <w:b/>
      <w:i/>
      <w:color w:val="808080"/>
      <w:sz w:val="24"/>
    </w:rPr>
  </w:style>
  <w:style w:type="character" w:customStyle="1" w:styleId="A00">
    <w:name w:val="A0"/>
    <w:rPr>
      <w:color w:val="000000"/>
      <w:sz w:val="22"/>
    </w:rPr>
  </w:style>
  <w:style w:type="character" w:customStyle="1" w:styleId="HTMLPreformattedChar">
    <w:name w:val="HTML Preformatted Char"/>
    <w:rPr>
      <w:rFonts w:ascii="Courier New" w:hAnsi="Courier New"/>
    </w:rPr>
  </w:style>
  <w:style w:type="character" w:customStyle="1" w:styleId="srch-url21">
    <w:name w:val="srch-url21"/>
    <w:rPr>
      <w:color w:val="808000"/>
      <w:u w:val="single"/>
    </w:rPr>
  </w:style>
  <w:style w:type="character" w:customStyle="1" w:styleId="Titre5Car">
    <w:name w:val="Titre 5 Car"/>
    <w:aliases w:val="Subpara 2 Car"/>
    <w:rPr>
      <w:rFonts w:ascii="Calibri" w:hAnsi="Calibri"/>
      <w:b/>
      <w:i/>
      <w:noProof w:val="0"/>
      <w:sz w:val="26"/>
      <w:lang w:val="en-AU"/>
    </w:rPr>
  </w:style>
  <w:style w:type="character" w:customStyle="1" w:styleId="Titre6Car">
    <w:name w:val="Titre 6 Car"/>
    <w:rPr>
      <w:rFonts w:ascii="Calibri" w:hAnsi="Calibri"/>
      <w:b/>
      <w:noProof w:val="0"/>
      <w:lang w:val="en-AU"/>
    </w:rPr>
  </w:style>
  <w:style w:type="character" w:customStyle="1" w:styleId="Titre7Car">
    <w:name w:val="Titre 7 Car"/>
    <w:aliases w:val="Subpara 4 Car"/>
    <w:rPr>
      <w:rFonts w:ascii="Calibri" w:hAnsi="Calibri"/>
      <w:noProof w:val="0"/>
      <w:sz w:val="24"/>
      <w:lang w:val="en-AU"/>
    </w:rPr>
  </w:style>
  <w:style w:type="character" w:customStyle="1" w:styleId="Titre8Car">
    <w:name w:val="Titre 8 Car"/>
    <w:aliases w:val="Subpara 5 Car"/>
    <w:rPr>
      <w:rFonts w:ascii="Calibri" w:hAnsi="Calibri"/>
      <w:i/>
      <w:noProof w:val="0"/>
      <w:sz w:val="24"/>
      <w:lang w:val="en-AU"/>
    </w:rPr>
  </w:style>
  <w:style w:type="character" w:customStyle="1" w:styleId="Titre9Car">
    <w:name w:val="Titre 9 Car"/>
    <w:aliases w:val="Subpara 6 Car"/>
    <w:rPr>
      <w:rFonts w:ascii="Cambria" w:hAnsi="Cambria"/>
      <w:noProof w:val="0"/>
      <w:lang w:val="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lang w:val="en-US"/>
    </w:rPr>
  </w:style>
  <w:style w:type="character" w:customStyle="1" w:styleId="PrformatHTMLCar">
    <w:name w:val="Préformaté HTML Car"/>
    <w:rPr>
      <w:rFonts w:ascii="Courier New" w:hAnsi="Courier New"/>
      <w:noProof w:val="0"/>
      <w:sz w:val="20"/>
      <w:lang w:val="en-AU"/>
    </w:rPr>
  </w:style>
  <w:style w:type="character" w:customStyle="1" w:styleId="RetraitcorpsdetexteCar">
    <w:name w:val="Retrait corps de texte Car"/>
    <w:rPr>
      <w:noProof w:val="0"/>
      <w:sz w:val="24"/>
      <w:lang w:val="en-AU"/>
    </w:rPr>
  </w:style>
  <w:style w:type="character" w:customStyle="1" w:styleId="Retraitcorpset1religCar">
    <w:name w:val="Retrait corps et 1re lig. Car"/>
    <w:basedOn w:val="RetraitcorpsdetexteCar"/>
    <w:rPr>
      <w:noProof w:val="0"/>
      <w:sz w:val="24"/>
      <w:lang w:val="en-AU"/>
    </w:rPr>
  </w:style>
  <w:style w:type="character" w:customStyle="1" w:styleId="CommentaireCar">
    <w:name w:val="Commentaire Car"/>
    <w:rPr>
      <w:noProof w:val="0"/>
      <w:lang w:val="en-AU"/>
    </w:rPr>
  </w:style>
  <w:style w:type="paragraph" w:customStyle="1" w:styleId="Objetducommentaire">
    <w:name w:val="Objet du commentaire"/>
    <w:basedOn w:val="CommentText"/>
    <w:next w:val="CommentText"/>
    <w:pPr>
      <w:tabs>
        <w:tab w:val="clear" w:pos="720"/>
        <w:tab w:val="clear" w:pos="1440"/>
        <w:tab w:val="clear" w:pos="5760"/>
      </w:tabs>
      <w:jc w:val="left"/>
    </w:pPr>
    <w:rPr>
      <w:rFonts w:eastAsia="Times New Roman"/>
      <w:b/>
      <w:lang w:val="en-AU"/>
    </w:rPr>
  </w:style>
  <w:style w:type="character" w:customStyle="1" w:styleId="ObjetducommentaireCar">
    <w:name w:val="Objet du commentaire Car"/>
    <w:rPr>
      <w:b/>
      <w:noProof w:val="0"/>
      <w:lang w:val="en-AU"/>
    </w:rPr>
  </w:style>
  <w:style w:type="paragraph" w:customStyle="1" w:styleId="En-ttedetabledesmatires">
    <w:name w:val="En-tête de table des matières"/>
    <w:basedOn w:val="Heading1"/>
    <w:next w:val="Normal"/>
    <w:pPr>
      <w:keepLines/>
      <w:tabs>
        <w:tab w:val="left" w:pos="1134"/>
      </w:tabs>
      <w:spacing w:before="480" w:after="0" w:line="276" w:lineRule="auto"/>
      <w:ind w:left="0" w:firstLine="0"/>
      <w:jc w:val="left"/>
      <w:outlineLvl w:val="9"/>
    </w:pPr>
    <w:rPr>
      <w:rFonts w:eastAsia="Times New Roman"/>
      <w:color w:val="808080"/>
      <w:lang w:val="fr-FR"/>
    </w:rPr>
  </w:style>
  <w:style w:type="paragraph" w:customStyle="1" w:styleId="Paragraphedeliste">
    <w:name w:val="Paragraphe de liste"/>
    <w:basedOn w:val="Normal"/>
    <w:rPr>
      <w:rFonts w:eastAsia="Times New Roman"/>
      <w:color w:val="auto"/>
      <w:sz w:val="24"/>
      <w:lang w:val="en-AU"/>
    </w:rPr>
  </w:style>
  <w:style w:type="character" w:customStyle="1" w:styleId="bold0">
    <w:name w:val="bold"/>
  </w:style>
  <w:style w:type="paragraph" w:customStyle="1" w:styleId="first">
    <w:name w:val="first"/>
    <w:basedOn w:val="Normal"/>
    <w:pPr>
      <w:spacing w:before="100" w:after="100"/>
    </w:pPr>
    <w:rPr>
      <w:rFonts w:eastAsia="Times New Roman"/>
      <w:color w:val="auto"/>
      <w:sz w:val="24"/>
      <w:lang w:val="fr-FR"/>
    </w:rPr>
  </w:style>
  <w:style w:type="character" w:customStyle="1" w:styleId="En-tteCar">
    <w:name w:val="En-tête Car"/>
    <w:rPr>
      <w:noProof w:val="0"/>
      <w:sz w:val="24"/>
      <w:lang w:val="en-AU"/>
    </w:rPr>
  </w:style>
  <w:style w:type="character" w:customStyle="1" w:styleId="PieddepageCar">
    <w:name w:val="Pied de page Car"/>
    <w:rPr>
      <w:noProof w:val="0"/>
      <w:sz w:val="24"/>
      <w:lang w:val="en-AU"/>
    </w:rPr>
  </w:style>
  <w:style w:type="paragraph" w:customStyle="1" w:styleId="Sansinterligne">
    <w:name w:val="Sans interligne"/>
    <w:rPr>
      <w:rFonts w:ascii="Times New Roman" w:eastAsia="Times New Roman" w:hAnsi="Times New Roman"/>
      <w:noProof/>
      <w:sz w:val="24"/>
      <w:lang w:val="en-GB" w:eastAsia="en-GB"/>
    </w:rPr>
  </w:style>
  <w:style w:type="character" w:customStyle="1" w:styleId="ExplorateurdedocumentsCar">
    <w:name w:val="Explorateur de documents Car"/>
    <w:rPr>
      <w:rFonts w:ascii="Tahoma" w:hAnsi="Tahoma"/>
      <w:noProof w:val="0"/>
      <w:sz w:val="16"/>
      <w:lang w:val="en-AU"/>
    </w:rPr>
  </w:style>
  <w:style w:type="character" w:customStyle="1" w:styleId="hit">
    <w:name w:val="hit"/>
  </w:style>
  <w:style w:type="character" w:customStyle="1" w:styleId="NotedebasdepageCar">
    <w:name w:val="Note de bas de page Car"/>
    <w:rPr>
      <w:noProof w:val="0"/>
      <w:sz w:val="24"/>
      <w:lang w:val="en-AU"/>
    </w:rPr>
  </w:style>
  <w:style w:type="paragraph" w:customStyle="1" w:styleId="Rvision">
    <w:name w:val="Révision"/>
    <w:rPr>
      <w:rFonts w:ascii="Times New Roman" w:eastAsia="Times New Roman" w:hAnsi="Times New Roman"/>
      <w:sz w:val="24"/>
      <w:lang w:val="en-AU" w:eastAsia="en-GB"/>
    </w:rPr>
  </w:style>
  <w:style w:type="paragraph" w:customStyle="1" w:styleId="Ref">
    <w:name w:val="Ref"/>
    <w:basedOn w:val="Footnote"/>
  </w:style>
  <w:style w:type="character" w:customStyle="1" w:styleId="SansinterligneCar">
    <w:name w:val="Sans interligne Car"/>
    <w:rPr>
      <w:sz w:val="24"/>
    </w:rPr>
  </w:style>
  <w:style w:type="paragraph" w:customStyle="1" w:styleId="Hea">
    <w:name w:val="Hea"/>
    <w:rPr>
      <w:rFonts w:ascii="Times New Roman" w:eastAsia="Times New Roman" w:hAnsi="Times New Roman"/>
      <w:sz w:val="24"/>
      <w:lang w:val="en-US" w:eastAsia="en-GB"/>
    </w:rPr>
  </w:style>
  <w:style w:type="paragraph" w:customStyle="1" w:styleId="PageImage">
    <w:name w:val="PageImage"/>
    <w:pPr>
      <w:spacing w:before="240"/>
      <w:jc w:val="center"/>
    </w:pPr>
    <w:rPr>
      <w:rFonts w:ascii="Times New Roman" w:eastAsia="Times New Roman" w:hAnsi="Times New Roman"/>
      <w:sz w:val="24"/>
      <w:lang w:val="en-AU" w:eastAsia="en-GB"/>
    </w:rPr>
  </w:style>
  <w:style w:type="paragraph" w:customStyle="1" w:styleId="Italicindent">
    <w:name w:val="Italic indent"/>
    <w:pPr>
      <w:spacing w:after="200" w:line="276" w:lineRule="auto"/>
      <w:ind w:left="1701" w:right="662"/>
    </w:pPr>
    <w:rPr>
      <w:rFonts w:ascii="Calibri" w:eastAsia="Times New Roman" w:hAnsi="Calibri"/>
      <w:i/>
      <w:color w:val="000000"/>
      <w:sz w:val="24"/>
      <w:lang w:val="en-GB" w:eastAsia="en-GB"/>
    </w:rPr>
  </w:style>
  <w:style w:type="paragraph" w:customStyle="1" w:styleId="12">
    <w:name w:val="(1"/>
    <w:pPr>
      <w:spacing w:after="160" w:line="240" w:lineRule="exact"/>
    </w:pPr>
    <w:rPr>
      <w:rFonts w:ascii="Times New Roman" w:eastAsia="Times New Roman" w:hAnsi="Times New Roman"/>
      <w:sz w:val="24"/>
      <w:lang w:val="en-US" w:eastAsia="en-GB"/>
    </w:rPr>
  </w:style>
  <w:style w:type="character" w:customStyle="1" w:styleId="style61">
    <w:name w:val="style61"/>
    <w:rPr>
      <w:rFonts w:ascii="Verdana" w:hAnsi="Verdana"/>
      <w:b/>
      <w:color w:val="808080"/>
      <w:sz w:val="24"/>
    </w:rPr>
  </w:style>
  <w:style w:type="paragraph" w:customStyle="1" w:styleId="Rvision1">
    <w:name w:val="Révision1"/>
    <w:rPr>
      <w:rFonts w:ascii="Times New Roman" w:eastAsia="Times New Roman" w:hAnsi="Times New Roman"/>
      <w:sz w:val="24"/>
      <w:lang w:val="en-US" w:eastAsia="en-GB"/>
    </w:rPr>
  </w:style>
  <w:style w:type="paragraph" w:customStyle="1" w:styleId="Bibliographie1">
    <w:name w:val="Bibliographie1"/>
    <w:basedOn w:val="Normal"/>
    <w:next w:val="Normal"/>
    <w:pPr>
      <w:spacing w:before="120" w:after="120"/>
      <w:ind w:left="1134"/>
      <w:jc w:val="both"/>
    </w:pPr>
    <w:rPr>
      <w:rFonts w:eastAsia="Times New Roman"/>
      <w:color w:val="auto"/>
    </w:rPr>
  </w:style>
  <w:style w:type="paragraph" w:customStyle="1" w:styleId="Sansinterligne1">
    <w:name w:val="Sans interligne1"/>
    <w:basedOn w:val="Normal"/>
    <w:rPr>
      <w:rFonts w:ascii="Arial" w:eastAsia="Times New Roman" w:hAnsi="Arial"/>
      <w:color w:val="auto"/>
    </w:rPr>
  </w:style>
  <w:style w:type="paragraph" w:customStyle="1" w:styleId="Citation1">
    <w:name w:val="Citation1"/>
    <w:basedOn w:val="Normal"/>
    <w:next w:val="Normal"/>
    <w:pPr>
      <w:spacing w:before="200"/>
      <w:ind w:left="360" w:right="360"/>
    </w:pPr>
    <w:rPr>
      <w:rFonts w:eastAsia="Times New Roman"/>
      <w:i/>
      <w:sz w:val="24"/>
    </w:rPr>
  </w:style>
  <w:style w:type="paragraph" w:customStyle="1" w:styleId="Citationintense1">
    <w:name w:val="Citation intense1"/>
    <w:basedOn w:val="Normal"/>
    <w:next w:val="Normal"/>
    <w:pPr>
      <w:pBdr>
        <w:bottom w:val="single" w:sz="6" w:space="1" w:color="auto"/>
      </w:pBdr>
      <w:spacing w:before="200" w:after="280"/>
      <w:ind w:left="1008" w:right="1152"/>
      <w:jc w:val="both"/>
    </w:pPr>
    <w:rPr>
      <w:rFonts w:eastAsia="Times New Roman"/>
      <w:b/>
      <w:i/>
      <w:color w:val="808080"/>
      <w:sz w:val="24"/>
    </w:rPr>
  </w:style>
  <w:style w:type="character" w:customStyle="1" w:styleId="Emphaseple1">
    <w:name w:val="Emphase pâle1"/>
    <w:rPr>
      <w:i/>
    </w:rPr>
  </w:style>
  <w:style w:type="character" w:customStyle="1" w:styleId="Emphaseintense1">
    <w:name w:val="Emphase intense1"/>
    <w:rPr>
      <w:b/>
    </w:rPr>
  </w:style>
  <w:style w:type="character" w:customStyle="1" w:styleId="Rfrenceple1">
    <w:name w:val="Référence pâle1"/>
    <w:rPr>
      <w:smallCaps/>
    </w:rPr>
  </w:style>
  <w:style w:type="character" w:customStyle="1" w:styleId="Rfrenceintense1">
    <w:name w:val="Référence intense1"/>
    <w:rPr>
      <w:smallCaps/>
      <w:spacing w:val="5"/>
      <w:u w:val="single"/>
    </w:rPr>
  </w:style>
  <w:style w:type="character" w:customStyle="1" w:styleId="Titredulivre1">
    <w:name w:val="Titre du livre1"/>
    <w:rPr>
      <w:i/>
      <w:smallCaps/>
      <w:spacing w:val="5"/>
    </w:rPr>
  </w:style>
  <w:style w:type="paragraph" w:customStyle="1" w:styleId="En-ttedetabledesmatires1">
    <w:name w:val="En-tête de table des matières1"/>
    <w:basedOn w:val="Heading1"/>
    <w:next w:val="Normal"/>
    <w:pPr>
      <w:keepLines/>
      <w:tabs>
        <w:tab w:val="left" w:pos="851"/>
        <w:tab w:val="left" w:pos="1134"/>
      </w:tabs>
      <w:spacing w:after="240" w:line="240" w:lineRule="auto"/>
      <w:ind w:left="1100" w:hanging="660"/>
      <w:jc w:val="left"/>
      <w:outlineLvl w:val="9"/>
    </w:pPr>
    <w:rPr>
      <w:rFonts w:ascii="Arial" w:eastAsia="Times New Roman" w:hAnsi="Arial"/>
      <w:color w:val="auto"/>
      <w:sz w:val="32"/>
      <w:lang w:val="nb-NO"/>
    </w:rPr>
  </w:style>
  <w:style w:type="paragraph" w:customStyle="1" w:styleId="BodyText11">
    <w:name w:val="Body Text11"/>
    <w:basedOn w:val="Normal"/>
    <w:rPr>
      <w:rFonts w:eastAsia="Times New Roman"/>
    </w:rPr>
  </w:style>
  <w:style w:type="paragraph" w:customStyle="1" w:styleId="paraindentFootnoteQPS">
    <w:name w:val="para indent Footnote QPS"/>
    <w:basedOn w:val="FootnoteText"/>
    <w:pPr>
      <w:widowControl/>
      <w:spacing w:after="0"/>
      <w:ind w:left="426" w:hanging="284"/>
    </w:pPr>
    <w:rPr>
      <w:rFonts w:ascii="Calibri" w:eastAsia="Times New Roman" w:hAnsi="Calibri"/>
      <w:color w:val="000000"/>
      <w:sz w:val="16"/>
      <w:lang w:val="en-NZ"/>
    </w:rPr>
  </w:style>
  <w:style w:type="paragraph" w:customStyle="1" w:styleId="yiv587168716msonormal">
    <w:name w:val="yiv587168716msonormal"/>
    <w:basedOn w:val="Normal"/>
    <w:pPr>
      <w:spacing w:before="100" w:after="100"/>
    </w:pPr>
    <w:rPr>
      <w:rFonts w:eastAsia="Times New Roman"/>
      <w:color w:val="auto"/>
      <w:sz w:val="24"/>
      <w:lang w:val="en-AU"/>
    </w:rPr>
  </w:style>
  <w:style w:type="paragraph" w:customStyle="1" w:styleId="Paragraphedeliste11">
    <w:name w:val="Paragraphe de liste11"/>
    <w:basedOn w:val="Normal"/>
    <w:pPr>
      <w:spacing w:after="240"/>
      <w:ind w:left="720"/>
    </w:pPr>
    <w:rPr>
      <w:rFonts w:eastAsia="Times New Roman"/>
    </w:rPr>
  </w:style>
  <w:style w:type="character" w:customStyle="1" w:styleId="CharChar8">
    <w:name w:val="Char Char8"/>
    <w:rPr>
      <w:rFonts w:ascii="Times New Roman" w:hAnsi="Times New Roman"/>
      <w:noProof w:val="0"/>
      <w:sz w:val="24"/>
      <w:lang w:val="x-none"/>
    </w:rPr>
  </w:style>
  <w:style w:type="character" w:customStyle="1" w:styleId="CharChar10">
    <w:name w:val="Char Char10"/>
    <w:rPr>
      <w:rFonts w:ascii="Times New Roman" w:hAnsi="Times New Roman"/>
      <w:noProof w:val="0"/>
      <w:color w:val="000000"/>
      <w:sz w:val="20"/>
      <w:lang w:val="en-GB"/>
    </w:rPr>
  </w:style>
  <w:style w:type="character" w:styleId="HTMLCite">
    <w:name w:val="HTML Cite"/>
    <w:rPr>
      <w:i/>
    </w:rPr>
  </w:style>
  <w:style w:type="character" w:customStyle="1" w:styleId="st">
    <w:name w:val="st"/>
  </w:style>
  <w:style w:type="paragraph" w:customStyle="1" w:styleId="TitleofManuscript">
    <w:name w:val="Title of Manuscript"/>
    <w:basedOn w:val="Normal"/>
    <w:rPr>
      <w:rFonts w:eastAsia="Times New Roman"/>
      <w:b/>
      <w:spacing w:val="-4"/>
      <w:sz w:val="32"/>
      <w:lang w:val="en-CA"/>
    </w:rPr>
  </w:style>
  <w:style w:type="character" w:customStyle="1" w:styleId="author2">
    <w:name w:val="author2"/>
  </w:style>
  <w:style w:type="character" w:customStyle="1" w:styleId="al-hide">
    <w:name w:val="al-hide"/>
  </w:style>
  <w:style w:type="character" w:customStyle="1" w:styleId="al-vis">
    <w:name w:val="al-vis"/>
  </w:style>
  <w:style w:type="character" w:customStyle="1" w:styleId="container2">
    <w:name w:val="container2"/>
  </w:style>
  <w:style w:type="character" w:customStyle="1" w:styleId="year">
    <w:name w:val="year"/>
  </w:style>
  <w:style w:type="paragraph" w:customStyle="1" w:styleId="Normal-pool">
    <w:name w:val="Normal-pool"/>
    <w:pPr>
      <w:tabs>
        <w:tab w:val="left" w:pos="1247"/>
        <w:tab w:val="left" w:pos="1814"/>
        <w:tab w:val="left" w:pos="2381"/>
        <w:tab w:val="left" w:pos="2948"/>
        <w:tab w:val="left" w:pos="3515"/>
        <w:tab w:val="left" w:pos="4082"/>
      </w:tabs>
    </w:pPr>
    <w:rPr>
      <w:rFonts w:ascii="Times New Roman" w:eastAsia="Times New Roman" w:hAnsi="Times New Roman"/>
      <w:lang w:val="en-GB" w:eastAsia="en-US"/>
    </w:rPr>
  </w:style>
  <w:style w:type="character" w:styleId="Strong">
    <w:name w:val="Strong"/>
    <w:qFormat/>
    <w:rPr>
      <w:b/>
      <w:bCs/>
    </w:rPr>
  </w:style>
  <w:style w:type="paragraph" w:customStyle="1" w:styleId="a5">
    <w:name w:val="スタイル"/>
    <w:pPr>
      <w:widowControl w:val="0"/>
      <w:autoSpaceDE w:val="0"/>
      <w:autoSpaceDN w:val="0"/>
      <w:adjustRightInd w:val="0"/>
    </w:pPr>
    <w:rPr>
      <w:rFonts w:ascii="Times New Roman" w:eastAsia="MS Mincho" w:hAnsi="Times New Roman"/>
      <w:sz w:val="24"/>
      <w:szCs w:val="24"/>
      <w:lang w:val="en-US" w:eastAsia="ja-JP"/>
    </w:rPr>
  </w:style>
  <w:style w:type="paragraph" w:customStyle="1" w:styleId="NormalNonumber">
    <w:name w:val="Normal_No_number"/>
    <w:basedOn w:val="Normal"/>
    <w:rsid w:val="00D55777"/>
    <w:pPr>
      <w:spacing w:after="120"/>
      <w:ind w:left="1247"/>
    </w:pPr>
    <w:rPr>
      <w:rFonts w:eastAsia="Times New Roman"/>
      <w:color w:val="auto"/>
      <w:sz w:val="20"/>
      <w:szCs w:val="20"/>
      <w:lang w:eastAsia="en-US"/>
    </w:rPr>
  </w:style>
  <w:style w:type="paragraph" w:customStyle="1" w:styleId="CH2">
    <w:name w:val="CH2"/>
    <w:basedOn w:val="Normal"/>
    <w:next w:val="Normalnumber"/>
    <w:rsid w:val="004F79DC"/>
    <w:pPr>
      <w:keepNext/>
      <w:keepLines/>
      <w:tabs>
        <w:tab w:val="right" w:pos="851"/>
        <w:tab w:val="left" w:pos="1247"/>
      </w:tabs>
      <w:suppressAutoHyphens/>
      <w:spacing w:before="80" w:after="120"/>
      <w:ind w:left="1247" w:right="284" w:hanging="1247"/>
    </w:pPr>
    <w:rPr>
      <w:rFonts w:eastAsia="Times New Roman"/>
      <w:b/>
      <w:color w:val="auto"/>
      <w:sz w:val="24"/>
      <w:lang w:eastAsia="en-US"/>
    </w:rPr>
  </w:style>
  <w:style w:type="table" w:styleId="TableGrid">
    <w:name w:val="Table Grid"/>
    <w:basedOn w:val="TableNormal"/>
    <w:uiPriority w:val="39"/>
    <w:rsid w:val="00843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1">
    <w:name w:val="Title1"/>
    <w:rsid w:val="00F3759D"/>
    <w:pPr>
      <w:jc w:val="center"/>
      <w:outlineLvl w:val="0"/>
    </w:pPr>
    <w:rPr>
      <w:rFonts w:ascii="Times New Roman" w:hAnsi="Times New Roman"/>
      <w:b/>
      <w:bCs/>
      <w:caps/>
      <w:sz w:val="24"/>
      <w:szCs w:val="24"/>
      <w:lang w:val="en-GB"/>
    </w:rPr>
  </w:style>
  <w:style w:type="paragraph" w:customStyle="1" w:styleId="List10">
    <w:name w:val="List1"/>
    <w:basedOn w:val="Normal"/>
    <w:autoRedefine/>
    <w:rsid w:val="00F3759D"/>
    <w:pPr>
      <w:tabs>
        <w:tab w:val="num" w:pos="810"/>
      </w:tabs>
      <w:spacing w:before="120" w:after="120"/>
      <w:ind w:left="810" w:hanging="360"/>
    </w:pPr>
    <w:rPr>
      <w:rFonts w:eastAsia="MS ??"/>
      <w:color w:val="auto"/>
    </w:rPr>
  </w:style>
  <w:style w:type="paragraph" w:customStyle="1" w:styleId="CommentSubject30">
    <w:name w:val="Comment Subject3"/>
    <w:basedOn w:val="CommentText"/>
    <w:next w:val="CommentText"/>
    <w:rsid w:val="00F3759D"/>
    <w:pPr>
      <w:widowControl w:val="0"/>
      <w:tabs>
        <w:tab w:val="clear" w:pos="720"/>
        <w:tab w:val="clear" w:pos="1440"/>
        <w:tab w:val="clear" w:pos="5760"/>
      </w:tabs>
      <w:spacing w:after="120"/>
    </w:pPr>
    <w:rPr>
      <w:rFonts w:eastAsia="Times New Roman"/>
      <w:b/>
      <w:bCs/>
      <w:kern w:val="2"/>
      <w:lang w:val="en-US"/>
    </w:rPr>
  </w:style>
  <w:style w:type="table" w:styleId="DarkList-Accent3">
    <w:name w:val="Dark List Accent 3"/>
    <w:basedOn w:val="TableNormal"/>
    <w:uiPriority w:val="61"/>
    <w:rsid w:val="00F3759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losingChar">
    <w:name w:val="Closing Char"/>
    <w:link w:val="Closing"/>
    <w:semiHidden/>
    <w:rsid w:val="00AA13B1"/>
    <w:rPr>
      <w:rFonts w:ascii="Times New Roman" w:hAnsi="Times New Roman"/>
      <w:color w:val="000000"/>
      <w:sz w:val="22"/>
      <w:szCs w:val="24"/>
      <w:lang w:val="en-GB" w:eastAsia="nl-NL"/>
    </w:rPr>
  </w:style>
  <w:style w:type="character" w:customStyle="1" w:styleId="FooterChar1">
    <w:name w:val="Footer Char1"/>
    <w:link w:val="Footer"/>
    <w:rsid w:val="0030116D"/>
    <w:rPr>
      <w:rFonts w:ascii="Times New Roman" w:hAnsi="Times New Roman"/>
      <w:color w:val="000000"/>
      <w:sz w:val="22"/>
      <w:szCs w:val="24"/>
      <w:lang w:val="en-GB" w:eastAsia="nl-NL"/>
    </w:rPr>
  </w:style>
  <w:style w:type="character" w:customStyle="1" w:styleId="BodyTextChar1">
    <w:name w:val="Body Text Char1"/>
    <w:aliases w:val="Char Char Char4,Body Text Char Char Char Char Char Char1,Body Text Char Char Char Char Char11,Char Char3 Char1"/>
    <w:semiHidden/>
    <w:locked/>
    <w:rsid w:val="00F42B63"/>
    <w:rPr>
      <w:rFonts w:ascii="Times New Roman" w:eastAsia="SimSun" w:hAnsi="Times New Roman" w:cs="Times New Roman" w:hint="default"/>
      <w:color w:val="000000"/>
      <w:szCs w:val="24"/>
      <w:lang w:val="en-GB" w:eastAsia="nl-NL"/>
    </w:rPr>
  </w:style>
  <w:style w:type="character" w:customStyle="1" w:styleId="BodyTextChar2">
    <w:name w:val="Body Text Char2"/>
    <w:uiPriority w:val="99"/>
    <w:semiHidden/>
    <w:rsid w:val="00F42B63"/>
    <w:rPr>
      <w:rFonts w:ascii="Times New Roman" w:eastAsia="Times New Roman" w:hAnsi="Times New Roman"/>
      <w:sz w:val="24"/>
      <w:lang w:val="en-US" w:eastAsia="fr-FR"/>
    </w:rPr>
  </w:style>
  <w:style w:type="character" w:customStyle="1" w:styleId="BodyTextChar3">
    <w:name w:val="Body Text Char3"/>
    <w:aliases w:val=" Char Char Char,Body Text Char Char Char Char Char Char2,Body Text Char Char Char Char Char2,Char Char3 Char2"/>
    <w:link w:val="BodyText"/>
    <w:semiHidden/>
    <w:rsid w:val="00F42B63"/>
    <w:rPr>
      <w:rFonts w:ascii="Times New Roman" w:hAnsi="Times New Roman"/>
      <w:color w:val="000000"/>
      <w:sz w:val="22"/>
      <w:szCs w:val="24"/>
      <w:lang w:val="en-GB"/>
    </w:rPr>
  </w:style>
  <w:style w:type="paragraph" w:styleId="ListParagraph">
    <w:name w:val="List Paragraph"/>
    <w:basedOn w:val="Normal"/>
    <w:uiPriority w:val="34"/>
    <w:qFormat/>
    <w:rsid w:val="00F82BCB"/>
    <w:pPr>
      <w:autoSpaceDE w:val="0"/>
      <w:autoSpaceDN w:val="0"/>
      <w:ind w:left="720"/>
    </w:pPr>
    <w:rPr>
      <w:rFonts w:ascii="Cambria" w:eastAsia="Times New Roman" w:hAnsi="Cambria"/>
      <w:color w:val="auto"/>
    </w:rPr>
  </w:style>
  <w:style w:type="paragraph" w:styleId="Revision">
    <w:name w:val="Revision"/>
    <w:rsid w:val="00F82BCB"/>
    <w:rPr>
      <w:rFonts w:ascii="Times New Roman" w:eastAsia="Times New Roman" w:hAnsi="Times New Roman"/>
      <w:sz w:val="24"/>
      <w:lang w:val="en-US" w:eastAsia="en-GB"/>
    </w:rPr>
  </w:style>
  <w:style w:type="paragraph" w:styleId="Bibliography">
    <w:name w:val="Bibliography"/>
    <w:basedOn w:val="Normal"/>
    <w:next w:val="Normal"/>
    <w:rsid w:val="00F82BCB"/>
    <w:pPr>
      <w:spacing w:before="120" w:after="120"/>
      <w:ind w:left="1134"/>
      <w:jc w:val="both"/>
    </w:pPr>
    <w:rPr>
      <w:rFonts w:eastAsia="Times New Roman"/>
      <w:color w:val="auto"/>
    </w:rPr>
  </w:style>
  <w:style w:type="paragraph" w:customStyle="1" w:styleId="NoteLevel2">
    <w:name w:val="Note Level 2"/>
    <w:basedOn w:val="Normal"/>
    <w:rsid w:val="00F82BCB"/>
    <w:rPr>
      <w:rFonts w:ascii="Arial" w:eastAsia="Times New Roman" w:hAnsi="Arial"/>
      <w:color w:val="auto"/>
    </w:rPr>
  </w:style>
  <w:style w:type="paragraph" w:styleId="Quote">
    <w:name w:val="Quote"/>
    <w:basedOn w:val="Normal"/>
    <w:next w:val="Normal"/>
    <w:link w:val="QuoteChar"/>
    <w:qFormat/>
    <w:rsid w:val="00F82BCB"/>
    <w:pPr>
      <w:spacing w:before="200"/>
      <w:ind w:left="360" w:right="360"/>
    </w:pPr>
    <w:rPr>
      <w:i/>
      <w:sz w:val="24"/>
      <w:szCs w:val="20"/>
      <w:lang w:val="nl-NL"/>
    </w:rPr>
  </w:style>
  <w:style w:type="character" w:customStyle="1" w:styleId="QuoteChar1">
    <w:name w:val="Quote Char1"/>
    <w:rsid w:val="00F82BCB"/>
    <w:rPr>
      <w:rFonts w:ascii="Times New Roman" w:hAnsi="Times New Roman"/>
      <w:i/>
      <w:iCs/>
      <w:color w:val="404040"/>
      <w:sz w:val="22"/>
      <w:szCs w:val="24"/>
      <w:lang w:val="en-GB"/>
    </w:rPr>
  </w:style>
  <w:style w:type="paragraph" w:styleId="IntenseQuote">
    <w:name w:val="Intense Quote"/>
    <w:basedOn w:val="Normal"/>
    <w:next w:val="Normal"/>
    <w:link w:val="IntenseQuoteChar"/>
    <w:qFormat/>
    <w:rsid w:val="00F82BCB"/>
    <w:pPr>
      <w:pBdr>
        <w:bottom w:val="single" w:sz="6" w:space="1" w:color="auto"/>
      </w:pBdr>
      <w:spacing w:before="200" w:after="280"/>
      <w:ind w:left="1008" w:right="1152"/>
      <w:jc w:val="both"/>
    </w:pPr>
    <w:rPr>
      <w:b/>
      <w:i/>
      <w:color w:val="808080"/>
      <w:sz w:val="24"/>
      <w:szCs w:val="20"/>
      <w:lang w:val="nl-NL"/>
    </w:rPr>
  </w:style>
  <w:style w:type="character" w:customStyle="1" w:styleId="IntenseQuoteChar1">
    <w:name w:val="Intense Quote Char1"/>
    <w:rsid w:val="00F82BCB"/>
    <w:rPr>
      <w:rFonts w:ascii="Times New Roman" w:hAnsi="Times New Roman"/>
      <w:i/>
      <w:iCs/>
      <w:color w:val="5B9BD5"/>
      <w:sz w:val="22"/>
      <w:szCs w:val="24"/>
      <w:lang w:val="en-GB"/>
    </w:rPr>
  </w:style>
  <w:style w:type="character" w:styleId="SubtleEmphasis">
    <w:name w:val="Subtle Emphasis"/>
    <w:qFormat/>
    <w:rsid w:val="00F82BCB"/>
    <w:rPr>
      <w:i/>
    </w:rPr>
  </w:style>
  <w:style w:type="character" w:styleId="IntenseEmphasis">
    <w:name w:val="Intense Emphasis"/>
    <w:qFormat/>
    <w:rsid w:val="00F82BCB"/>
    <w:rPr>
      <w:b/>
    </w:rPr>
  </w:style>
  <w:style w:type="character" w:styleId="SubtleReference">
    <w:name w:val="Subtle Reference"/>
    <w:qFormat/>
    <w:rsid w:val="00F82BCB"/>
    <w:rPr>
      <w:smallCaps/>
    </w:rPr>
  </w:style>
  <w:style w:type="character" w:styleId="IntenseReference">
    <w:name w:val="Intense Reference"/>
    <w:qFormat/>
    <w:rsid w:val="00F82BCB"/>
    <w:rPr>
      <w:smallCaps/>
      <w:spacing w:val="5"/>
      <w:u w:val="single"/>
    </w:rPr>
  </w:style>
  <w:style w:type="character" w:styleId="BookTitle">
    <w:name w:val="Book Title"/>
    <w:qFormat/>
    <w:rsid w:val="00F82BCB"/>
    <w:rPr>
      <w:i/>
      <w:smallCaps/>
      <w:spacing w:val="5"/>
    </w:rPr>
  </w:style>
  <w:style w:type="paragraph" w:styleId="TOCHeading">
    <w:name w:val="TOC Heading"/>
    <w:basedOn w:val="Heading1"/>
    <w:next w:val="Normal"/>
    <w:qFormat/>
    <w:rsid w:val="00F82BCB"/>
    <w:pPr>
      <w:keepLines/>
      <w:tabs>
        <w:tab w:val="left" w:pos="1134"/>
      </w:tabs>
      <w:spacing w:after="240" w:line="240" w:lineRule="auto"/>
      <w:ind w:left="0" w:firstLine="0"/>
      <w:jc w:val="left"/>
      <w:outlineLvl w:val="9"/>
    </w:pPr>
    <w:rPr>
      <w:rFonts w:ascii="Arial" w:eastAsia="Times New Roman" w:hAnsi="Arial"/>
      <w:color w:val="auto"/>
      <w:sz w:val="32"/>
    </w:rPr>
  </w:style>
  <w:style w:type="table" w:styleId="LightList-Accent3">
    <w:name w:val="Light List Accent 3"/>
    <w:basedOn w:val="TableNormal"/>
    <w:uiPriority w:val="61"/>
    <w:rsid w:val="00F82BC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itleChar1">
    <w:name w:val="Title Char1"/>
    <w:link w:val="Title"/>
    <w:rsid w:val="001F455C"/>
    <w:rPr>
      <w:rFonts w:ascii="Calibri" w:eastAsia="MS ????" w:hAnsi="Calibri"/>
      <w:color w:val="000080"/>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325">
      <w:bodyDiv w:val="1"/>
      <w:marLeft w:val="0"/>
      <w:marRight w:val="0"/>
      <w:marTop w:val="0"/>
      <w:marBottom w:val="0"/>
      <w:divBdr>
        <w:top w:val="none" w:sz="0" w:space="0" w:color="auto"/>
        <w:left w:val="none" w:sz="0" w:space="0" w:color="auto"/>
        <w:bottom w:val="none" w:sz="0" w:space="0" w:color="auto"/>
        <w:right w:val="none" w:sz="0" w:space="0" w:color="auto"/>
      </w:divBdr>
    </w:div>
    <w:div w:id="3947130">
      <w:bodyDiv w:val="1"/>
      <w:marLeft w:val="0"/>
      <w:marRight w:val="0"/>
      <w:marTop w:val="0"/>
      <w:marBottom w:val="0"/>
      <w:divBdr>
        <w:top w:val="none" w:sz="0" w:space="0" w:color="auto"/>
        <w:left w:val="none" w:sz="0" w:space="0" w:color="auto"/>
        <w:bottom w:val="none" w:sz="0" w:space="0" w:color="auto"/>
        <w:right w:val="none" w:sz="0" w:space="0" w:color="auto"/>
      </w:divBdr>
    </w:div>
    <w:div w:id="6911225">
      <w:bodyDiv w:val="1"/>
      <w:marLeft w:val="0"/>
      <w:marRight w:val="0"/>
      <w:marTop w:val="0"/>
      <w:marBottom w:val="0"/>
      <w:divBdr>
        <w:top w:val="none" w:sz="0" w:space="0" w:color="auto"/>
        <w:left w:val="none" w:sz="0" w:space="0" w:color="auto"/>
        <w:bottom w:val="none" w:sz="0" w:space="0" w:color="auto"/>
        <w:right w:val="none" w:sz="0" w:space="0" w:color="auto"/>
      </w:divBdr>
    </w:div>
    <w:div w:id="88619667">
      <w:bodyDiv w:val="1"/>
      <w:marLeft w:val="0"/>
      <w:marRight w:val="0"/>
      <w:marTop w:val="0"/>
      <w:marBottom w:val="0"/>
      <w:divBdr>
        <w:top w:val="none" w:sz="0" w:space="0" w:color="auto"/>
        <w:left w:val="none" w:sz="0" w:space="0" w:color="auto"/>
        <w:bottom w:val="none" w:sz="0" w:space="0" w:color="auto"/>
        <w:right w:val="none" w:sz="0" w:space="0" w:color="auto"/>
      </w:divBdr>
    </w:div>
    <w:div w:id="140007863">
      <w:bodyDiv w:val="1"/>
      <w:marLeft w:val="0"/>
      <w:marRight w:val="0"/>
      <w:marTop w:val="0"/>
      <w:marBottom w:val="0"/>
      <w:divBdr>
        <w:top w:val="none" w:sz="0" w:space="0" w:color="auto"/>
        <w:left w:val="none" w:sz="0" w:space="0" w:color="auto"/>
        <w:bottom w:val="none" w:sz="0" w:space="0" w:color="auto"/>
        <w:right w:val="none" w:sz="0" w:space="0" w:color="auto"/>
      </w:divBdr>
    </w:div>
    <w:div w:id="180240170">
      <w:bodyDiv w:val="1"/>
      <w:marLeft w:val="0"/>
      <w:marRight w:val="0"/>
      <w:marTop w:val="0"/>
      <w:marBottom w:val="0"/>
      <w:divBdr>
        <w:top w:val="none" w:sz="0" w:space="0" w:color="auto"/>
        <w:left w:val="none" w:sz="0" w:space="0" w:color="auto"/>
        <w:bottom w:val="none" w:sz="0" w:space="0" w:color="auto"/>
        <w:right w:val="none" w:sz="0" w:space="0" w:color="auto"/>
      </w:divBdr>
    </w:div>
    <w:div w:id="258678846">
      <w:bodyDiv w:val="1"/>
      <w:marLeft w:val="0"/>
      <w:marRight w:val="0"/>
      <w:marTop w:val="0"/>
      <w:marBottom w:val="0"/>
      <w:divBdr>
        <w:top w:val="none" w:sz="0" w:space="0" w:color="auto"/>
        <w:left w:val="none" w:sz="0" w:space="0" w:color="auto"/>
        <w:bottom w:val="none" w:sz="0" w:space="0" w:color="auto"/>
        <w:right w:val="none" w:sz="0" w:space="0" w:color="auto"/>
      </w:divBdr>
    </w:div>
    <w:div w:id="291254711">
      <w:bodyDiv w:val="1"/>
      <w:marLeft w:val="0"/>
      <w:marRight w:val="0"/>
      <w:marTop w:val="0"/>
      <w:marBottom w:val="0"/>
      <w:divBdr>
        <w:top w:val="none" w:sz="0" w:space="0" w:color="auto"/>
        <w:left w:val="none" w:sz="0" w:space="0" w:color="auto"/>
        <w:bottom w:val="none" w:sz="0" w:space="0" w:color="auto"/>
        <w:right w:val="none" w:sz="0" w:space="0" w:color="auto"/>
      </w:divBdr>
    </w:div>
    <w:div w:id="373577701">
      <w:bodyDiv w:val="1"/>
      <w:marLeft w:val="0"/>
      <w:marRight w:val="0"/>
      <w:marTop w:val="0"/>
      <w:marBottom w:val="0"/>
      <w:divBdr>
        <w:top w:val="none" w:sz="0" w:space="0" w:color="auto"/>
        <w:left w:val="none" w:sz="0" w:space="0" w:color="auto"/>
        <w:bottom w:val="none" w:sz="0" w:space="0" w:color="auto"/>
        <w:right w:val="none" w:sz="0" w:space="0" w:color="auto"/>
      </w:divBdr>
    </w:div>
    <w:div w:id="422459386">
      <w:bodyDiv w:val="1"/>
      <w:marLeft w:val="0"/>
      <w:marRight w:val="0"/>
      <w:marTop w:val="0"/>
      <w:marBottom w:val="0"/>
      <w:divBdr>
        <w:top w:val="none" w:sz="0" w:space="0" w:color="auto"/>
        <w:left w:val="none" w:sz="0" w:space="0" w:color="auto"/>
        <w:bottom w:val="none" w:sz="0" w:space="0" w:color="auto"/>
        <w:right w:val="none" w:sz="0" w:space="0" w:color="auto"/>
      </w:divBdr>
    </w:div>
    <w:div w:id="450830006">
      <w:bodyDiv w:val="1"/>
      <w:marLeft w:val="0"/>
      <w:marRight w:val="0"/>
      <w:marTop w:val="0"/>
      <w:marBottom w:val="0"/>
      <w:divBdr>
        <w:top w:val="none" w:sz="0" w:space="0" w:color="auto"/>
        <w:left w:val="none" w:sz="0" w:space="0" w:color="auto"/>
        <w:bottom w:val="none" w:sz="0" w:space="0" w:color="auto"/>
        <w:right w:val="none" w:sz="0" w:space="0" w:color="auto"/>
      </w:divBdr>
    </w:div>
    <w:div w:id="500202522">
      <w:bodyDiv w:val="1"/>
      <w:marLeft w:val="0"/>
      <w:marRight w:val="0"/>
      <w:marTop w:val="0"/>
      <w:marBottom w:val="0"/>
      <w:divBdr>
        <w:top w:val="none" w:sz="0" w:space="0" w:color="auto"/>
        <w:left w:val="none" w:sz="0" w:space="0" w:color="auto"/>
        <w:bottom w:val="none" w:sz="0" w:space="0" w:color="auto"/>
        <w:right w:val="none" w:sz="0" w:space="0" w:color="auto"/>
      </w:divBdr>
    </w:div>
    <w:div w:id="665210879">
      <w:bodyDiv w:val="1"/>
      <w:marLeft w:val="0"/>
      <w:marRight w:val="0"/>
      <w:marTop w:val="0"/>
      <w:marBottom w:val="0"/>
      <w:divBdr>
        <w:top w:val="none" w:sz="0" w:space="0" w:color="auto"/>
        <w:left w:val="none" w:sz="0" w:space="0" w:color="auto"/>
        <w:bottom w:val="none" w:sz="0" w:space="0" w:color="auto"/>
        <w:right w:val="none" w:sz="0" w:space="0" w:color="auto"/>
      </w:divBdr>
    </w:div>
    <w:div w:id="734165004">
      <w:bodyDiv w:val="1"/>
      <w:marLeft w:val="0"/>
      <w:marRight w:val="0"/>
      <w:marTop w:val="0"/>
      <w:marBottom w:val="0"/>
      <w:divBdr>
        <w:top w:val="none" w:sz="0" w:space="0" w:color="auto"/>
        <w:left w:val="none" w:sz="0" w:space="0" w:color="auto"/>
        <w:bottom w:val="none" w:sz="0" w:space="0" w:color="auto"/>
        <w:right w:val="none" w:sz="0" w:space="0" w:color="auto"/>
      </w:divBdr>
    </w:div>
    <w:div w:id="785126033">
      <w:bodyDiv w:val="1"/>
      <w:marLeft w:val="0"/>
      <w:marRight w:val="0"/>
      <w:marTop w:val="0"/>
      <w:marBottom w:val="0"/>
      <w:divBdr>
        <w:top w:val="none" w:sz="0" w:space="0" w:color="auto"/>
        <w:left w:val="none" w:sz="0" w:space="0" w:color="auto"/>
        <w:bottom w:val="none" w:sz="0" w:space="0" w:color="auto"/>
        <w:right w:val="none" w:sz="0" w:space="0" w:color="auto"/>
      </w:divBdr>
    </w:div>
    <w:div w:id="826750539">
      <w:bodyDiv w:val="1"/>
      <w:marLeft w:val="0"/>
      <w:marRight w:val="0"/>
      <w:marTop w:val="0"/>
      <w:marBottom w:val="0"/>
      <w:divBdr>
        <w:top w:val="none" w:sz="0" w:space="0" w:color="auto"/>
        <w:left w:val="none" w:sz="0" w:space="0" w:color="auto"/>
        <w:bottom w:val="none" w:sz="0" w:space="0" w:color="auto"/>
        <w:right w:val="none" w:sz="0" w:space="0" w:color="auto"/>
      </w:divBdr>
    </w:div>
    <w:div w:id="870412846">
      <w:bodyDiv w:val="1"/>
      <w:marLeft w:val="0"/>
      <w:marRight w:val="0"/>
      <w:marTop w:val="0"/>
      <w:marBottom w:val="0"/>
      <w:divBdr>
        <w:top w:val="none" w:sz="0" w:space="0" w:color="auto"/>
        <w:left w:val="none" w:sz="0" w:space="0" w:color="auto"/>
        <w:bottom w:val="none" w:sz="0" w:space="0" w:color="auto"/>
        <w:right w:val="none" w:sz="0" w:space="0" w:color="auto"/>
      </w:divBdr>
    </w:div>
    <w:div w:id="941106225">
      <w:bodyDiv w:val="1"/>
      <w:marLeft w:val="0"/>
      <w:marRight w:val="0"/>
      <w:marTop w:val="0"/>
      <w:marBottom w:val="0"/>
      <w:divBdr>
        <w:top w:val="none" w:sz="0" w:space="0" w:color="auto"/>
        <w:left w:val="none" w:sz="0" w:space="0" w:color="auto"/>
        <w:bottom w:val="none" w:sz="0" w:space="0" w:color="auto"/>
        <w:right w:val="none" w:sz="0" w:space="0" w:color="auto"/>
      </w:divBdr>
    </w:div>
    <w:div w:id="996689890">
      <w:bodyDiv w:val="1"/>
      <w:marLeft w:val="0"/>
      <w:marRight w:val="0"/>
      <w:marTop w:val="0"/>
      <w:marBottom w:val="0"/>
      <w:divBdr>
        <w:top w:val="none" w:sz="0" w:space="0" w:color="auto"/>
        <w:left w:val="none" w:sz="0" w:space="0" w:color="auto"/>
        <w:bottom w:val="none" w:sz="0" w:space="0" w:color="auto"/>
        <w:right w:val="none" w:sz="0" w:space="0" w:color="auto"/>
      </w:divBdr>
      <w:divsChild>
        <w:div w:id="162962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7059">
      <w:bodyDiv w:val="1"/>
      <w:marLeft w:val="0"/>
      <w:marRight w:val="0"/>
      <w:marTop w:val="0"/>
      <w:marBottom w:val="0"/>
      <w:divBdr>
        <w:top w:val="none" w:sz="0" w:space="0" w:color="auto"/>
        <w:left w:val="none" w:sz="0" w:space="0" w:color="auto"/>
        <w:bottom w:val="none" w:sz="0" w:space="0" w:color="auto"/>
        <w:right w:val="none" w:sz="0" w:space="0" w:color="auto"/>
      </w:divBdr>
    </w:div>
    <w:div w:id="1088423949">
      <w:bodyDiv w:val="1"/>
      <w:marLeft w:val="0"/>
      <w:marRight w:val="0"/>
      <w:marTop w:val="0"/>
      <w:marBottom w:val="0"/>
      <w:divBdr>
        <w:top w:val="none" w:sz="0" w:space="0" w:color="auto"/>
        <w:left w:val="none" w:sz="0" w:space="0" w:color="auto"/>
        <w:bottom w:val="none" w:sz="0" w:space="0" w:color="auto"/>
        <w:right w:val="none" w:sz="0" w:space="0" w:color="auto"/>
      </w:divBdr>
    </w:div>
    <w:div w:id="1104230999">
      <w:bodyDiv w:val="1"/>
      <w:marLeft w:val="0"/>
      <w:marRight w:val="0"/>
      <w:marTop w:val="0"/>
      <w:marBottom w:val="0"/>
      <w:divBdr>
        <w:top w:val="none" w:sz="0" w:space="0" w:color="auto"/>
        <w:left w:val="none" w:sz="0" w:space="0" w:color="auto"/>
        <w:bottom w:val="none" w:sz="0" w:space="0" w:color="auto"/>
        <w:right w:val="none" w:sz="0" w:space="0" w:color="auto"/>
      </w:divBdr>
    </w:div>
    <w:div w:id="1155342833">
      <w:bodyDiv w:val="1"/>
      <w:marLeft w:val="0"/>
      <w:marRight w:val="0"/>
      <w:marTop w:val="0"/>
      <w:marBottom w:val="0"/>
      <w:divBdr>
        <w:top w:val="none" w:sz="0" w:space="0" w:color="auto"/>
        <w:left w:val="none" w:sz="0" w:space="0" w:color="auto"/>
        <w:bottom w:val="none" w:sz="0" w:space="0" w:color="auto"/>
        <w:right w:val="none" w:sz="0" w:space="0" w:color="auto"/>
      </w:divBdr>
    </w:div>
    <w:div w:id="1234395499">
      <w:bodyDiv w:val="1"/>
      <w:marLeft w:val="0"/>
      <w:marRight w:val="0"/>
      <w:marTop w:val="0"/>
      <w:marBottom w:val="0"/>
      <w:divBdr>
        <w:top w:val="none" w:sz="0" w:space="0" w:color="auto"/>
        <w:left w:val="none" w:sz="0" w:space="0" w:color="auto"/>
        <w:bottom w:val="none" w:sz="0" w:space="0" w:color="auto"/>
        <w:right w:val="none" w:sz="0" w:space="0" w:color="auto"/>
      </w:divBdr>
    </w:div>
    <w:div w:id="1239556900">
      <w:bodyDiv w:val="1"/>
      <w:marLeft w:val="0"/>
      <w:marRight w:val="0"/>
      <w:marTop w:val="0"/>
      <w:marBottom w:val="0"/>
      <w:divBdr>
        <w:top w:val="none" w:sz="0" w:space="0" w:color="auto"/>
        <w:left w:val="none" w:sz="0" w:space="0" w:color="auto"/>
        <w:bottom w:val="none" w:sz="0" w:space="0" w:color="auto"/>
        <w:right w:val="none" w:sz="0" w:space="0" w:color="auto"/>
      </w:divBdr>
    </w:div>
    <w:div w:id="1463767972">
      <w:bodyDiv w:val="1"/>
      <w:marLeft w:val="0"/>
      <w:marRight w:val="0"/>
      <w:marTop w:val="0"/>
      <w:marBottom w:val="0"/>
      <w:divBdr>
        <w:top w:val="none" w:sz="0" w:space="0" w:color="auto"/>
        <w:left w:val="none" w:sz="0" w:space="0" w:color="auto"/>
        <w:bottom w:val="none" w:sz="0" w:space="0" w:color="auto"/>
        <w:right w:val="none" w:sz="0" w:space="0" w:color="auto"/>
      </w:divBdr>
    </w:div>
    <w:div w:id="1547327326">
      <w:bodyDiv w:val="1"/>
      <w:marLeft w:val="0"/>
      <w:marRight w:val="0"/>
      <w:marTop w:val="0"/>
      <w:marBottom w:val="0"/>
      <w:divBdr>
        <w:top w:val="none" w:sz="0" w:space="0" w:color="auto"/>
        <w:left w:val="none" w:sz="0" w:space="0" w:color="auto"/>
        <w:bottom w:val="none" w:sz="0" w:space="0" w:color="auto"/>
        <w:right w:val="none" w:sz="0" w:space="0" w:color="auto"/>
      </w:divBdr>
    </w:div>
    <w:div w:id="1591309807">
      <w:bodyDiv w:val="1"/>
      <w:marLeft w:val="0"/>
      <w:marRight w:val="0"/>
      <w:marTop w:val="0"/>
      <w:marBottom w:val="0"/>
      <w:divBdr>
        <w:top w:val="none" w:sz="0" w:space="0" w:color="auto"/>
        <w:left w:val="none" w:sz="0" w:space="0" w:color="auto"/>
        <w:bottom w:val="none" w:sz="0" w:space="0" w:color="auto"/>
        <w:right w:val="none" w:sz="0" w:space="0" w:color="auto"/>
      </w:divBdr>
    </w:div>
    <w:div w:id="1727414042">
      <w:bodyDiv w:val="1"/>
      <w:marLeft w:val="0"/>
      <w:marRight w:val="0"/>
      <w:marTop w:val="0"/>
      <w:marBottom w:val="0"/>
      <w:divBdr>
        <w:top w:val="none" w:sz="0" w:space="0" w:color="auto"/>
        <w:left w:val="none" w:sz="0" w:space="0" w:color="auto"/>
        <w:bottom w:val="none" w:sz="0" w:space="0" w:color="auto"/>
        <w:right w:val="none" w:sz="0" w:space="0" w:color="auto"/>
      </w:divBdr>
    </w:div>
    <w:div w:id="1806392855">
      <w:bodyDiv w:val="1"/>
      <w:marLeft w:val="0"/>
      <w:marRight w:val="0"/>
      <w:marTop w:val="0"/>
      <w:marBottom w:val="0"/>
      <w:divBdr>
        <w:top w:val="none" w:sz="0" w:space="0" w:color="auto"/>
        <w:left w:val="none" w:sz="0" w:space="0" w:color="auto"/>
        <w:bottom w:val="none" w:sz="0" w:space="0" w:color="auto"/>
        <w:right w:val="none" w:sz="0" w:space="0" w:color="auto"/>
      </w:divBdr>
    </w:div>
    <w:div w:id="1830830790">
      <w:bodyDiv w:val="1"/>
      <w:marLeft w:val="0"/>
      <w:marRight w:val="0"/>
      <w:marTop w:val="0"/>
      <w:marBottom w:val="0"/>
      <w:divBdr>
        <w:top w:val="none" w:sz="0" w:space="0" w:color="auto"/>
        <w:left w:val="none" w:sz="0" w:space="0" w:color="auto"/>
        <w:bottom w:val="none" w:sz="0" w:space="0" w:color="auto"/>
        <w:right w:val="none" w:sz="0" w:space="0" w:color="auto"/>
      </w:divBdr>
    </w:div>
    <w:div w:id="1867519803">
      <w:bodyDiv w:val="1"/>
      <w:marLeft w:val="0"/>
      <w:marRight w:val="0"/>
      <w:marTop w:val="0"/>
      <w:marBottom w:val="0"/>
      <w:divBdr>
        <w:top w:val="none" w:sz="0" w:space="0" w:color="auto"/>
        <w:left w:val="none" w:sz="0" w:space="0" w:color="auto"/>
        <w:bottom w:val="none" w:sz="0" w:space="0" w:color="auto"/>
        <w:right w:val="none" w:sz="0" w:space="0" w:color="auto"/>
      </w:divBdr>
    </w:div>
    <w:div w:id="1875459245">
      <w:bodyDiv w:val="1"/>
      <w:marLeft w:val="0"/>
      <w:marRight w:val="0"/>
      <w:marTop w:val="0"/>
      <w:marBottom w:val="0"/>
      <w:divBdr>
        <w:top w:val="none" w:sz="0" w:space="0" w:color="auto"/>
        <w:left w:val="none" w:sz="0" w:space="0" w:color="auto"/>
        <w:bottom w:val="none" w:sz="0" w:space="0" w:color="auto"/>
        <w:right w:val="none" w:sz="0" w:space="0" w:color="auto"/>
      </w:divBdr>
    </w:div>
    <w:div w:id="1897620336">
      <w:bodyDiv w:val="1"/>
      <w:marLeft w:val="0"/>
      <w:marRight w:val="0"/>
      <w:marTop w:val="0"/>
      <w:marBottom w:val="0"/>
      <w:divBdr>
        <w:top w:val="none" w:sz="0" w:space="0" w:color="auto"/>
        <w:left w:val="none" w:sz="0" w:space="0" w:color="auto"/>
        <w:bottom w:val="none" w:sz="0" w:space="0" w:color="auto"/>
        <w:right w:val="none" w:sz="0" w:space="0" w:color="auto"/>
      </w:divBdr>
    </w:div>
    <w:div w:id="1931809024">
      <w:bodyDiv w:val="1"/>
      <w:marLeft w:val="0"/>
      <w:marRight w:val="0"/>
      <w:marTop w:val="0"/>
      <w:marBottom w:val="0"/>
      <w:divBdr>
        <w:top w:val="none" w:sz="0" w:space="0" w:color="auto"/>
        <w:left w:val="none" w:sz="0" w:space="0" w:color="auto"/>
        <w:bottom w:val="none" w:sz="0" w:space="0" w:color="auto"/>
        <w:right w:val="none" w:sz="0" w:space="0" w:color="auto"/>
      </w:divBdr>
    </w:div>
    <w:div w:id="2053382272">
      <w:bodyDiv w:val="1"/>
      <w:marLeft w:val="0"/>
      <w:marRight w:val="0"/>
      <w:marTop w:val="0"/>
      <w:marBottom w:val="0"/>
      <w:divBdr>
        <w:top w:val="none" w:sz="0" w:space="0" w:color="auto"/>
        <w:left w:val="none" w:sz="0" w:space="0" w:color="auto"/>
        <w:bottom w:val="none" w:sz="0" w:space="0" w:color="auto"/>
        <w:right w:val="none" w:sz="0" w:space="0" w:color="auto"/>
      </w:divBdr>
    </w:div>
    <w:div w:id="2124568951">
      <w:bodyDiv w:val="1"/>
      <w:marLeft w:val="0"/>
      <w:marRight w:val="0"/>
      <w:marTop w:val="0"/>
      <w:marBottom w:val="0"/>
      <w:divBdr>
        <w:top w:val="none" w:sz="0" w:space="0" w:color="auto"/>
        <w:left w:val="none" w:sz="0" w:space="0" w:color="auto"/>
        <w:bottom w:val="none" w:sz="0" w:space="0" w:color="auto"/>
        <w:right w:val="none" w:sz="0" w:space="0" w:color="auto"/>
      </w:divBdr>
    </w:div>
    <w:div w:id="21283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nmillenniumproject.org/documents/EnvironSust_summary.pdf" TargetMode="External"/><Relationship Id="rId21"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8.png"/><Relationship Id="rId68" Type="http://schemas.openxmlformats.org/officeDocument/2006/relationships/footer" Target="footer7.xml"/><Relationship Id="rId84" Type="http://schemas.openxmlformats.org/officeDocument/2006/relationships/hyperlink" Target="http://www.fao.org/docrep/T0713E/T0713E00.htm" TargetMode="External"/><Relationship Id="rId89" Type="http://schemas.openxmlformats.org/officeDocument/2006/relationships/image" Target="media/image34.emf"/><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businessdictionary.com/definition/associated.html" TargetMode="Externa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chart" Target="charts/chart1.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header" Target="header9.xml"/><Relationship Id="rId74" Type="http://schemas.openxmlformats.org/officeDocument/2006/relationships/image" Target="media/image32.png"/><Relationship Id="rId79" Type="http://schemas.openxmlformats.org/officeDocument/2006/relationships/hyperlink" Target="http://www.unep.org/ozonaction/Portals/105/documents/events/MOP27/MOP27_RibanataakeAwira_PacificIslandsFisheriesForum-01Nov2015.pdf" TargetMode="External"/><Relationship Id="rId87" Type="http://schemas.openxmlformats.org/officeDocument/2006/relationships/footer" Target="footer9.xm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hyperlink" Target="http://www.fao.org/3/a-i3720e/i3720e01.pdf" TargetMode="External"/><Relationship Id="rId90" Type="http://schemas.openxmlformats.org/officeDocument/2006/relationships/image" Target="media/image35.emf"/><Relationship Id="rId95" Type="http://schemas.openxmlformats.org/officeDocument/2006/relationships/image" Target="media/image40.emf"/><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www.businessdictionary.com/definition/manufacturing.html" TargetMode="External"/><Relationship Id="rId30" Type="http://schemas.openxmlformats.org/officeDocument/2006/relationships/hyperlink" Target="http://www.businessdictionary.com/definition/factor.html"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chart" Target="charts/chart3.xml"/><Relationship Id="rId64" Type="http://schemas.openxmlformats.org/officeDocument/2006/relationships/chart" Target="charts/chart5.xml"/><Relationship Id="rId69" Type="http://schemas.openxmlformats.org/officeDocument/2006/relationships/footer" Target="footer8.xml"/><Relationship Id="rId77" Type="http://schemas.openxmlformats.org/officeDocument/2006/relationships/image" Target="media/image33.png"/><Relationship Id="rId100" Type="http://schemas.openxmlformats.org/officeDocument/2006/relationships/image" Target="media/image45.emf"/><Relationship Id="rId8" Type="http://schemas.microsoft.com/office/2007/relationships/stylesWithEffects" Target="stylesWithEffects.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hyperlink" Target="http://www.unep.org/ozonaction/Portals/105/documents/events/MOP27/MOP-27_PauldeLarminat_Fisheries-01Nov2015.pdf" TargetMode="External"/><Relationship Id="rId85" Type="http://schemas.openxmlformats.org/officeDocument/2006/relationships/hyperlink" Target="https://www.spc.int/coastfish/Sections/Development/FDSPublications/FDSManuals/HLL/HLL4s.pdf" TargetMode="External"/><Relationship Id="rId93" Type="http://schemas.openxmlformats.org/officeDocument/2006/relationships/image" Target="media/image38.emf"/><Relationship Id="rId98"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header" Target="header10.xml"/><Relationship Id="rId103"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header" Target="header11.xml"/><Relationship Id="rId75" Type="http://schemas.openxmlformats.org/officeDocument/2006/relationships/hyperlink" Target="mailto:-56.2@5.2" TargetMode="External"/><Relationship Id="rId83" Type="http://schemas.openxmlformats.org/officeDocument/2006/relationships/hyperlink" Target="http://frdc.com.au/research/Final_Reports/2013-227-DLD%20Appendix%20report.pdf" TargetMode="External"/><Relationship Id="rId88" Type="http://schemas.openxmlformats.org/officeDocument/2006/relationships/footer" Target="footer10.xml"/><Relationship Id="rId91" Type="http://schemas.openxmlformats.org/officeDocument/2006/relationships/image" Target="media/image36.emf"/><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www.businessdictionary.com/definition/environment.html" TargetMode="Externa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webSettings" Target="webSettings.xml"/><Relationship Id="rId31" Type="http://schemas.openxmlformats.org/officeDocument/2006/relationships/hyperlink" Target="https://osr.ashrae.org/default.aspx"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chart" Target="charts/chart4.xml"/><Relationship Id="rId65" Type="http://schemas.openxmlformats.org/officeDocument/2006/relationships/header" Target="header8.xml"/><Relationship Id="rId73" Type="http://schemas.openxmlformats.org/officeDocument/2006/relationships/image" Target="media/image31.jpeg"/><Relationship Id="rId78" Type="http://schemas.openxmlformats.org/officeDocument/2006/relationships/hyperlink" Target="http://www.unep.org/ozonaction/Portals/105/documents/events/MOP26/OASI%202014%20low%20resolution.pdf" TargetMode="External"/><Relationship Id="rId81" Type="http://schemas.openxmlformats.org/officeDocument/2006/relationships/hyperlink" Target="http://ec.europa.eu/clima/policies/transport/shipping/docs/ghg_ships_report_en.pdf" TargetMode="External"/><Relationship Id="rId86" Type="http://schemas.openxmlformats.org/officeDocument/2006/relationships/header" Target="header12.xml"/><Relationship Id="rId94" Type="http://schemas.openxmlformats.org/officeDocument/2006/relationships/image" Target="media/image39.emf"/><Relationship Id="rId99" Type="http://schemas.openxmlformats.org/officeDocument/2006/relationships/image" Target="media/image44.emf"/><Relationship Id="rId10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eader" Target="header3.xml"/><Relationship Id="rId39" Type="http://schemas.openxmlformats.org/officeDocument/2006/relationships/image" Target="media/image7.png"/><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chart" Target="charts/chart2.xml"/><Relationship Id="rId76" Type="http://schemas.openxmlformats.org/officeDocument/2006/relationships/hyperlink" Target="mailto:-56.2@5.2" TargetMode="External"/><Relationship Id="rId97" Type="http://schemas.openxmlformats.org/officeDocument/2006/relationships/image" Target="media/image4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Teap%20Styl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Task%20Force%20XXVII-4\%23%2360427%202050%20NA5%20sector%20demands%20(manuf&amp;service)%20BAU%20and%20XXVI-9%20BA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Task%20Force%20XXVII-4\%23%2360530%20Conversion%20perio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Task%20Force%20XXVI-9\%23%2350910%20Separate%20subsector%20graphs%20MIT%203-4-5%20conversion.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NA5 BAU without and with regulations </a:t>
            </a:r>
          </a:p>
        </c:rich>
      </c:tx>
      <c:overlay val="0"/>
      <c:spPr>
        <a:noFill/>
        <a:ln>
          <a:noFill/>
        </a:ln>
        <a:effectLst/>
      </c:spPr>
    </c:title>
    <c:autoTitleDeleted val="0"/>
    <c:plotArea>
      <c:layout/>
      <c:lineChart>
        <c:grouping val="standard"/>
        <c:varyColors val="0"/>
        <c:ser>
          <c:idx val="0"/>
          <c:order val="0"/>
          <c:tx>
            <c:strRef>
              <c:f>Sheet1!$O$22</c:f>
              <c:strCache>
                <c:ptCount val="1"/>
                <c:pt idx="0">
                  <c:v>With regulations</c:v>
                </c:pt>
              </c:strCache>
            </c:strRef>
          </c:tx>
          <c:marker>
            <c:symbol val="none"/>
          </c:marker>
          <c:cat>
            <c:numRef>
              <c:f>Sheet1!$P$21:$X$21</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Sheet1!$P$22:$X$22</c:f>
              <c:numCache>
                <c:formatCode>#,##0</c:formatCode>
                <c:ptCount val="9"/>
                <c:pt idx="0">
                  <c:v>263983.8</c:v>
                </c:pt>
                <c:pt idx="1">
                  <c:v>365808.5</c:v>
                </c:pt>
                <c:pt idx="2">
                  <c:v>349820</c:v>
                </c:pt>
                <c:pt idx="3">
                  <c:v>364739</c:v>
                </c:pt>
                <c:pt idx="4">
                  <c:v>378600</c:v>
                </c:pt>
                <c:pt idx="5">
                  <c:v>418102</c:v>
                </c:pt>
                <c:pt idx="6">
                  <c:v>479228</c:v>
                </c:pt>
                <c:pt idx="7">
                  <c:v>549973</c:v>
                </c:pt>
                <c:pt idx="8">
                  <c:v>631964</c:v>
                </c:pt>
              </c:numCache>
            </c:numRef>
          </c:val>
          <c:smooth val="0"/>
        </c:ser>
        <c:ser>
          <c:idx val="1"/>
          <c:order val="1"/>
          <c:tx>
            <c:strRef>
              <c:f>Sheet1!$O$23</c:f>
              <c:strCache>
                <c:ptCount val="1"/>
                <c:pt idx="0">
                  <c:v>No regulations</c:v>
                </c:pt>
              </c:strCache>
            </c:strRef>
          </c:tx>
          <c:spPr>
            <a:ln w="28575" cap="rnd">
              <a:solidFill>
                <a:schemeClr val="accent2"/>
              </a:solidFill>
              <a:round/>
            </a:ln>
            <a:effectLst/>
          </c:spPr>
          <c:marker>
            <c:symbol val="none"/>
          </c:marker>
          <c:cat>
            <c:numRef>
              <c:f>Sheet1!$P$21:$X$21</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Sheet1!$P$23:$X$23</c:f>
              <c:numCache>
                <c:formatCode>#,##0</c:formatCode>
                <c:ptCount val="9"/>
                <c:pt idx="0">
                  <c:v>263983.8</c:v>
                </c:pt>
                <c:pt idx="1">
                  <c:v>365808.5</c:v>
                </c:pt>
                <c:pt idx="2">
                  <c:v>405586.2</c:v>
                </c:pt>
                <c:pt idx="3">
                  <c:v>466391.1</c:v>
                </c:pt>
                <c:pt idx="4">
                  <c:v>530751.19999999995</c:v>
                </c:pt>
              </c:numCache>
            </c:numRef>
          </c:val>
          <c:smooth val="0"/>
        </c:ser>
        <c:dLbls>
          <c:showLegendKey val="0"/>
          <c:showVal val="0"/>
          <c:showCatName val="0"/>
          <c:showSerName val="0"/>
          <c:showPercent val="0"/>
          <c:showBubbleSize val="0"/>
        </c:dLbls>
        <c:marker val="1"/>
        <c:smooth val="0"/>
        <c:axId val="346562560"/>
        <c:axId val="346564480"/>
      </c:lineChart>
      <c:catAx>
        <c:axId val="346562560"/>
        <c:scaling>
          <c:orientation val="minMax"/>
        </c:scaling>
        <c:delete val="0"/>
        <c:axPos val="b"/>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Year</a:t>
                </a:r>
              </a:p>
            </c:rich>
          </c:tx>
          <c:overlay val="0"/>
          <c:spPr>
            <a:noFill/>
            <a:ln>
              <a:noFill/>
            </a:ln>
            <a:effectLst/>
          </c:spPr>
        </c:title>
        <c:numFmt formatCode="General" sourceLinked="1"/>
        <c:majorTickMark val="out"/>
        <c:minorTickMark val="none"/>
        <c:tickLblPos val="nextTo"/>
        <c:spPr>
          <a:noFill/>
          <a:ln cmpd="sng"/>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46564480"/>
        <c:crosses val="autoZero"/>
        <c:auto val="1"/>
        <c:lblAlgn val="ctr"/>
        <c:lblOffset val="100"/>
        <c:noMultiLvlLbl val="0"/>
      </c:catAx>
      <c:valAx>
        <c:axId val="346564480"/>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nl-NL" sz="1200"/>
                  <a:t>kt CO2 eq</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62560"/>
        <c:crosses val="autoZero"/>
        <c:crossBetween val="midCat"/>
      </c:valAx>
      <c:spPr>
        <a:noFill/>
        <a:ln w="6350">
          <a:solidFill>
            <a:schemeClr val="tx1"/>
          </a:solid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MIT3'!$C$114</c:f>
          <c:strCache>
            <c:ptCount val="1"/>
            <c:pt idx="0">
              <c:v>A5 MIT3 demand HFC + GWP300 (Mt CO2)</c:v>
            </c:pt>
          </c:strCache>
        </c:strRef>
      </c:tx>
      <c:layout>
        <c:manualLayout>
          <c:xMode val="edge"/>
          <c:yMode val="edge"/>
          <c:x val="0.12835981865903126"/>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MIT3'!$C$115</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MIT3'!$C$116:$C$126</c:f>
              <c:numCache>
                <c:formatCode>#,##0</c:formatCode>
                <c:ptCount val="11"/>
                <c:pt idx="0">
                  <c:v>875.26387753529548</c:v>
                </c:pt>
                <c:pt idx="1">
                  <c:v>890.56179961994371</c:v>
                </c:pt>
                <c:pt idx="2">
                  <c:v>890.89272527872834</c:v>
                </c:pt>
                <c:pt idx="3">
                  <c:v>886.16805293699861</c:v>
                </c:pt>
                <c:pt idx="4">
                  <c:v>875.20200246386514</c:v>
                </c:pt>
                <c:pt idx="5">
                  <c:v>856.21406086467312</c:v>
                </c:pt>
                <c:pt idx="6">
                  <c:v>829.02948131346704</c:v>
                </c:pt>
                <c:pt idx="7">
                  <c:v>794.7766640632201</c:v>
                </c:pt>
                <c:pt idx="8">
                  <c:v>754.61458320907207</c:v>
                </c:pt>
                <c:pt idx="9">
                  <c:v>709.999494574094</c:v>
                </c:pt>
                <c:pt idx="10">
                  <c:v>661.59716951892699</c:v>
                </c:pt>
              </c:numCache>
            </c:numRef>
          </c:yVal>
          <c:smooth val="1"/>
        </c:ser>
        <c:ser>
          <c:idx val="1"/>
          <c:order val="1"/>
          <c:tx>
            <c:strRef>
              <c:f>'A5 MIT3'!$D$115</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MIT3'!$D$116:$D$126</c:f>
              <c:numCache>
                <c:formatCode>#,##0</c:formatCode>
                <c:ptCount val="11"/>
                <c:pt idx="0">
                  <c:v>867.02324671987265</c:v>
                </c:pt>
                <c:pt idx="1">
                  <c:v>873.23018714871455</c:v>
                </c:pt>
                <c:pt idx="2">
                  <c:v>863.63060517404222</c:v>
                </c:pt>
                <c:pt idx="3">
                  <c:v>848.13486824423228</c:v>
                </c:pt>
                <c:pt idx="4">
                  <c:v>825.56093546027364</c:v>
                </c:pt>
                <c:pt idx="5">
                  <c:v>794.13061088511097</c:v>
                </c:pt>
                <c:pt idx="6">
                  <c:v>753.67274101413341</c:v>
                </c:pt>
                <c:pt idx="7">
                  <c:v>705.32982518614915</c:v>
                </c:pt>
                <c:pt idx="8">
                  <c:v>650.26720689950605</c:v>
                </c:pt>
                <c:pt idx="9">
                  <c:v>590.03274026327108</c:v>
                </c:pt>
                <c:pt idx="10">
                  <c:v>522.8074758625703</c:v>
                </c:pt>
              </c:numCache>
            </c:numRef>
          </c:yVal>
          <c:smooth val="1"/>
        </c:ser>
        <c:ser>
          <c:idx val="2"/>
          <c:order val="2"/>
          <c:tx>
            <c:strRef>
              <c:f>'A5 MIT3'!$E$115</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MIT3'!$E$116:$E$126</c:f>
              <c:numCache>
                <c:formatCode>#,##0</c:formatCode>
                <c:ptCount val="11"/>
                <c:pt idx="0">
                  <c:v>854.66230049673879</c:v>
                </c:pt>
                <c:pt idx="1">
                  <c:v>847.23276844187092</c:v>
                </c:pt>
                <c:pt idx="2">
                  <c:v>822.73742501701281</c:v>
                </c:pt>
                <c:pt idx="3">
                  <c:v>791.08509120508313</c:v>
                </c:pt>
                <c:pt idx="4">
                  <c:v>751.09933495488633</c:v>
                </c:pt>
                <c:pt idx="5">
                  <c:v>701.00543591576798</c:v>
                </c:pt>
                <c:pt idx="6">
                  <c:v>640.63763056513312</c:v>
                </c:pt>
                <c:pt idx="7">
                  <c:v>571.1595668705429</c:v>
                </c:pt>
                <c:pt idx="8">
                  <c:v>504.75662764145596</c:v>
                </c:pt>
                <c:pt idx="9">
                  <c:v>482.62525591636182</c:v>
                </c:pt>
                <c:pt idx="10">
                  <c:v>461.07102859820139</c:v>
                </c:pt>
              </c:numCache>
            </c:numRef>
          </c:yVal>
          <c:smooth val="1"/>
        </c:ser>
        <c:ser>
          <c:idx val="3"/>
          <c:order val="3"/>
          <c:tx>
            <c:strRef>
              <c:f>'A5 MIT3'!$F$115</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MIT3'!$B$116:$B$126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MIT3'!$F$116:$F$126</c:f>
              <c:numCache>
                <c:formatCode>#,##0</c:formatCode>
                <c:ptCount val="11"/>
                <c:pt idx="0">
                  <c:v>834.06072345818177</c:v>
                </c:pt>
                <c:pt idx="1">
                  <c:v>803.90373726379801</c:v>
                </c:pt>
                <c:pt idx="2">
                  <c:v>754.5821247552974</c:v>
                </c:pt>
                <c:pt idx="3">
                  <c:v>696.00212947316822</c:v>
                </c:pt>
                <c:pt idx="4">
                  <c:v>626.99666744590763</c:v>
                </c:pt>
                <c:pt idx="5">
                  <c:v>545.79681096686318</c:v>
                </c:pt>
                <c:pt idx="6">
                  <c:v>485.01322418369523</c:v>
                </c:pt>
                <c:pt idx="7">
                  <c:v>464.71743668002307</c:v>
                </c:pt>
                <c:pt idx="8">
                  <c:v>442.70276572343732</c:v>
                </c:pt>
                <c:pt idx="9">
                  <c:v>420.81557657676387</c:v>
                </c:pt>
                <c:pt idx="10">
                  <c:v>399.71736908179923</c:v>
                </c:pt>
              </c:numCache>
            </c:numRef>
          </c:yVal>
          <c:smooth val="1"/>
        </c:ser>
        <c:dLbls>
          <c:showLegendKey val="0"/>
          <c:showVal val="0"/>
          <c:showCatName val="0"/>
          <c:showSerName val="0"/>
          <c:showPercent val="0"/>
          <c:showBubbleSize val="0"/>
        </c:dLbls>
        <c:axId val="346587520"/>
        <c:axId val="346589440"/>
      </c:scatterChart>
      <c:valAx>
        <c:axId val="34658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346589440"/>
        <c:crosses val="autoZero"/>
        <c:crossBetween val="midCat"/>
      </c:valAx>
      <c:valAx>
        <c:axId val="34658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46587520"/>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t>Conversion period impact on total demand</a:t>
            </a:r>
          </a:p>
        </c:rich>
      </c:tx>
      <c:overlay val="0"/>
      <c:spPr>
        <a:noFill/>
        <a:ln w="25400">
          <a:noFill/>
        </a:ln>
      </c:spPr>
    </c:title>
    <c:autoTitleDeleted val="0"/>
    <c:plotArea>
      <c:layout>
        <c:manualLayout>
          <c:layoutTarget val="inner"/>
          <c:xMode val="edge"/>
          <c:yMode val="edge"/>
          <c:x val="0.12303937007874018"/>
          <c:y val="0.13626193464947317"/>
          <c:w val="0.84762729658792657"/>
          <c:h val="0.60057286317471181"/>
        </c:manualLayout>
      </c:layout>
      <c:lineChart>
        <c:grouping val="standard"/>
        <c:varyColors val="0"/>
        <c:ser>
          <c:idx val="0"/>
          <c:order val="0"/>
          <c:tx>
            <c:strRef>
              <c:f>Sheet1!$B$12</c:f>
              <c:strCache>
                <c:ptCount val="1"/>
                <c:pt idx="0">
                  <c:v>BAU</c:v>
                </c:pt>
              </c:strCache>
            </c:strRef>
          </c:tx>
          <c:spPr>
            <a:ln w="28575" cap="rnd">
              <a:solidFill>
                <a:schemeClr val="accent1"/>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Sheet1!$C$12:$S$12</c:f>
              <c:numCache>
                <c:formatCode>General</c:formatCode>
                <c:ptCount val="17"/>
                <c:pt idx="1">
                  <c:v>917</c:v>
                </c:pt>
                <c:pt idx="2">
                  <c:v>1087</c:v>
                </c:pt>
                <c:pt idx="3">
                  <c:v>1263</c:v>
                </c:pt>
              </c:numCache>
            </c:numRef>
          </c:val>
          <c:smooth val="0"/>
        </c:ser>
        <c:ser>
          <c:idx val="2"/>
          <c:order val="2"/>
          <c:tx>
            <c:strRef>
              <c:f>Sheet1!$B$14</c:f>
              <c:strCache>
                <c:ptCount val="1"/>
                <c:pt idx="0">
                  <c:v>12 years</c:v>
                </c:pt>
              </c:strCache>
            </c:strRef>
          </c:tx>
          <c:spPr>
            <a:ln w="28575" cap="rnd">
              <a:solidFill>
                <a:schemeClr val="accent3"/>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Sheet1!$C$14:$S$14</c:f>
              <c:numCache>
                <c:formatCode>General</c:formatCode>
                <c:ptCount val="17"/>
                <c:pt idx="1">
                  <c:v>864</c:v>
                </c:pt>
                <c:pt idx="2">
                  <c:v>890</c:v>
                </c:pt>
                <c:pt idx="3">
                  <c:v>873</c:v>
                </c:pt>
                <c:pt idx="4">
                  <c:v>834</c:v>
                </c:pt>
                <c:pt idx="5">
                  <c:v>770</c:v>
                </c:pt>
                <c:pt idx="6">
                  <c:v>662</c:v>
                </c:pt>
                <c:pt idx="7">
                  <c:v>645</c:v>
                </c:pt>
                <c:pt idx="8">
                  <c:v>627</c:v>
                </c:pt>
                <c:pt idx="9">
                  <c:v>588</c:v>
                </c:pt>
                <c:pt idx="10">
                  <c:v>567</c:v>
                </c:pt>
                <c:pt idx="11">
                  <c:v>545</c:v>
                </c:pt>
                <c:pt idx="12">
                  <c:v>522</c:v>
                </c:pt>
                <c:pt idx="13">
                  <c:v>500</c:v>
                </c:pt>
                <c:pt idx="14">
                  <c:v>528</c:v>
                </c:pt>
                <c:pt idx="15">
                  <c:v>560</c:v>
                </c:pt>
                <c:pt idx="16">
                  <c:v>594</c:v>
                </c:pt>
              </c:numCache>
            </c:numRef>
          </c:val>
          <c:smooth val="0"/>
        </c:ser>
        <c:ser>
          <c:idx val="3"/>
          <c:order val="3"/>
          <c:tx>
            <c:strRef>
              <c:f>Sheet1!$B$15</c:f>
              <c:strCache>
                <c:ptCount val="1"/>
                <c:pt idx="0">
                  <c:v>18 years</c:v>
                </c:pt>
              </c:strCache>
            </c:strRef>
          </c:tx>
          <c:spPr>
            <a:ln w="28575" cap="rnd">
              <a:solidFill>
                <a:schemeClr val="accent4"/>
              </a:solidFill>
              <a:round/>
            </a:ln>
            <a:effectLst/>
          </c:spPr>
          <c:marker>
            <c:symbol val="none"/>
          </c:marker>
          <c:cat>
            <c:numRef>
              <c:f>Sheet1!$C$11:$S$11</c:f>
              <c:numCache>
                <c:formatCode>General</c:formatCode>
                <c:ptCount val="17"/>
                <c:pt idx="0">
                  <c:v>2018</c:v>
                </c:pt>
                <c:pt idx="1">
                  <c:v>2020</c:v>
                </c:pt>
                <c:pt idx="2">
                  <c:v>2022</c:v>
                </c:pt>
                <c:pt idx="3">
                  <c:v>2024</c:v>
                </c:pt>
                <c:pt idx="4">
                  <c:v>2026</c:v>
                </c:pt>
                <c:pt idx="5">
                  <c:v>2028</c:v>
                </c:pt>
                <c:pt idx="6">
                  <c:v>2030</c:v>
                </c:pt>
                <c:pt idx="7">
                  <c:v>2032</c:v>
                </c:pt>
                <c:pt idx="8">
                  <c:v>2034</c:v>
                </c:pt>
                <c:pt idx="9">
                  <c:v>2036</c:v>
                </c:pt>
                <c:pt idx="10">
                  <c:v>2038</c:v>
                </c:pt>
                <c:pt idx="11">
                  <c:v>2040</c:v>
                </c:pt>
                <c:pt idx="12">
                  <c:v>2042</c:v>
                </c:pt>
                <c:pt idx="13">
                  <c:v>2044</c:v>
                </c:pt>
                <c:pt idx="14">
                  <c:v>2046</c:v>
                </c:pt>
                <c:pt idx="15">
                  <c:v>2048</c:v>
                </c:pt>
                <c:pt idx="16">
                  <c:v>2050</c:v>
                </c:pt>
              </c:numCache>
            </c:numRef>
          </c:cat>
          <c:val>
            <c:numRef>
              <c:f>Sheet1!$C$15:$S$15</c:f>
              <c:numCache>
                <c:formatCode>General</c:formatCode>
                <c:ptCount val="17"/>
                <c:pt idx="1">
                  <c:v>894</c:v>
                </c:pt>
                <c:pt idx="2">
                  <c:v>935</c:v>
                </c:pt>
                <c:pt idx="3">
                  <c:v>960</c:v>
                </c:pt>
                <c:pt idx="4">
                  <c:v>980</c:v>
                </c:pt>
                <c:pt idx="5">
                  <c:v>992</c:v>
                </c:pt>
                <c:pt idx="6">
                  <c:v>1000</c:v>
                </c:pt>
                <c:pt idx="7">
                  <c:v>995</c:v>
                </c:pt>
                <c:pt idx="8">
                  <c:v>970</c:v>
                </c:pt>
                <c:pt idx="9">
                  <c:v>915</c:v>
                </c:pt>
                <c:pt idx="10">
                  <c:v>855</c:v>
                </c:pt>
                <c:pt idx="11">
                  <c:v>815</c:v>
                </c:pt>
                <c:pt idx="12">
                  <c:v>770</c:v>
                </c:pt>
                <c:pt idx="13">
                  <c:v>730</c:v>
                </c:pt>
                <c:pt idx="14">
                  <c:v>685</c:v>
                </c:pt>
                <c:pt idx="15">
                  <c:v>660</c:v>
                </c:pt>
                <c:pt idx="16">
                  <c:v>636</c:v>
                </c:pt>
              </c:numCache>
            </c:numRef>
          </c:val>
          <c:smooth val="0"/>
        </c:ser>
        <c:dLbls>
          <c:showLegendKey val="0"/>
          <c:showVal val="0"/>
          <c:showCatName val="0"/>
          <c:showSerName val="0"/>
          <c:showPercent val="0"/>
          <c:showBubbleSize val="0"/>
        </c:dLbls>
        <c:marker val="1"/>
        <c:smooth val="0"/>
        <c:axId val="346608768"/>
        <c:axId val="346610688"/>
      </c:lineChart>
      <c:scatterChart>
        <c:scatterStyle val="lineMarker"/>
        <c:varyColors val="0"/>
        <c:ser>
          <c:idx val="1"/>
          <c:order val="1"/>
          <c:tx>
            <c:strRef>
              <c:f>Sheet1!$B$13</c:f>
              <c:strCache>
                <c:ptCount val="1"/>
                <c:pt idx="0">
                  <c:v>6 years</c:v>
                </c:pt>
              </c:strCache>
            </c:strRef>
          </c:tx>
          <c:spPr>
            <a:ln w="28575" cap="rnd">
              <a:solidFill>
                <a:schemeClr val="accent2"/>
              </a:solidFill>
              <a:round/>
            </a:ln>
            <a:effectLst/>
          </c:spPr>
          <c:yVal>
            <c:numRef>
              <c:f>Sheet1!$C$13:$S$13</c:f>
              <c:numCache>
                <c:formatCode>General</c:formatCode>
                <c:ptCount val="17"/>
                <c:pt idx="1">
                  <c:v>834</c:v>
                </c:pt>
                <c:pt idx="2">
                  <c:v>765</c:v>
                </c:pt>
                <c:pt idx="3">
                  <c:v>610</c:v>
                </c:pt>
                <c:pt idx="4">
                  <c:v>430</c:v>
                </c:pt>
                <c:pt idx="5">
                  <c:v>416</c:v>
                </c:pt>
                <c:pt idx="6">
                  <c:v>401</c:v>
                </c:pt>
                <c:pt idx="7">
                  <c:v>401</c:v>
                </c:pt>
                <c:pt idx="8">
                  <c:v>390</c:v>
                </c:pt>
                <c:pt idx="9">
                  <c:v>400</c:v>
                </c:pt>
                <c:pt idx="10">
                  <c:v>416</c:v>
                </c:pt>
                <c:pt idx="11">
                  <c:v>450</c:v>
                </c:pt>
                <c:pt idx="12">
                  <c:v>472</c:v>
                </c:pt>
                <c:pt idx="13">
                  <c:v>498</c:v>
                </c:pt>
                <c:pt idx="14">
                  <c:v>528</c:v>
                </c:pt>
                <c:pt idx="15">
                  <c:v>560</c:v>
                </c:pt>
                <c:pt idx="16">
                  <c:v>594</c:v>
                </c:pt>
              </c:numCache>
            </c:numRef>
          </c:yVal>
          <c:smooth val="0"/>
        </c:ser>
        <c:dLbls>
          <c:showLegendKey val="0"/>
          <c:showVal val="0"/>
          <c:showCatName val="0"/>
          <c:showSerName val="0"/>
          <c:showPercent val="0"/>
          <c:showBubbleSize val="0"/>
        </c:dLbls>
        <c:axId val="346608768"/>
        <c:axId val="346610688"/>
      </c:scatterChart>
      <c:catAx>
        <c:axId val="346608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Year</a:t>
                </a:r>
              </a:p>
            </c:rich>
          </c:tx>
          <c:overlay val="0"/>
          <c:spPr>
            <a:noFill/>
            <a:ln w="25400">
              <a:noFill/>
            </a:ln>
          </c:spPr>
        </c:title>
        <c:numFmt formatCode="@"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10688"/>
        <c:crosses val="autoZero"/>
        <c:auto val="0"/>
        <c:lblAlgn val="ctr"/>
        <c:lblOffset val="100"/>
        <c:tickMarkSkip val="2"/>
        <c:noMultiLvlLbl val="0"/>
      </c:catAx>
      <c:valAx>
        <c:axId val="34661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Demand (Mt CO</a:t>
                </a:r>
                <a:r>
                  <a:rPr lang="nl-NL" baseline="-25000"/>
                  <a:t>2</a:t>
                </a:r>
                <a:r>
                  <a:rPr lang="nl-NL"/>
                  <a:t>-eq)</a:t>
                </a:r>
              </a:p>
            </c:rich>
          </c:tx>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0876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MIT4'!$C$80</c:f>
          <c:strCache>
            <c:ptCount val="1"/>
            <c:pt idx="0">
              <c:v>A5 MIT4 demand HFC + GWP300 (Mt CO2)</c:v>
            </c:pt>
          </c:strCache>
        </c:strRef>
      </c:tx>
      <c:layout>
        <c:manualLayout>
          <c:xMode val="edge"/>
          <c:yMode val="edge"/>
          <c:x val="0.1344204247196373"/>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MIT4'!$C$81</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MIT4'!$C$82:$C$92</c:f>
              <c:numCache>
                <c:formatCode>#,##0</c:formatCode>
                <c:ptCount val="11"/>
                <c:pt idx="0">
                  <c:v>899.03870496689058</c:v>
                </c:pt>
                <c:pt idx="1">
                  <c:v>964.50230545884756</c:v>
                </c:pt>
                <c:pt idx="2">
                  <c:v>1020.7123899812808</c:v>
                </c:pt>
                <c:pt idx="3">
                  <c:v>1077.071459546906</c:v>
                </c:pt>
                <c:pt idx="4">
                  <c:v>1132.3617540115292</c:v>
                </c:pt>
                <c:pt idx="5">
                  <c:v>1151.0812481586729</c:v>
                </c:pt>
                <c:pt idx="6">
                  <c:v>1139.5047587515273</c:v>
                </c:pt>
                <c:pt idx="7">
                  <c:v>1119.2131875119878</c:v>
                </c:pt>
                <c:pt idx="8">
                  <c:v>1091.8415699942357</c:v>
                </c:pt>
                <c:pt idx="9">
                  <c:v>1058.7980018978456</c:v>
                </c:pt>
                <c:pt idx="10">
                  <c:v>1020.711707684022</c:v>
                </c:pt>
              </c:numCache>
            </c:numRef>
          </c:yVal>
          <c:smooth val="1"/>
        </c:ser>
        <c:ser>
          <c:idx val="1"/>
          <c:order val="1"/>
          <c:tx>
            <c:strRef>
              <c:f>'A5 MIT4'!$D$81</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MIT4'!$D$82:$D$92</c:f>
              <c:numCache>
                <c:formatCode>#,##0</c:formatCode>
                <c:ptCount val="11"/>
                <c:pt idx="0">
                  <c:v>895.55303963778704</c:v>
                </c:pt>
                <c:pt idx="1">
                  <c:v>957.19612128766698</c:v>
                </c:pt>
                <c:pt idx="2">
                  <c:v>1009.258139129146</c:v>
                </c:pt>
                <c:pt idx="3">
                  <c:v>1061.1364589775903</c:v>
                </c:pt>
                <c:pt idx="4">
                  <c:v>1111.6133206888055</c:v>
                </c:pt>
                <c:pt idx="5">
                  <c:v>1118.4463496515309</c:v>
                </c:pt>
                <c:pt idx="6">
                  <c:v>1093.9317629504669</c:v>
                </c:pt>
                <c:pt idx="7">
                  <c:v>1059.6578110697401</c:v>
                </c:pt>
                <c:pt idx="8">
                  <c:v>1017.2679302384312</c:v>
                </c:pt>
                <c:pt idx="9">
                  <c:v>968.25871797772584</c:v>
                </c:pt>
                <c:pt idx="10">
                  <c:v>907.20214608088691</c:v>
                </c:pt>
              </c:numCache>
            </c:numRef>
          </c:yVal>
          <c:smooth val="1"/>
        </c:ser>
        <c:ser>
          <c:idx val="2"/>
          <c:order val="2"/>
          <c:tx>
            <c:strRef>
              <c:f>'A5 MIT4'!$E$81</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MIT4'!$E$82:$E$92</c:f>
              <c:numCache>
                <c:formatCode>#,##0</c:formatCode>
                <c:ptCount val="11"/>
                <c:pt idx="0">
                  <c:v>890.32454164413161</c:v>
                </c:pt>
                <c:pt idx="1">
                  <c:v>946.23684503089623</c:v>
                </c:pt>
                <c:pt idx="2">
                  <c:v>992.07676285094385</c:v>
                </c:pt>
                <c:pt idx="3">
                  <c:v>1037.2339581236163</c:v>
                </c:pt>
                <c:pt idx="4">
                  <c:v>1080.4906707047203</c:v>
                </c:pt>
                <c:pt idx="5">
                  <c:v>1069.494001890818</c:v>
                </c:pt>
                <c:pt idx="6">
                  <c:v>1025.5722692488771</c:v>
                </c:pt>
                <c:pt idx="7">
                  <c:v>970.32474640636838</c:v>
                </c:pt>
                <c:pt idx="8">
                  <c:v>905.68130408755064</c:v>
                </c:pt>
                <c:pt idx="9">
                  <c:v>858.06970764707808</c:v>
                </c:pt>
                <c:pt idx="10">
                  <c:v>805.54714368448163</c:v>
                </c:pt>
              </c:numCache>
            </c:numRef>
          </c:yVal>
          <c:smooth val="1"/>
        </c:ser>
        <c:ser>
          <c:idx val="3"/>
          <c:order val="3"/>
          <c:tx>
            <c:strRef>
              <c:f>'A5 MIT4'!$F$81</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MIT4'!$B$82:$B$92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MIT4'!$F$82:$F$92</c:f>
              <c:numCache>
                <c:formatCode>#,##0</c:formatCode>
                <c:ptCount val="11"/>
                <c:pt idx="0">
                  <c:v>881.6103783213722</c:v>
                </c:pt>
                <c:pt idx="1">
                  <c:v>927.97138460294491</c:v>
                </c:pt>
                <c:pt idx="2">
                  <c:v>963.44113572060701</c:v>
                </c:pt>
                <c:pt idx="3">
                  <c:v>997.39645670032678</c:v>
                </c:pt>
                <c:pt idx="4">
                  <c:v>1028.6195873979109</c:v>
                </c:pt>
                <c:pt idx="5">
                  <c:v>987.90675562296246</c:v>
                </c:pt>
                <c:pt idx="6">
                  <c:v>921.72655459411169</c:v>
                </c:pt>
                <c:pt idx="7">
                  <c:v>866.48999066007593</c:v>
                </c:pt>
                <c:pt idx="8">
                  <c:v>802.27768584474768</c:v>
                </c:pt>
                <c:pt idx="9">
                  <c:v>730.94409882984223</c:v>
                </c:pt>
                <c:pt idx="10">
                  <c:v>653.2024127721171</c:v>
                </c:pt>
              </c:numCache>
            </c:numRef>
          </c:yVal>
          <c:smooth val="1"/>
        </c:ser>
        <c:dLbls>
          <c:showLegendKey val="0"/>
          <c:showVal val="0"/>
          <c:showCatName val="0"/>
          <c:showSerName val="0"/>
          <c:showPercent val="0"/>
          <c:showBubbleSize val="0"/>
        </c:dLbls>
        <c:axId val="346703360"/>
        <c:axId val="346705280"/>
      </c:scatterChart>
      <c:valAx>
        <c:axId val="34670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346705280"/>
        <c:crosses val="autoZero"/>
        <c:crossBetween val="midCat"/>
      </c:valAx>
      <c:valAx>
        <c:axId val="346705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46703360"/>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'A5 MIT5'!$C$80</c:f>
          <c:strCache>
            <c:ptCount val="1"/>
            <c:pt idx="0">
              <c:v>A5 MIT5 demand HFC + GWP300 (Mt CO2)</c:v>
            </c:pt>
          </c:strCache>
        </c:strRef>
      </c:tx>
      <c:layout>
        <c:manualLayout>
          <c:xMode val="edge"/>
          <c:yMode val="edge"/>
          <c:x val="0.1344204247196373"/>
          <c:y val="9.2592592592592587E-3"/>
        </c:manualLayout>
      </c:layout>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73299928418039"/>
          <c:y val="0.19395851560221639"/>
          <c:w val="0.80714578859460751"/>
          <c:h val="0.61525882181393987"/>
        </c:manualLayout>
      </c:layout>
      <c:scatterChart>
        <c:scatterStyle val="smoothMarker"/>
        <c:varyColors val="0"/>
        <c:ser>
          <c:idx val="0"/>
          <c:order val="0"/>
          <c:tx>
            <c:strRef>
              <c:f>'A5 MIT5'!$C$81</c:f>
              <c:strCache>
                <c:ptCount val="1"/>
                <c:pt idx="0">
                  <c:v>12 years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MIT5'!$C$82:$C$92</c:f>
              <c:numCache>
                <c:formatCode>#,##0</c:formatCode>
                <c:ptCount val="11"/>
                <c:pt idx="0">
                  <c:v>916.46703161240907</c:v>
                </c:pt>
                <c:pt idx="1">
                  <c:v>1011.9262391754251</c:v>
                </c:pt>
                <c:pt idx="2">
                  <c:v>1112.0929570606449</c:v>
                </c:pt>
                <c:pt idx="3">
                  <c:v>1217.009248582805</c:v>
                </c:pt>
                <c:pt idx="4">
                  <c:v>1325.5100435765025</c:v>
                </c:pt>
                <c:pt idx="5">
                  <c:v>1376.1728041055201</c:v>
                </c:pt>
                <c:pt idx="6">
                  <c:v>1374.4447791513355</c:v>
                </c:pt>
                <c:pt idx="7">
                  <c:v>1362.9936822981308</c:v>
                </c:pt>
                <c:pt idx="8">
                  <c:v>1343.4531976978647</c:v>
                </c:pt>
                <c:pt idx="9">
                  <c:v>1316.8499248506291</c:v>
                </c:pt>
                <c:pt idx="10">
                  <c:v>1283.6682367968469</c:v>
                </c:pt>
              </c:numCache>
            </c:numRef>
          </c:yVal>
          <c:smooth val="1"/>
        </c:ser>
        <c:ser>
          <c:idx val="1"/>
          <c:order val="1"/>
          <c:tx>
            <c:strRef>
              <c:f>'A5 MIT5'!$D$81</c:f>
              <c:strCache>
                <c:ptCount val="1"/>
                <c:pt idx="0">
                  <c:v>10 years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MIT5'!$D$82:$D$92</c:f>
              <c:numCache>
                <c:formatCode>#,##0</c:formatCode>
                <c:ptCount val="11"/>
                <c:pt idx="0">
                  <c:v>916.46703161240907</c:v>
                </c:pt>
                <c:pt idx="1">
                  <c:v>1011.9262391754251</c:v>
                </c:pt>
                <c:pt idx="2">
                  <c:v>1112.0929570606449</c:v>
                </c:pt>
                <c:pt idx="3">
                  <c:v>1217.009248582805</c:v>
                </c:pt>
                <c:pt idx="4">
                  <c:v>1325.5100435765025</c:v>
                </c:pt>
                <c:pt idx="5">
                  <c:v>1364.2379940425769</c:v>
                </c:pt>
                <c:pt idx="6">
                  <c:v>1349.3279351347214</c:v>
                </c:pt>
                <c:pt idx="7">
                  <c:v>1323.4549291993485</c:v>
                </c:pt>
                <c:pt idx="8">
                  <c:v>1288.2610610633171</c:v>
                </c:pt>
                <c:pt idx="9">
                  <c:v>1244.7854152514979</c:v>
                </c:pt>
                <c:pt idx="10">
                  <c:v>1193.5282100105671</c:v>
                </c:pt>
              </c:numCache>
            </c:numRef>
          </c:yVal>
          <c:smooth val="1"/>
        </c:ser>
        <c:ser>
          <c:idx val="2"/>
          <c:order val="2"/>
          <c:tx>
            <c:strRef>
              <c:f>'A5 MIT5'!$E$81</c:f>
              <c:strCache>
                <c:ptCount val="1"/>
                <c:pt idx="0">
                  <c:v>8 years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MIT5'!$E$82:$E$92</c:f>
              <c:numCache>
                <c:formatCode>#,##0</c:formatCode>
                <c:ptCount val="11"/>
                <c:pt idx="0">
                  <c:v>916.46703161240907</c:v>
                </c:pt>
                <c:pt idx="1">
                  <c:v>1011.9262391754251</c:v>
                </c:pt>
                <c:pt idx="2">
                  <c:v>1112.0929570606449</c:v>
                </c:pt>
                <c:pt idx="3">
                  <c:v>1217.009248582805</c:v>
                </c:pt>
                <c:pt idx="4">
                  <c:v>1325.5100435765025</c:v>
                </c:pt>
                <c:pt idx="5">
                  <c:v>1346.3357789481618</c:v>
                </c:pt>
                <c:pt idx="6">
                  <c:v>1311.6526691098004</c:v>
                </c:pt>
                <c:pt idx="7">
                  <c:v>1264.1467995511748</c:v>
                </c:pt>
                <c:pt idx="8">
                  <c:v>1205.472856111495</c:v>
                </c:pt>
                <c:pt idx="9">
                  <c:v>1136.6886508528007</c:v>
                </c:pt>
                <c:pt idx="10">
                  <c:v>1058.3181698311469</c:v>
                </c:pt>
              </c:numCache>
            </c:numRef>
          </c:yVal>
          <c:smooth val="1"/>
        </c:ser>
        <c:ser>
          <c:idx val="3"/>
          <c:order val="3"/>
          <c:tx>
            <c:strRef>
              <c:f>'A5 MIT5'!$F$81</c:f>
              <c:strCache>
                <c:ptCount val="1"/>
                <c:pt idx="0">
                  <c:v>6 years</c:v>
                </c:pt>
              </c:strCache>
            </c:strRef>
          </c:tx>
          <c:spPr>
            <a:ln w="22225" cap="rnd">
              <a:solidFill>
                <a:schemeClr val="accent4"/>
              </a:solidFill>
              <a:round/>
            </a:ln>
            <a:effectLst/>
          </c:spPr>
          <c:marker>
            <c:symbol val="x"/>
            <c:size val="6"/>
            <c:spPr>
              <a:noFill/>
              <a:ln w="9525">
                <a:solidFill>
                  <a:schemeClr val="accent4"/>
                </a:solidFill>
                <a:round/>
              </a:ln>
              <a:effectLst/>
            </c:spPr>
          </c:marker>
          <c:xVal>
            <c:numRef>
              <c:f>'A5 MIT5'!$B$82:$B$92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'A5 MIT5'!$F$82:$F$92</c:f>
              <c:numCache>
                <c:formatCode>#,##0</c:formatCode>
                <c:ptCount val="11"/>
                <c:pt idx="0">
                  <c:v>916.46703161240907</c:v>
                </c:pt>
                <c:pt idx="1">
                  <c:v>1011.9262391754251</c:v>
                </c:pt>
                <c:pt idx="2">
                  <c:v>1112.0929570606449</c:v>
                </c:pt>
                <c:pt idx="3">
                  <c:v>1217.009248582805</c:v>
                </c:pt>
                <c:pt idx="4">
                  <c:v>1325.5100435765025</c:v>
                </c:pt>
                <c:pt idx="5">
                  <c:v>1316.4987537908034</c:v>
                </c:pt>
                <c:pt idx="6">
                  <c:v>1248.8605590682655</c:v>
                </c:pt>
                <c:pt idx="7">
                  <c:v>1165.2999168042184</c:v>
                </c:pt>
                <c:pt idx="8">
                  <c:v>1067.4925145251252</c:v>
                </c:pt>
                <c:pt idx="9">
                  <c:v>956.52737685497209</c:v>
                </c:pt>
                <c:pt idx="10">
                  <c:v>832.96810286544701</c:v>
                </c:pt>
              </c:numCache>
            </c:numRef>
          </c:yVal>
          <c:smooth val="1"/>
        </c:ser>
        <c:dLbls>
          <c:showLegendKey val="0"/>
          <c:showVal val="0"/>
          <c:showCatName val="0"/>
          <c:showSerName val="0"/>
          <c:showPercent val="0"/>
          <c:showBubbleSize val="0"/>
        </c:dLbls>
        <c:axId val="346719744"/>
        <c:axId val="346721664"/>
      </c:scatterChart>
      <c:valAx>
        <c:axId val="34671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100" b="0" i="0" u="none" strike="noStrike" baseline="0">
                <a:solidFill>
                  <a:srgbClr val="333333"/>
                </a:solidFill>
                <a:latin typeface="Calibri"/>
                <a:ea typeface="Calibri"/>
                <a:cs typeface="Calibri"/>
              </a:defRPr>
            </a:pPr>
            <a:endParaRPr lang="en-US"/>
          </a:p>
        </c:txPr>
        <c:crossAx val="346721664"/>
        <c:crosses val="autoZero"/>
        <c:crossBetween val="midCat"/>
      </c:valAx>
      <c:valAx>
        <c:axId val="34672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46719744"/>
        <c:crosses val="autoZero"/>
        <c:crossBetween val="midCat"/>
      </c:valAx>
      <c:spPr>
        <a:noFill/>
        <a:ln w="25400">
          <a:noFill/>
        </a:ln>
      </c:spPr>
    </c:plotArea>
    <c:legend>
      <c:legendPos val="b"/>
      <c:layout>
        <c:manualLayout>
          <c:xMode val="edge"/>
          <c:yMode val="edge"/>
          <c:x val="7.6065378191362443E-2"/>
          <c:y val="0.91066819772528429"/>
          <c:w val="0.8539298496778811"/>
          <c:h val="8.93318022747157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02EBFBE015934DB00FE54E2F7FB6AF" ma:contentTypeVersion="0" ma:contentTypeDescription="Create a new document." ma:contentTypeScope="" ma:versionID="3719cd8589045b1ee01e90bbe526d1b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4838D-22EF-5F49-808D-31279F906551}"/>
</file>

<file path=customXml/itemProps2.xml><?xml version="1.0" encoding="utf-8"?>
<ds:datastoreItem xmlns:ds="http://schemas.openxmlformats.org/officeDocument/2006/customXml" ds:itemID="{C0CABC00-6021-CA46-ADBC-724126A48F2F}"/>
</file>

<file path=customXml/itemProps3.xml><?xml version="1.0" encoding="utf-8"?>
<ds:datastoreItem xmlns:ds="http://schemas.openxmlformats.org/officeDocument/2006/customXml" ds:itemID="{51C47A42-7F37-40CE-9319-2DF1DD02280F}"/>
</file>

<file path=customXml/itemProps4.xml><?xml version="1.0" encoding="utf-8"?>
<ds:datastoreItem xmlns:ds="http://schemas.openxmlformats.org/officeDocument/2006/customXml" ds:itemID="{87DCC4EF-95C5-475D-BC38-61AD4C91D6D2}"/>
</file>

<file path=customXml/itemProps5.xml><?xml version="1.0" encoding="utf-8"?>
<ds:datastoreItem xmlns:ds="http://schemas.openxmlformats.org/officeDocument/2006/customXml" ds:itemID="{12BCE7D9-E7C2-4700-8C11-97DEAFD92422}"/>
</file>

<file path=docProps/app.xml><?xml version="1.0" encoding="utf-8"?>
<Properties xmlns="http://schemas.openxmlformats.org/officeDocument/2006/extended-properties" xmlns:vt="http://schemas.openxmlformats.org/officeDocument/2006/docPropsVTypes">
  <Template>Teap Style.dot</Template>
  <TotalTime>30</TotalTime>
  <Pages>145</Pages>
  <Words>44424</Words>
  <Characters>253221</Characters>
  <Application>Microsoft Office Word</Application>
  <DocSecurity>0</DocSecurity>
  <Lines>2110</Lines>
  <Paragraphs>594</Paragraphs>
  <ScaleCrop>false</ScaleCrop>
  <HeadingPairs>
    <vt:vector size="2" baseType="variant">
      <vt:variant>
        <vt:lpstr>Title</vt:lpstr>
      </vt:variant>
      <vt:variant>
        <vt:i4>1</vt:i4>
      </vt:variant>
    </vt:vector>
  </HeadingPairs>
  <TitlesOfParts>
    <vt:vector size="1" baseType="lpstr">
      <vt:lpstr>TEAP March 2016: Decision XXVII/4 Task Force Report - Further Information on Alternatives to Ozone-Depleting Substances (re-issued for technical reasons on 2 April 2016)</vt:lpstr>
    </vt:vector>
  </TitlesOfParts>
  <Company>Hewlett-Packard Company</Company>
  <LinksUpToDate>false</LinksUpToDate>
  <CharactersWithSpaces>297051</CharactersWithSpaces>
  <SharedDoc>false</SharedDoc>
  <HLinks>
    <vt:vector size="96" baseType="variant">
      <vt:variant>
        <vt:i4>7798881</vt:i4>
      </vt:variant>
      <vt:variant>
        <vt:i4>366</vt:i4>
      </vt:variant>
      <vt:variant>
        <vt:i4>0</vt:i4>
      </vt:variant>
      <vt:variant>
        <vt:i4>5</vt:i4>
      </vt:variant>
      <vt:variant>
        <vt:lpwstr>https://www.spc.int/coastfish/Sections/Development/FDSPublications/FDSManuals/HLL/HLL4s.pdf</vt:lpwstr>
      </vt:variant>
      <vt:variant>
        <vt:lpwstr/>
      </vt:variant>
      <vt:variant>
        <vt:i4>1638476</vt:i4>
      </vt:variant>
      <vt:variant>
        <vt:i4>363</vt:i4>
      </vt:variant>
      <vt:variant>
        <vt:i4>0</vt:i4>
      </vt:variant>
      <vt:variant>
        <vt:i4>5</vt:i4>
      </vt:variant>
      <vt:variant>
        <vt:lpwstr>http://www.fao.org/docrep/T0713E/T0713E00.htm</vt:lpwstr>
      </vt:variant>
      <vt:variant>
        <vt:lpwstr/>
      </vt:variant>
      <vt:variant>
        <vt:i4>4259947</vt:i4>
      </vt:variant>
      <vt:variant>
        <vt:i4>360</vt:i4>
      </vt:variant>
      <vt:variant>
        <vt:i4>0</vt:i4>
      </vt:variant>
      <vt:variant>
        <vt:i4>5</vt:i4>
      </vt:variant>
      <vt:variant>
        <vt:lpwstr>http://frdc.com.au/research/Final_Reports/2013-227-DLD Appendix report.pdf</vt:lpwstr>
      </vt:variant>
      <vt:variant>
        <vt:lpwstr/>
      </vt:variant>
      <vt:variant>
        <vt:i4>7995440</vt:i4>
      </vt:variant>
      <vt:variant>
        <vt:i4>357</vt:i4>
      </vt:variant>
      <vt:variant>
        <vt:i4>0</vt:i4>
      </vt:variant>
      <vt:variant>
        <vt:i4>5</vt:i4>
      </vt:variant>
      <vt:variant>
        <vt:lpwstr>http://www.fao.org/3/a-i3720e/i3720e01.pdf</vt:lpwstr>
      </vt:variant>
      <vt:variant>
        <vt:lpwstr/>
      </vt:variant>
      <vt:variant>
        <vt:i4>1507366</vt:i4>
      </vt:variant>
      <vt:variant>
        <vt:i4>354</vt:i4>
      </vt:variant>
      <vt:variant>
        <vt:i4>0</vt:i4>
      </vt:variant>
      <vt:variant>
        <vt:i4>5</vt:i4>
      </vt:variant>
      <vt:variant>
        <vt:lpwstr>http://ec.europa.eu/clima/policies/transport/shipping/docs/ghg_ships_report_en.pdf</vt:lpwstr>
      </vt:variant>
      <vt:variant>
        <vt:lpwstr/>
      </vt:variant>
      <vt:variant>
        <vt:i4>196616</vt:i4>
      </vt:variant>
      <vt:variant>
        <vt:i4>351</vt:i4>
      </vt:variant>
      <vt:variant>
        <vt:i4>0</vt:i4>
      </vt:variant>
      <vt:variant>
        <vt:i4>5</vt:i4>
      </vt:variant>
      <vt:variant>
        <vt:lpwstr>http://www.unep.org/ozonaction/Portals/105/documents/events/MOP27/MOP-27_PauldeLarminat_Fisheries-01Nov2015.pdf</vt:lpwstr>
      </vt:variant>
      <vt:variant>
        <vt:lpwstr/>
      </vt:variant>
      <vt:variant>
        <vt:i4>5242884</vt:i4>
      </vt:variant>
      <vt:variant>
        <vt:i4>348</vt:i4>
      </vt:variant>
      <vt:variant>
        <vt:i4>0</vt:i4>
      </vt:variant>
      <vt:variant>
        <vt:i4>5</vt:i4>
      </vt:variant>
      <vt:variant>
        <vt:lpwstr>http://www.unep.org/ozonaction/Portals/105/documents/events/MOP27/MOP27_RibanataakeAwira_PacificIslandsFisheriesForum-01Nov2015.pdf</vt:lpwstr>
      </vt:variant>
      <vt:variant>
        <vt:lpwstr/>
      </vt:variant>
      <vt:variant>
        <vt:i4>7864367</vt:i4>
      </vt:variant>
      <vt:variant>
        <vt:i4>345</vt:i4>
      </vt:variant>
      <vt:variant>
        <vt:i4>0</vt:i4>
      </vt:variant>
      <vt:variant>
        <vt:i4>5</vt:i4>
      </vt:variant>
      <vt:variant>
        <vt:lpwstr>http://www.unep.org/ozonaction/Portals/105/documents/events/MOP26/OASI 2014 low resolution.pdf</vt:lpwstr>
      </vt:variant>
      <vt:variant>
        <vt:lpwstr/>
      </vt:variant>
      <vt:variant>
        <vt:i4>4980799</vt:i4>
      </vt:variant>
      <vt:variant>
        <vt:i4>339</vt:i4>
      </vt:variant>
      <vt:variant>
        <vt:i4>0</vt:i4>
      </vt:variant>
      <vt:variant>
        <vt:i4>5</vt:i4>
      </vt:variant>
      <vt:variant>
        <vt:lpwstr>mailto:-56.2@5.2</vt:lpwstr>
      </vt:variant>
      <vt:variant>
        <vt:lpwstr/>
      </vt:variant>
      <vt:variant>
        <vt:i4>4980799</vt:i4>
      </vt:variant>
      <vt:variant>
        <vt:i4>333</vt:i4>
      </vt:variant>
      <vt:variant>
        <vt:i4>0</vt:i4>
      </vt:variant>
      <vt:variant>
        <vt:i4>5</vt:i4>
      </vt:variant>
      <vt:variant>
        <vt:lpwstr>mailto:-56.2@5.2</vt:lpwstr>
      </vt:variant>
      <vt:variant>
        <vt:lpwstr/>
      </vt:variant>
      <vt:variant>
        <vt:i4>3276915</vt:i4>
      </vt:variant>
      <vt:variant>
        <vt:i4>300</vt:i4>
      </vt:variant>
      <vt:variant>
        <vt:i4>0</vt:i4>
      </vt:variant>
      <vt:variant>
        <vt:i4>5</vt:i4>
      </vt:variant>
      <vt:variant>
        <vt:lpwstr>https://osr.ashrae.org/default.aspx</vt:lpwstr>
      </vt:variant>
      <vt:variant>
        <vt:lpwstr/>
      </vt:variant>
      <vt:variant>
        <vt:i4>327684</vt:i4>
      </vt:variant>
      <vt:variant>
        <vt:i4>297</vt:i4>
      </vt:variant>
      <vt:variant>
        <vt:i4>0</vt:i4>
      </vt:variant>
      <vt:variant>
        <vt:i4>5</vt:i4>
      </vt:variant>
      <vt:variant>
        <vt:lpwstr>http://www.businessdictionary.com/definition/factor.html</vt:lpwstr>
      </vt:variant>
      <vt:variant>
        <vt:lpwstr/>
      </vt:variant>
      <vt:variant>
        <vt:i4>1703942</vt:i4>
      </vt:variant>
      <vt:variant>
        <vt:i4>294</vt:i4>
      </vt:variant>
      <vt:variant>
        <vt:i4>0</vt:i4>
      </vt:variant>
      <vt:variant>
        <vt:i4>5</vt:i4>
      </vt:variant>
      <vt:variant>
        <vt:lpwstr>http://www.businessdictionary.com/definition/associated.html</vt:lpwstr>
      </vt:variant>
      <vt:variant>
        <vt:lpwstr/>
      </vt:variant>
      <vt:variant>
        <vt:i4>4325463</vt:i4>
      </vt:variant>
      <vt:variant>
        <vt:i4>291</vt:i4>
      </vt:variant>
      <vt:variant>
        <vt:i4>0</vt:i4>
      </vt:variant>
      <vt:variant>
        <vt:i4>5</vt:i4>
      </vt:variant>
      <vt:variant>
        <vt:lpwstr>http://www.businessdictionary.com/definition/environment.html</vt:lpwstr>
      </vt:variant>
      <vt:variant>
        <vt:lpwstr/>
      </vt:variant>
      <vt:variant>
        <vt:i4>2162721</vt:i4>
      </vt:variant>
      <vt:variant>
        <vt:i4>288</vt:i4>
      </vt:variant>
      <vt:variant>
        <vt:i4>0</vt:i4>
      </vt:variant>
      <vt:variant>
        <vt:i4>5</vt:i4>
      </vt:variant>
      <vt:variant>
        <vt:lpwstr>http://www.businessdictionary.com/definition/manufacturing.html</vt:lpwstr>
      </vt:variant>
      <vt:variant>
        <vt:lpwstr/>
      </vt:variant>
      <vt:variant>
        <vt:i4>5111914</vt:i4>
      </vt:variant>
      <vt:variant>
        <vt:i4>285</vt:i4>
      </vt:variant>
      <vt:variant>
        <vt:i4>0</vt:i4>
      </vt:variant>
      <vt:variant>
        <vt:i4>5</vt:i4>
      </vt:variant>
      <vt:variant>
        <vt:lpwstr>http://www.unmillenniumproject.org/documents/EnvironSust_summary.pdf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June 2016: Decision XXVII/4 Task Force Report Further Information on Alternatives to Ozone-Depleting Substances</dc:title>
  <dc:creator>L. Kuijpers</dc:creator>
  <cp:lastModifiedBy>Martha Adila</cp:lastModifiedBy>
  <cp:revision>6</cp:revision>
  <cp:lastPrinted>2016-06-06T12:12:00Z</cp:lastPrinted>
  <dcterms:created xsi:type="dcterms:W3CDTF">2016-06-06T11:42:00Z</dcterms:created>
  <dcterms:modified xsi:type="dcterms:W3CDTF">2016-06-06T12:12:00Z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
  </property>
  <property fmtid="{D5CDD505-2E9C-101B-9397-08002B2CF9AE}" pid="3" name="ContentType">
    <vt:lpwstr>Document</vt:lpwstr>
  </property>
  <property fmtid="{D5CDD505-2E9C-101B-9397-08002B2CF9AE}" pid="4" name="Order Number">
    <vt:lpwstr>20.0000000000000</vt:lpwstr>
  </property>
  <property fmtid="{D5CDD505-2E9C-101B-9397-08002B2CF9AE}" pid="5" name="Order0">
    <vt:lpwstr/>
  </property>
  <property fmtid="{D5CDD505-2E9C-101B-9397-08002B2CF9AE}" pid="6" name="Hide">
    <vt:lpwstr/>
  </property>
  <property fmtid="{D5CDD505-2E9C-101B-9397-08002B2CF9AE}" pid="7" name="Remark">
    <vt:lpwstr>Reissued (21 October 2015) for technical reasons: A few numbers for 2010 and 2015 have been corrected in Tables 6-1, 6-3 and 6-4 in chapter 6 and A6-1, A6-3, A6-4 and A6-6 in Annex 2; the second paragraph in sub-section 3.2.1 has been replaced</vt:lpwstr>
  </property>
  <property fmtid="{D5CDD505-2E9C-101B-9397-08002B2CF9AE}" pid="8" name="ContentTypeId">
    <vt:lpwstr>0x010100D602EBFBE015934DB00FE54E2F7FB6AF</vt:lpwstr>
  </property>
</Properties>
</file>