
<file path=[Content_Types].xml><?xml version="1.0" encoding="utf-8"?>
<Types xmlns="http://schemas.openxmlformats.org/package/2006/content-types">
  <Default Extension="rels" ContentType="application/vnd.openxmlformats-package.relationships+xml"/>
  <Default Extension="emf" ContentType="image/x-emf"/>
  <Default Extension="wmf" ContentType="image/x-wmf"/>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F3279" w14:textId="77777777" w:rsidR="00AD4B2A" w:rsidRDefault="00AD4B2A">
      <w:pPr>
        <w:spacing w:line="240" w:lineRule="atLeast"/>
        <w:jc w:val="center"/>
        <w:rPr>
          <w:b/>
          <w:sz w:val="32"/>
        </w:rPr>
      </w:pPr>
      <w:bookmarkStart w:id="0" w:name="_GoBack"/>
      <w:bookmarkEnd w:id="0"/>
    </w:p>
    <w:p w14:paraId="1AB03157" w14:textId="77777777" w:rsidR="00AD4B2A" w:rsidRDefault="00591AA8">
      <w:pPr>
        <w:spacing w:line="240" w:lineRule="atLeast"/>
        <w:jc w:val="center"/>
      </w:pPr>
      <w:r>
        <w:rPr>
          <w:b/>
          <w:sz w:val="32"/>
        </w:rPr>
        <w:t>MONTREAL PROTOCOL</w:t>
      </w:r>
      <w:r>
        <w:rPr>
          <w:b/>
          <w:sz w:val="32"/>
        </w:rPr>
        <w:br/>
      </w:r>
      <w:r>
        <w:rPr>
          <w:b/>
          <w:sz w:val="32"/>
        </w:rPr>
        <w:br/>
        <w:t>ON SUBSTANCES THAT DEPLETE</w:t>
      </w:r>
      <w:r>
        <w:rPr>
          <w:b/>
          <w:sz w:val="32"/>
        </w:rPr>
        <w:br/>
      </w:r>
      <w:r>
        <w:rPr>
          <w:b/>
          <w:sz w:val="32"/>
        </w:rPr>
        <w:br/>
        <w:t>THE OZONE LAYER</w:t>
      </w:r>
      <w:r>
        <w:rPr>
          <w:b/>
          <w:sz w:val="32"/>
        </w:rPr>
        <w:br/>
      </w:r>
      <w:r>
        <w:rPr>
          <w:b/>
          <w:sz w:val="32"/>
        </w:rPr>
        <w:br/>
      </w:r>
    </w:p>
    <w:p w14:paraId="746197DD" w14:textId="77777777" w:rsidR="00AD4B2A" w:rsidRDefault="00B00967">
      <w:pPr>
        <w:spacing w:line="240" w:lineRule="atLeast"/>
        <w:jc w:val="center"/>
        <w:rPr>
          <w:sz w:val="172"/>
        </w:rPr>
      </w:pPr>
      <w:r>
        <w:rPr>
          <w:noProof/>
          <w:sz w:val="172"/>
          <w:lang w:val="en-US" w:eastAsia="en-US"/>
        </w:rPr>
        <w:drawing>
          <wp:inline distT="0" distB="0" distL="0" distR="0" wp14:anchorId="5E67CFCE" wp14:editId="4F9BFFC1">
            <wp:extent cx="2908300" cy="2476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8300" cy="2476500"/>
                    </a:xfrm>
                    <a:prstGeom prst="rect">
                      <a:avLst/>
                    </a:prstGeom>
                    <a:noFill/>
                    <a:ln>
                      <a:noFill/>
                    </a:ln>
                  </pic:spPr>
                </pic:pic>
              </a:graphicData>
            </a:graphic>
          </wp:inline>
        </w:drawing>
      </w:r>
    </w:p>
    <w:p w14:paraId="5F0C0181" w14:textId="77777777" w:rsidR="00AD4B2A" w:rsidRDefault="00591AA8">
      <w:pPr>
        <w:spacing w:line="240" w:lineRule="atLeast"/>
        <w:jc w:val="center"/>
        <w:outlineLvl w:val="0"/>
        <w:rPr>
          <w:sz w:val="172"/>
        </w:rPr>
      </w:pPr>
      <w:r>
        <w:rPr>
          <w:sz w:val="172"/>
        </w:rPr>
        <w:t>UNEP</w:t>
      </w:r>
    </w:p>
    <w:p w14:paraId="6AA29464" w14:textId="77777777" w:rsidR="00AD4B2A" w:rsidRDefault="00591AA8">
      <w:pPr>
        <w:spacing w:line="240" w:lineRule="atLeast"/>
        <w:jc w:val="center"/>
        <w:rPr>
          <w:b/>
          <w:smallCaps/>
          <w:sz w:val="32"/>
        </w:rPr>
      </w:pPr>
      <w:bookmarkStart w:id="1" w:name="OLE_LINK16"/>
      <w:bookmarkStart w:id="2" w:name="OLE_LINK17"/>
      <w:r>
        <w:rPr>
          <w:b/>
          <w:smallCaps/>
          <w:sz w:val="32"/>
        </w:rPr>
        <w:t>Report of the</w:t>
      </w:r>
      <w:r>
        <w:rPr>
          <w:b/>
          <w:smallCaps/>
          <w:sz w:val="32"/>
        </w:rPr>
        <w:br/>
        <w:t>Technology and Economic Assessment Panel</w:t>
      </w:r>
      <w:r>
        <w:rPr>
          <w:b/>
          <w:smallCaps/>
          <w:sz w:val="32"/>
        </w:rPr>
        <w:br/>
      </w:r>
    </w:p>
    <w:p w14:paraId="7A23BB0F" w14:textId="1B583DD5" w:rsidR="00AD4B2A" w:rsidRDefault="00934436">
      <w:pPr>
        <w:spacing w:after="120"/>
        <w:jc w:val="center"/>
        <w:rPr>
          <w:b/>
          <w:smallCaps/>
          <w:sz w:val="32"/>
        </w:rPr>
      </w:pPr>
      <w:r>
        <w:rPr>
          <w:b/>
          <w:smallCaps/>
          <w:sz w:val="32"/>
        </w:rPr>
        <w:t>June</w:t>
      </w:r>
      <w:r w:rsidR="00591AA8">
        <w:rPr>
          <w:b/>
          <w:smallCaps/>
          <w:sz w:val="32"/>
        </w:rPr>
        <w:t xml:space="preserve"> </w:t>
      </w:r>
      <w:r w:rsidR="00A8345B">
        <w:rPr>
          <w:b/>
          <w:smallCaps/>
          <w:sz w:val="32"/>
        </w:rPr>
        <w:t>2015</w:t>
      </w:r>
    </w:p>
    <w:p w14:paraId="47CC1C85" w14:textId="77777777" w:rsidR="00AD4B2A" w:rsidRDefault="00AD4B2A">
      <w:pPr>
        <w:spacing w:after="120"/>
        <w:jc w:val="center"/>
        <w:rPr>
          <w:b/>
          <w:smallCaps/>
          <w:sz w:val="32"/>
        </w:rPr>
      </w:pPr>
    </w:p>
    <w:p w14:paraId="7C6EEDB5" w14:textId="77777777" w:rsidR="00AD4B2A" w:rsidRDefault="00591AA8">
      <w:pPr>
        <w:spacing w:after="120"/>
        <w:jc w:val="center"/>
        <w:rPr>
          <w:b/>
          <w:smallCaps/>
          <w:sz w:val="32"/>
        </w:rPr>
      </w:pPr>
      <w:r>
        <w:rPr>
          <w:b/>
          <w:smallCaps/>
          <w:sz w:val="32"/>
        </w:rPr>
        <w:t>Volume 1</w:t>
      </w:r>
    </w:p>
    <w:p w14:paraId="46A23F53" w14:textId="77777777" w:rsidR="00AD4B2A" w:rsidRDefault="00591AA8">
      <w:pPr>
        <w:spacing w:after="120"/>
        <w:jc w:val="center"/>
        <w:rPr>
          <w:b/>
          <w:smallCaps/>
          <w:sz w:val="30"/>
        </w:rPr>
      </w:pPr>
      <w:r>
        <w:rPr>
          <w:b/>
          <w:smallCaps/>
          <w:sz w:val="30"/>
        </w:rPr>
        <w:t>Progress Report</w:t>
      </w:r>
    </w:p>
    <w:bookmarkEnd w:id="1"/>
    <w:bookmarkEnd w:id="2"/>
    <w:p w14:paraId="596435AF" w14:textId="77777777" w:rsidR="00AD4B2A" w:rsidRDefault="00AD4B2A">
      <w:pPr>
        <w:jc w:val="right"/>
        <w:rPr>
          <w:b/>
          <w:smallCaps/>
          <w:sz w:val="28"/>
        </w:rPr>
        <w:sectPr w:rsidR="00AD4B2A">
          <w:footerReference w:type="default" r:id="rId10"/>
          <w:footerReference w:type="first" r:id="rId11"/>
          <w:footnotePr>
            <w:numRestart w:val="eachSect"/>
          </w:footnotePr>
          <w:type w:val="nextColumn"/>
          <w:pgSz w:w="12242" w:h="15842" w:code="1"/>
          <w:pgMar w:top="1440" w:right="1800" w:bottom="1526" w:left="1800" w:header="720" w:footer="792" w:gutter="0"/>
          <w:pgNumType w:fmt="lowerRoman"/>
          <w:cols w:space="720"/>
          <w:titlePg/>
        </w:sectPr>
      </w:pPr>
    </w:p>
    <w:p w14:paraId="746C4EF1" w14:textId="3D3B8ACC" w:rsidR="00AD4B2A" w:rsidRDefault="00591AA8">
      <w:pPr>
        <w:spacing w:after="0"/>
        <w:jc w:val="right"/>
        <w:rPr>
          <w:b/>
          <w:smallCaps/>
          <w:sz w:val="28"/>
        </w:rPr>
      </w:pPr>
      <w:r>
        <w:rPr>
          <w:b/>
          <w:smallCaps/>
          <w:sz w:val="28"/>
        </w:rPr>
        <w:lastRenderedPageBreak/>
        <w:t>UNEP</w:t>
      </w:r>
      <w:r>
        <w:rPr>
          <w:b/>
          <w:smallCaps/>
          <w:sz w:val="28"/>
        </w:rPr>
        <w:br/>
      </w:r>
      <w:r w:rsidR="00934436">
        <w:rPr>
          <w:b/>
          <w:smallCaps/>
          <w:sz w:val="28"/>
        </w:rPr>
        <w:t>June</w:t>
      </w:r>
      <w:r>
        <w:rPr>
          <w:b/>
          <w:smallCaps/>
          <w:sz w:val="28"/>
        </w:rPr>
        <w:t xml:space="preserve"> 201</w:t>
      </w:r>
      <w:r w:rsidR="00A8345B">
        <w:rPr>
          <w:b/>
          <w:smallCaps/>
          <w:sz w:val="28"/>
        </w:rPr>
        <w:t>5</w:t>
      </w:r>
      <w:r>
        <w:rPr>
          <w:b/>
          <w:smallCaps/>
          <w:sz w:val="28"/>
        </w:rPr>
        <w:t xml:space="preserve"> Report of the</w:t>
      </w:r>
      <w:r>
        <w:rPr>
          <w:b/>
          <w:smallCaps/>
          <w:sz w:val="28"/>
        </w:rPr>
        <w:br/>
        <w:t>Technology and Economic</w:t>
      </w:r>
      <w:r>
        <w:rPr>
          <w:b/>
          <w:smallCaps/>
          <w:sz w:val="28"/>
        </w:rPr>
        <w:br/>
        <w:t>Assessment Panel</w:t>
      </w:r>
      <w:r>
        <w:rPr>
          <w:b/>
          <w:smallCaps/>
          <w:sz w:val="28"/>
        </w:rPr>
        <w:br/>
      </w:r>
      <w:r>
        <w:rPr>
          <w:b/>
          <w:smallCaps/>
          <w:sz w:val="28"/>
        </w:rPr>
        <w:br/>
        <w:t>Volume 1</w:t>
      </w:r>
    </w:p>
    <w:p w14:paraId="7A1D619E" w14:textId="77777777" w:rsidR="00AD4B2A" w:rsidRDefault="00591AA8">
      <w:pPr>
        <w:jc w:val="right"/>
        <w:rPr>
          <w:b/>
          <w:smallCaps/>
          <w:sz w:val="28"/>
        </w:rPr>
      </w:pPr>
      <w:r>
        <w:rPr>
          <w:b/>
          <w:smallCaps/>
          <w:sz w:val="28"/>
        </w:rPr>
        <w:t>Progress Report</w:t>
      </w:r>
    </w:p>
    <w:p w14:paraId="5436E428" w14:textId="77777777" w:rsidR="00AD4B2A" w:rsidRDefault="00AD4B2A">
      <w:pPr>
        <w:spacing w:before="100" w:after="100"/>
        <w:rPr>
          <w:b/>
        </w:rPr>
        <w:sectPr w:rsidR="00AD4B2A">
          <w:footerReference w:type="even" r:id="rId12"/>
          <w:footerReference w:type="default" r:id="rId13"/>
          <w:footnotePr>
            <w:numRestart w:val="eachSect"/>
          </w:footnotePr>
          <w:type w:val="nextColumn"/>
          <w:pgSz w:w="12242" w:h="15842" w:code="1"/>
          <w:pgMar w:top="1440" w:right="1800" w:bottom="1526" w:left="1800" w:header="720" w:footer="792" w:gutter="0"/>
          <w:pgNumType w:fmt="lowerRoman"/>
          <w:cols w:space="720"/>
        </w:sectPr>
      </w:pPr>
    </w:p>
    <w:p w14:paraId="58DBB2D0" w14:textId="77777777" w:rsidR="00AD4B2A" w:rsidRDefault="00591AA8">
      <w:pPr>
        <w:spacing w:before="240" w:after="100"/>
        <w:rPr>
          <w:b/>
          <w:sz w:val="24"/>
        </w:rPr>
      </w:pPr>
      <w:r>
        <w:rPr>
          <w:b/>
          <w:sz w:val="24"/>
        </w:rPr>
        <w:lastRenderedPageBreak/>
        <w:t>Montreal Protocol</w:t>
      </w:r>
      <w:r>
        <w:rPr>
          <w:b/>
          <w:sz w:val="24"/>
        </w:rPr>
        <w:br/>
        <w:t>On Substances that Deplete the Ozone Layer</w:t>
      </w:r>
    </w:p>
    <w:p w14:paraId="7F67BF0F" w14:textId="77777777" w:rsidR="00AD4B2A" w:rsidRDefault="00591AA8">
      <w:pPr>
        <w:spacing w:before="100" w:after="100"/>
        <w:outlineLvl w:val="0"/>
        <w:rPr>
          <w:sz w:val="28"/>
        </w:rPr>
      </w:pPr>
      <w:r>
        <w:rPr>
          <w:sz w:val="28"/>
        </w:rPr>
        <w:t>Report of the</w:t>
      </w:r>
      <w:r>
        <w:rPr>
          <w:sz w:val="28"/>
        </w:rPr>
        <w:br/>
        <w:t>UNEP Technology and Economic Assessment Panel</w:t>
      </w:r>
    </w:p>
    <w:p w14:paraId="4A19990F" w14:textId="67EB126F" w:rsidR="00AD4B2A" w:rsidRDefault="00934436">
      <w:pPr>
        <w:spacing w:before="100" w:after="100"/>
        <w:outlineLvl w:val="0"/>
        <w:rPr>
          <w:sz w:val="28"/>
        </w:rPr>
      </w:pPr>
      <w:r>
        <w:rPr>
          <w:sz w:val="28"/>
        </w:rPr>
        <w:t>June</w:t>
      </w:r>
      <w:r w:rsidR="00591AA8">
        <w:rPr>
          <w:sz w:val="28"/>
        </w:rPr>
        <w:t xml:space="preserve"> 201</w:t>
      </w:r>
      <w:r w:rsidR="00A8345B">
        <w:rPr>
          <w:sz w:val="28"/>
        </w:rPr>
        <w:t>5</w:t>
      </w:r>
    </w:p>
    <w:p w14:paraId="5311C2F8" w14:textId="77777777" w:rsidR="00AD4B2A" w:rsidRDefault="00591AA8">
      <w:pPr>
        <w:spacing w:before="100" w:after="100"/>
        <w:outlineLvl w:val="0"/>
        <w:rPr>
          <w:b/>
          <w:smallCaps/>
        </w:rPr>
      </w:pPr>
      <w:r>
        <w:rPr>
          <w:b/>
          <w:smallCaps/>
        </w:rPr>
        <w:t>Volume 1</w:t>
      </w:r>
    </w:p>
    <w:p w14:paraId="6B717ADC" w14:textId="77777777" w:rsidR="00AD4B2A" w:rsidRDefault="00591AA8">
      <w:pPr>
        <w:spacing w:before="100" w:after="100"/>
        <w:outlineLvl w:val="0"/>
        <w:rPr>
          <w:b/>
          <w:smallCaps/>
          <w:sz w:val="32"/>
        </w:rPr>
      </w:pPr>
      <w:r>
        <w:rPr>
          <w:b/>
          <w:smallCaps/>
          <w:sz w:val="32"/>
        </w:rPr>
        <w:t>Progress Report</w:t>
      </w:r>
    </w:p>
    <w:p w14:paraId="7B8330CC" w14:textId="77777777" w:rsidR="00AD4B2A" w:rsidRDefault="00AD4B2A">
      <w:pPr>
        <w:spacing w:before="100" w:after="100"/>
      </w:pPr>
    </w:p>
    <w:p w14:paraId="72F3EB15" w14:textId="77777777" w:rsidR="00AD4B2A" w:rsidRDefault="00591AA8">
      <w:pPr>
        <w:spacing w:before="100" w:after="100"/>
      </w:pPr>
      <w:r>
        <w:t>The text of this report is composed in Times New Roman.</w:t>
      </w:r>
    </w:p>
    <w:p w14:paraId="128E70E7" w14:textId="77777777" w:rsidR="00AD4B2A" w:rsidRDefault="00591AA8">
      <w:pPr>
        <w:tabs>
          <w:tab w:val="left" w:pos="3870"/>
        </w:tabs>
        <w:spacing w:before="100" w:after="100"/>
        <w:outlineLvl w:val="0"/>
        <w:rPr>
          <w:b/>
        </w:rPr>
      </w:pPr>
      <w:r>
        <w:t>Co-ordination:</w:t>
      </w:r>
      <w:r>
        <w:tab/>
      </w:r>
      <w:r>
        <w:rPr>
          <w:b/>
        </w:rPr>
        <w:t>Technology and Economic Assessment Panel</w:t>
      </w:r>
    </w:p>
    <w:p w14:paraId="7D8E1386" w14:textId="77777777" w:rsidR="00AD4B2A" w:rsidRDefault="00591AA8">
      <w:pPr>
        <w:tabs>
          <w:tab w:val="left" w:pos="3870"/>
        </w:tabs>
        <w:spacing w:before="100" w:after="100"/>
      </w:pPr>
      <w:r>
        <w:t>Composition of the report:</w:t>
      </w:r>
      <w:r>
        <w:tab/>
      </w:r>
      <w:r w:rsidR="00A8345B">
        <w:t>Ashley Woodcock</w:t>
      </w:r>
      <w:r>
        <w:t>, Bella Maranion, Marta Pizano</w:t>
      </w:r>
    </w:p>
    <w:p w14:paraId="4E8FF211" w14:textId="28145310" w:rsidR="00AD4B2A" w:rsidRDefault="00591AA8">
      <w:pPr>
        <w:tabs>
          <w:tab w:val="left" w:pos="3870"/>
        </w:tabs>
        <w:spacing w:before="100" w:after="100"/>
        <w:ind w:left="2160" w:hanging="2160"/>
      </w:pPr>
      <w:r>
        <w:t>Layout and formatting:</w:t>
      </w:r>
      <w:r>
        <w:tab/>
      </w:r>
      <w:r>
        <w:tab/>
      </w:r>
      <w:r w:rsidR="00A8345B">
        <w:t>Marta Pizano</w:t>
      </w:r>
      <w:r w:rsidR="00A12A40">
        <w:t xml:space="preserve"> (UNEP TEAP)</w:t>
      </w:r>
      <w:r>
        <w:t xml:space="preserve"> </w:t>
      </w:r>
      <w:r>
        <w:tab/>
      </w:r>
    </w:p>
    <w:p w14:paraId="03464FB8" w14:textId="69CF6B1D" w:rsidR="00AD4B2A" w:rsidRDefault="00591AA8">
      <w:pPr>
        <w:tabs>
          <w:tab w:val="left" w:pos="3870"/>
        </w:tabs>
        <w:spacing w:before="100" w:after="100"/>
      </w:pPr>
      <w:r>
        <w:t>Date:</w:t>
      </w:r>
      <w:r>
        <w:tab/>
      </w:r>
      <w:r w:rsidR="00934436">
        <w:t>June</w:t>
      </w:r>
      <w:r>
        <w:t xml:space="preserve"> 201</w:t>
      </w:r>
      <w:r w:rsidR="00A8345B">
        <w:t>5</w:t>
      </w:r>
    </w:p>
    <w:p w14:paraId="3B6CFBA5" w14:textId="77777777" w:rsidR="00AD4B2A" w:rsidRDefault="00AD4B2A">
      <w:pPr>
        <w:spacing w:before="100" w:after="100"/>
      </w:pPr>
    </w:p>
    <w:p w14:paraId="5EFEAC74" w14:textId="77777777" w:rsidR="00AD4B2A" w:rsidRDefault="00591AA8">
      <w:pPr>
        <w:spacing w:before="100" w:after="100"/>
      </w:pPr>
      <w:r>
        <w:t>Under certain conditions, printed copies of this report are available from:</w:t>
      </w:r>
    </w:p>
    <w:p w14:paraId="6B2AC1DE" w14:textId="77777777" w:rsidR="00AD4B2A" w:rsidRDefault="00591AA8">
      <w:pPr>
        <w:spacing w:before="100" w:after="100"/>
      </w:pPr>
      <w:r>
        <w:t>UNITED NATIONS ENVIRONMENT PROGRAMME</w:t>
      </w:r>
      <w:r>
        <w:br/>
        <w:t>Ozone Secretariat, P.O. Box 30552, Nairobi, Kenya</w:t>
      </w:r>
    </w:p>
    <w:p w14:paraId="625C58C8" w14:textId="77777777" w:rsidR="00AD4B2A" w:rsidRDefault="00AD4B2A">
      <w:pPr>
        <w:spacing w:before="100" w:after="100"/>
        <w:outlineLvl w:val="0"/>
      </w:pPr>
    </w:p>
    <w:p w14:paraId="0BC6E9AB" w14:textId="77777777" w:rsidR="00AD4B2A" w:rsidRDefault="00AD4B2A">
      <w:pPr>
        <w:spacing w:before="100" w:after="100"/>
        <w:outlineLvl w:val="0"/>
      </w:pPr>
    </w:p>
    <w:p w14:paraId="68FF0602" w14:textId="77777777" w:rsidR="00AD4B2A" w:rsidRDefault="00591AA8">
      <w:pPr>
        <w:spacing w:before="100" w:after="100"/>
        <w:outlineLvl w:val="0"/>
      </w:pPr>
      <w:r>
        <w:t>This document is also available in portable document format from the UNEP Ozone Secretariat's website:</w:t>
      </w:r>
    </w:p>
    <w:p w14:paraId="1A96601B" w14:textId="77777777" w:rsidR="00AD4B2A" w:rsidRDefault="00591AA8">
      <w:pPr>
        <w:spacing w:before="100" w:after="100"/>
        <w:jc w:val="center"/>
        <w:rPr>
          <w:b/>
          <w:sz w:val="16"/>
        </w:rPr>
      </w:pPr>
      <w:r>
        <w:rPr>
          <w:b/>
        </w:rPr>
        <w:t>http://ozone.unep.org/new_site/en/assessment_panels_main.php</w:t>
      </w:r>
    </w:p>
    <w:p w14:paraId="15F1BC6F" w14:textId="77777777" w:rsidR="00AD4B2A" w:rsidRDefault="00591AA8">
      <w:pPr>
        <w:spacing w:before="100" w:after="100"/>
      </w:pPr>
      <w:r>
        <w:t>No copyright involved.  This publication may be freely copied, abstracted and cited, with acknowledgement of the source of the material.</w:t>
      </w:r>
    </w:p>
    <w:p w14:paraId="75D6B2E1" w14:textId="77777777" w:rsidR="00AD4B2A" w:rsidRDefault="00591AA8">
      <w:pPr>
        <w:autoSpaceDE w:val="0"/>
        <w:autoSpaceDN w:val="0"/>
        <w:adjustRightInd w:val="0"/>
        <w:spacing w:before="100" w:after="100"/>
        <w:rPr>
          <w:rFonts w:ascii="Helv" w:hAnsi="Helv"/>
          <w:b/>
          <w:lang w:val="en-US" w:eastAsia="en-US"/>
        </w:rPr>
      </w:pPr>
      <w:r>
        <w:rPr>
          <w:b/>
        </w:rPr>
        <w:t>ISBN:</w:t>
      </w:r>
      <w:r>
        <w:rPr>
          <w:b/>
        </w:rPr>
        <w:tab/>
      </w:r>
    </w:p>
    <w:p w14:paraId="489969A8" w14:textId="77777777" w:rsidR="00AD4B2A" w:rsidRDefault="00AD4B2A">
      <w:pPr>
        <w:spacing w:after="0"/>
        <w:outlineLvl w:val="0"/>
        <w:rPr>
          <w:b/>
          <w:highlight w:val="yellow"/>
        </w:rPr>
        <w:sectPr w:rsidR="00AD4B2A">
          <w:footerReference w:type="default" r:id="rId14"/>
          <w:footnotePr>
            <w:numRestart w:val="eachSect"/>
          </w:footnotePr>
          <w:type w:val="nextColumn"/>
          <w:pgSz w:w="12242" w:h="15842" w:code="1"/>
          <w:pgMar w:top="1440" w:right="1800" w:bottom="1526" w:left="1800" w:header="720" w:footer="792" w:gutter="0"/>
          <w:pgNumType w:fmt="lowerRoman"/>
          <w:cols w:space="720"/>
        </w:sectPr>
      </w:pPr>
    </w:p>
    <w:p w14:paraId="40773F0D" w14:textId="77777777" w:rsidR="00AD4B2A" w:rsidRDefault="00591AA8">
      <w:pPr>
        <w:outlineLvl w:val="0"/>
        <w:rPr>
          <w:b/>
        </w:rPr>
      </w:pPr>
      <w:r>
        <w:rPr>
          <w:b/>
        </w:rPr>
        <w:lastRenderedPageBreak/>
        <w:t>Disclaimer</w:t>
      </w:r>
    </w:p>
    <w:p w14:paraId="39BABA94" w14:textId="77777777" w:rsidR="00AD4B2A" w:rsidRDefault="00591AA8">
      <w:pPr>
        <w:rPr>
          <w:sz w:val="20"/>
        </w:rPr>
      </w:pPr>
      <w:r>
        <w:rPr>
          <w:sz w:val="20"/>
        </w:rPr>
        <w:t>The United Nations Environment Programme (UNEP), the Technology and Economic Assessment Panel (TEAP) Co-chairs and members, the Technical Options Committees Co-chairs and members, the TEAP Task Forces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14:paraId="4B9485F9" w14:textId="77777777" w:rsidR="00AD4B2A" w:rsidRDefault="00591AA8">
      <w:pPr>
        <w:pStyle w:val="MainTextNon-indent"/>
        <w:widowControl/>
        <w:spacing w:after="240" w:line="240" w:lineRule="auto"/>
        <w:rPr>
          <w:rFonts w:ascii="Times New Roman" w:hAnsi="Times New Roman"/>
          <w:lang w:val="en-GB"/>
        </w:rPr>
      </w:pPr>
      <w:r>
        <w:rPr>
          <w:rFonts w:ascii="Times New Roman" w:hAnsi="Times New Roman"/>
          <w:lang w:val="en-GB"/>
        </w:rPr>
        <w:t>UNEP, the TEAP Co-chairs and members, the Technical Options Committees Co-chairs and members, and the TEAP Task Forces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1BE482DE" w14:textId="77777777" w:rsidR="00AD4B2A" w:rsidRDefault="00591AA8">
      <w:pPr>
        <w:rPr>
          <w:sz w:val="20"/>
        </w:rPr>
      </w:pPr>
      <w:r>
        <w:rPr>
          <w:sz w:val="20"/>
        </w:rPr>
        <w:t>Mention of any company, association, or product in this document is for information purposes only and does not constitute a recommendation of any such company, association, or product, either express or implied by UNEP, the Technology and Economic Assessment Panel Co-chairs or members, the Technical and Economic Options Committee Co-chairs or members, the TEAP Task Forces Co-chairs or members or the companies or organisations that employ them.</w:t>
      </w:r>
    </w:p>
    <w:p w14:paraId="287D3739" w14:textId="77777777" w:rsidR="00AD4B2A" w:rsidRDefault="00AD4B2A">
      <w:pPr>
        <w:keepNext/>
        <w:suppressAutoHyphens/>
        <w:spacing w:before="120"/>
        <w:ind w:right="244"/>
        <w:jc w:val="both"/>
        <w:rPr>
          <w:b/>
        </w:rPr>
      </w:pPr>
    </w:p>
    <w:p w14:paraId="66BC3E80" w14:textId="77777777" w:rsidR="00AD4B2A" w:rsidRDefault="00AD4B2A">
      <w:pPr>
        <w:keepNext/>
        <w:suppressAutoHyphens/>
        <w:spacing w:before="120"/>
        <w:ind w:right="244"/>
        <w:jc w:val="both"/>
        <w:rPr>
          <w:b/>
        </w:rPr>
      </w:pPr>
    </w:p>
    <w:p w14:paraId="5EB6A890" w14:textId="77777777" w:rsidR="00AD4B2A" w:rsidRDefault="00AD4B2A">
      <w:pPr>
        <w:keepNext/>
        <w:suppressAutoHyphens/>
        <w:spacing w:before="120"/>
        <w:ind w:right="244"/>
        <w:jc w:val="both"/>
        <w:rPr>
          <w:b/>
        </w:rPr>
      </w:pPr>
    </w:p>
    <w:p w14:paraId="206D8404" w14:textId="77777777" w:rsidR="00AD4B2A" w:rsidRDefault="00AD4B2A">
      <w:pPr>
        <w:keepNext/>
        <w:suppressAutoHyphens/>
        <w:spacing w:before="120"/>
        <w:ind w:right="244"/>
        <w:jc w:val="both"/>
        <w:rPr>
          <w:b/>
        </w:rPr>
      </w:pPr>
    </w:p>
    <w:p w14:paraId="246E4FEB" w14:textId="77777777" w:rsidR="00AD4B2A" w:rsidRDefault="00AD4B2A">
      <w:pPr>
        <w:keepNext/>
        <w:suppressAutoHyphens/>
        <w:spacing w:before="120"/>
        <w:ind w:right="244"/>
        <w:jc w:val="both"/>
        <w:rPr>
          <w:b/>
        </w:rPr>
      </w:pPr>
    </w:p>
    <w:p w14:paraId="36FCA245" w14:textId="77777777" w:rsidR="00AD4B2A" w:rsidRDefault="00AD4B2A">
      <w:pPr>
        <w:keepNext/>
        <w:suppressAutoHyphens/>
        <w:spacing w:before="120"/>
        <w:ind w:right="244"/>
        <w:jc w:val="both"/>
        <w:rPr>
          <w:b/>
        </w:rPr>
      </w:pPr>
    </w:p>
    <w:p w14:paraId="14E9F7E0" w14:textId="77777777" w:rsidR="00AD4B2A" w:rsidRDefault="00591AA8">
      <w:pPr>
        <w:keepNext/>
        <w:suppressAutoHyphens/>
        <w:spacing w:before="120"/>
        <w:ind w:right="244"/>
        <w:jc w:val="both"/>
        <w:rPr>
          <w:b/>
        </w:rPr>
      </w:pPr>
      <w:r>
        <w:rPr>
          <w:b/>
        </w:rPr>
        <w:t>Acknowledgements</w:t>
      </w:r>
    </w:p>
    <w:p w14:paraId="6ED718CD" w14:textId="399197C9" w:rsidR="00AD4B2A" w:rsidRDefault="00591AA8">
      <w:pPr>
        <w:rPr>
          <w:sz w:val="20"/>
        </w:rPr>
      </w:pPr>
      <w:r>
        <w:rPr>
          <w:sz w:val="20"/>
        </w:rPr>
        <w:t xml:space="preserve">The Technology and Economic Assessment Panel, its Technical Options Committees and the </w:t>
      </w:r>
      <w:r w:rsidR="00AB5433">
        <w:rPr>
          <w:sz w:val="20"/>
        </w:rPr>
        <w:t xml:space="preserve">TEAP </w:t>
      </w:r>
      <w:r>
        <w:rPr>
          <w:sz w:val="20"/>
        </w:rPr>
        <w:t xml:space="preserve">Task Force Co-chairs and members acknowledges with thanks the outstanding contributions from all of the individuals and organisations that provided support to Panel, Committees and </w:t>
      </w:r>
      <w:r w:rsidR="00AB5433">
        <w:rPr>
          <w:sz w:val="20"/>
        </w:rPr>
        <w:t xml:space="preserve">TEAP </w:t>
      </w:r>
      <w:r>
        <w:rPr>
          <w:sz w:val="20"/>
        </w:rPr>
        <w:t xml:space="preserve">Task Force Co-chairs and members.  The opinions expressed are those of the Panel, the Committees and </w:t>
      </w:r>
      <w:r w:rsidR="00AB5433">
        <w:rPr>
          <w:sz w:val="20"/>
        </w:rPr>
        <w:t xml:space="preserve">TEAP </w:t>
      </w:r>
      <w:r>
        <w:rPr>
          <w:sz w:val="20"/>
        </w:rPr>
        <w:t>Task Forces and do not necessarily reflect the reviews of any sponsoring or supporting organisation.</w:t>
      </w:r>
    </w:p>
    <w:p w14:paraId="4CDF54CD" w14:textId="77777777" w:rsidR="00A8345B" w:rsidRDefault="00A8345B">
      <w:pPr>
        <w:spacing w:after="0"/>
        <w:rPr>
          <w:sz w:val="20"/>
        </w:rPr>
      </w:pPr>
      <w:r>
        <w:rPr>
          <w:sz w:val="20"/>
        </w:rPr>
        <w:br w:type="page"/>
      </w:r>
    </w:p>
    <w:p w14:paraId="2EC51EB4" w14:textId="77777777" w:rsidR="00A8345B" w:rsidRDefault="00A8345B">
      <w:pPr>
        <w:rPr>
          <w:sz w:val="20"/>
        </w:rPr>
      </w:pPr>
    </w:p>
    <w:p w14:paraId="5B37BE40" w14:textId="77777777" w:rsidR="00AD4B2A" w:rsidRDefault="00591AA8" w:rsidP="0030141E">
      <w:pPr>
        <w:pStyle w:val="Heading1"/>
      </w:pPr>
      <w:bookmarkStart w:id="6" w:name="_Toc354570759"/>
      <w:bookmarkStart w:id="7" w:name="_Toc388648326"/>
      <w:bookmarkStart w:id="8" w:name="_Toc295406110"/>
      <w:r>
        <w:t>Foreword</w:t>
      </w:r>
      <w:bookmarkEnd w:id="6"/>
      <w:bookmarkEnd w:id="7"/>
      <w:bookmarkEnd w:id="8"/>
    </w:p>
    <w:p w14:paraId="048A7572" w14:textId="77777777" w:rsidR="00AD4B2A" w:rsidRDefault="00591AA8">
      <w:pPr>
        <w:pStyle w:val="BodyText"/>
        <w:spacing w:line="240" w:lineRule="auto"/>
        <w:rPr>
          <w:b/>
        </w:rPr>
      </w:pPr>
      <w:r>
        <w:rPr>
          <w:b/>
        </w:rPr>
        <w:t>The May 201</w:t>
      </w:r>
      <w:r w:rsidR="00A8345B">
        <w:rPr>
          <w:b/>
        </w:rPr>
        <w:t>5</w:t>
      </w:r>
      <w:r>
        <w:rPr>
          <w:b/>
        </w:rPr>
        <w:t xml:space="preserve"> TEAP Report</w:t>
      </w:r>
    </w:p>
    <w:p w14:paraId="4EC841DF" w14:textId="71197528" w:rsidR="00AD4B2A" w:rsidRPr="00343A2F" w:rsidRDefault="00591AA8" w:rsidP="00862BA7">
      <w:pPr>
        <w:pStyle w:val="refs"/>
        <w:rPr>
          <w:i w:val="0"/>
          <w:sz w:val="22"/>
          <w:szCs w:val="22"/>
        </w:rPr>
      </w:pPr>
      <w:r w:rsidRPr="00343A2F">
        <w:rPr>
          <w:i w:val="0"/>
          <w:sz w:val="22"/>
          <w:szCs w:val="22"/>
        </w:rPr>
        <w:t xml:space="preserve">The </w:t>
      </w:r>
      <w:r w:rsidR="00934436" w:rsidRPr="00343A2F">
        <w:rPr>
          <w:i w:val="0"/>
          <w:sz w:val="22"/>
          <w:szCs w:val="22"/>
        </w:rPr>
        <w:t>June</w:t>
      </w:r>
      <w:r w:rsidRPr="00343A2F">
        <w:rPr>
          <w:i w:val="0"/>
          <w:sz w:val="22"/>
          <w:szCs w:val="22"/>
        </w:rPr>
        <w:t xml:space="preserve"> 201</w:t>
      </w:r>
      <w:r w:rsidR="00A8345B" w:rsidRPr="00343A2F">
        <w:rPr>
          <w:i w:val="0"/>
          <w:sz w:val="22"/>
          <w:szCs w:val="22"/>
        </w:rPr>
        <w:t>5</w:t>
      </w:r>
      <w:r w:rsidRPr="00343A2F">
        <w:rPr>
          <w:i w:val="0"/>
          <w:sz w:val="22"/>
          <w:szCs w:val="22"/>
        </w:rPr>
        <w:t xml:space="preserve"> TEAP Report consists of </w:t>
      </w:r>
      <w:r w:rsidR="00727F81" w:rsidRPr="00343A2F">
        <w:rPr>
          <w:i w:val="0"/>
          <w:sz w:val="22"/>
          <w:szCs w:val="22"/>
        </w:rPr>
        <w:t>three</w:t>
      </w:r>
      <w:r w:rsidRPr="00343A2F">
        <w:rPr>
          <w:i w:val="0"/>
          <w:sz w:val="22"/>
          <w:szCs w:val="22"/>
        </w:rPr>
        <w:t xml:space="preserve"> volumes:</w:t>
      </w:r>
    </w:p>
    <w:p w14:paraId="7393EF56" w14:textId="77777777" w:rsidR="00727F81" w:rsidRDefault="00591AA8" w:rsidP="00862BA7">
      <w:pPr>
        <w:pStyle w:val="refs"/>
        <w:rPr>
          <w:sz w:val="22"/>
          <w:szCs w:val="22"/>
        </w:rPr>
      </w:pPr>
      <w:r w:rsidRPr="00CA5E9C">
        <w:rPr>
          <w:b/>
          <w:sz w:val="22"/>
          <w:szCs w:val="22"/>
        </w:rPr>
        <w:t>Volume 1</w:t>
      </w:r>
      <w:r w:rsidRPr="00CA5E9C">
        <w:rPr>
          <w:sz w:val="22"/>
          <w:szCs w:val="22"/>
        </w:rPr>
        <w:t>: Progress Report</w:t>
      </w:r>
      <w:r w:rsidR="00727F81">
        <w:rPr>
          <w:sz w:val="22"/>
          <w:szCs w:val="22"/>
        </w:rPr>
        <w:t>:</w:t>
      </w:r>
      <w:r w:rsidR="00A8345B" w:rsidRPr="00CA5E9C">
        <w:rPr>
          <w:sz w:val="22"/>
          <w:szCs w:val="22"/>
        </w:rPr>
        <w:t xml:space="preserve"> </w:t>
      </w:r>
    </w:p>
    <w:p w14:paraId="0D51A298" w14:textId="238BFECA" w:rsidR="00727F81" w:rsidRDefault="00934436" w:rsidP="00E15FE9">
      <w:pPr>
        <w:pStyle w:val="refs"/>
        <w:numPr>
          <w:ilvl w:val="0"/>
          <w:numId w:val="56"/>
        </w:numPr>
        <w:rPr>
          <w:sz w:val="22"/>
          <w:szCs w:val="22"/>
        </w:rPr>
      </w:pPr>
      <w:r>
        <w:rPr>
          <w:sz w:val="22"/>
          <w:szCs w:val="22"/>
        </w:rPr>
        <w:t>June</w:t>
      </w:r>
      <w:r w:rsidR="00591AA8" w:rsidRPr="00CA5E9C">
        <w:rPr>
          <w:sz w:val="22"/>
          <w:szCs w:val="22"/>
        </w:rPr>
        <w:t xml:space="preserve"> 201</w:t>
      </w:r>
      <w:r w:rsidR="00A8345B" w:rsidRPr="00CA5E9C">
        <w:rPr>
          <w:sz w:val="22"/>
          <w:szCs w:val="22"/>
        </w:rPr>
        <w:t>5</w:t>
      </w:r>
      <w:r w:rsidR="00591AA8" w:rsidRPr="00CA5E9C">
        <w:rPr>
          <w:sz w:val="22"/>
          <w:szCs w:val="22"/>
        </w:rPr>
        <w:t xml:space="preserve"> TEAP Essential Use Nominations Report</w:t>
      </w:r>
      <w:r w:rsidR="00A8345B" w:rsidRPr="00CA5E9C">
        <w:rPr>
          <w:sz w:val="22"/>
          <w:szCs w:val="22"/>
        </w:rPr>
        <w:t xml:space="preserve"> </w:t>
      </w:r>
    </w:p>
    <w:p w14:paraId="0FD74783" w14:textId="77777777" w:rsidR="002D1FC6" w:rsidRPr="00CA5E9C" w:rsidRDefault="002D1FC6" w:rsidP="00E15FE9">
      <w:pPr>
        <w:pStyle w:val="refs"/>
        <w:numPr>
          <w:ilvl w:val="0"/>
          <w:numId w:val="56"/>
        </w:numPr>
        <w:rPr>
          <w:sz w:val="22"/>
          <w:szCs w:val="22"/>
        </w:rPr>
      </w:pPr>
      <w:r>
        <w:rPr>
          <w:sz w:val="22"/>
          <w:szCs w:val="22"/>
        </w:rPr>
        <w:t>TOC Progress Reports</w:t>
      </w:r>
    </w:p>
    <w:p w14:paraId="50DF1919" w14:textId="77777777" w:rsidR="00AD4B2A" w:rsidRDefault="00A8345B" w:rsidP="00E15FE9">
      <w:pPr>
        <w:pStyle w:val="refs"/>
        <w:numPr>
          <w:ilvl w:val="0"/>
          <w:numId w:val="56"/>
        </w:numPr>
        <w:rPr>
          <w:sz w:val="22"/>
          <w:szCs w:val="22"/>
        </w:rPr>
      </w:pPr>
      <w:r w:rsidRPr="00CA5E9C">
        <w:rPr>
          <w:sz w:val="22"/>
          <w:szCs w:val="22"/>
        </w:rPr>
        <w:t>Response to Decision XXVI/7</w:t>
      </w:r>
    </w:p>
    <w:p w14:paraId="19D2A9E1" w14:textId="77777777" w:rsidR="002D1FC6" w:rsidRDefault="006077BC" w:rsidP="00E15FE9">
      <w:pPr>
        <w:pStyle w:val="refs"/>
        <w:numPr>
          <w:ilvl w:val="0"/>
          <w:numId w:val="56"/>
        </w:numPr>
        <w:rPr>
          <w:sz w:val="22"/>
          <w:szCs w:val="22"/>
        </w:rPr>
      </w:pPr>
      <w:r>
        <w:rPr>
          <w:sz w:val="22"/>
          <w:szCs w:val="22"/>
        </w:rPr>
        <w:t>Other TEAP matters</w:t>
      </w:r>
    </w:p>
    <w:p w14:paraId="41CBCF64" w14:textId="7A8B53BA" w:rsidR="002D1FC6" w:rsidRDefault="002D1FC6" w:rsidP="00E15FE9">
      <w:pPr>
        <w:pStyle w:val="refs"/>
        <w:numPr>
          <w:ilvl w:val="0"/>
          <w:numId w:val="56"/>
        </w:numPr>
        <w:rPr>
          <w:sz w:val="22"/>
          <w:szCs w:val="22"/>
        </w:rPr>
      </w:pPr>
      <w:r>
        <w:rPr>
          <w:sz w:val="22"/>
          <w:szCs w:val="22"/>
        </w:rPr>
        <w:t xml:space="preserve">List of TEAP and TOC members at </w:t>
      </w:r>
      <w:r w:rsidR="00537A3B">
        <w:rPr>
          <w:sz w:val="22"/>
          <w:szCs w:val="22"/>
        </w:rPr>
        <w:t>June</w:t>
      </w:r>
      <w:r>
        <w:rPr>
          <w:sz w:val="22"/>
          <w:szCs w:val="22"/>
        </w:rPr>
        <w:t xml:space="preserve"> 2015</w:t>
      </w:r>
    </w:p>
    <w:p w14:paraId="42E00113" w14:textId="77777777" w:rsidR="006077BC" w:rsidRDefault="006077BC" w:rsidP="00E15FE9">
      <w:pPr>
        <w:pStyle w:val="refs"/>
        <w:numPr>
          <w:ilvl w:val="0"/>
          <w:numId w:val="56"/>
        </w:numPr>
        <w:rPr>
          <w:sz w:val="22"/>
          <w:szCs w:val="22"/>
        </w:rPr>
      </w:pPr>
      <w:r>
        <w:rPr>
          <w:sz w:val="22"/>
          <w:szCs w:val="22"/>
        </w:rPr>
        <w:t>Matrix of Expertise</w:t>
      </w:r>
    </w:p>
    <w:p w14:paraId="26961643" w14:textId="77777777" w:rsidR="00AD4B2A" w:rsidRPr="00CA5E9C" w:rsidRDefault="00591AA8" w:rsidP="00862BA7">
      <w:pPr>
        <w:pStyle w:val="refs"/>
        <w:rPr>
          <w:sz w:val="22"/>
          <w:szCs w:val="22"/>
        </w:rPr>
      </w:pPr>
      <w:r w:rsidRPr="00CA5E9C">
        <w:rPr>
          <w:b/>
          <w:sz w:val="22"/>
          <w:szCs w:val="22"/>
        </w:rPr>
        <w:t xml:space="preserve">Volume </w:t>
      </w:r>
      <w:r w:rsidR="00A8345B" w:rsidRPr="00CA5E9C">
        <w:rPr>
          <w:b/>
          <w:sz w:val="22"/>
          <w:szCs w:val="22"/>
        </w:rPr>
        <w:t>2</w:t>
      </w:r>
      <w:r w:rsidRPr="00CA5E9C">
        <w:rPr>
          <w:sz w:val="22"/>
          <w:szCs w:val="22"/>
        </w:rPr>
        <w:t>: May 201</w:t>
      </w:r>
      <w:r w:rsidR="00494A75" w:rsidRPr="00CA5E9C">
        <w:rPr>
          <w:sz w:val="22"/>
          <w:szCs w:val="22"/>
        </w:rPr>
        <w:t>5</w:t>
      </w:r>
      <w:r w:rsidRPr="00CA5E9C">
        <w:rPr>
          <w:sz w:val="22"/>
          <w:szCs w:val="22"/>
        </w:rPr>
        <w:t xml:space="preserve"> TEAP Critical Use Nominations Report</w:t>
      </w:r>
      <w:r w:rsidR="002D1FC6">
        <w:rPr>
          <w:sz w:val="22"/>
          <w:szCs w:val="22"/>
        </w:rPr>
        <w:t xml:space="preserve"> </w:t>
      </w:r>
    </w:p>
    <w:p w14:paraId="66E0D271" w14:textId="77777777" w:rsidR="00AD4B2A" w:rsidRPr="00CA5E9C" w:rsidRDefault="00591AA8" w:rsidP="00862BA7">
      <w:pPr>
        <w:pStyle w:val="refs"/>
        <w:rPr>
          <w:sz w:val="22"/>
          <w:szCs w:val="22"/>
        </w:rPr>
      </w:pPr>
      <w:r w:rsidRPr="00CA5E9C">
        <w:rPr>
          <w:b/>
          <w:sz w:val="22"/>
          <w:szCs w:val="22"/>
        </w:rPr>
        <w:t xml:space="preserve">Volume </w:t>
      </w:r>
      <w:r w:rsidR="00A8345B" w:rsidRPr="00CA5E9C">
        <w:rPr>
          <w:b/>
          <w:sz w:val="22"/>
          <w:szCs w:val="22"/>
        </w:rPr>
        <w:t>3</w:t>
      </w:r>
      <w:r w:rsidRPr="00CA5E9C">
        <w:rPr>
          <w:sz w:val="22"/>
          <w:szCs w:val="22"/>
        </w:rPr>
        <w:t xml:space="preserve">: </w:t>
      </w:r>
      <w:r w:rsidR="002D1FC6">
        <w:rPr>
          <w:sz w:val="22"/>
          <w:szCs w:val="22"/>
        </w:rPr>
        <w:t xml:space="preserve">Report of the </w:t>
      </w:r>
      <w:r w:rsidRPr="00CA5E9C">
        <w:rPr>
          <w:sz w:val="22"/>
          <w:szCs w:val="22"/>
        </w:rPr>
        <w:t>TEAP</w:t>
      </w:r>
      <w:r w:rsidR="002D1FC6">
        <w:rPr>
          <w:sz w:val="22"/>
          <w:szCs w:val="22"/>
        </w:rPr>
        <w:t xml:space="preserve"> Task Force on</w:t>
      </w:r>
      <w:r w:rsidRPr="00CA5E9C">
        <w:rPr>
          <w:sz w:val="22"/>
          <w:szCs w:val="22"/>
        </w:rPr>
        <w:t xml:space="preserve"> Decision XXV</w:t>
      </w:r>
      <w:r w:rsidR="00A8345B" w:rsidRPr="00CA5E9C">
        <w:rPr>
          <w:sz w:val="22"/>
          <w:szCs w:val="22"/>
        </w:rPr>
        <w:t>I</w:t>
      </w:r>
      <w:r w:rsidRPr="00CA5E9C">
        <w:rPr>
          <w:sz w:val="22"/>
          <w:szCs w:val="22"/>
        </w:rPr>
        <w:t>/</w:t>
      </w:r>
      <w:r w:rsidR="00A8345B" w:rsidRPr="00CA5E9C">
        <w:rPr>
          <w:sz w:val="22"/>
          <w:szCs w:val="22"/>
        </w:rPr>
        <w:t>9</w:t>
      </w:r>
      <w:r w:rsidR="002D1FC6">
        <w:rPr>
          <w:sz w:val="22"/>
          <w:szCs w:val="22"/>
        </w:rPr>
        <w:t>:</w:t>
      </w:r>
      <w:r w:rsidRPr="00CA5E9C">
        <w:rPr>
          <w:sz w:val="22"/>
          <w:szCs w:val="22"/>
        </w:rPr>
        <w:t xml:space="preserve"> </w:t>
      </w:r>
      <w:r w:rsidR="006077BC">
        <w:rPr>
          <w:sz w:val="22"/>
          <w:szCs w:val="22"/>
        </w:rPr>
        <w:t>on Additional Information on A</w:t>
      </w:r>
      <w:r w:rsidRPr="00CA5E9C">
        <w:rPr>
          <w:sz w:val="22"/>
          <w:szCs w:val="22"/>
        </w:rPr>
        <w:t xml:space="preserve">lternatives to ODS  </w:t>
      </w:r>
    </w:p>
    <w:p w14:paraId="59F62B8A" w14:textId="77777777" w:rsidR="00AD4B2A" w:rsidRDefault="00AD4B2A" w:rsidP="00494A75">
      <w:pPr>
        <w:pStyle w:val="BodyText"/>
        <w:spacing w:line="240" w:lineRule="auto"/>
        <w:ind w:left="360"/>
      </w:pPr>
    </w:p>
    <w:p w14:paraId="53F13BF3" w14:textId="77777777" w:rsidR="00AD4B2A" w:rsidRDefault="00591AA8">
      <w:r>
        <w:t>The UNEP Technology and Economic Assessment Panel (TEAP):</w:t>
      </w:r>
    </w:p>
    <w:tbl>
      <w:tblPr>
        <w:tblW w:w="0" w:type="auto"/>
        <w:tblInd w:w="108" w:type="dxa"/>
        <w:tblLayout w:type="fixed"/>
        <w:tblLook w:val="0000" w:firstRow="0" w:lastRow="0" w:firstColumn="0" w:lastColumn="0" w:noHBand="0" w:noVBand="0"/>
      </w:tblPr>
      <w:tblGrid>
        <w:gridCol w:w="3544"/>
        <w:gridCol w:w="850"/>
        <w:gridCol w:w="2446"/>
        <w:gridCol w:w="1524"/>
      </w:tblGrid>
      <w:tr w:rsidR="00350B22" w14:paraId="1F06E1C4" w14:textId="77777777" w:rsidTr="00350B22">
        <w:tc>
          <w:tcPr>
            <w:tcW w:w="3544" w:type="dxa"/>
            <w:vAlign w:val="center"/>
          </w:tcPr>
          <w:p w14:paraId="72C2A045" w14:textId="77777777" w:rsidR="00350B22" w:rsidRDefault="00350B22" w:rsidP="00350B22">
            <w:pPr>
              <w:pStyle w:val="BodyText"/>
              <w:spacing w:before="20" w:after="0" w:line="240" w:lineRule="auto"/>
            </w:pPr>
            <w:r>
              <w:t>Bella Maranion, co-chair</w:t>
            </w:r>
          </w:p>
        </w:tc>
        <w:tc>
          <w:tcPr>
            <w:tcW w:w="850" w:type="dxa"/>
            <w:vAlign w:val="center"/>
          </w:tcPr>
          <w:p w14:paraId="2F8B5F98" w14:textId="77777777" w:rsidR="00350B22" w:rsidRDefault="00350B22" w:rsidP="00350B22">
            <w:pPr>
              <w:pStyle w:val="BodyText"/>
              <w:spacing w:before="20" w:after="0" w:line="240" w:lineRule="auto"/>
              <w:ind w:right="33"/>
              <w:jc w:val="both"/>
            </w:pPr>
            <w:r>
              <w:t>USA</w:t>
            </w:r>
          </w:p>
        </w:tc>
        <w:tc>
          <w:tcPr>
            <w:tcW w:w="2446" w:type="dxa"/>
            <w:vAlign w:val="center"/>
          </w:tcPr>
          <w:p w14:paraId="10DF0CAF" w14:textId="77777777" w:rsidR="00350B22" w:rsidRDefault="00350B22" w:rsidP="00350B22">
            <w:pPr>
              <w:pStyle w:val="BodyText"/>
              <w:spacing w:before="20" w:after="0" w:line="240" w:lineRule="auto"/>
            </w:pPr>
            <w:r>
              <w:t>Fabio Polonara</w:t>
            </w:r>
          </w:p>
        </w:tc>
        <w:tc>
          <w:tcPr>
            <w:tcW w:w="1524" w:type="dxa"/>
            <w:vAlign w:val="center"/>
          </w:tcPr>
          <w:p w14:paraId="57F64D78" w14:textId="77777777" w:rsidR="00350B22" w:rsidRDefault="00350B22" w:rsidP="00350B22">
            <w:pPr>
              <w:pStyle w:val="BodyText"/>
              <w:spacing w:before="20" w:after="0" w:line="240" w:lineRule="auto"/>
              <w:ind w:left="72" w:right="33"/>
            </w:pPr>
            <w:r>
              <w:t>IT</w:t>
            </w:r>
          </w:p>
        </w:tc>
      </w:tr>
      <w:tr w:rsidR="00494A75" w14:paraId="12531355" w14:textId="77777777">
        <w:tc>
          <w:tcPr>
            <w:tcW w:w="3544" w:type="dxa"/>
            <w:vAlign w:val="center"/>
          </w:tcPr>
          <w:p w14:paraId="6895CBEA" w14:textId="722FD2C5" w:rsidR="00494A75" w:rsidRDefault="00350B22">
            <w:pPr>
              <w:pStyle w:val="BodyText"/>
              <w:tabs>
                <w:tab w:val="left" w:pos="3010"/>
              </w:tabs>
              <w:spacing w:before="20" w:after="0" w:line="240" w:lineRule="auto"/>
              <w:ind w:right="-108"/>
            </w:pPr>
            <w:r>
              <w:t>Marta Pizano, co-chair</w:t>
            </w:r>
          </w:p>
        </w:tc>
        <w:tc>
          <w:tcPr>
            <w:tcW w:w="850" w:type="dxa"/>
            <w:vAlign w:val="center"/>
          </w:tcPr>
          <w:p w14:paraId="55BCCCC3" w14:textId="68C33A6C" w:rsidR="00494A75" w:rsidRDefault="00350B22">
            <w:pPr>
              <w:pStyle w:val="BodyText"/>
              <w:tabs>
                <w:tab w:val="left" w:pos="3010"/>
              </w:tabs>
              <w:spacing w:before="20" w:after="0" w:line="240" w:lineRule="auto"/>
              <w:ind w:right="33"/>
              <w:jc w:val="both"/>
            </w:pPr>
            <w:r>
              <w:t>COL</w:t>
            </w:r>
          </w:p>
        </w:tc>
        <w:tc>
          <w:tcPr>
            <w:tcW w:w="2446" w:type="dxa"/>
            <w:vAlign w:val="center"/>
          </w:tcPr>
          <w:p w14:paraId="47083F3D" w14:textId="77777777" w:rsidR="00494A75" w:rsidRDefault="00494A75">
            <w:pPr>
              <w:pStyle w:val="BodyText"/>
              <w:spacing w:before="20" w:after="0" w:line="240" w:lineRule="auto"/>
            </w:pPr>
            <w:r>
              <w:t>Roberto Peixoto</w:t>
            </w:r>
          </w:p>
        </w:tc>
        <w:tc>
          <w:tcPr>
            <w:tcW w:w="1524" w:type="dxa"/>
            <w:vAlign w:val="center"/>
          </w:tcPr>
          <w:p w14:paraId="226EDE4E" w14:textId="77777777" w:rsidR="00494A75" w:rsidRDefault="00494A75">
            <w:pPr>
              <w:pStyle w:val="BodyText"/>
              <w:spacing w:before="20" w:after="0" w:line="240" w:lineRule="auto"/>
              <w:ind w:left="72" w:right="33"/>
            </w:pPr>
            <w:r>
              <w:t>BRA</w:t>
            </w:r>
          </w:p>
        </w:tc>
      </w:tr>
      <w:tr w:rsidR="00494A75" w14:paraId="2F9FA02C" w14:textId="77777777">
        <w:trPr>
          <w:trHeight w:val="90"/>
        </w:trPr>
        <w:tc>
          <w:tcPr>
            <w:tcW w:w="3544" w:type="dxa"/>
            <w:vAlign w:val="center"/>
          </w:tcPr>
          <w:p w14:paraId="5643513F" w14:textId="76032859" w:rsidR="00494A75" w:rsidRDefault="00350B22" w:rsidP="00350B22">
            <w:pPr>
              <w:pStyle w:val="BodyText"/>
              <w:spacing w:before="20" w:after="0" w:line="240" w:lineRule="auto"/>
            </w:pPr>
            <w:r>
              <w:t xml:space="preserve">Ashley Woodcock, co-chair </w:t>
            </w:r>
          </w:p>
        </w:tc>
        <w:tc>
          <w:tcPr>
            <w:tcW w:w="850" w:type="dxa"/>
            <w:vAlign w:val="center"/>
          </w:tcPr>
          <w:p w14:paraId="6F90D492" w14:textId="6DCD10E8" w:rsidR="00494A75" w:rsidRDefault="00350B22">
            <w:pPr>
              <w:pStyle w:val="BodyText"/>
              <w:spacing w:before="20" w:after="0" w:line="240" w:lineRule="auto"/>
              <w:ind w:right="33"/>
              <w:jc w:val="both"/>
            </w:pPr>
            <w:r>
              <w:t>UK</w:t>
            </w:r>
          </w:p>
        </w:tc>
        <w:tc>
          <w:tcPr>
            <w:tcW w:w="2446" w:type="dxa"/>
            <w:vAlign w:val="center"/>
          </w:tcPr>
          <w:p w14:paraId="2237DA74" w14:textId="77777777" w:rsidR="00494A75" w:rsidRDefault="007F78CB">
            <w:pPr>
              <w:pStyle w:val="BodyText"/>
              <w:spacing w:before="20" w:after="0" w:line="240" w:lineRule="auto"/>
            </w:pPr>
            <w:r>
              <w:t>Jose Pons-Pons</w:t>
            </w:r>
          </w:p>
        </w:tc>
        <w:tc>
          <w:tcPr>
            <w:tcW w:w="1524" w:type="dxa"/>
            <w:vAlign w:val="center"/>
          </w:tcPr>
          <w:p w14:paraId="53C45FE4" w14:textId="77777777" w:rsidR="00494A75" w:rsidRDefault="007F78CB">
            <w:pPr>
              <w:pStyle w:val="BodyText"/>
              <w:spacing w:before="20" w:after="0" w:line="240" w:lineRule="auto"/>
              <w:ind w:left="72" w:right="33"/>
            </w:pPr>
            <w:r>
              <w:t>VEN</w:t>
            </w:r>
          </w:p>
        </w:tc>
      </w:tr>
      <w:tr w:rsidR="00494A75" w14:paraId="378A78AA" w14:textId="77777777">
        <w:tc>
          <w:tcPr>
            <w:tcW w:w="3544" w:type="dxa"/>
            <w:vAlign w:val="center"/>
          </w:tcPr>
          <w:p w14:paraId="19D07282" w14:textId="77777777" w:rsidR="00494A75" w:rsidRDefault="00494A75">
            <w:pPr>
              <w:pStyle w:val="BodyText"/>
              <w:spacing w:before="20" w:after="0" w:line="240" w:lineRule="auto"/>
            </w:pPr>
            <w:r>
              <w:t>Mohamed Besri</w:t>
            </w:r>
          </w:p>
        </w:tc>
        <w:tc>
          <w:tcPr>
            <w:tcW w:w="850" w:type="dxa"/>
            <w:vAlign w:val="center"/>
          </w:tcPr>
          <w:p w14:paraId="6CC59361" w14:textId="77777777" w:rsidR="00494A75" w:rsidRDefault="00494A75">
            <w:pPr>
              <w:pStyle w:val="BodyText"/>
              <w:spacing w:before="20" w:after="0" w:line="240" w:lineRule="auto"/>
              <w:ind w:right="33"/>
              <w:jc w:val="both"/>
            </w:pPr>
            <w:r>
              <w:t>MOR</w:t>
            </w:r>
          </w:p>
        </w:tc>
        <w:tc>
          <w:tcPr>
            <w:tcW w:w="2446" w:type="dxa"/>
            <w:vAlign w:val="center"/>
          </w:tcPr>
          <w:p w14:paraId="72B3EC3E" w14:textId="77777777" w:rsidR="00494A75" w:rsidRDefault="007F78CB">
            <w:pPr>
              <w:pStyle w:val="BodyText"/>
              <w:spacing w:before="20" w:after="0" w:line="240" w:lineRule="auto"/>
            </w:pPr>
            <w:r>
              <w:t>Ian Porter</w:t>
            </w:r>
          </w:p>
        </w:tc>
        <w:tc>
          <w:tcPr>
            <w:tcW w:w="1524" w:type="dxa"/>
            <w:vAlign w:val="center"/>
          </w:tcPr>
          <w:p w14:paraId="7B7AF809" w14:textId="77777777" w:rsidR="00494A75" w:rsidRDefault="007F78CB">
            <w:pPr>
              <w:pStyle w:val="BodyText"/>
              <w:spacing w:before="20" w:after="0" w:line="240" w:lineRule="auto"/>
              <w:ind w:left="72" w:right="33"/>
            </w:pPr>
            <w:r>
              <w:t>AUS</w:t>
            </w:r>
          </w:p>
        </w:tc>
      </w:tr>
      <w:tr w:rsidR="00494A75" w14:paraId="7A13CC69" w14:textId="77777777">
        <w:tc>
          <w:tcPr>
            <w:tcW w:w="3544" w:type="dxa"/>
            <w:vAlign w:val="center"/>
          </w:tcPr>
          <w:p w14:paraId="5643F44A" w14:textId="77777777" w:rsidR="00494A75" w:rsidRDefault="00494A75">
            <w:pPr>
              <w:pStyle w:val="BodyText"/>
              <w:spacing w:before="20" w:after="0" w:line="240" w:lineRule="auto"/>
            </w:pPr>
            <w:r>
              <w:t xml:space="preserve">David Catchpole </w:t>
            </w:r>
          </w:p>
        </w:tc>
        <w:tc>
          <w:tcPr>
            <w:tcW w:w="850" w:type="dxa"/>
            <w:vAlign w:val="center"/>
          </w:tcPr>
          <w:p w14:paraId="07FF8F41" w14:textId="77777777" w:rsidR="00494A75" w:rsidRDefault="00494A75">
            <w:pPr>
              <w:pStyle w:val="BodyText"/>
              <w:spacing w:before="20" w:after="0" w:line="240" w:lineRule="auto"/>
              <w:ind w:right="33"/>
              <w:jc w:val="both"/>
            </w:pPr>
            <w:r>
              <w:t>UK</w:t>
            </w:r>
          </w:p>
        </w:tc>
        <w:tc>
          <w:tcPr>
            <w:tcW w:w="2446" w:type="dxa"/>
            <w:vAlign w:val="center"/>
          </w:tcPr>
          <w:p w14:paraId="72277851" w14:textId="77777777" w:rsidR="00494A75" w:rsidRDefault="007F78CB">
            <w:pPr>
              <w:pStyle w:val="BodyText"/>
              <w:spacing w:before="20" w:after="0" w:line="240" w:lineRule="auto"/>
            </w:pPr>
            <w:r>
              <w:t>Helen Tope</w:t>
            </w:r>
          </w:p>
        </w:tc>
        <w:tc>
          <w:tcPr>
            <w:tcW w:w="1524" w:type="dxa"/>
            <w:vAlign w:val="center"/>
          </w:tcPr>
          <w:p w14:paraId="6F3FB51B" w14:textId="77777777" w:rsidR="00494A75" w:rsidRDefault="007F78CB">
            <w:pPr>
              <w:pStyle w:val="BodyText"/>
              <w:spacing w:before="20" w:after="0" w:line="240" w:lineRule="auto"/>
              <w:ind w:left="72" w:right="33"/>
            </w:pPr>
            <w:r>
              <w:t>AUS</w:t>
            </w:r>
          </w:p>
        </w:tc>
      </w:tr>
      <w:tr w:rsidR="00494A75" w14:paraId="4E04051A" w14:textId="77777777">
        <w:tc>
          <w:tcPr>
            <w:tcW w:w="3544" w:type="dxa"/>
            <w:vAlign w:val="center"/>
          </w:tcPr>
          <w:p w14:paraId="6495BEDF" w14:textId="77777777" w:rsidR="00494A75" w:rsidRDefault="00494A75">
            <w:pPr>
              <w:pStyle w:val="BodyText"/>
              <w:spacing w:before="20" w:after="0" w:line="240" w:lineRule="auto"/>
            </w:pPr>
            <w:r>
              <w:t>Marco Gonzalez</w:t>
            </w:r>
          </w:p>
        </w:tc>
        <w:tc>
          <w:tcPr>
            <w:tcW w:w="850" w:type="dxa"/>
            <w:vAlign w:val="center"/>
          </w:tcPr>
          <w:p w14:paraId="5FC84C0C" w14:textId="77777777" w:rsidR="00494A75" w:rsidRDefault="00494A75">
            <w:pPr>
              <w:pStyle w:val="BodyText"/>
              <w:spacing w:before="20" w:after="0" w:line="240" w:lineRule="auto"/>
              <w:ind w:right="33"/>
              <w:jc w:val="both"/>
            </w:pPr>
            <w:r>
              <w:t>CR</w:t>
            </w:r>
          </w:p>
        </w:tc>
        <w:tc>
          <w:tcPr>
            <w:tcW w:w="2446" w:type="dxa"/>
            <w:vAlign w:val="center"/>
          </w:tcPr>
          <w:p w14:paraId="221A5CCD" w14:textId="77777777" w:rsidR="00494A75" w:rsidRDefault="007F78CB">
            <w:pPr>
              <w:pStyle w:val="BodyText"/>
              <w:spacing w:before="20" w:after="0" w:line="240" w:lineRule="auto"/>
            </w:pPr>
            <w:r>
              <w:t>Dan Verdonik</w:t>
            </w:r>
          </w:p>
        </w:tc>
        <w:tc>
          <w:tcPr>
            <w:tcW w:w="1524" w:type="dxa"/>
            <w:vAlign w:val="center"/>
          </w:tcPr>
          <w:p w14:paraId="6866E249" w14:textId="77777777" w:rsidR="00494A75" w:rsidRDefault="007F78CB">
            <w:pPr>
              <w:pStyle w:val="BodyText"/>
              <w:spacing w:before="20" w:after="0" w:line="240" w:lineRule="auto"/>
              <w:ind w:left="72" w:right="33"/>
            </w:pPr>
            <w:r>
              <w:t>USA</w:t>
            </w:r>
          </w:p>
        </w:tc>
      </w:tr>
      <w:tr w:rsidR="00494A75" w14:paraId="1BC2244B" w14:textId="77777777">
        <w:tc>
          <w:tcPr>
            <w:tcW w:w="3544" w:type="dxa"/>
            <w:vAlign w:val="center"/>
          </w:tcPr>
          <w:p w14:paraId="0B449695" w14:textId="77777777" w:rsidR="00494A75" w:rsidRDefault="00494A75">
            <w:pPr>
              <w:pStyle w:val="BodyText"/>
              <w:spacing w:before="20" w:after="0" w:line="240" w:lineRule="auto"/>
            </w:pPr>
            <w:r>
              <w:t>Sergey Kopylov</w:t>
            </w:r>
          </w:p>
        </w:tc>
        <w:tc>
          <w:tcPr>
            <w:tcW w:w="850" w:type="dxa"/>
            <w:vAlign w:val="center"/>
          </w:tcPr>
          <w:p w14:paraId="61518754" w14:textId="77777777" w:rsidR="00494A75" w:rsidRDefault="00494A75">
            <w:pPr>
              <w:pStyle w:val="BodyText"/>
              <w:spacing w:before="20" w:after="0" w:line="240" w:lineRule="auto"/>
              <w:ind w:right="33"/>
              <w:jc w:val="both"/>
            </w:pPr>
            <w:r>
              <w:t>RF</w:t>
            </w:r>
          </w:p>
        </w:tc>
        <w:tc>
          <w:tcPr>
            <w:tcW w:w="2446" w:type="dxa"/>
            <w:vAlign w:val="center"/>
          </w:tcPr>
          <w:p w14:paraId="0FC17A02" w14:textId="77777777" w:rsidR="00494A75" w:rsidRDefault="007F78CB">
            <w:pPr>
              <w:pStyle w:val="BodyText"/>
              <w:spacing w:before="20" w:after="0" w:line="240" w:lineRule="auto"/>
            </w:pPr>
            <w:r>
              <w:t>Masaaki Yamabe</w:t>
            </w:r>
          </w:p>
        </w:tc>
        <w:tc>
          <w:tcPr>
            <w:tcW w:w="1524" w:type="dxa"/>
            <w:vAlign w:val="center"/>
          </w:tcPr>
          <w:p w14:paraId="0C726610" w14:textId="77777777" w:rsidR="00494A75" w:rsidRDefault="007F78CB">
            <w:pPr>
              <w:pStyle w:val="BodyText"/>
              <w:spacing w:before="20" w:after="0" w:line="240" w:lineRule="auto"/>
              <w:ind w:left="72" w:right="33"/>
            </w:pPr>
            <w:r>
              <w:t>J</w:t>
            </w:r>
          </w:p>
        </w:tc>
      </w:tr>
      <w:tr w:rsidR="00494A75" w14:paraId="56BB906C" w14:textId="77777777">
        <w:trPr>
          <w:trHeight w:val="212"/>
        </w:trPr>
        <w:tc>
          <w:tcPr>
            <w:tcW w:w="3544" w:type="dxa"/>
            <w:vAlign w:val="center"/>
          </w:tcPr>
          <w:p w14:paraId="01F718BB" w14:textId="77777777" w:rsidR="00494A75" w:rsidRDefault="00494A75">
            <w:pPr>
              <w:pStyle w:val="BodyText"/>
              <w:spacing w:before="20" w:after="0" w:line="240" w:lineRule="auto"/>
            </w:pPr>
            <w:r>
              <w:t>Lambert Kuijpers</w:t>
            </w:r>
          </w:p>
        </w:tc>
        <w:tc>
          <w:tcPr>
            <w:tcW w:w="850" w:type="dxa"/>
            <w:vAlign w:val="center"/>
          </w:tcPr>
          <w:p w14:paraId="7F7C7C58" w14:textId="77777777" w:rsidR="00494A75" w:rsidRDefault="00494A75">
            <w:pPr>
              <w:pStyle w:val="BodyText"/>
              <w:spacing w:before="20" w:after="0" w:line="240" w:lineRule="auto"/>
              <w:ind w:right="33"/>
              <w:jc w:val="both"/>
            </w:pPr>
            <w:r>
              <w:t>NL</w:t>
            </w:r>
          </w:p>
        </w:tc>
        <w:tc>
          <w:tcPr>
            <w:tcW w:w="2446" w:type="dxa"/>
            <w:vAlign w:val="center"/>
          </w:tcPr>
          <w:p w14:paraId="65BB47EF" w14:textId="77777777" w:rsidR="00494A75" w:rsidRDefault="007F78CB">
            <w:pPr>
              <w:pStyle w:val="BodyText"/>
              <w:spacing w:before="20" w:after="0" w:line="240" w:lineRule="auto"/>
            </w:pPr>
            <w:r>
              <w:t>Shiqiu Zhang</w:t>
            </w:r>
          </w:p>
        </w:tc>
        <w:tc>
          <w:tcPr>
            <w:tcW w:w="1524" w:type="dxa"/>
            <w:vAlign w:val="center"/>
          </w:tcPr>
          <w:p w14:paraId="5CC3986E" w14:textId="77777777" w:rsidR="00494A75" w:rsidRDefault="007F78CB">
            <w:pPr>
              <w:pStyle w:val="BodyText"/>
              <w:spacing w:before="20" w:after="0" w:line="240" w:lineRule="auto"/>
              <w:ind w:left="72" w:right="33"/>
            </w:pPr>
            <w:r>
              <w:t>PRC</w:t>
            </w:r>
          </w:p>
        </w:tc>
      </w:tr>
      <w:tr w:rsidR="00494A75" w14:paraId="3971EDAA" w14:textId="77777777">
        <w:trPr>
          <w:trHeight w:val="212"/>
        </w:trPr>
        <w:tc>
          <w:tcPr>
            <w:tcW w:w="3544" w:type="dxa"/>
            <w:vAlign w:val="center"/>
          </w:tcPr>
          <w:p w14:paraId="74A05E9D" w14:textId="77777777" w:rsidR="00494A75" w:rsidRDefault="00494A75">
            <w:pPr>
              <w:pStyle w:val="BodyText"/>
              <w:spacing w:before="20" w:after="0" w:line="240" w:lineRule="auto"/>
            </w:pPr>
            <w:r>
              <w:t>Kei-ichi Ohnishi</w:t>
            </w:r>
          </w:p>
        </w:tc>
        <w:tc>
          <w:tcPr>
            <w:tcW w:w="850" w:type="dxa"/>
            <w:vAlign w:val="center"/>
          </w:tcPr>
          <w:p w14:paraId="475AB601" w14:textId="77777777" w:rsidR="00494A75" w:rsidRDefault="00494A75">
            <w:pPr>
              <w:pStyle w:val="BodyText"/>
              <w:spacing w:before="20" w:after="0" w:line="240" w:lineRule="auto"/>
              <w:ind w:right="33"/>
              <w:jc w:val="both"/>
            </w:pPr>
            <w:r>
              <w:t>J</w:t>
            </w:r>
          </w:p>
        </w:tc>
        <w:tc>
          <w:tcPr>
            <w:tcW w:w="2446" w:type="dxa"/>
            <w:vAlign w:val="center"/>
          </w:tcPr>
          <w:p w14:paraId="7E051FB3" w14:textId="1C2F988F" w:rsidR="00494A75" w:rsidRDefault="00350B22">
            <w:pPr>
              <w:pStyle w:val="BodyText"/>
              <w:spacing w:before="20" w:after="0" w:line="240" w:lineRule="auto"/>
            </w:pPr>
            <w:r>
              <w:t>Jianjun</w:t>
            </w:r>
            <w:r w:rsidR="007F78CB">
              <w:t xml:space="preserve"> Zhang</w:t>
            </w:r>
          </w:p>
        </w:tc>
        <w:tc>
          <w:tcPr>
            <w:tcW w:w="1524" w:type="dxa"/>
            <w:vAlign w:val="center"/>
          </w:tcPr>
          <w:p w14:paraId="259DFFFA" w14:textId="77777777" w:rsidR="00494A75" w:rsidRDefault="007F78CB">
            <w:pPr>
              <w:pStyle w:val="BodyText"/>
              <w:spacing w:before="20" w:after="0" w:line="240" w:lineRule="auto"/>
              <w:ind w:left="72" w:right="33"/>
            </w:pPr>
            <w:r>
              <w:t>PRC</w:t>
            </w:r>
          </w:p>
        </w:tc>
      </w:tr>
      <w:tr w:rsidR="00494A75" w14:paraId="20B3BBF3" w14:textId="77777777">
        <w:tc>
          <w:tcPr>
            <w:tcW w:w="3544" w:type="dxa"/>
            <w:vAlign w:val="center"/>
          </w:tcPr>
          <w:p w14:paraId="62B77669" w14:textId="77777777" w:rsidR="00494A75" w:rsidRDefault="00494A75">
            <w:pPr>
              <w:pStyle w:val="BodyText"/>
              <w:spacing w:before="20" w:after="0" w:line="240" w:lineRule="auto"/>
            </w:pPr>
          </w:p>
        </w:tc>
        <w:tc>
          <w:tcPr>
            <w:tcW w:w="850" w:type="dxa"/>
            <w:vAlign w:val="center"/>
          </w:tcPr>
          <w:p w14:paraId="33468A50" w14:textId="77777777" w:rsidR="00494A75" w:rsidRDefault="00494A75">
            <w:pPr>
              <w:pStyle w:val="BodyText"/>
              <w:spacing w:before="20" w:after="0" w:line="240" w:lineRule="auto"/>
              <w:ind w:right="33"/>
              <w:jc w:val="both"/>
            </w:pPr>
          </w:p>
        </w:tc>
        <w:tc>
          <w:tcPr>
            <w:tcW w:w="2446" w:type="dxa"/>
            <w:vAlign w:val="center"/>
          </w:tcPr>
          <w:p w14:paraId="3434F5AE" w14:textId="77777777" w:rsidR="00494A75" w:rsidRDefault="00494A75">
            <w:pPr>
              <w:pStyle w:val="BodyText"/>
              <w:spacing w:before="20" w:after="0" w:line="240" w:lineRule="auto"/>
            </w:pPr>
          </w:p>
        </w:tc>
        <w:tc>
          <w:tcPr>
            <w:tcW w:w="1524" w:type="dxa"/>
            <w:vAlign w:val="center"/>
          </w:tcPr>
          <w:p w14:paraId="6EC1ED26" w14:textId="77777777" w:rsidR="00494A75" w:rsidRDefault="00494A75">
            <w:pPr>
              <w:pStyle w:val="BodyText"/>
              <w:spacing w:before="20" w:after="0" w:line="240" w:lineRule="auto"/>
              <w:ind w:left="72" w:right="33"/>
            </w:pPr>
          </w:p>
        </w:tc>
      </w:tr>
    </w:tbl>
    <w:p w14:paraId="2A3E178B" w14:textId="77777777" w:rsidR="00AD4B2A" w:rsidRDefault="00AD4B2A">
      <w:pPr>
        <w:spacing w:after="0"/>
        <w:jc w:val="right"/>
        <w:rPr>
          <w:b/>
          <w:smallCaps/>
          <w:sz w:val="28"/>
        </w:rPr>
      </w:pPr>
    </w:p>
    <w:p w14:paraId="2B1A072A" w14:textId="42655124" w:rsidR="00AD4B2A" w:rsidRDefault="00591AA8">
      <w:pPr>
        <w:spacing w:after="0"/>
        <w:jc w:val="right"/>
        <w:rPr>
          <w:b/>
          <w:smallCaps/>
          <w:sz w:val="28"/>
        </w:rPr>
      </w:pPr>
      <w:r>
        <w:rPr>
          <w:b/>
          <w:smallCaps/>
          <w:sz w:val="28"/>
        </w:rPr>
        <w:br w:type="page"/>
      </w:r>
      <w:r>
        <w:rPr>
          <w:b/>
          <w:smallCaps/>
          <w:sz w:val="28"/>
        </w:rPr>
        <w:lastRenderedPageBreak/>
        <w:t>UNEP</w:t>
      </w:r>
      <w:r>
        <w:rPr>
          <w:b/>
          <w:smallCaps/>
          <w:sz w:val="28"/>
        </w:rPr>
        <w:br/>
      </w:r>
      <w:r w:rsidR="00B92517">
        <w:rPr>
          <w:b/>
          <w:smallCaps/>
          <w:sz w:val="28"/>
        </w:rPr>
        <w:t>June</w:t>
      </w:r>
      <w:r>
        <w:rPr>
          <w:b/>
          <w:smallCaps/>
          <w:sz w:val="28"/>
        </w:rPr>
        <w:t xml:space="preserve"> 201</w:t>
      </w:r>
      <w:r w:rsidR="007F78CB">
        <w:rPr>
          <w:b/>
          <w:smallCaps/>
          <w:sz w:val="28"/>
        </w:rPr>
        <w:t>5</w:t>
      </w:r>
      <w:r>
        <w:rPr>
          <w:b/>
          <w:smallCaps/>
          <w:sz w:val="28"/>
        </w:rPr>
        <w:t xml:space="preserve"> Report of the</w:t>
      </w:r>
      <w:r>
        <w:rPr>
          <w:b/>
          <w:smallCaps/>
          <w:sz w:val="28"/>
        </w:rPr>
        <w:br/>
        <w:t>Technology and Economic</w:t>
      </w:r>
      <w:r>
        <w:rPr>
          <w:b/>
          <w:smallCaps/>
          <w:sz w:val="28"/>
        </w:rPr>
        <w:br/>
        <w:t>Assessment Panel</w:t>
      </w:r>
    </w:p>
    <w:p w14:paraId="20919DAB" w14:textId="77777777" w:rsidR="00AD4B2A" w:rsidRDefault="00591AA8">
      <w:pPr>
        <w:jc w:val="right"/>
        <w:rPr>
          <w:b/>
          <w:smallCaps/>
          <w:sz w:val="28"/>
        </w:rPr>
      </w:pPr>
      <w:r>
        <w:rPr>
          <w:b/>
          <w:smallCaps/>
          <w:sz w:val="28"/>
        </w:rPr>
        <w:t>Volume 1</w:t>
      </w:r>
    </w:p>
    <w:p w14:paraId="0D5A6092" w14:textId="77777777" w:rsidR="00AD4B2A" w:rsidRDefault="00591AA8">
      <w:pPr>
        <w:jc w:val="right"/>
        <w:rPr>
          <w:b/>
          <w:smallCaps/>
          <w:sz w:val="28"/>
        </w:rPr>
      </w:pPr>
      <w:r>
        <w:rPr>
          <w:b/>
          <w:smallCaps/>
          <w:sz w:val="28"/>
        </w:rPr>
        <w:t>Progress Report</w:t>
      </w:r>
    </w:p>
    <w:p w14:paraId="5F378466" w14:textId="77777777" w:rsidR="00AD4B2A" w:rsidRPr="000A35BA" w:rsidRDefault="00F12A62" w:rsidP="00F12A62">
      <w:pPr>
        <w:pStyle w:val="TOC2"/>
        <w:rPr>
          <w:b/>
          <w:sz w:val="24"/>
          <w:szCs w:val="24"/>
        </w:rPr>
      </w:pPr>
      <w:r w:rsidRPr="000A35BA">
        <w:rPr>
          <w:b/>
          <w:sz w:val="24"/>
          <w:szCs w:val="24"/>
        </w:rPr>
        <w:t>Table of Contents</w:t>
      </w:r>
    </w:p>
    <w:p w14:paraId="6AB09A79" w14:textId="77777777" w:rsidR="00003F99" w:rsidRDefault="00003F99">
      <w:pPr>
        <w:pStyle w:val="TOC1"/>
        <w:rPr>
          <w:rFonts w:asciiTheme="minorHAnsi" w:eastAsiaTheme="minorEastAsia" w:hAnsiTheme="minorHAnsi" w:cstheme="minorBidi"/>
          <w:b w:val="0"/>
          <w:caps w:val="0"/>
          <w:color w:val="auto"/>
          <w:sz w:val="24"/>
          <w:szCs w:val="24"/>
          <w:lang w:val="en-US" w:eastAsia="ja-JP"/>
        </w:rPr>
      </w:pPr>
      <w:r>
        <w:rPr>
          <w:caps w:val="0"/>
          <w:sz w:val="24"/>
          <w:szCs w:val="24"/>
        </w:rPr>
        <w:fldChar w:fldCharType="begin"/>
      </w:r>
      <w:r>
        <w:rPr>
          <w:caps w:val="0"/>
          <w:sz w:val="24"/>
          <w:szCs w:val="24"/>
        </w:rPr>
        <w:instrText xml:space="preserve"> TOC \o "1-4" </w:instrText>
      </w:r>
      <w:r>
        <w:rPr>
          <w:caps w:val="0"/>
          <w:sz w:val="24"/>
          <w:szCs w:val="24"/>
        </w:rPr>
        <w:fldChar w:fldCharType="separate"/>
      </w:r>
      <w:r>
        <w:t>Foreword</w:t>
      </w:r>
      <w:r>
        <w:tab/>
      </w:r>
      <w:r>
        <w:fldChar w:fldCharType="begin"/>
      </w:r>
      <w:r>
        <w:instrText xml:space="preserve"> PAGEREF _Toc295406110 \h </w:instrText>
      </w:r>
      <w:r>
        <w:fldChar w:fldCharType="separate"/>
      </w:r>
      <w:r>
        <w:t>v</w:t>
      </w:r>
      <w:r>
        <w:fldChar w:fldCharType="end"/>
      </w:r>
    </w:p>
    <w:p w14:paraId="1423064D" w14:textId="77777777" w:rsidR="00003F99" w:rsidRDefault="00003F99">
      <w:pPr>
        <w:pStyle w:val="TOC1"/>
        <w:tabs>
          <w:tab w:val="left" w:pos="357"/>
        </w:tabs>
        <w:rPr>
          <w:rFonts w:asciiTheme="minorHAnsi" w:eastAsiaTheme="minorEastAsia" w:hAnsiTheme="minorHAnsi" w:cstheme="minorBidi"/>
          <w:b w:val="0"/>
          <w:caps w:val="0"/>
          <w:color w:val="auto"/>
          <w:sz w:val="24"/>
          <w:szCs w:val="24"/>
          <w:lang w:val="en-US" w:eastAsia="ja-JP"/>
        </w:rPr>
      </w:pPr>
      <w:r>
        <w:t>1</w:t>
      </w:r>
      <w:r>
        <w:rPr>
          <w:rFonts w:asciiTheme="minorHAnsi" w:eastAsiaTheme="minorEastAsia" w:hAnsiTheme="minorHAnsi" w:cstheme="minorBidi"/>
          <w:b w:val="0"/>
          <w:caps w:val="0"/>
          <w:color w:val="auto"/>
          <w:sz w:val="24"/>
          <w:szCs w:val="24"/>
          <w:lang w:val="en-US" w:eastAsia="ja-JP"/>
        </w:rPr>
        <w:tab/>
      </w:r>
      <w:r>
        <w:t>Introduction</w:t>
      </w:r>
      <w:r>
        <w:tab/>
      </w:r>
      <w:r>
        <w:fldChar w:fldCharType="begin"/>
      </w:r>
      <w:r>
        <w:instrText xml:space="preserve"> PAGEREF _Toc295406111 \h </w:instrText>
      </w:r>
      <w:r>
        <w:fldChar w:fldCharType="separate"/>
      </w:r>
      <w:r>
        <w:t>8</w:t>
      </w:r>
      <w:r>
        <w:fldChar w:fldCharType="end"/>
      </w:r>
    </w:p>
    <w:p w14:paraId="1EB5727E" w14:textId="77777777" w:rsidR="00003F99" w:rsidRDefault="00003F99">
      <w:pPr>
        <w:pStyle w:val="TOC1"/>
        <w:tabs>
          <w:tab w:val="left" w:pos="357"/>
        </w:tabs>
        <w:rPr>
          <w:rFonts w:asciiTheme="minorHAnsi" w:eastAsiaTheme="minorEastAsia" w:hAnsiTheme="minorHAnsi" w:cstheme="minorBidi"/>
          <w:b w:val="0"/>
          <w:caps w:val="0"/>
          <w:color w:val="auto"/>
          <w:sz w:val="24"/>
          <w:szCs w:val="24"/>
          <w:lang w:val="en-US" w:eastAsia="ja-JP"/>
        </w:rPr>
      </w:pPr>
      <w:r>
        <w:t>2</w:t>
      </w:r>
      <w:r>
        <w:rPr>
          <w:rFonts w:asciiTheme="minorHAnsi" w:eastAsiaTheme="minorEastAsia" w:hAnsiTheme="minorHAnsi" w:cstheme="minorBidi"/>
          <w:b w:val="0"/>
          <w:caps w:val="0"/>
          <w:color w:val="auto"/>
          <w:sz w:val="24"/>
          <w:szCs w:val="24"/>
          <w:lang w:val="en-US" w:eastAsia="ja-JP"/>
        </w:rPr>
        <w:tab/>
      </w:r>
      <w:r>
        <w:t>Chemicals TOC (CTOC) Progress Report</w:t>
      </w:r>
      <w:r>
        <w:tab/>
      </w:r>
      <w:r>
        <w:fldChar w:fldCharType="begin"/>
      </w:r>
      <w:r>
        <w:instrText xml:space="preserve"> PAGEREF _Toc295406112 \h </w:instrText>
      </w:r>
      <w:r>
        <w:fldChar w:fldCharType="separate"/>
      </w:r>
      <w:r>
        <w:t>9</w:t>
      </w:r>
      <w:r>
        <w:fldChar w:fldCharType="end"/>
      </w:r>
    </w:p>
    <w:p w14:paraId="31F6204B"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rsidRPr="004A6874">
        <w:t>2.1.</w:t>
      </w:r>
      <w:r>
        <w:rPr>
          <w:rFonts w:asciiTheme="minorHAnsi" w:eastAsiaTheme="minorEastAsia" w:hAnsiTheme="minorHAnsi" w:cstheme="minorBidi"/>
          <w:smallCaps w:val="0"/>
          <w:color w:val="auto"/>
          <w:sz w:val="24"/>
          <w:szCs w:val="24"/>
          <w:lang w:val="en-US" w:eastAsia="ja-JP"/>
        </w:rPr>
        <w:tab/>
      </w:r>
      <w:r w:rsidRPr="004A6874">
        <w:t>CTOC Progress</w:t>
      </w:r>
      <w:r>
        <w:tab/>
      </w:r>
      <w:r>
        <w:fldChar w:fldCharType="begin"/>
      </w:r>
      <w:r>
        <w:instrText xml:space="preserve"> PAGEREF _Toc295406113 \h </w:instrText>
      </w:r>
      <w:r>
        <w:fldChar w:fldCharType="separate"/>
      </w:r>
      <w:r>
        <w:t>9</w:t>
      </w:r>
      <w:r>
        <w:fldChar w:fldCharType="end"/>
      </w:r>
    </w:p>
    <w:p w14:paraId="4A41B2E4" w14:textId="77777777" w:rsidR="00003F99" w:rsidRDefault="00003F99">
      <w:pPr>
        <w:pStyle w:val="TOC2"/>
        <w:tabs>
          <w:tab w:val="left" w:pos="877"/>
        </w:tabs>
        <w:rPr>
          <w:rFonts w:asciiTheme="minorHAnsi" w:eastAsiaTheme="minorEastAsia" w:hAnsiTheme="minorHAnsi" w:cstheme="minorBidi"/>
          <w:smallCaps w:val="0"/>
          <w:color w:val="auto"/>
          <w:sz w:val="24"/>
          <w:szCs w:val="24"/>
          <w:lang w:val="en-US" w:eastAsia="ja-JP"/>
        </w:rPr>
      </w:pPr>
      <w:r w:rsidRPr="004A6874">
        <w:t>2.</w:t>
      </w:r>
      <w:r>
        <w:t>2.</w:t>
      </w:r>
      <w:r>
        <w:rPr>
          <w:rFonts w:asciiTheme="minorHAnsi" w:eastAsiaTheme="minorEastAsia" w:hAnsiTheme="minorHAnsi" w:cstheme="minorBidi"/>
          <w:smallCaps w:val="0"/>
          <w:color w:val="auto"/>
          <w:sz w:val="24"/>
          <w:szCs w:val="24"/>
          <w:lang w:val="en-US" w:eastAsia="ja-JP"/>
        </w:rPr>
        <w:tab/>
      </w:r>
      <w:r>
        <w:t>Essential Use Nomination of CTC Laboratory and analytical uses (“testing of oil, grease and total petroleum hydrocarbons in water”) by China</w:t>
      </w:r>
      <w:r>
        <w:tab/>
      </w:r>
      <w:r>
        <w:fldChar w:fldCharType="begin"/>
      </w:r>
      <w:r>
        <w:instrText xml:space="preserve"> PAGEREF _Toc295406114 \h </w:instrText>
      </w:r>
      <w:r>
        <w:fldChar w:fldCharType="separate"/>
      </w:r>
      <w:r>
        <w:t>9</w:t>
      </w:r>
      <w:r>
        <w:fldChar w:fldCharType="end"/>
      </w:r>
    </w:p>
    <w:p w14:paraId="55789FE8"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2.2.1.</w:t>
      </w:r>
      <w:r>
        <w:rPr>
          <w:rFonts w:asciiTheme="minorHAnsi" w:eastAsiaTheme="minorEastAsia" w:hAnsiTheme="minorHAnsi" w:cstheme="minorBidi"/>
          <w:i w:val="0"/>
          <w:color w:val="auto"/>
          <w:sz w:val="24"/>
          <w:szCs w:val="24"/>
          <w:lang w:val="en-US" w:eastAsia="ja-JP"/>
        </w:rPr>
        <w:tab/>
      </w:r>
      <w:r>
        <w:t>Introduction</w:t>
      </w:r>
      <w:r>
        <w:tab/>
      </w:r>
      <w:r>
        <w:fldChar w:fldCharType="begin"/>
      </w:r>
      <w:r>
        <w:instrText xml:space="preserve"> PAGEREF _Toc295406115 \h </w:instrText>
      </w:r>
      <w:r>
        <w:fldChar w:fldCharType="separate"/>
      </w:r>
      <w:r>
        <w:t>9</w:t>
      </w:r>
      <w:r>
        <w:fldChar w:fldCharType="end"/>
      </w:r>
    </w:p>
    <w:p w14:paraId="0F9B6146"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2.2.2.</w:t>
      </w:r>
      <w:r>
        <w:rPr>
          <w:rFonts w:asciiTheme="minorHAnsi" w:eastAsiaTheme="minorEastAsia" w:hAnsiTheme="minorHAnsi" w:cstheme="minorBidi"/>
          <w:i w:val="0"/>
          <w:color w:val="auto"/>
          <w:sz w:val="24"/>
          <w:szCs w:val="24"/>
          <w:lang w:val="en-US" w:eastAsia="ja-JP"/>
        </w:rPr>
        <w:tab/>
      </w:r>
      <w:r>
        <w:t>Explanation on EUN for CTC in 2015-2016 by China</w:t>
      </w:r>
      <w:r>
        <w:tab/>
      </w:r>
      <w:r>
        <w:fldChar w:fldCharType="begin"/>
      </w:r>
      <w:r>
        <w:instrText xml:space="preserve"> PAGEREF _Toc295406116 \h </w:instrText>
      </w:r>
      <w:r>
        <w:fldChar w:fldCharType="separate"/>
      </w:r>
      <w:r>
        <w:t>9</w:t>
      </w:r>
      <w:r>
        <w:fldChar w:fldCharType="end"/>
      </w:r>
    </w:p>
    <w:p w14:paraId="56EF73AD" w14:textId="77777777" w:rsidR="00003F99" w:rsidRDefault="00003F99">
      <w:pPr>
        <w:pStyle w:val="TOC3"/>
        <w:tabs>
          <w:tab w:val="left" w:pos="1094"/>
        </w:tabs>
        <w:rPr>
          <w:rFonts w:asciiTheme="minorHAnsi" w:eastAsiaTheme="minorEastAsia" w:hAnsiTheme="minorHAnsi" w:cstheme="minorBidi"/>
          <w:i w:val="0"/>
          <w:color w:val="auto"/>
          <w:sz w:val="24"/>
          <w:szCs w:val="24"/>
          <w:lang w:val="en-US" w:eastAsia="ja-JP"/>
        </w:rPr>
      </w:pPr>
      <w:r>
        <w:t>2.2.3</w:t>
      </w:r>
      <w:r>
        <w:rPr>
          <w:rFonts w:asciiTheme="minorHAnsi" w:eastAsiaTheme="minorEastAsia" w:hAnsiTheme="minorHAnsi" w:cstheme="minorBidi"/>
          <w:i w:val="0"/>
          <w:color w:val="auto"/>
          <w:sz w:val="24"/>
          <w:szCs w:val="24"/>
          <w:lang w:val="en-US" w:eastAsia="ja-JP"/>
        </w:rPr>
        <w:tab/>
      </w:r>
      <w:r>
        <w:t>CTOC Comments on EUN for CTC in 2016-2017 by China</w:t>
      </w:r>
      <w:r>
        <w:tab/>
      </w:r>
      <w:r>
        <w:fldChar w:fldCharType="begin"/>
      </w:r>
      <w:r>
        <w:instrText xml:space="preserve"> PAGEREF _Toc295406117 \h </w:instrText>
      </w:r>
      <w:r>
        <w:fldChar w:fldCharType="separate"/>
      </w:r>
      <w:r>
        <w:t>10</w:t>
      </w:r>
      <w:r>
        <w:fldChar w:fldCharType="end"/>
      </w:r>
    </w:p>
    <w:p w14:paraId="3B3584FF" w14:textId="77777777" w:rsidR="00003F99" w:rsidRDefault="00003F99">
      <w:pPr>
        <w:pStyle w:val="TOC3"/>
        <w:rPr>
          <w:rFonts w:asciiTheme="minorHAnsi" w:eastAsiaTheme="minorEastAsia" w:hAnsiTheme="minorHAnsi" w:cstheme="minorBidi"/>
          <w:i w:val="0"/>
          <w:color w:val="auto"/>
          <w:sz w:val="24"/>
          <w:szCs w:val="24"/>
          <w:lang w:val="en-US" w:eastAsia="ja-JP"/>
        </w:rPr>
      </w:pPr>
      <w:r>
        <w:t>2.2.4.  Conclusion</w:t>
      </w:r>
      <w:r>
        <w:tab/>
      </w:r>
      <w:r>
        <w:fldChar w:fldCharType="begin"/>
      </w:r>
      <w:r>
        <w:instrText xml:space="preserve"> PAGEREF _Toc295406118 \h </w:instrText>
      </w:r>
      <w:r>
        <w:fldChar w:fldCharType="separate"/>
      </w:r>
      <w:r>
        <w:t>10</w:t>
      </w:r>
      <w:r>
        <w:fldChar w:fldCharType="end"/>
      </w:r>
    </w:p>
    <w:p w14:paraId="0F3BF99D" w14:textId="77777777" w:rsidR="00003F99" w:rsidRDefault="00003F99">
      <w:pPr>
        <w:pStyle w:val="TOC1"/>
        <w:tabs>
          <w:tab w:val="left" w:pos="357"/>
        </w:tabs>
        <w:rPr>
          <w:rFonts w:asciiTheme="minorHAnsi" w:eastAsiaTheme="minorEastAsia" w:hAnsiTheme="minorHAnsi" w:cstheme="minorBidi"/>
          <w:b w:val="0"/>
          <w:caps w:val="0"/>
          <w:color w:val="auto"/>
          <w:sz w:val="24"/>
          <w:szCs w:val="24"/>
          <w:lang w:val="en-US" w:eastAsia="ja-JP"/>
        </w:rPr>
      </w:pPr>
      <w:r>
        <w:t>3</w:t>
      </w:r>
      <w:r>
        <w:rPr>
          <w:rFonts w:asciiTheme="minorHAnsi" w:eastAsiaTheme="minorEastAsia" w:hAnsiTheme="minorHAnsi" w:cstheme="minorBidi"/>
          <w:b w:val="0"/>
          <w:caps w:val="0"/>
          <w:color w:val="auto"/>
          <w:sz w:val="24"/>
          <w:szCs w:val="24"/>
          <w:lang w:val="en-US" w:eastAsia="ja-JP"/>
        </w:rPr>
        <w:tab/>
      </w:r>
      <w:r>
        <w:t>Foams TOC (FTOC) Progress Report</w:t>
      </w:r>
      <w:r>
        <w:tab/>
      </w:r>
      <w:r>
        <w:fldChar w:fldCharType="begin"/>
      </w:r>
      <w:r>
        <w:instrText xml:space="preserve"> PAGEREF _Toc295406119 \h </w:instrText>
      </w:r>
      <w:r>
        <w:fldChar w:fldCharType="separate"/>
      </w:r>
      <w:r>
        <w:t>11</w:t>
      </w:r>
      <w:r>
        <w:fldChar w:fldCharType="end"/>
      </w:r>
    </w:p>
    <w:p w14:paraId="0AE3C0BF" w14:textId="77777777" w:rsidR="00003F99" w:rsidRDefault="00003F99">
      <w:pPr>
        <w:pStyle w:val="TOC1"/>
        <w:tabs>
          <w:tab w:val="left" w:pos="357"/>
        </w:tabs>
        <w:rPr>
          <w:rFonts w:asciiTheme="minorHAnsi" w:eastAsiaTheme="minorEastAsia" w:hAnsiTheme="minorHAnsi" w:cstheme="minorBidi"/>
          <w:b w:val="0"/>
          <w:caps w:val="0"/>
          <w:color w:val="auto"/>
          <w:sz w:val="24"/>
          <w:szCs w:val="24"/>
          <w:lang w:val="en-US" w:eastAsia="ja-JP"/>
        </w:rPr>
      </w:pPr>
      <w:r>
        <w:t>4</w:t>
      </w:r>
      <w:r>
        <w:rPr>
          <w:rFonts w:asciiTheme="minorHAnsi" w:eastAsiaTheme="minorEastAsia" w:hAnsiTheme="minorHAnsi" w:cstheme="minorBidi"/>
          <w:b w:val="0"/>
          <w:caps w:val="0"/>
          <w:color w:val="auto"/>
          <w:sz w:val="24"/>
          <w:szCs w:val="24"/>
          <w:lang w:val="en-US" w:eastAsia="ja-JP"/>
        </w:rPr>
        <w:tab/>
      </w:r>
      <w:r>
        <w:t>Halons TOC (HTOC) Progress Report</w:t>
      </w:r>
      <w:r>
        <w:tab/>
      </w:r>
      <w:r>
        <w:fldChar w:fldCharType="begin"/>
      </w:r>
      <w:r>
        <w:instrText xml:space="preserve"> PAGEREF _Toc295406120 \h </w:instrText>
      </w:r>
      <w:r>
        <w:fldChar w:fldCharType="separate"/>
      </w:r>
      <w:r>
        <w:t>13</w:t>
      </w:r>
      <w:r>
        <w:fldChar w:fldCharType="end"/>
      </w:r>
    </w:p>
    <w:p w14:paraId="5E662884" w14:textId="77777777" w:rsidR="00003F99" w:rsidRDefault="00003F99">
      <w:pPr>
        <w:pStyle w:val="TOC1"/>
        <w:tabs>
          <w:tab w:val="left" w:pos="357"/>
        </w:tabs>
        <w:rPr>
          <w:rFonts w:asciiTheme="minorHAnsi" w:eastAsiaTheme="minorEastAsia" w:hAnsiTheme="minorHAnsi" w:cstheme="minorBidi"/>
          <w:b w:val="0"/>
          <w:caps w:val="0"/>
          <w:color w:val="auto"/>
          <w:sz w:val="24"/>
          <w:szCs w:val="24"/>
          <w:lang w:val="en-US" w:eastAsia="ja-JP"/>
        </w:rPr>
      </w:pPr>
      <w:r>
        <w:t>5</w:t>
      </w:r>
      <w:r>
        <w:rPr>
          <w:rFonts w:asciiTheme="minorHAnsi" w:eastAsiaTheme="minorEastAsia" w:hAnsiTheme="minorHAnsi" w:cstheme="minorBidi"/>
          <w:b w:val="0"/>
          <w:caps w:val="0"/>
          <w:color w:val="auto"/>
          <w:sz w:val="24"/>
          <w:szCs w:val="24"/>
          <w:lang w:val="en-US" w:eastAsia="ja-JP"/>
        </w:rPr>
        <w:tab/>
      </w:r>
      <w:r>
        <w:t>Methyl Bromide TOC (MBTOC) Progress Report</w:t>
      </w:r>
      <w:r>
        <w:tab/>
      </w:r>
      <w:r>
        <w:fldChar w:fldCharType="begin"/>
      </w:r>
      <w:r>
        <w:instrText xml:space="preserve"> PAGEREF _Toc295406121 \h </w:instrText>
      </w:r>
      <w:r>
        <w:fldChar w:fldCharType="separate"/>
      </w:r>
      <w:r>
        <w:t>14</w:t>
      </w:r>
      <w:r>
        <w:fldChar w:fldCharType="end"/>
      </w:r>
    </w:p>
    <w:p w14:paraId="102D3496" w14:textId="77777777" w:rsidR="00003F99" w:rsidRDefault="00003F99">
      <w:pPr>
        <w:pStyle w:val="TOC2"/>
        <w:rPr>
          <w:rFonts w:asciiTheme="minorHAnsi" w:eastAsiaTheme="minorEastAsia" w:hAnsiTheme="minorHAnsi" w:cstheme="minorBidi"/>
          <w:smallCaps w:val="0"/>
          <w:color w:val="auto"/>
          <w:sz w:val="24"/>
          <w:szCs w:val="24"/>
          <w:lang w:val="en-US" w:eastAsia="ja-JP"/>
        </w:rPr>
      </w:pPr>
      <w:r>
        <w:t>5.1 Introduction</w:t>
      </w:r>
      <w:r>
        <w:tab/>
      </w:r>
      <w:r>
        <w:fldChar w:fldCharType="begin"/>
      </w:r>
      <w:r>
        <w:instrText xml:space="preserve"> PAGEREF _Toc295406122 \h </w:instrText>
      </w:r>
      <w:r>
        <w:fldChar w:fldCharType="separate"/>
      </w:r>
      <w:r>
        <w:t>14</w:t>
      </w:r>
      <w:r>
        <w:fldChar w:fldCharType="end"/>
      </w:r>
    </w:p>
    <w:p w14:paraId="31470FCC" w14:textId="77777777" w:rsidR="00003F99" w:rsidRDefault="00003F99">
      <w:pPr>
        <w:pStyle w:val="TOC2"/>
        <w:tabs>
          <w:tab w:val="left" w:pos="803"/>
        </w:tabs>
        <w:rPr>
          <w:rFonts w:asciiTheme="minorHAnsi" w:eastAsiaTheme="minorEastAsia" w:hAnsiTheme="minorHAnsi" w:cstheme="minorBidi"/>
          <w:smallCaps w:val="0"/>
          <w:color w:val="auto"/>
          <w:sz w:val="24"/>
          <w:szCs w:val="24"/>
          <w:lang w:val="en-US" w:eastAsia="ja-JP"/>
        </w:rPr>
      </w:pPr>
      <w:r>
        <w:t>5.2.</w:t>
      </w:r>
      <w:r>
        <w:rPr>
          <w:rFonts w:asciiTheme="minorHAnsi" w:eastAsiaTheme="minorEastAsia" w:hAnsiTheme="minorHAnsi" w:cstheme="minorBidi"/>
          <w:smallCaps w:val="0"/>
          <w:color w:val="auto"/>
          <w:sz w:val="24"/>
          <w:szCs w:val="24"/>
          <w:lang w:val="en-US" w:eastAsia="ja-JP"/>
        </w:rPr>
        <w:tab/>
      </w:r>
      <w:r>
        <w:t>Chemical and non-chemical alternatives for soils, structures, commodities and QPS uses</w:t>
      </w:r>
      <w:r>
        <w:tab/>
      </w:r>
      <w:r>
        <w:fldChar w:fldCharType="begin"/>
      </w:r>
      <w:r>
        <w:instrText xml:space="preserve"> PAGEREF _Toc295406123 \h </w:instrText>
      </w:r>
      <w:r>
        <w:fldChar w:fldCharType="separate"/>
      </w:r>
      <w:r>
        <w:t>14</w:t>
      </w:r>
      <w:r>
        <w:fldChar w:fldCharType="end"/>
      </w:r>
    </w:p>
    <w:p w14:paraId="0E35CC85" w14:textId="77777777" w:rsidR="00003F99" w:rsidRDefault="00003F99">
      <w:pPr>
        <w:pStyle w:val="TOC3"/>
        <w:rPr>
          <w:rFonts w:asciiTheme="minorHAnsi" w:eastAsiaTheme="minorEastAsia" w:hAnsiTheme="minorHAnsi" w:cstheme="minorBidi"/>
          <w:i w:val="0"/>
          <w:color w:val="auto"/>
          <w:sz w:val="24"/>
          <w:szCs w:val="24"/>
          <w:lang w:val="en-US" w:eastAsia="ja-JP"/>
        </w:rPr>
      </w:pPr>
      <w:r>
        <w:t>5.2.1. General</w:t>
      </w:r>
      <w:r>
        <w:tab/>
      </w:r>
      <w:r>
        <w:fldChar w:fldCharType="begin"/>
      </w:r>
      <w:r>
        <w:instrText xml:space="preserve"> PAGEREF _Toc295406124 \h </w:instrText>
      </w:r>
      <w:r>
        <w:fldChar w:fldCharType="separate"/>
      </w:r>
      <w:r>
        <w:t>14</w:t>
      </w:r>
      <w:r>
        <w:fldChar w:fldCharType="end"/>
      </w:r>
    </w:p>
    <w:p w14:paraId="40F3C1C3" w14:textId="77777777" w:rsidR="00003F99" w:rsidRDefault="00003F99">
      <w:pPr>
        <w:pStyle w:val="TOC3"/>
        <w:rPr>
          <w:rFonts w:asciiTheme="minorHAnsi" w:eastAsiaTheme="minorEastAsia" w:hAnsiTheme="minorHAnsi" w:cstheme="minorBidi"/>
          <w:i w:val="0"/>
          <w:color w:val="auto"/>
          <w:sz w:val="24"/>
          <w:szCs w:val="24"/>
          <w:lang w:val="en-US" w:eastAsia="ja-JP"/>
        </w:rPr>
      </w:pPr>
      <w:r>
        <w:t>5.2.2 Soil sector</w:t>
      </w:r>
      <w:r>
        <w:tab/>
      </w:r>
      <w:r>
        <w:fldChar w:fldCharType="begin"/>
      </w:r>
      <w:r>
        <w:instrText xml:space="preserve"> PAGEREF _Toc295406125 \h </w:instrText>
      </w:r>
      <w:r>
        <w:fldChar w:fldCharType="separate"/>
      </w:r>
      <w:r>
        <w:t>14</w:t>
      </w:r>
      <w:r>
        <w:fldChar w:fldCharType="end"/>
      </w:r>
    </w:p>
    <w:p w14:paraId="625D3F90" w14:textId="77777777" w:rsidR="00003F99" w:rsidRDefault="00003F99">
      <w:pPr>
        <w:pStyle w:val="TOC3"/>
        <w:rPr>
          <w:rFonts w:asciiTheme="minorHAnsi" w:eastAsiaTheme="minorEastAsia" w:hAnsiTheme="minorHAnsi" w:cstheme="minorBidi"/>
          <w:i w:val="0"/>
          <w:color w:val="auto"/>
          <w:sz w:val="24"/>
          <w:szCs w:val="24"/>
          <w:lang w:val="en-US" w:eastAsia="ja-JP"/>
        </w:rPr>
      </w:pPr>
      <w:r>
        <w:t>5.2.3 Structures and commodities sector</w:t>
      </w:r>
      <w:r>
        <w:tab/>
      </w:r>
      <w:r>
        <w:fldChar w:fldCharType="begin"/>
      </w:r>
      <w:r>
        <w:instrText xml:space="preserve"> PAGEREF _Toc295406126 \h </w:instrText>
      </w:r>
      <w:r>
        <w:fldChar w:fldCharType="separate"/>
      </w:r>
      <w:r>
        <w:t>15</w:t>
      </w:r>
      <w:r>
        <w:fldChar w:fldCharType="end"/>
      </w:r>
    </w:p>
    <w:p w14:paraId="2E5C5C78" w14:textId="77777777" w:rsidR="00003F99" w:rsidRDefault="00003F99">
      <w:pPr>
        <w:pStyle w:val="TOC3"/>
        <w:rPr>
          <w:rFonts w:asciiTheme="minorHAnsi" w:eastAsiaTheme="minorEastAsia" w:hAnsiTheme="minorHAnsi" w:cstheme="minorBidi"/>
          <w:i w:val="0"/>
          <w:color w:val="auto"/>
          <w:sz w:val="24"/>
          <w:szCs w:val="24"/>
          <w:lang w:val="en-US" w:eastAsia="ja-JP"/>
        </w:rPr>
      </w:pPr>
      <w:r>
        <w:t>5.2.4 QPS sector</w:t>
      </w:r>
      <w:r>
        <w:tab/>
      </w:r>
      <w:r>
        <w:fldChar w:fldCharType="begin"/>
      </w:r>
      <w:r>
        <w:instrText xml:space="preserve"> PAGEREF _Toc295406127 \h </w:instrText>
      </w:r>
      <w:r>
        <w:fldChar w:fldCharType="separate"/>
      </w:r>
      <w:r>
        <w:t>16</w:t>
      </w:r>
      <w:r>
        <w:fldChar w:fldCharType="end"/>
      </w:r>
    </w:p>
    <w:p w14:paraId="28542350" w14:textId="77777777" w:rsidR="00003F99" w:rsidRDefault="00003F99">
      <w:pPr>
        <w:pStyle w:val="TOC3"/>
        <w:rPr>
          <w:rFonts w:asciiTheme="minorHAnsi" w:eastAsiaTheme="minorEastAsia" w:hAnsiTheme="minorHAnsi" w:cstheme="minorBidi"/>
          <w:i w:val="0"/>
          <w:color w:val="auto"/>
          <w:sz w:val="24"/>
          <w:szCs w:val="24"/>
          <w:lang w:val="en-US" w:eastAsia="ja-JP"/>
        </w:rPr>
      </w:pPr>
      <w:r>
        <w:t>5.2.5Critical uses</w:t>
      </w:r>
      <w:r>
        <w:tab/>
      </w:r>
      <w:r>
        <w:fldChar w:fldCharType="begin"/>
      </w:r>
      <w:r>
        <w:instrText xml:space="preserve"> PAGEREF _Toc295406128 \h </w:instrText>
      </w:r>
      <w:r>
        <w:fldChar w:fldCharType="separate"/>
      </w:r>
      <w:r>
        <w:t>17</w:t>
      </w:r>
      <w:r>
        <w:fldChar w:fldCharType="end"/>
      </w:r>
    </w:p>
    <w:p w14:paraId="3EDB84FC" w14:textId="77777777" w:rsidR="00003F99" w:rsidRDefault="00003F99">
      <w:pPr>
        <w:pStyle w:val="TOC2"/>
        <w:rPr>
          <w:rFonts w:asciiTheme="minorHAnsi" w:eastAsiaTheme="minorEastAsia" w:hAnsiTheme="minorHAnsi" w:cstheme="minorBidi"/>
          <w:smallCaps w:val="0"/>
          <w:color w:val="auto"/>
          <w:sz w:val="24"/>
          <w:szCs w:val="24"/>
          <w:lang w:val="en-US" w:eastAsia="ja-JP"/>
        </w:rPr>
      </w:pPr>
      <w:r>
        <w:t>5. 3. References</w:t>
      </w:r>
      <w:r>
        <w:tab/>
      </w:r>
      <w:r>
        <w:fldChar w:fldCharType="begin"/>
      </w:r>
      <w:r>
        <w:instrText xml:space="preserve"> PAGEREF _Toc295406129 \h </w:instrText>
      </w:r>
      <w:r>
        <w:fldChar w:fldCharType="separate"/>
      </w:r>
      <w:r>
        <w:t>18</w:t>
      </w:r>
      <w:r>
        <w:fldChar w:fldCharType="end"/>
      </w:r>
    </w:p>
    <w:p w14:paraId="068997FC" w14:textId="77777777" w:rsidR="00003F99" w:rsidRDefault="00003F99">
      <w:pPr>
        <w:pStyle w:val="TOC1"/>
        <w:tabs>
          <w:tab w:val="left" w:pos="357"/>
        </w:tabs>
        <w:rPr>
          <w:rFonts w:asciiTheme="minorHAnsi" w:eastAsiaTheme="minorEastAsia" w:hAnsiTheme="minorHAnsi" w:cstheme="minorBidi"/>
          <w:b w:val="0"/>
          <w:caps w:val="0"/>
          <w:color w:val="auto"/>
          <w:sz w:val="24"/>
          <w:szCs w:val="24"/>
          <w:lang w:val="en-US" w:eastAsia="ja-JP"/>
        </w:rPr>
      </w:pPr>
      <w:r>
        <w:t>6</w:t>
      </w:r>
      <w:r>
        <w:rPr>
          <w:rFonts w:asciiTheme="minorHAnsi" w:eastAsiaTheme="minorEastAsia" w:hAnsiTheme="minorHAnsi" w:cstheme="minorBidi"/>
          <w:b w:val="0"/>
          <w:caps w:val="0"/>
          <w:color w:val="auto"/>
          <w:sz w:val="24"/>
          <w:szCs w:val="24"/>
          <w:lang w:val="en-US" w:eastAsia="ja-JP"/>
        </w:rPr>
        <w:tab/>
      </w:r>
      <w:r>
        <w:t>Medical Technical Options Committee Progress Report (MTOC)</w:t>
      </w:r>
      <w:r>
        <w:tab/>
      </w:r>
      <w:r>
        <w:fldChar w:fldCharType="begin"/>
      </w:r>
      <w:r>
        <w:instrText xml:space="preserve"> PAGEREF _Toc295406130 \h </w:instrText>
      </w:r>
      <w:r>
        <w:fldChar w:fldCharType="separate"/>
      </w:r>
      <w:r>
        <w:t>22</w:t>
      </w:r>
      <w:r>
        <w:fldChar w:fldCharType="end"/>
      </w:r>
    </w:p>
    <w:p w14:paraId="67984941"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6.1.</w:t>
      </w:r>
      <w:r>
        <w:rPr>
          <w:rFonts w:asciiTheme="minorHAnsi" w:eastAsiaTheme="minorEastAsia" w:hAnsiTheme="minorHAnsi" w:cstheme="minorBidi"/>
          <w:smallCaps w:val="0"/>
          <w:color w:val="auto"/>
          <w:sz w:val="24"/>
          <w:szCs w:val="24"/>
          <w:lang w:val="en-US" w:eastAsia="ja-JP"/>
        </w:rPr>
        <w:tab/>
      </w:r>
      <w:r>
        <w:t>Reporting Accounting Frameworks for Essential Use Exemptions</w:t>
      </w:r>
      <w:r>
        <w:tab/>
      </w:r>
      <w:r>
        <w:fldChar w:fldCharType="begin"/>
      </w:r>
      <w:r>
        <w:instrText xml:space="preserve"> PAGEREF _Toc295406131 \h </w:instrText>
      </w:r>
      <w:r>
        <w:fldChar w:fldCharType="separate"/>
      </w:r>
      <w:r>
        <w:t>22</w:t>
      </w:r>
      <w:r>
        <w:fldChar w:fldCharType="end"/>
      </w:r>
    </w:p>
    <w:p w14:paraId="583F30FB"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6.1.1.</w:t>
      </w:r>
      <w:r>
        <w:rPr>
          <w:rFonts w:asciiTheme="minorHAnsi" w:eastAsiaTheme="minorEastAsia" w:hAnsiTheme="minorHAnsi" w:cstheme="minorBidi"/>
          <w:i w:val="0"/>
          <w:color w:val="auto"/>
          <w:sz w:val="24"/>
          <w:szCs w:val="24"/>
          <w:lang w:val="en-US" w:eastAsia="ja-JP"/>
        </w:rPr>
        <w:tab/>
      </w:r>
      <w:r>
        <w:t>Argentina</w:t>
      </w:r>
      <w:r>
        <w:tab/>
      </w:r>
      <w:r>
        <w:fldChar w:fldCharType="begin"/>
      </w:r>
      <w:r>
        <w:instrText xml:space="preserve"> PAGEREF _Toc295406132 \h </w:instrText>
      </w:r>
      <w:r>
        <w:fldChar w:fldCharType="separate"/>
      </w:r>
      <w:r>
        <w:t>23</w:t>
      </w:r>
      <w:r>
        <w:fldChar w:fldCharType="end"/>
      </w:r>
    </w:p>
    <w:p w14:paraId="0B46FC61"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6.1.2.</w:t>
      </w:r>
      <w:r>
        <w:rPr>
          <w:rFonts w:asciiTheme="minorHAnsi" w:eastAsiaTheme="minorEastAsia" w:hAnsiTheme="minorHAnsi" w:cstheme="minorBidi"/>
          <w:i w:val="0"/>
          <w:color w:val="auto"/>
          <w:sz w:val="24"/>
          <w:szCs w:val="24"/>
          <w:lang w:val="en-US" w:eastAsia="ja-JP"/>
        </w:rPr>
        <w:tab/>
      </w:r>
      <w:r>
        <w:t>China</w:t>
      </w:r>
      <w:r>
        <w:tab/>
      </w:r>
      <w:r>
        <w:fldChar w:fldCharType="begin"/>
      </w:r>
      <w:r>
        <w:instrText xml:space="preserve"> PAGEREF _Toc295406133 \h </w:instrText>
      </w:r>
      <w:r>
        <w:fldChar w:fldCharType="separate"/>
      </w:r>
      <w:r>
        <w:t>24</w:t>
      </w:r>
      <w:r>
        <w:fldChar w:fldCharType="end"/>
      </w:r>
    </w:p>
    <w:p w14:paraId="3D4CDDFF"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6.1.3.</w:t>
      </w:r>
      <w:r>
        <w:rPr>
          <w:rFonts w:asciiTheme="minorHAnsi" w:eastAsiaTheme="minorEastAsia" w:hAnsiTheme="minorHAnsi" w:cstheme="minorBidi"/>
          <w:i w:val="0"/>
          <w:color w:val="auto"/>
          <w:sz w:val="24"/>
          <w:szCs w:val="24"/>
          <w:lang w:val="en-US" w:eastAsia="ja-JP"/>
        </w:rPr>
        <w:tab/>
      </w:r>
      <w:r>
        <w:t>Egypt</w:t>
      </w:r>
      <w:r>
        <w:tab/>
      </w:r>
      <w:r>
        <w:fldChar w:fldCharType="begin"/>
      </w:r>
      <w:r>
        <w:instrText xml:space="preserve"> PAGEREF _Toc295406134 \h </w:instrText>
      </w:r>
      <w:r>
        <w:fldChar w:fldCharType="separate"/>
      </w:r>
      <w:r>
        <w:t>25</w:t>
      </w:r>
      <w:r>
        <w:fldChar w:fldCharType="end"/>
      </w:r>
    </w:p>
    <w:p w14:paraId="48ED416C"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6.1.4.</w:t>
      </w:r>
      <w:r>
        <w:rPr>
          <w:rFonts w:asciiTheme="minorHAnsi" w:eastAsiaTheme="minorEastAsia" w:hAnsiTheme="minorHAnsi" w:cstheme="minorBidi"/>
          <w:i w:val="0"/>
          <w:color w:val="auto"/>
          <w:sz w:val="24"/>
          <w:szCs w:val="24"/>
          <w:lang w:val="en-US" w:eastAsia="ja-JP"/>
        </w:rPr>
        <w:tab/>
      </w:r>
      <w:r>
        <w:t>European Union</w:t>
      </w:r>
      <w:r>
        <w:tab/>
      </w:r>
      <w:r>
        <w:fldChar w:fldCharType="begin"/>
      </w:r>
      <w:r>
        <w:instrText xml:space="preserve"> PAGEREF _Toc295406135 \h </w:instrText>
      </w:r>
      <w:r>
        <w:fldChar w:fldCharType="separate"/>
      </w:r>
      <w:r>
        <w:t>25</w:t>
      </w:r>
      <w:r>
        <w:fldChar w:fldCharType="end"/>
      </w:r>
    </w:p>
    <w:p w14:paraId="50F3B881"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6.1.5.</w:t>
      </w:r>
      <w:r>
        <w:rPr>
          <w:rFonts w:asciiTheme="minorHAnsi" w:eastAsiaTheme="minorEastAsia" w:hAnsiTheme="minorHAnsi" w:cstheme="minorBidi"/>
          <w:i w:val="0"/>
          <w:color w:val="auto"/>
          <w:sz w:val="24"/>
          <w:szCs w:val="24"/>
          <w:lang w:val="en-US" w:eastAsia="ja-JP"/>
        </w:rPr>
        <w:tab/>
      </w:r>
      <w:r>
        <w:t>India</w:t>
      </w:r>
      <w:r>
        <w:tab/>
      </w:r>
      <w:r>
        <w:fldChar w:fldCharType="begin"/>
      </w:r>
      <w:r>
        <w:instrText xml:space="preserve"> PAGEREF _Toc295406136 \h </w:instrText>
      </w:r>
      <w:r>
        <w:fldChar w:fldCharType="separate"/>
      </w:r>
      <w:r>
        <w:t>25</w:t>
      </w:r>
      <w:r>
        <w:fldChar w:fldCharType="end"/>
      </w:r>
    </w:p>
    <w:p w14:paraId="30FA18C3"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6.1.6.</w:t>
      </w:r>
      <w:r>
        <w:rPr>
          <w:rFonts w:asciiTheme="minorHAnsi" w:eastAsiaTheme="minorEastAsia" w:hAnsiTheme="minorHAnsi" w:cstheme="minorBidi"/>
          <w:i w:val="0"/>
          <w:color w:val="auto"/>
          <w:sz w:val="24"/>
          <w:szCs w:val="24"/>
          <w:lang w:val="en-US" w:eastAsia="ja-JP"/>
        </w:rPr>
        <w:tab/>
      </w:r>
      <w:r>
        <w:t>Mexico</w:t>
      </w:r>
      <w:r>
        <w:tab/>
      </w:r>
      <w:r>
        <w:fldChar w:fldCharType="begin"/>
      </w:r>
      <w:r>
        <w:instrText xml:space="preserve"> PAGEREF _Toc295406137 \h </w:instrText>
      </w:r>
      <w:r>
        <w:fldChar w:fldCharType="separate"/>
      </w:r>
      <w:r>
        <w:t>25</w:t>
      </w:r>
      <w:r>
        <w:fldChar w:fldCharType="end"/>
      </w:r>
    </w:p>
    <w:p w14:paraId="0594B9E6"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6.1.7.</w:t>
      </w:r>
      <w:r>
        <w:rPr>
          <w:rFonts w:asciiTheme="minorHAnsi" w:eastAsiaTheme="minorEastAsia" w:hAnsiTheme="minorHAnsi" w:cstheme="minorBidi"/>
          <w:i w:val="0"/>
          <w:color w:val="auto"/>
          <w:sz w:val="24"/>
          <w:szCs w:val="24"/>
          <w:lang w:val="en-US" w:eastAsia="ja-JP"/>
        </w:rPr>
        <w:tab/>
      </w:r>
      <w:r>
        <w:t>Pakistan</w:t>
      </w:r>
      <w:r>
        <w:tab/>
      </w:r>
      <w:r>
        <w:fldChar w:fldCharType="begin"/>
      </w:r>
      <w:r>
        <w:instrText xml:space="preserve"> PAGEREF _Toc295406138 \h </w:instrText>
      </w:r>
      <w:r>
        <w:fldChar w:fldCharType="separate"/>
      </w:r>
      <w:r>
        <w:t>26</w:t>
      </w:r>
      <w:r>
        <w:fldChar w:fldCharType="end"/>
      </w:r>
    </w:p>
    <w:p w14:paraId="35AC63DA"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6.1.8.</w:t>
      </w:r>
      <w:r>
        <w:rPr>
          <w:rFonts w:asciiTheme="minorHAnsi" w:eastAsiaTheme="minorEastAsia" w:hAnsiTheme="minorHAnsi" w:cstheme="minorBidi"/>
          <w:i w:val="0"/>
          <w:color w:val="auto"/>
          <w:sz w:val="24"/>
          <w:szCs w:val="24"/>
          <w:lang w:val="en-US" w:eastAsia="ja-JP"/>
        </w:rPr>
        <w:tab/>
      </w:r>
      <w:r>
        <w:t>Russian Federation</w:t>
      </w:r>
      <w:r>
        <w:tab/>
      </w:r>
      <w:r>
        <w:fldChar w:fldCharType="begin"/>
      </w:r>
      <w:r>
        <w:instrText xml:space="preserve"> PAGEREF _Toc295406139 \h </w:instrText>
      </w:r>
      <w:r>
        <w:fldChar w:fldCharType="separate"/>
      </w:r>
      <w:r>
        <w:t>26</w:t>
      </w:r>
      <w:r>
        <w:fldChar w:fldCharType="end"/>
      </w:r>
    </w:p>
    <w:p w14:paraId="317F7DFC"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6.1.9.</w:t>
      </w:r>
      <w:r>
        <w:rPr>
          <w:rFonts w:asciiTheme="minorHAnsi" w:eastAsiaTheme="minorEastAsia" w:hAnsiTheme="minorHAnsi" w:cstheme="minorBidi"/>
          <w:i w:val="0"/>
          <w:color w:val="auto"/>
          <w:sz w:val="24"/>
          <w:szCs w:val="24"/>
          <w:lang w:val="en-US" w:eastAsia="ja-JP"/>
        </w:rPr>
        <w:tab/>
      </w:r>
      <w:r>
        <w:t>Syria</w:t>
      </w:r>
      <w:r>
        <w:tab/>
      </w:r>
      <w:r>
        <w:fldChar w:fldCharType="begin"/>
      </w:r>
      <w:r>
        <w:instrText xml:space="preserve"> PAGEREF _Toc295406140 \h </w:instrText>
      </w:r>
      <w:r>
        <w:fldChar w:fldCharType="separate"/>
      </w:r>
      <w:r>
        <w:t>26</w:t>
      </w:r>
      <w:r>
        <w:fldChar w:fldCharType="end"/>
      </w:r>
    </w:p>
    <w:p w14:paraId="0310F395" w14:textId="77777777" w:rsidR="00003F99" w:rsidRDefault="00003F99">
      <w:pPr>
        <w:pStyle w:val="TOC3"/>
        <w:tabs>
          <w:tab w:val="left" w:pos="1244"/>
        </w:tabs>
        <w:rPr>
          <w:rFonts w:asciiTheme="minorHAnsi" w:eastAsiaTheme="minorEastAsia" w:hAnsiTheme="minorHAnsi" w:cstheme="minorBidi"/>
          <w:i w:val="0"/>
          <w:color w:val="auto"/>
          <w:sz w:val="24"/>
          <w:szCs w:val="24"/>
          <w:lang w:val="en-US" w:eastAsia="ja-JP"/>
        </w:rPr>
      </w:pPr>
      <w:r>
        <w:t>6.1.10.</w:t>
      </w:r>
      <w:r>
        <w:rPr>
          <w:rFonts w:asciiTheme="minorHAnsi" w:eastAsiaTheme="minorEastAsia" w:hAnsiTheme="minorHAnsi" w:cstheme="minorBidi"/>
          <w:i w:val="0"/>
          <w:color w:val="auto"/>
          <w:sz w:val="24"/>
          <w:szCs w:val="24"/>
          <w:lang w:val="en-US" w:eastAsia="ja-JP"/>
        </w:rPr>
        <w:tab/>
      </w:r>
      <w:r>
        <w:t>United States</w:t>
      </w:r>
      <w:r>
        <w:tab/>
      </w:r>
      <w:r>
        <w:fldChar w:fldCharType="begin"/>
      </w:r>
      <w:r>
        <w:instrText xml:space="preserve"> PAGEREF _Toc295406141 \h </w:instrText>
      </w:r>
      <w:r>
        <w:fldChar w:fldCharType="separate"/>
      </w:r>
      <w:r>
        <w:t>27</w:t>
      </w:r>
      <w:r>
        <w:fldChar w:fldCharType="end"/>
      </w:r>
    </w:p>
    <w:p w14:paraId="3C5D5619" w14:textId="77777777" w:rsidR="00003F99" w:rsidRDefault="00003F99">
      <w:pPr>
        <w:pStyle w:val="TOC1"/>
        <w:tabs>
          <w:tab w:val="left" w:pos="357"/>
        </w:tabs>
        <w:rPr>
          <w:rFonts w:asciiTheme="minorHAnsi" w:eastAsiaTheme="minorEastAsia" w:hAnsiTheme="minorHAnsi" w:cstheme="minorBidi"/>
          <w:b w:val="0"/>
          <w:caps w:val="0"/>
          <w:color w:val="auto"/>
          <w:sz w:val="24"/>
          <w:szCs w:val="24"/>
          <w:lang w:val="en-US" w:eastAsia="ja-JP"/>
        </w:rPr>
      </w:pPr>
      <w:r>
        <w:lastRenderedPageBreak/>
        <w:t>7</w:t>
      </w:r>
      <w:r>
        <w:rPr>
          <w:rFonts w:asciiTheme="minorHAnsi" w:eastAsiaTheme="minorEastAsia" w:hAnsiTheme="minorHAnsi" w:cstheme="minorBidi"/>
          <w:b w:val="0"/>
          <w:caps w:val="0"/>
          <w:color w:val="auto"/>
          <w:sz w:val="24"/>
          <w:szCs w:val="24"/>
          <w:lang w:val="en-US" w:eastAsia="ja-JP"/>
        </w:rPr>
        <w:tab/>
      </w:r>
      <w:r>
        <w:t>Refrigeration, Air Conditioning and Heat Pumps TOC (RTOC)</w:t>
      </w:r>
      <w:r>
        <w:tab/>
      </w:r>
      <w:r>
        <w:fldChar w:fldCharType="begin"/>
      </w:r>
      <w:r>
        <w:instrText xml:space="preserve"> PAGEREF _Toc295406142 \h </w:instrText>
      </w:r>
      <w:r>
        <w:fldChar w:fldCharType="separate"/>
      </w:r>
      <w:r>
        <w:t>28</w:t>
      </w:r>
      <w:r>
        <w:fldChar w:fldCharType="end"/>
      </w:r>
    </w:p>
    <w:p w14:paraId="63BCD50C" w14:textId="77777777" w:rsidR="00003F99" w:rsidRDefault="00003F99">
      <w:pPr>
        <w:pStyle w:val="TOC2"/>
        <w:tabs>
          <w:tab w:val="left" w:pos="728"/>
        </w:tabs>
        <w:rPr>
          <w:rFonts w:asciiTheme="minorHAnsi" w:eastAsiaTheme="minorEastAsia" w:hAnsiTheme="minorHAnsi" w:cstheme="minorBidi"/>
          <w:smallCaps w:val="0"/>
          <w:color w:val="auto"/>
          <w:sz w:val="24"/>
          <w:szCs w:val="24"/>
          <w:lang w:val="en-US" w:eastAsia="ja-JP"/>
        </w:rPr>
      </w:pPr>
      <w:r>
        <w:t>7.1</w:t>
      </w:r>
      <w:r>
        <w:rPr>
          <w:rFonts w:asciiTheme="minorHAnsi" w:eastAsiaTheme="minorEastAsia" w:hAnsiTheme="minorHAnsi" w:cstheme="minorBidi"/>
          <w:smallCaps w:val="0"/>
          <w:color w:val="auto"/>
          <w:sz w:val="24"/>
          <w:szCs w:val="24"/>
          <w:lang w:val="en-US" w:eastAsia="ja-JP"/>
        </w:rPr>
        <w:tab/>
      </w:r>
      <w:r>
        <w:t>Domestic appliances</w:t>
      </w:r>
      <w:r>
        <w:tab/>
      </w:r>
      <w:r>
        <w:fldChar w:fldCharType="begin"/>
      </w:r>
      <w:r>
        <w:instrText xml:space="preserve"> PAGEREF _Toc295406143 \h </w:instrText>
      </w:r>
      <w:r>
        <w:fldChar w:fldCharType="separate"/>
      </w:r>
      <w:r>
        <w:t>28</w:t>
      </w:r>
      <w:r>
        <w:fldChar w:fldCharType="end"/>
      </w:r>
    </w:p>
    <w:p w14:paraId="5E4627A4" w14:textId="77777777" w:rsidR="00003F99" w:rsidRDefault="00003F99">
      <w:pPr>
        <w:pStyle w:val="TOC2"/>
        <w:tabs>
          <w:tab w:val="left" w:pos="728"/>
        </w:tabs>
        <w:rPr>
          <w:rFonts w:asciiTheme="minorHAnsi" w:eastAsiaTheme="minorEastAsia" w:hAnsiTheme="minorHAnsi" w:cstheme="minorBidi"/>
          <w:smallCaps w:val="0"/>
          <w:color w:val="auto"/>
          <w:sz w:val="24"/>
          <w:szCs w:val="24"/>
          <w:lang w:val="en-US" w:eastAsia="ja-JP"/>
        </w:rPr>
      </w:pPr>
      <w:r>
        <w:t>7.2</w:t>
      </w:r>
      <w:r>
        <w:rPr>
          <w:rFonts w:asciiTheme="minorHAnsi" w:eastAsiaTheme="minorEastAsia" w:hAnsiTheme="minorHAnsi" w:cstheme="minorBidi"/>
          <w:smallCaps w:val="0"/>
          <w:color w:val="auto"/>
          <w:sz w:val="24"/>
          <w:szCs w:val="24"/>
          <w:lang w:val="en-US" w:eastAsia="ja-JP"/>
        </w:rPr>
        <w:tab/>
      </w:r>
      <w:r>
        <w:t>Commercial refrigeration</w:t>
      </w:r>
      <w:r>
        <w:tab/>
      </w:r>
      <w:r>
        <w:fldChar w:fldCharType="begin"/>
      </w:r>
      <w:r>
        <w:instrText xml:space="preserve"> PAGEREF _Toc295406144 \h </w:instrText>
      </w:r>
      <w:r>
        <w:fldChar w:fldCharType="separate"/>
      </w:r>
      <w:r>
        <w:t>28</w:t>
      </w:r>
      <w:r>
        <w:fldChar w:fldCharType="end"/>
      </w:r>
    </w:p>
    <w:p w14:paraId="446BA933"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7.2.1.</w:t>
      </w:r>
      <w:r>
        <w:rPr>
          <w:rFonts w:asciiTheme="minorHAnsi" w:eastAsiaTheme="minorEastAsia" w:hAnsiTheme="minorHAnsi" w:cstheme="minorBidi"/>
          <w:i w:val="0"/>
          <w:color w:val="auto"/>
          <w:sz w:val="24"/>
          <w:szCs w:val="24"/>
          <w:lang w:val="en-US" w:eastAsia="ja-JP"/>
        </w:rPr>
        <w:tab/>
      </w:r>
      <w:r>
        <w:t>Stand-alone Equipment</w:t>
      </w:r>
      <w:r>
        <w:tab/>
      </w:r>
      <w:r>
        <w:fldChar w:fldCharType="begin"/>
      </w:r>
      <w:r>
        <w:instrText xml:space="preserve"> PAGEREF _Toc295406145 \h </w:instrText>
      </w:r>
      <w:r>
        <w:fldChar w:fldCharType="separate"/>
      </w:r>
      <w:r>
        <w:t>28</w:t>
      </w:r>
      <w:r>
        <w:fldChar w:fldCharType="end"/>
      </w:r>
    </w:p>
    <w:p w14:paraId="7146F592"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7.2.2.</w:t>
      </w:r>
      <w:r>
        <w:rPr>
          <w:rFonts w:asciiTheme="minorHAnsi" w:eastAsiaTheme="minorEastAsia" w:hAnsiTheme="minorHAnsi" w:cstheme="minorBidi"/>
          <w:i w:val="0"/>
          <w:color w:val="auto"/>
          <w:sz w:val="24"/>
          <w:szCs w:val="24"/>
          <w:lang w:val="en-US" w:eastAsia="ja-JP"/>
        </w:rPr>
        <w:tab/>
      </w:r>
      <w:r>
        <w:t>Condensing Units</w:t>
      </w:r>
      <w:r>
        <w:tab/>
      </w:r>
      <w:r>
        <w:fldChar w:fldCharType="begin"/>
      </w:r>
      <w:r>
        <w:instrText xml:space="preserve"> PAGEREF _Toc295406146 \h </w:instrText>
      </w:r>
      <w:r>
        <w:fldChar w:fldCharType="separate"/>
      </w:r>
      <w:r>
        <w:t>28</w:t>
      </w:r>
      <w:r>
        <w:fldChar w:fldCharType="end"/>
      </w:r>
    </w:p>
    <w:p w14:paraId="4A47DF65"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7.2.3.</w:t>
      </w:r>
      <w:r>
        <w:rPr>
          <w:rFonts w:asciiTheme="minorHAnsi" w:eastAsiaTheme="minorEastAsia" w:hAnsiTheme="minorHAnsi" w:cstheme="minorBidi"/>
          <w:i w:val="0"/>
          <w:color w:val="auto"/>
          <w:sz w:val="24"/>
          <w:szCs w:val="24"/>
          <w:lang w:val="en-US" w:eastAsia="ja-JP"/>
        </w:rPr>
        <w:tab/>
      </w:r>
      <w:r>
        <w:t>Supermarket systems</w:t>
      </w:r>
      <w:r>
        <w:tab/>
      </w:r>
      <w:r>
        <w:fldChar w:fldCharType="begin"/>
      </w:r>
      <w:r>
        <w:instrText xml:space="preserve"> PAGEREF _Toc295406147 \h </w:instrText>
      </w:r>
      <w:r>
        <w:fldChar w:fldCharType="separate"/>
      </w:r>
      <w:r>
        <w:t>29</w:t>
      </w:r>
      <w:r>
        <w:fldChar w:fldCharType="end"/>
      </w:r>
    </w:p>
    <w:p w14:paraId="4251FB2F"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7.3.</w:t>
      </w:r>
      <w:r>
        <w:rPr>
          <w:rFonts w:asciiTheme="minorHAnsi" w:eastAsiaTheme="minorEastAsia" w:hAnsiTheme="minorHAnsi" w:cstheme="minorBidi"/>
          <w:smallCaps w:val="0"/>
          <w:color w:val="auto"/>
          <w:sz w:val="24"/>
          <w:szCs w:val="24"/>
          <w:lang w:val="en-US" w:eastAsia="ja-JP"/>
        </w:rPr>
        <w:tab/>
      </w:r>
      <w:r>
        <w:t>Industrial systems</w:t>
      </w:r>
      <w:r>
        <w:tab/>
      </w:r>
      <w:r>
        <w:fldChar w:fldCharType="begin"/>
      </w:r>
      <w:r>
        <w:instrText xml:space="preserve"> PAGEREF _Toc295406148 \h </w:instrText>
      </w:r>
      <w:r>
        <w:fldChar w:fldCharType="separate"/>
      </w:r>
      <w:r>
        <w:t>29</w:t>
      </w:r>
      <w:r>
        <w:fldChar w:fldCharType="end"/>
      </w:r>
    </w:p>
    <w:p w14:paraId="5E1E1D94"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7.4.</w:t>
      </w:r>
      <w:r>
        <w:rPr>
          <w:rFonts w:asciiTheme="minorHAnsi" w:eastAsiaTheme="minorEastAsia" w:hAnsiTheme="minorHAnsi" w:cstheme="minorBidi"/>
          <w:smallCaps w:val="0"/>
          <w:color w:val="auto"/>
          <w:sz w:val="24"/>
          <w:szCs w:val="24"/>
          <w:lang w:val="en-US" w:eastAsia="ja-JP"/>
        </w:rPr>
        <w:tab/>
      </w:r>
      <w:r>
        <w:t>Transport refrigeration</w:t>
      </w:r>
      <w:r>
        <w:tab/>
      </w:r>
      <w:r>
        <w:fldChar w:fldCharType="begin"/>
      </w:r>
      <w:r>
        <w:instrText xml:space="preserve"> PAGEREF _Toc295406149 \h </w:instrText>
      </w:r>
      <w:r>
        <w:fldChar w:fldCharType="separate"/>
      </w:r>
      <w:r>
        <w:t>29</w:t>
      </w:r>
      <w:r>
        <w:fldChar w:fldCharType="end"/>
      </w:r>
    </w:p>
    <w:p w14:paraId="446198FF"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7.5.</w:t>
      </w:r>
      <w:r>
        <w:rPr>
          <w:rFonts w:asciiTheme="minorHAnsi" w:eastAsiaTheme="minorEastAsia" w:hAnsiTheme="minorHAnsi" w:cstheme="minorBidi"/>
          <w:smallCaps w:val="0"/>
          <w:color w:val="auto"/>
          <w:sz w:val="24"/>
          <w:szCs w:val="24"/>
          <w:lang w:val="en-US" w:eastAsia="ja-JP"/>
        </w:rPr>
        <w:tab/>
      </w:r>
      <w:r>
        <w:t>Air-to-air air conditioners and heat pumps</w:t>
      </w:r>
      <w:r>
        <w:tab/>
      </w:r>
      <w:r>
        <w:fldChar w:fldCharType="begin"/>
      </w:r>
      <w:r>
        <w:instrText xml:space="preserve"> PAGEREF _Toc295406150 \h </w:instrText>
      </w:r>
      <w:r>
        <w:fldChar w:fldCharType="separate"/>
      </w:r>
      <w:r>
        <w:t>29</w:t>
      </w:r>
      <w:r>
        <w:fldChar w:fldCharType="end"/>
      </w:r>
    </w:p>
    <w:p w14:paraId="6F374D7E"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7.6.</w:t>
      </w:r>
      <w:r>
        <w:rPr>
          <w:rFonts w:asciiTheme="minorHAnsi" w:eastAsiaTheme="minorEastAsia" w:hAnsiTheme="minorHAnsi" w:cstheme="minorBidi"/>
          <w:smallCaps w:val="0"/>
          <w:color w:val="auto"/>
          <w:sz w:val="24"/>
          <w:szCs w:val="24"/>
          <w:lang w:val="en-US" w:eastAsia="ja-JP"/>
        </w:rPr>
        <w:tab/>
      </w:r>
      <w:r>
        <w:t>Water heating heat pumps</w:t>
      </w:r>
      <w:r>
        <w:tab/>
      </w:r>
      <w:r>
        <w:fldChar w:fldCharType="begin"/>
      </w:r>
      <w:r>
        <w:instrText xml:space="preserve"> PAGEREF _Toc295406151 \h </w:instrText>
      </w:r>
      <w:r>
        <w:fldChar w:fldCharType="separate"/>
      </w:r>
      <w:r>
        <w:t>30</w:t>
      </w:r>
      <w:r>
        <w:fldChar w:fldCharType="end"/>
      </w:r>
    </w:p>
    <w:p w14:paraId="37A4D954"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7.7.</w:t>
      </w:r>
      <w:r>
        <w:rPr>
          <w:rFonts w:asciiTheme="minorHAnsi" w:eastAsiaTheme="minorEastAsia" w:hAnsiTheme="minorHAnsi" w:cstheme="minorBidi"/>
          <w:smallCaps w:val="0"/>
          <w:color w:val="auto"/>
          <w:sz w:val="24"/>
          <w:szCs w:val="24"/>
          <w:lang w:val="en-US" w:eastAsia="ja-JP"/>
        </w:rPr>
        <w:tab/>
      </w:r>
      <w:r>
        <w:t>Chillers</w:t>
      </w:r>
      <w:r>
        <w:tab/>
      </w:r>
      <w:r>
        <w:fldChar w:fldCharType="begin"/>
      </w:r>
      <w:r>
        <w:instrText xml:space="preserve"> PAGEREF _Toc295406152 \h </w:instrText>
      </w:r>
      <w:r>
        <w:fldChar w:fldCharType="separate"/>
      </w:r>
      <w:r>
        <w:t>30</w:t>
      </w:r>
      <w:r>
        <w:fldChar w:fldCharType="end"/>
      </w:r>
    </w:p>
    <w:p w14:paraId="4A323D69"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7.8.</w:t>
      </w:r>
      <w:r>
        <w:rPr>
          <w:rFonts w:asciiTheme="minorHAnsi" w:eastAsiaTheme="minorEastAsia" w:hAnsiTheme="minorHAnsi" w:cstheme="minorBidi"/>
          <w:smallCaps w:val="0"/>
          <w:color w:val="auto"/>
          <w:sz w:val="24"/>
          <w:szCs w:val="24"/>
          <w:lang w:val="en-US" w:eastAsia="ja-JP"/>
        </w:rPr>
        <w:tab/>
      </w:r>
      <w:r>
        <w:t>Vehicle air conditioning</w:t>
      </w:r>
      <w:r>
        <w:tab/>
      </w:r>
      <w:r>
        <w:fldChar w:fldCharType="begin"/>
      </w:r>
      <w:r>
        <w:instrText xml:space="preserve"> PAGEREF _Toc295406153 \h </w:instrText>
      </w:r>
      <w:r>
        <w:fldChar w:fldCharType="separate"/>
      </w:r>
      <w:r>
        <w:t>31</w:t>
      </w:r>
      <w:r>
        <w:fldChar w:fldCharType="end"/>
      </w:r>
    </w:p>
    <w:p w14:paraId="046AD371" w14:textId="77777777" w:rsidR="00003F99" w:rsidRDefault="00003F99">
      <w:pPr>
        <w:pStyle w:val="TOC1"/>
        <w:rPr>
          <w:rFonts w:asciiTheme="minorHAnsi" w:eastAsiaTheme="minorEastAsia" w:hAnsiTheme="minorHAnsi" w:cstheme="minorBidi"/>
          <w:b w:val="0"/>
          <w:caps w:val="0"/>
          <w:color w:val="auto"/>
          <w:sz w:val="24"/>
          <w:szCs w:val="24"/>
          <w:lang w:val="en-US" w:eastAsia="ja-JP"/>
        </w:rPr>
      </w:pPr>
      <w:r>
        <w:t>8   Response to Decision XXVI/7: Availability of recovered, recycled or reclaimed halons</w:t>
      </w:r>
      <w:r>
        <w:tab/>
      </w:r>
      <w:r>
        <w:fldChar w:fldCharType="begin"/>
      </w:r>
      <w:r>
        <w:instrText xml:space="preserve"> PAGEREF _Toc295406154 \h </w:instrText>
      </w:r>
      <w:r>
        <w:fldChar w:fldCharType="separate"/>
      </w:r>
      <w:r>
        <w:t>34</w:t>
      </w:r>
      <w:r>
        <w:fldChar w:fldCharType="end"/>
      </w:r>
    </w:p>
    <w:p w14:paraId="113E57EA" w14:textId="77777777" w:rsidR="00003F99" w:rsidRDefault="00003F99">
      <w:pPr>
        <w:pStyle w:val="TOC2"/>
        <w:rPr>
          <w:rFonts w:asciiTheme="minorHAnsi" w:eastAsiaTheme="minorEastAsia" w:hAnsiTheme="minorHAnsi" w:cstheme="minorBidi"/>
          <w:smallCaps w:val="0"/>
          <w:color w:val="auto"/>
          <w:sz w:val="24"/>
          <w:szCs w:val="24"/>
          <w:lang w:val="en-US" w:eastAsia="ja-JP"/>
        </w:rPr>
      </w:pPr>
      <w:r>
        <w:t>Executive Summary</w:t>
      </w:r>
      <w:r>
        <w:tab/>
      </w:r>
      <w:r>
        <w:fldChar w:fldCharType="begin"/>
      </w:r>
      <w:r>
        <w:instrText xml:space="preserve"> PAGEREF _Toc295406155 \h </w:instrText>
      </w:r>
      <w:r>
        <w:fldChar w:fldCharType="separate"/>
      </w:r>
      <w:r>
        <w:t>34</w:t>
      </w:r>
      <w:r>
        <w:fldChar w:fldCharType="end"/>
      </w:r>
    </w:p>
    <w:p w14:paraId="1FBF78E3"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8.1.</w:t>
      </w:r>
      <w:r>
        <w:rPr>
          <w:rFonts w:asciiTheme="minorHAnsi" w:eastAsiaTheme="minorEastAsia" w:hAnsiTheme="minorHAnsi" w:cstheme="minorBidi"/>
          <w:smallCaps w:val="0"/>
          <w:color w:val="auto"/>
          <w:sz w:val="24"/>
          <w:szCs w:val="24"/>
          <w:lang w:val="en-US" w:eastAsia="ja-JP"/>
        </w:rPr>
        <w:tab/>
      </w:r>
      <w:r>
        <w:t>Mandate and scope of the report</w:t>
      </w:r>
      <w:r>
        <w:tab/>
      </w:r>
      <w:r>
        <w:fldChar w:fldCharType="begin"/>
      </w:r>
      <w:r>
        <w:instrText xml:space="preserve"> PAGEREF _Toc295406156 \h </w:instrText>
      </w:r>
      <w:r>
        <w:fldChar w:fldCharType="separate"/>
      </w:r>
      <w:r>
        <w:t>35</w:t>
      </w:r>
      <w:r>
        <w:fldChar w:fldCharType="end"/>
      </w:r>
    </w:p>
    <w:p w14:paraId="0F8D5DE1" w14:textId="77777777" w:rsidR="00003F99" w:rsidRDefault="00003F99">
      <w:pPr>
        <w:pStyle w:val="TOC2"/>
        <w:rPr>
          <w:rFonts w:asciiTheme="minorHAnsi" w:eastAsiaTheme="minorEastAsia" w:hAnsiTheme="minorHAnsi" w:cstheme="minorBidi"/>
          <w:smallCaps w:val="0"/>
          <w:color w:val="auto"/>
          <w:sz w:val="24"/>
          <w:szCs w:val="24"/>
          <w:lang w:val="en-US" w:eastAsia="ja-JP"/>
        </w:rPr>
      </w:pPr>
      <w:r>
        <w:t>8.2.  Background</w:t>
      </w:r>
      <w:r>
        <w:tab/>
      </w:r>
      <w:r>
        <w:fldChar w:fldCharType="begin"/>
      </w:r>
      <w:r>
        <w:instrText xml:space="preserve"> PAGEREF _Toc295406157 \h </w:instrText>
      </w:r>
      <w:r>
        <w:fldChar w:fldCharType="separate"/>
      </w:r>
      <w:r>
        <w:t>36</w:t>
      </w:r>
      <w:r>
        <w:fldChar w:fldCharType="end"/>
      </w:r>
    </w:p>
    <w:p w14:paraId="3D574A2B"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rsidRPr="004A6874">
        <w:t>8.2.1.</w:t>
      </w:r>
      <w:r>
        <w:rPr>
          <w:rFonts w:asciiTheme="minorHAnsi" w:eastAsiaTheme="minorEastAsia" w:hAnsiTheme="minorHAnsi" w:cstheme="minorBidi"/>
          <w:i w:val="0"/>
          <w:color w:val="auto"/>
          <w:sz w:val="24"/>
          <w:szCs w:val="24"/>
          <w:lang w:val="en-US" w:eastAsia="ja-JP"/>
        </w:rPr>
        <w:tab/>
      </w:r>
      <w:r w:rsidRPr="004A6874">
        <w:t>The</w:t>
      </w:r>
      <w:r>
        <w:t xml:space="preserve"> Montreal Protocol and the Phase-Out of Halons</w:t>
      </w:r>
      <w:r>
        <w:tab/>
      </w:r>
      <w:r>
        <w:fldChar w:fldCharType="begin"/>
      </w:r>
      <w:r>
        <w:instrText xml:space="preserve"> PAGEREF _Toc295406158 \h </w:instrText>
      </w:r>
      <w:r>
        <w:fldChar w:fldCharType="separate"/>
      </w:r>
      <w:r>
        <w:t>36</w:t>
      </w:r>
      <w:r>
        <w:fldChar w:fldCharType="end"/>
      </w:r>
    </w:p>
    <w:p w14:paraId="58C52DC2"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8.2.2.</w:t>
      </w:r>
      <w:r>
        <w:rPr>
          <w:rFonts w:asciiTheme="minorHAnsi" w:eastAsiaTheme="minorEastAsia" w:hAnsiTheme="minorHAnsi" w:cstheme="minorBidi"/>
          <w:i w:val="0"/>
          <w:color w:val="auto"/>
          <w:sz w:val="24"/>
          <w:szCs w:val="24"/>
          <w:lang w:val="en-US" w:eastAsia="ja-JP"/>
        </w:rPr>
        <w:tab/>
      </w:r>
      <w:r>
        <w:t>ICAO Assembly Resolutions and EU Regulations on Halon Replacement</w:t>
      </w:r>
      <w:r>
        <w:tab/>
      </w:r>
      <w:r>
        <w:fldChar w:fldCharType="begin"/>
      </w:r>
      <w:r>
        <w:instrText xml:space="preserve"> PAGEREF _Toc295406159 \h </w:instrText>
      </w:r>
      <w:r>
        <w:fldChar w:fldCharType="separate"/>
      </w:r>
      <w:r>
        <w:t>37</w:t>
      </w:r>
      <w:r>
        <w:fldChar w:fldCharType="end"/>
      </w:r>
    </w:p>
    <w:p w14:paraId="1F795906"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8.3.</w:t>
      </w:r>
      <w:r>
        <w:rPr>
          <w:rFonts w:asciiTheme="minorHAnsi" w:eastAsiaTheme="minorEastAsia" w:hAnsiTheme="minorHAnsi" w:cstheme="minorBidi"/>
          <w:smallCaps w:val="0"/>
          <w:color w:val="auto"/>
          <w:sz w:val="24"/>
          <w:szCs w:val="24"/>
          <w:lang w:val="en-US" w:eastAsia="ja-JP"/>
        </w:rPr>
        <w:tab/>
      </w:r>
      <w:r>
        <w:t>Status of Currently Available Alternatives to Halons for Civil Aviation</w:t>
      </w:r>
      <w:r>
        <w:tab/>
      </w:r>
      <w:r>
        <w:fldChar w:fldCharType="begin"/>
      </w:r>
      <w:r>
        <w:instrText xml:space="preserve"> PAGEREF _Toc295406160 \h </w:instrText>
      </w:r>
      <w:r>
        <w:fldChar w:fldCharType="separate"/>
      </w:r>
      <w:r>
        <w:t>38</w:t>
      </w:r>
      <w:r>
        <w:fldChar w:fldCharType="end"/>
      </w:r>
    </w:p>
    <w:p w14:paraId="0D590417"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8.3.1.</w:t>
      </w:r>
      <w:r>
        <w:rPr>
          <w:rFonts w:asciiTheme="minorHAnsi" w:eastAsiaTheme="minorEastAsia" w:hAnsiTheme="minorHAnsi" w:cstheme="minorBidi"/>
          <w:i w:val="0"/>
          <w:color w:val="auto"/>
          <w:sz w:val="24"/>
          <w:szCs w:val="24"/>
          <w:lang w:val="en-US" w:eastAsia="ja-JP"/>
        </w:rPr>
        <w:tab/>
      </w:r>
      <w:r>
        <w:t>Lavatory Trash Receptacle</w:t>
      </w:r>
      <w:r>
        <w:tab/>
      </w:r>
      <w:r>
        <w:fldChar w:fldCharType="begin"/>
      </w:r>
      <w:r>
        <w:instrText xml:space="preserve"> PAGEREF _Toc295406161 \h </w:instrText>
      </w:r>
      <w:r>
        <w:fldChar w:fldCharType="separate"/>
      </w:r>
      <w:r>
        <w:t>38</w:t>
      </w:r>
      <w:r>
        <w:fldChar w:fldCharType="end"/>
      </w:r>
    </w:p>
    <w:p w14:paraId="2AFE8FB8"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8.3.2.</w:t>
      </w:r>
      <w:r>
        <w:rPr>
          <w:rFonts w:asciiTheme="minorHAnsi" w:eastAsiaTheme="minorEastAsia" w:hAnsiTheme="minorHAnsi" w:cstheme="minorBidi"/>
          <w:i w:val="0"/>
          <w:color w:val="auto"/>
          <w:sz w:val="24"/>
          <w:szCs w:val="24"/>
          <w:lang w:val="en-US" w:eastAsia="ja-JP"/>
        </w:rPr>
        <w:tab/>
      </w:r>
      <w:r>
        <w:t>Engine Nacelle and APU</w:t>
      </w:r>
      <w:r>
        <w:tab/>
      </w:r>
      <w:r>
        <w:fldChar w:fldCharType="begin"/>
      </w:r>
      <w:r>
        <w:instrText xml:space="preserve"> PAGEREF _Toc295406162 \h </w:instrText>
      </w:r>
      <w:r>
        <w:fldChar w:fldCharType="separate"/>
      </w:r>
      <w:r>
        <w:t>39</w:t>
      </w:r>
      <w:r>
        <w:fldChar w:fldCharType="end"/>
      </w:r>
    </w:p>
    <w:p w14:paraId="02DC4384"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8.3.3.</w:t>
      </w:r>
      <w:r>
        <w:rPr>
          <w:rFonts w:asciiTheme="minorHAnsi" w:eastAsiaTheme="minorEastAsia" w:hAnsiTheme="minorHAnsi" w:cstheme="minorBidi"/>
          <w:i w:val="0"/>
          <w:color w:val="auto"/>
          <w:sz w:val="24"/>
          <w:szCs w:val="24"/>
          <w:lang w:val="en-US" w:eastAsia="ja-JP"/>
        </w:rPr>
        <w:tab/>
      </w:r>
      <w:r>
        <w:t>Cargo Compartments</w:t>
      </w:r>
      <w:r>
        <w:tab/>
      </w:r>
      <w:r>
        <w:fldChar w:fldCharType="begin"/>
      </w:r>
      <w:r>
        <w:instrText xml:space="preserve"> PAGEREF _Toc295406163 \h </w:instrText>
      </w:r>
      <w:r>
        <w:fldChar w:fldCharType="separate"/>
      </w:r>
      <w:r>
        <w:t>39</w:t>
      </w:r>
      <w:r>
        <w:fldChar w:fldCharType="end"/>
      </w:r>
    </w:p>
    <w:p w14:paraId="5716BEDF"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8.3.4.</w:t>
      </w:r>
      <w:r>
        <w:rPr>
          <w:rFonts w:asciiTheme="minorHAnsi" w:eastAsiaTheme="minorEastAsia" w:hAnsiTheme="minorHAnsi" w:cstheme="minorBidi"/>
          <w:i w:val="0"/>
          <w:color w:val="auto"/>
          <w:sz w:val="24"/>
          <w:szCs w:val="24"/>
          <w:lang w:val="en-US" w:eastAsia="ja-JP"/>
        </w:rPr>
        <w:tab/>
      </w:r>
      <w:r>
        <w:t>Handheld Extinguishers</w:t>
      </w:r>
      <w:r>
        <w:tab/>
      </w:r>
      <w:r>
        <w:fldChar w:fldCharType="begin"/>
      </w:r>
      <w:r>
        <w:instrText xml:space="preserve"> PAGEREF _Toc295406164 \h </w:instrText>
      </w:r>
      <w:r>
        <w:fldChar w:fldCharType="separate"/>
      </w:r>
      <w:r>
        <w:t>40</w:t>
      </w:r>
      <w:r>
        <w:fldChar w:fldCharType="end"/>
      </w:r>
    </w:p>
    <w:p w14:paraId="1EA55964" w14:textId="77777777" w:rsidR="00003F99" w:rsidRDefault="00003F99">
      <w:pPr>
        <w:pStyle w:val="TOC4"/>
        <w:tabs>
          <w:tab w:val="left" w:pos="1500"/>
        </w:tabs>
        <w:rPr>
          <w:rFonts w:asciiTheme="minorHAnsi" w:eastAsiaTheme="minorEastAsia" w:hAnsiTheme="minorHAnsi" w:cstheme="minorBidi"/>
          <w:color w:val="auto"/>
          <w:sz w:val="24"/>
          <w:szCs w:val="24"/>
          <w:lang w:val="en-US" w:eastAsia="ja-JP"/>
        </w:rPr>
      </w:pPr>
      <w:r>
        <w:t>8.3.4.1.</w:t>
      </w:r>
      <w:r>
        <w:rPr>
          <w:rFonts w:asciiTheme="minorHAnsi" w:eastAsiaTheme="minorEastAsia" w:hAnsiTheme="minorHAnsi" w:cstheme="minorBidi"/>
          <w:color w:val="auto"/>
          <w:sz w:val="24"/>
          <w:szCs w:val="24"/>
          <w:lang w:val="en-US" w:eastAsia="ja-JP"/>
        </w:rPr>
        <w:tab/>
      </w:r>
      <w:r>
        <w:t>Use of HCFC-123 in fire protection</w:t>
      </w:r>
      <w:r>
        <w:tab/>
      </w:r>
      <w:r>
        <w:fldChar w:fldCharType="begin"/>
      </w:r>
      <w:r>
        <w:instrText xml:space="preserve"> PAGEREF _Toc295406165 \h </w:instrText>
      </w:r>
      <w:r>
        <w:fldChar w:fldCharType="separate"/>
      </w:r>
      <w:r>
        <w:t>41</w:t>
      </w:r>
      <w:r>
        <w:fldChar w:fldCharType="end"/>
      </w:r>
    </w:p>
    <w:p w14:paraId="48631CC8" w14:textId="77777777" w:rsidR="00003F99" w:rsidRDefault="00003F99">
      <w:pPr>
        <w:pStyle w:val="TOC4"/>
        <w:tabs>
          <w:tab w:val="left" w:pos="1500"/>
        </w:tabs>
        <w:rPr>
          <w:rFonts w:asciiTheme="minorHAnsi" w:eastAsiaTheme="minorEastAsia" w:hAnsiTheme="minorHAnsi" w:cstheme="minorBidi"/>
          <w:color w:val="auto"/>
          <w:sz w:val="24"/>
          <w:szCs w:val="24"/>
          <w:lang w:val="en-US" w:eastAsia="ja-JP"/>
        </w:rPr>
      </w:pPr>
      <w:r>
        <w:t>8.3.4.2.</w:t>
      </w:r>
      <w:r>
        <w:rPr>
          <w:rFonts w:asciiTheme="minorHAnsi" w:eastAsiaTheme="minorEastAsia" w:hAnsiTheme="minorHAnsi" w:cstheme="minorBidi"/>
          <w:color w:val="auto"/>
          <w:sz w:val="24"/>
          <w:szCs w:val="24"/>
          <w:lang w:val="en-US" w:eastAsia="ja-JP"/>
        </w:rPr>
        <w:tab/>
      </w:r>
      <w:r>
        <w:t>Impact of the Use of HCFC-123 in fire protection</w:t>
      </w:r>
      <w:r>
        <w:tab/>
      </w:r>
      <w:r>
        <w:fldChar w:fldCharType="begin"/>
      </w:r>
      <w:r>
        <w:instrText xml:space="preserve"> PAGEREF _Toc295406166 \h </w:instrText>
      </w:r>
      <w:r>
        <w:fldChar w:fldCharType="separate"/>
      </w:r>
      <w:r>
        <w:t>41</w:t>
      </w:r>
      <w:r>
        <w:fldChar w:fldCharType="end"/>
      </w:r>
    </w:p>
    <w:p w14:paraId="1D53FB20" w14:textId="77777777" w:rsidR="00003F99" w:rsidRDefault="00003F99">
      <w:pPr>
        <w:pStyle w:val="TOC4"/>
        <w:tabs>
          <w:tab w:val="left" w:pos="1500"/>
        </w:tabs>
        <w:rPr>
          <w:rFonts w:asciiTheme="minorHAnsi" w:eastAsiaTheme="minorEastAsia" w:hAnsiTheme="minorHAnsi" w:cstheme="minorBidi"/>
          <w:color w:val="auto"/>
          <w:sz w:val="24"/>
          <w:szCs w:val="24"/>
          <w:lang w:val="en-US" w:eastAsia="ja-JP"/>
        </w:rPr>
      </w:pPr>
      <w:r>
        <w:t>8.3.4.3.</w:t>
      </w:r>
      <w:r>
        <w:rPr>
          <w:rFonts w:asciiTheme="minorHAnsi" w:eastAsiaTheme="minorEastAsia" w:hAnsiTheme="minorHAnsi" w:cstheme="minorBidi"/>
          <w:color w:val="auto"/>
          <w:sz w:val="24"/>
          <w:szCs w:val="24"/>
          <w:lang w:val="en-US" w:eastAsia="ja-JP"/>
        </w:rPr>
        <w:tab/>
      </w:r>
      <w:r>
        <w:t>Crash Rescue Vehicles</w:t>
      </w:r>
      <w:r>
        <w:tab/>
      </w:r>
      <w:r>
        <w:fldChar w:fldCharType="begin"/>
      </w:r>
      <w:r>
        <w:instrText xml:space="preserve"> PAGEREF _Toc295406167 \h </w:instrText>
      </w:r>
      <w:r>
        <w:fldChar w:fldCharType="separate"/>
      </w:r>
      <w:r>
        <w:t>42</w:t>
      </w:r>
      <w:r>
        <w:fldChar w:fldCharType="end"/>
      </w:r>
    </w:p>
    <w:p w14:paraId="39D5C5A1"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8.4.</w:t>
      </w:r>
      <w:r>
        <w:rPr>
          <w:rFonts w:asciiTheme="minorHAnsi" w:eastAsiaTheme="minorEastAsia" w:hAnsiTheme="minorHAnsi" w:cstheme="minorBidi"/>
          <w:smallCaps w:val="0"/>
          <w:color w:val="auto"/>
          <w:sz w:val="24"/>
          <w:szCs w:val="24"/>
          <w:lang w:val="en-US" w:eastAsia="ja-JP"/>
        </w:rPr>
        <w:tab/>
      </w:r>
      <w:r>
        <w:t>Estimated Civil Aviation Halon Installed Base</w:t>
      </w:r>
      <w:r>
        <w:tab/>
      </w:r>
      <w:r>
        <w:fldChar w:fldCharType="begin"/>
      </w:r>
      <w:r>
        <w:instrText xml:space="preserve"> PAGEREF _Toc295406168 \h </w:instrText>
      </w:r>
      <w:r>
        <w:fldChar w:fldCharType="separate"/>
      </w:r>
      <w:r>
        <w:t>42</w:t>
      </w:r>
      <w:r>
        <w:fldChar w:fldCharType="end"/>
      </w:r>
    </w:p>
    <w:p w14:paraId="590B8482"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8.4.1.</w:t>
      </w:r>
      <w:r>
        <w:rPr>
          <w:rFonts w:asciiTheme="minorHAnsi" w:eastAsiaTheme="minorEastAsia" w:hAnsiTheme="minorHAnsi" w:cstheme="minorBidi"/>
          <w:i w:val="0"/>
          <w:color w:val="auto"/>
          <w:sz w:val="24"/>
          <w:szCs w:val="24"/>
          <w:lang w:val="en-US" w:eastAsia="ja-JP"/>
        </w:rPr>
        <w:tab/>
      </w:r>
      <w:r>
        <w:t>Civil Aviation Fleet Estimates</w:t>
      </w:r>
      <w:r>
        <w:tab/>
      </w:r>
      <w:r>
        <w:fldChar w:fldCharType="begin"/>
      </w:r>
      <w:r>
        <w:instrText xml:space="preserve"> PAGEREF _Toc295406169 \h </w:instrText>
      </w:r>
      <w:r>
        <w:fldChar w:fldCharType="separate"/>
      </w:r>
      <w:r>
        <w:t>43</w:t>
      </w:r>
      <w:r>
        <w:fldChar w:fldCharType="end"/>
      </w:r>
    </w:p>
    <w:p w14:paraId="29E752F5"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8.4.2.</w:t>
      </w:r>
      <w:r>
        <w:rPr>
          <w:rFonts w:asciiTheme="minorHAnsi" w:eastAsiaTheme="minorEastAsia" w:hAnsiTheme="minorHAnsi" w:cstheme="minorBidi"/>
          <w:i w:val="0"/>
          <w:color w:val="auto"/>
          <w:sz w:val="24"/>
          <w:szCs w:val="24"/>
          <w:lang w:val="en-US" w:eastAsia="ja-JP"/>
        </w:rPr>
        <w:tab/>
      </w:r>
      <w:r>
        <w:t>Estimate of Halon 1301 Installed</w:t>
      </w:r>
      <w:r>
        <w:tab/>
      </w:r>
      <w:r>
        <w:fldChar w:fldCharType="begin"/>
      </w:r>
      <w:r>
        <w:instrText xml:space="preserve"> PAGEREF _Toc295406170 \h </w:instrText>
      </w:r>
      <w:r>
        <w:fldChar w:fldCharType="separate"/>
      </w:r>
      <w:r>
        <w:t>43</w:t>
      </w:r>
      <w:r>
        <w:fldChar w:fldCharType="end"/>
      </w:r>
    </w:p>
    <w:p w14:paraId="2A6651C7"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8.4.3.</w:t>
      </w:r>
      <w:r>
        <w:rPr>
          <w:rFonts w:asciiTheme="minorHAnsi" w:eastAsiaTheme="minorEastAsia" w:hAnsiTheme="minorHAnsi" w:cstheme="minorBidi"/>
          <w:i w:val="0"/>
          <w:color w:val="auto"/>
          <w:sz w:val="24"/>
          <w:szCs w:val="24"/>
          <w:lang w:val="en-US" w:eastAsia="ja-JP"/>
        </w:rPr>
        <w:tab/>
      </w:r>
      <w:r>
        <w:t>Estimate of Halon 1211 Installed on Civil Aircraft</w:t>
      </w:r>
      <w:r>
        <w:tab/>
      </w:r>
      <w:r>
        <w:fldChar w:fldCharType="begin"/>
      </w:r>
      <w:r>
        <w:instrText xml:space="preserve"> PAGEREF _Toc295406171 \h </w:instrText>
      </w:r>
      <w:r>
        <w:fldChar w:fldCharType="separate"/>
      </w:r>
      <w:r>
        <w:t>43</w:t>
      </w:r>
      <w:r>
        <w:fldChar w:fldCharType="end"/>
      </w:r>
    </w:p>
    <w:p w14:paraId="325C11CA"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8.5.</w:t>
      </w:r>
      <w:r>
        <w:rPr>
          <w:rFonts w:asciiTheme="minorHAnsi" w:eastAsiaTheme="minorEastAsia" w:hAnsiTheme="minorHAnsi" w:cstheme="minorBidi"/>
          <w:smallCaps w:val="0"/>
          <w:color w:val="auto"/>
          <w:sz w:val="24"/>
          <w:szCs w:val="24"/>
          <w:lang w:val="en-US" w:eastAsia="ja-JP"/>
        </w:rPr>
        <w:tab/>
      </w:r>
      <w:r>
        <w:t>Estimates of Global Quantities of Halons</w:t>
      </w:r>
      <w:r>
        <w:tab/>
      </w:r>
      <w:r>
        <w:fldChar w:fldCharType="begin"/>
      </w:r>
      <w:r>
        <w:instrText xml:space="preserve"> PAGEREF _Toc295406172 \h </w:instrText>
      </w:r>
      <w:r>
        <w:fldChar w:fldCharType="separate"/>
      </w:r>
      <w:r>
        <w:t>44</w:t>
      </w:r>
      <w:r>
        <w:fldChar w:fldCharType="end"/>
      </w:r>
    </w:p>
    <w:p w14:paraId="11234BB3"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8.5.1.</w:t>
      </w:r>
      <w:r>
        <w:rPr>
          <w:rFonts w:asciiTheme="minorHAnsi" w:eastAsiaTheme="minorEastAsia" w:hAnsiTheme="minorHAnsi" w:cstheme="minorBidi"/>
          <w:i w:val="0"/>
          <w:color w:val="auto"/>
          <w:sz w:val="24"/>
          <w:szCs w:val="24"/>
          <w:lang w:val="en-US" w:eastAsia="ja-JP"/>
        </w:rPr>
        <w:tab/>
      </w:r>
      <w:r>
        <w:t>Limitations of Global Modeling Data for Use in Civil Aviation Planning</w:t>
      </w:r>
      <w:r>
        <w:tab/>
      </w:r>
      <w:r>
        <w:fldChar w:fldCharType="begin"/>
      </w:r>
      <w:r>
        <w:instrText xml:space="preserve"> PAGEREF _Toc295406173 \h </w:instrText>
      </w:r>
      <w:r>
        <w:fldChar w:fldCharType="separate"/>
      </w:r>
      <w:r>
        <w:t>44</w:t>
      </w:r>
      <w:r>
        <w:fldChar w:fldCharType="end"/>
      </w:r>
    </w:p>
    <w:p w14:paraId="121BD94A"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8.5.2.</w:t>
      </w:r>
      <w:r>
        <w:rPr>
          <w:rFonts w:asciiTheme="minorHAnsi" w:eastAsiaTheme="minorEastAsia" w:hAnsiTheme="minorHAnsi" w:cstheme="minorBidi"/>
          <w:i w:val="0"/>
          <w:color w:val="auto"/>
          <w:sz w:val="24"/>
          <w:szCs w:val="24"/>
          <w:lang w:val="en-US" w:eastAsia="ja-JP"/>
        </w:rPr>
        <w:tab/>
      </w:r>
      <w:r>
        <w:t>Sources of Recycled Halon 1301 for Civil Aviation</w:t>
      </w:r>
      <w:r>
        <w:tab/>
      </w:r>
      <w:r>
        <w:fldChar w:fldCharType="begin"/>
      </w:r>
      <w:r>
        <w:instrText xml:space="preserve"> PAGEREF _Toc295406174 \h </w:instrText>
      </w:r>
      <w:r>
        <w:fldChar w:fldCharType="separate"/>
      </w:r>
      <w:r>
        <w:t>45</w:t>
      </w:r>
      <w:r>
        <w:fldChar w:fldCharType="end"/>
      </w:r>
    </w:p>
    <w:p w14:paraId="516B9564" w14:textId="77777777" w:rsidR="00003F99" w:rsidRDefault="00003F99">
      <w:pPr>
        <w:pStyle w:val="TOC3"/>
        <w:tabs>
          <w:tab w:val="clear" w:pos="1134"/>
          <w:tab w:val="left" w:pos="1144"/>
        </w:tabs>
        <w:rPr>
          <w:rFonts w:asciiTheme="minorHAnsi" w:eastAsiaTheme="minorEastAsia" w:hAnsiTheme="minorHAnsi" w:cstheme="minorBidi"/>
          <w:i w:val="0"/>
          <w:color w:val="auto"/>
          <w:sz w:val="24"/>
          <w:szCs w:val="24"/>
          <w:lang w:val="en-US" w:eastAsia="ja-JP"/>
        </w:rPr>
      </w:pPr>
      <w:r>
        <w:t>8.5.3.</w:t>
      </w:r>
      <w:r>
        <w:rPr>
          <w:rFonts w:asciiTheme="minorHAnsi" w:eastAsiaTheme="minorEastAsia" w:hAnsiTheme="minorHAnsi" w:cstheme="minorBidi"/>
          <w:i w:val="0"/>
          <w:color w:val="auto"/>
          <w:sz w:val="24"/>
          <w:szCs w:val="24"/>
          <w:lang w:val="en-US" w:eastAsia="ja-JP"/>
        </w:rPr>
        <w:tab/>
      </w:r>
      <w:r>
        <w:t xml:space="preserve"> Estimated Halon 1301 Installed on Merchant Ships</w:t>
      </w:r>
      <w:r>
        <w:tab/>
      </w:r>
      <w:r>
        <w:fldChar w:fldCharType="begin"/>
      </w:r>
      <w:r>
        <w:instrText xml:space="preserve"> PAGEREF _Toc295406175 \h </w:instrText>
      </w:r>
      <w:r>
        <w:fldChar w:fldCharType="separate"/>
      </w:r>
      <w:r>
        <w:t>46</w:t>
      </w:r>
      <w:r>
        <w:fldChar w:fldCharType="end"/>
      </w:r>
    </w:p>
    <w:p w14:paraId="274F0F4C"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8.6.</w:t>
      </w:r>
      <w:r>
        <w:rPr>
          <w:rFonts w:asciiTheme="minorHAnsi" w:eastAsiaTheme="minorEastAsia" w:hAnsiTheme="minorHAnsi" w:cstheme="minorBidi"/>
          <w:smallCaps w:val="0"/>
          <w:color w:val="auto"/>
          <w:sz w:val="24"/>
          <w:szCs w:val="24"/>
          <w:lang w:val="en-US" w:eastAsia="ja-JP"/>
        </w:rPr>
        <w:tab/>
      </w:r>
      <w:r>
        <w:t>Halon Needs for Civil Aviation</w:t>
      </w:r>
      <w:r>
        <w:tab/>
      </w:r>
      <w:r>
        <w:fldChar w:fldCharType="begin"/>
      </w:r>
      <w:r>
        <w:instrText xml:space="preserve"> PAGEREF _Toc295406176 \h </w:instrText>
      </w:r>
      <w:r>
        <w:fldChar w:fldCharType="separate"/>
      </w:r>
      <w:r>
        <w:t>49</w:t>
      </w:r>
      <w:r>
        <w:fldChar w:fldCharType="end"/>
      </w:r>
    </w:p>
    <w:p w14:paraId="1F0A94A7" w14:textId="77777777" w:rsidR="00003F99" w:rsidRDefault="00003F99">
      <w:pPr>
        <w:pStyle w:val="TOC2"/>
        <w:tabs>
          <w:tab w:val="left" w:pos="778"/>
        </w:tabs>
        <w:rPr>
          <w:rFonts w:asciiTheme="minorHAnsi" w:eastAsiaTheme="minorEastAsia" w:hAnsiTheme="minorHAnsi" w:cstheme="minorBidi"/>
          <w:smallCaps w:val="0"/>
          <w:color w:val="auto"/>
          <w:sz w:val="24"/>
          <w:szCs w:val="24"/>
          <w:lang w:val="en-US" w:eastAsia="ja-JP"/>
        </w:rPr>
      </w:pPr>
      <w:r>
        <w:t>8.7.</w:t>
      </w:r>
      <w:r>
        <w:rPr>
          <w:rFonts w:asciiTheme="minorHAnsi" w:eastAsiaTheme="minorEastAsia" w:hAnsiTheme="minorHAnsi" w:cstheme="minorBidi"/>
          <w:smallCaps w:val="0"/>
          <w:color w:val="auto"/>
          <w:sz w:val="24"/>
          <w:szCs w:val="24"/>
          <w:lang w:val="en-US" w:eastAsia="ja-JP"/>
        </w:rPr>
        <w:tab/>
      </w:r>
      <w:r>
        <w:t>References</w:t>
      </w:r>
      <w:r>
        <w:tab/>
      </w:r>
      <w:r>
        <w:fldChar w:fldCharType="begin"/>
      </w:r>
      <w:r>
        <w:instrText xml:space="preserve"> PAGEREF _Toc295406177 \h </w:instrText>
      </w:r>
      <w:r>
        <w:fldChar w:fldCharType="separate"/>
      </w:r>
      <w:r>
        <w:t>50</w:t>
      </w:r>
      <w:r>
        <w:fldChar w:fldCharType="end"/>
      </w:r>
    </w:p>
    <w:p w14:paraId="73F58D6D" w14:textId="77777777" w:rsidR="00003F99" w:rsidRDefault="00003F99">
      <w:pPr>
        <w:pStyle w:val="TOC1"/>
        <w:rPr>
          <w:rFonts w:asciiTheme="minorHAnsi" w:eastAsiaTheme="minorEastAsia" w:hAnsiTheme="minorHAnsi" w:cstheme="minorBidi"/>
          <w:b w:val="0"/>
          <w:caps w:val="0"/>
          <w:color w:val="auto"/>
          <w:sz w:val="24"/>
          <w:szCs w:val="24"/>
          <w:lang w:val="en-US" w:eastAsia="ja-JP"/>
        </w:rPr>
      </w:pPr>
      <w:r>
        <w:t>9. Other TEAP matters</w:t>
      </w:r>
      <w:r>
        <w:tab/>
      </w:r>
      <w:r>
        <w:fldChar w:fldCharType="begin"/>
      </w:r>
      <w:r>
        <w:instrText xml:space="preserve"> PAGEREF _Toc295406178 \h </w:instrText>
      </w:r>
      <w:r>
        <w:fldChar w:fldCharType="separate"/>
      </w:r>
      <w:r>
        <w:t>52</w:t>
      </w:r>
      <w:r>
        <w:fldChar w:fldCharType="end"/>
      </w:r>
    </w:p>
    <w:p w14:paraId="2E3F88BB" w14:textId="77777777" w:rsidR="00003F99" w:rsidRDefault="00003F99">
      <w:pPr>
        <w:pStyle w:val="TOC2"/>
        <w:tabs>
          <w:tab w:val="left" w:pos="728"/>
        </w:tabs>
        <w:rPr>
          <w:rFonts w:asciiTheme="minorHAnsi" w:eastAsiaTheme="minorEastAsia" w:hAnsiTheme="minorHAnsi" w:cstheme="minorBidi"/>
          <w:smallCaps w:val="0"/>
          <w:color w:val="auto"/>
          <w:sz w:val="24"/>
          <w:szCs w:val="24"/>
          <w:lang w:val="en-US" w:eastAsia="ja-JP"/>
        </w:rPr>
      </w:pPr>
      <w:r>
        <w:t>9.1</w:t>
      </w:r>
      <w:r>
        <w:rPr>
          <w:rFonts w:asciiTheme="minorHAnsi" w:eastAsiaTheme="minorEastAsia" w:hAnsiTheme="minorHAnsi" w:cstheme="minorBidi"/>
          <w:smallCaps w:val="0"/>
          <w:color w:val="auto"/>
          <w:sz w:val="24"/>
          <w:szCs w:val="24"/>
          <w:lang w:val="en-US" w:eastAsia="ja-JP"/>
        </w:rPr>
        <w:tab/>
      </w:r>
      <w:r>
        <w:t xml:space="preserve"> Status of TOC reappointments</w:t>
      </w:r>
      <w:r>
        <w:tab/>
      </w:r>
      <w:r>
        <w:fldChar w:fldCharType="begin"/>
      </w:r>
      <w:r>
        <w:instrText xml:space="preserve"> PAGEREF _Toc295406179 \h </w:instrText>
      </w:r>
      <w:r>
        <w:fldChar w:fldCharType="separate"/>
      </w:r>
      <w:r>
        <w:t>52</w:t>
      </w:r>
      <w:r>
        <w:fldChar w:fldCharType="end"/>
      </w:r>
    </w:p>
    <w:p w14:paraId="566D4AC5" w14:textId="77777777" w:rsidR="00003F99" w:rsidRDefault="00003F99">
      <w:pPr>
        <w:pStyle w:val="TOC3"/>
        <w:tabs>
          <w:tab w:val="left" w:pos="1094"/>
        </w:tabs>
        <w:rPr>
          <w:rFonts w:asciiTheme="minorHAnsi" w:eastAsiaTheme="minorEastAsia" w:hAnsiTheme="minorHAnsi" w:cstheme="minorBidi"/>
          <w:i w:val="0"/>
          <w:color w:val="auto"/>
          <w:sz w:val="24"/>
          <w:szCs w:val="24"/>
          <w:lang w:val="en-US" w:eastAsia="ja-JP"/>
        </w:rPr>
      </w:pPr>
      <w:r>
        <w:t>9.1.1</w:t>
      </w:r>
      <w:r>
        <w:rPr>
          <w:rFonts w:asciiTheme="minorHAnsi" w:eastAsiaTheme="minorEastAsia" w:hAnsiTheme="minorHAnsi" w:cstheme="minorBidi"/>
          <w:i w:val="0"/>
          <w:color w:val="auto"/>
          <w:sz w:val="24"/>
          <w:szCs w:val="24"/>
          <w:lang w:val="en-US" w:eastAsia="ja-JP"/>
        </w:rPr>
        <w:tab/>
      </w:r>
      <w:r>
        <w:t>CTOC</w:t>
      </w:r>
      <w:r>
        <w:tab/>
      </w:r>
      <w:r>
        <w:fldChar w:fldCharType="begin"/>
      </w:r>
      <w:r>
        <w:instrText xml:space="preserve"> PAGEREF _Toc295406180 \h </w:instrText>
      </w:r>
      <w:r>
        <w:fldChar w:fldCharType="separate"/>
      </w:r>
      <w:r>
        <w:t>52</w:t>
      </w:r>
      <w:r>
        <w:fldChar w:fldCharType="end"/>
      </w:r>
    </w:p>
    <w:p w14:paraId="39DA436E" w14:textId="77777777" w:rsidR="00003F99" w:rsidRDefault="00003F99">
      <w:pPr>
        <w:pStyle w:val="TOC3"/>
        <w:tabs>
          <w:tab w:val="left" w:pos="1094"/>
        </w:tabs>
        <w:rPr>
          <w:rFonts w:asciiTheme="minorHAnsi" w:eastAsiaTheme="minorEastAsia" w:hAnsiTheme="minorHAnsi" w:cstheme="minorBidi"/>
          <w:i w:val="0"/>
          <w:color w:val="auto"/>
          <w:sz w:val="24"/>
          <w:szCs w:val="24"/>
          <w:lang w:val="en-US" w:eastAsia="ja-JP"/>
        </w:rPr>
      </w:pPr>
      <w:r>
        <w:t>9.1.2</w:t>
      </w:r>
      <w:r>
        <w:rPr>
          <w:rFonts w:asciiTheme="minorHAnsi" w:eastAsiaTheme="minorEastAsia" w:hAnsiTheme="minorHAnsi" w:cstheme="minorBidi"/>
          <w:i w:val="0"/>
          <w:color w:val="auto"/>
          <w:sz w:val="24"/>
          <w:szCs w:val="24"/>
          <w:lang w:val="en-US" w:eastAsia="ja-JP"/>
        </w:rPr>
        <w:tab/>
      </w:r>
      <w:r>
        <w:t>FTOC</w:t>
      </w:r>
      <w:r>
        <w:tab/>
      </w:r>
      <w:r>
        <w:fldChar w:fldCharType="begin"/>
      </w:r>
      <w:r>
        <w:instrText xml:space="preserve"> PAGEREF _Toc295406181 \h </w:instrText>
      </w:r>
      <w:r>
        <w:fldChar w:fldCharType="separate"/>
      </w:r>
      <w:r>
        <w:t>52</w:t>
      </w:r>
      <w:r>
        <w:fldChar w:fldCharType="end"/>
      </w:r>
    </w:p>
    <w:p w14:paraId="0559A0F7" w14:textId="77777777" w:rsidR="00003F99" w:rsidRDefault="00003F99">
      <w:pPr>
        <w:pStyle w:val="TOC3"/>
        <w:tabs>
          <w:tab w:val="left" w:pos="1094"/>
        </w:tabs>
        <w:rPr>
          <w:rFonts w:asciiTheme="minorHAnsi" w:eastAsiaTheme="minorEastAsia" w:hAnsiTheme="minorHAnsi" w:cstheme="minorBidi"/>
          <w:i w:val="0"/>
          <w:color w:val="auto"/>
          <w:sz w:val="24"/>
          <w:szCs w:val="24"/>
          <w:lang w:val="en-US" w:eastAsia="ja-JP"/>
        </w:rPr>
      </w:pPr>
      <w:r>
        <w:t>9.1.3</w:t>
      </w:r>
      <w:r>
        <w:rPr>
          <w:rFonts w:asciiTheme="minorHAnsi" w:eastAsiaTheme="minorEastAsia" w:hAnsiTheme="minorHAnsi" w:cstheme="minorBidi"/>
          <w:i w:val="0"/>
          <w:color w:val="auto"/>
          <w:sz w:val="24"/>
          <w:szCs w:val="24"/>
          <w:lang w:val="en-US" w:eastAsia="ja-JP"/>
        </w:rPr>
        <w:tab/>
      </w:r>
      <w:r>
        <w:t>RTOC</w:t>
      </w:r>
      <w:r>
        <w:tab/>
      </w:r>
      <w:r>
        <w:fldChar w:fldCharType="begin"/>
      </w:r>
      <w:r>
        <w:instrText xml:space="preserve"> PAGEREF _Toc295406182 \h </w:instrText>
      </w:r>
      <w:r>
        <w:fldChar w:fldCharType="separate"/>
      </w:r>
      <w:r>
        <w:t>52</w:t>
      </w:r>
      <w:r>
        <w:fldChar w:fldCharType="end"/>
      </w:r>
    </w:p>
    <w:p w14:paraId="5A80DA94" w14:textId="77777777" w:rsidR="00003F99" w:rsidRDefault="00003F99">
      <w:pPr>
        <w:pStyle w:val="TOC2"/>
        <w:tabs>
          <w:tab w:val="left" w:pos="728"/>
        </w:tabs>
        <w:rPr>
          <w:rFonts w:asciiTheme="minorHAnsi" w:eastAsiaTheme="minorEastAsia" w:hAnsiTheme="minorHAnsi" w:cstheme="minorBidi"/>
          <w:smallCaps w:val="0"/>
          <w:color w:val="auto"/>
          <w:sz w:val="24"/>
          <w:szCs w:val="24"/>
          <w:lang w:val="en-US" w:eastAsia="ja-JP"/>
        </w:rPr>
      </w:pPr>
      <w:r>
        <w:t>9.2</w:t>
      </w:r>
      <w:r>
        <w:rPr>
          <w:rFonts w:asciiTheme="minorHAnsi" w:eastAsiaTheme="minorEastAsia" w:hAnsiTheme="minorHAnsi" w:cstheme="minorBidi"/>
          <w:smallCaps w:val="0"/>
          <w:color w:val="auto"/>
          <w:sz w:val="24"/>
          <w:szCs w:val="24"/>
          <w:lang w:val="en-US" w:eastAsia="ja-JP"/>
        </w:rPr>
        <w:tab/>
      </w:r>
      <w:r>
        <w:t>Continuing challenges</w:t>
      </w:r>
      <w:r>
        <w:tab/>
      </w:r>
      <w:r>
        <w:fldChar w:fldCharType="begin"/>
      </w:r>
      <w:r>
        <w:instrText xml:space="preserve"> PAGEREF _Toc295406183 \h </w:instrText>
      </w:r>
      <w:r>
        <w:fldChar w:fldCharType="separate"/>
      </w:r>
      <w:r>
        <w:t>52</w:t>
      </w:r>
      <w:r>
        <w:fldChar w:fldCharType="end"/>
      </w:r>
    </w:p>
    <w:p w14:paraId="1C4E381C" w14:textId="77777777" w:rsidR="00003F99" w:rsidRDefault="00003F99">
      <w:pPr>
        <w:pStyle w:val="TOC1"/>
        <w:rPr>
          <w:rFonts w:asciiTheme="minorHAnsi" w:eastAsiaTheme="minorEastAsia" w:hAnsiTheme="minorHAnsi" w:cstheme="minorBidi"/>
          <w:b w:val="0"/>
          <w:caps w:val="0"/>
          <w:color w:val="auto"/>
          <w:sz w:val="24"/>
          <w:szCs w:val="24"/>
          <w:lang w:val="en-US" w:eastAsia="ja-JP"/>
        </w:rPr>
      </w:pPr>
      <w:r>
        <w:t>ANNEX 1: TEAP and TOC membership list status June 2015</w:t>
      </w:r>
      <w:r>
        <w:tab/>
      </w:r>
      <w:r>
        <w:fldChar w:fldCharType="begin"/>
      </w:r>
      <w:r>
        <w:instrText xml:space="preserve"> PAGEREF _Toc295406184 \h </w:instrText>
      </w:r>
      <w:r>
        <w:fldChar w:fldCharType="separate"/>
      </w:r>
      <w:r>
        <w:t>54</w:t>
      </w:r>
      <w:r>
        <w:fldChar w:fldCharType="end"/>
      </w:r>
    </w:p>
    <w:p w14:paraId="7FCB4390" w14:textId="77777777" w:rsidR="00003F99" w:rsidRDefault="00003F99">
      <w:pPr>
        <w:pStyle w:val="TOC1"/>
      </w:pPr>
      <w:r>
        <w:t>Annex 2: Matrix of Needed Expertise</w:t>
      </w:r>
      <w:r>
        <w:tab/>
      </w:r>
      <w:r>
        <w:fldChar w:fldCharType="begin"/>
      </w:r>
      <w:r>
        <w:instrText xml:space="preserve"> PAGEREF _Toc295406185 \h </w:instrText>
      </w:r>
      <w:r>
        <w:fldChar w:fldCharType="separate"/>
      </w:r>
      <w:r>
        <w:t>61</w:t>
      </w:r>
      <w:r>
        <w:fldChar w:fldCharType="end"/>
      </w:r>
    </w:p>
    <w:p w14:paraId="39B0BFBB" w14:textId="5FF6FEEE" w:rsidR="00003F99" w:rsidRDefault="00003F99">
      <w:pPr>
        <w:pStyle w:val="TOC1"/>
        <w:rPr>
          <w:rFonts w:asciiTheme="minorHAnsi" w:eastAsiaTheme="minorEastAsia" w:hAnsiTheme="minorHAnsi" w:cstheme="minorBidi"/>
          <w:b w:val="0"/>
          <w:caps w:val="0"/>
          <w:color w:val="auto"/>
          <w:sz w:val="24"/>
          <w:szCs w:val="24"/>
          <w:lang w:val="en-US" w:eastAsia="ja-JP"/>
        </w:rPr>
      </w:pPr>
      <w:r>
        <w:t>ANNEX 3: Decision XXVI/7</w:t>
      </w:r>
      <w:r w:rsidRPr="00003F99">
        <w:rPr>
          <w:rStyle w:val="Heading1Char3"/>
          <w:b w:val="0"/>
        </w:rPr>
        <w:t xml:space="preserve">: </w:t>
      </w:r>
      <w:r w:rsidRPr="00003F99">
        <w:rPr>
          <w:rStyle w:val="Heading1Char3"/>
          <w:b w:val="0"/>
          <w:sz w:val="20"/>
        </w:rPr>
        <w:t>Availability of recovered, recycled or reclaimed halons</w:t>
      </w:r>
      <w:r>
        <w:rPr>
          <w:rStyle w:val="Heading1Char3"/>
          <w:b w:val="0"/>
          <w:sz w:val="20"/>
        </w:rPr>
        <w:t xml:space="preserve"> …………………………………………………………………..62</w:t>
      </w:r>
    </w:p>
    <w:p w14:paraId="3CEDDA38" w14:textId="7D802FA5" w:rsidR="00F12A62" w:rsidRPr="00F12A62" w:rsidRDefault="00003F99" w:rsidP="00F12A62">
      <w:r>
        <w:rPr>
          <w:rFonts w:ascii="Times New Roman Bold" w:hAnsi="Times New Roman Bold"/>
          <w:caps/>
          <w:noProof/>
          <w:sz w:val="24"/>
          <w:szCs w:val="24"/>
        </w:rPr>
        <w:fldChar w:fldCharType="end"/>
      </w:r>
    </w:p>
    <w:p w14:paraId="0BD961CD" w14:textId="77777777" w:rsidR="00AD4B2A" w:rsidRDefault="00AD4B2A">
      <w:pPr>
        <w:sectPr w:rsidR="00AD4B2A">
          <w:headerReference w:type="even" r:id="rId15"/>
          <w:headerReference w:type="default" r:id="rId16"/>
          <w:footerReference w:type="even" r:id="rId17"/>
          <w:footnotePr>
            <w:numRestart w:val="eachSect"/>
          </w:footnotePr>
          <w:type w:val="nextColumn"/>
          <w:pgSz w:w="12242" w:h="15842" w:code="1"/>
          <w:pgMar w:top="1440" w:right="1417" w:bottom="1526" w:left="1800" w:header="720" w:footer="792" w:gutter="0"/>
          <w:pgNumType w:fmt="lowerRoman"/>
          <w:cols w:space="720"/>
        </w:sectPr>
      </w:pPr>
    </w:p>
    <w:p w14:paraId="2D89A594" w14:textId="77777777" w:rsidR="00AD4B2A" w:rsidRDefault="00591AA8" w:rsidP="000A35BA">
      <w:pPr>
        <w:pStyle w:val="Heading1"/>
      </w:pPr>
      <w:bookmarkStart w:id="9" w:name="_Toc388648327"/>
      <w:bookmarkStart w:id="10" w:name="_Toc295406111"/>
      <w:bookmarkStart w:id="11" w:name="OLE_LINK19"/>
      <w:bookmarkStart w:id="12" w:name="_Toc39573643"/>
      <w:bookmarkStart w:id="13" w:name="OLE_LINK23"/>
      <w:bookmarkStart w:id="14" w:name="OLE_LINK28"/>
      <w:r>
        <w:lastRenderedPageBreak/>
        <w:t>1</w:t>
      </w:r>
      <w:r>
        <w:tab/>
        <w:t>Introduction</w:t>
      </w:r>
      <w:bookmarkEnd w:id="9"/>
      <w:bookmarkEnd w:id="10"/>
    </w:p>
    <w:p w14:paraId="14A1E9C6" w14:textId="3F04472B" w:rsidR="00AD4B2A" w:rsidRDefault="00591AA8" w:rsidP="000A35BA">
      <w:r>
        <w:t xml:space="preserve">This is volume 1 of </w:t>
      </w:r>
      <w:r w:rsidR="007F78CB">
        <w:t>3</w:t>
      </w:r>
      <w:r>
        <w:t xml:space="preserve"> of the </w:t>
      </w:r>
      <w:r w:rsidR="00343A2F">
        <w:t>June</w:t>
      </w:r>
      <w:r>
        <w:t xml:space="preserve"> 201</w:t>
      </w:r>
      <w:r w:rsidR="007F78CB">
        <w:t>5</w:t>
      </w:r>
      <w:r>
        <w:t xml:space="preserve"> TEAP Report and contains: </w:t>
      </w:r>
    </w:p>
    <w:p w14:paraId="2291FD97" w14:textId="77777777" w:rsidR="00AD4B2A" w:rsidRDefault="007F78CB" w:rsidP="000A35BA">
      <w:r>
        <w:t>T</w:t>
      </w:r>
      <w:r w:rsidR="00591AA8">
        <w:t>he CTOC prog</w:t>
      </w:r>
      <w:r>
        <w:t>ress report and the EUN evaluation report</w:t>
      </w:r>
    </w:p>
    <w:p w14:paraId="55BA4739" w14:textId="77777777" w:rsidR="00AD4B2A" w:rsidRDefault="007F78CB" w:rsidP="000A35BA">
      <w:r>
        <w:t>T</w:t>
      </w:r>
      <w:r w:rsidR="00591AA8">
        <w:t>he FTOC progress report;</w:t>
      </w:r>
    </w:p>
    <w:p w14:paraId="664B267A" w14:textId="77777777" w:rsidR="00AD4B2A" w:rsidRDefault="007F78CB" w:rsidP="000A35BA">
      <w:r>
        <w:t>T</w:t>
      </w:r>
      <w:r w:rsidR="00591AA8">
        <w:t>he HTOC progress report</w:t>
      </w:r>
      <w:r>
        <w:t>;</w:t>
      </w:r>
    </w:p>
    <w:p w14:paraId="6C100F2D" w14:textId="4E17F2D7" w:rsidR="00AD4B2A" w:rsidRDefault="007F78CB" w:rsidP="000A35BA">
      <w:r>
        <w:t>T</w:t>
      </w:r>
      <w:r w:rsidR="00591AA8">
        <w:t>he M</w:t>
      </w:r>
      <w:r w:rsidR="00B92517">
        <w:t>B</w:t>
      </w:r>
      <w:r w:rsidR="00537A3B">
        <w:t>T</w:t>
      </w:r>
      <w:r w:rsidR="00591AA8">
        <w:t xml:space="preserve">OC progress report; </w:t>
      </w:r>
    </w:p>
    <w:p w14:paraId="3F233107" w14:textId="3A2B30DA" w:rsidR="00AD4B2A" w:rsidRDefault="007F78CB" w:rsidP="000A35BA">
      <w:r>
        <w:t>T</w:t>
      </w:r>
      <w:r w:rsidR="00B92517">
        <w:t>he M</w:t>
      </w:r>
      <w:r w:rsidR="00591AA8">
        <w:t xml:space="preserve">TOC progress report; </w:t>
      </w:r>
    </w:p>
    <w:p w14:paraId="441CA0CD" w14:textId="77777777" w:rsidR="00AD4B2A" w:rsidRDefault="007F78CB" w:rsidP="000A35BA">
      <w:r>
        <w:t>T</w:t>
      </w:r>
      <w:r w:rsidR="00591AA8">
        <w:t>he RTOC progress report;</w:t>
      </w:r>
    </w:p>
    <w:p w14:paraId="1951A859" w14:textId="77777777" w:rsidR="007F78CB" w:rsidRDefault="007F78CB" w:rsidP="000A35BA">
      <w:r>
        <w:t>TEAP’s response to Decision XXVI/7</w:t>
      </w:r>
    </w:p>
    <w:p w14:paraId="6CB429EF" w14:textId="1D945BD6" w:rsidR="00AD4B2A" w:rsidRDefault="00591AA8" w:rsidP="000A35BA">
      <w:r>
        <w:t>TEAP and TOC organi</w:t>
      </w:r>
      <w:r w:rsidR="00B92517">
        <w:t>s</w:t>
      </w:r>
      <w:r>
        <w:t>ation</w:t>
      </w:r>
      <w:r w:rsidR="00B92517">
        <w:t>al</w:t>
      </w:r>
      <w:r>
        <w:t xml:space="preserve"> issues; and</w:t>
      </w:r>
    </w:p>
    <w:p w14:paraId="295E8C32" w14:textId="491B2DA8" w:rsidR="006F33D8" w:rsidRDefault="007F78CB" w:rsidP="000A35BA">
      <w:r>
        <w:t xml:space="preserve">An annex of the </w:t>
      </w:r>
      <w:r w:rsidR="00591AA8">
        <w:t xml:space="preserve">TEAP and TOC membership list, </w:t>
      </w:r>
      <w:r>
        <w:t>as at</w:t>
      </w:r>
      <w:r w:rsidR="00591AA8">
        <w:t xml:space="preserve"> </w:t>
      </w:r>
      <w:r w:rsidR="00B92517">
        <w:t>June</w:t>
      </w:r>
      <w:r w:rsidR="00591AA8">
        <w:t xml:space="preserve"> 201</w:t>
      </w:r>
      <w:r>
        <w:t>5</w:t>
      </w:r>
      <w:r w:rsidR="00591AA8">
        <w:t>, which includes</w:t>
      </w:r>
      <w:r w:rsidR="002D1FC6">
        <w:t xml:space="preserve"> each member</w:t>
      </w:r>
      <w:r w:rsidR="006F33D8">
        <w:t>’s</w:t>
      </w:r>
      <w:r w:rsidR="00591AA8">
        <w:t xml:space="preserve"> terms for</w:t>
      </w:r>
      <w:r>
        <w:t xml:space="preserve"> re-appointment</w:t>
      </w:r>
      <w:r w:rsidR="006F33D8">
        <w:t xml:space="preserve"> and an annex of the matrix of needed expertise on the TEAP and its TOCs.</w:t>
      </w:r>
    </w:p>
    <w:p w14:paraId="32300683" w14:textId="77777777" w:rsidR="006F33D8" w:rsidRDefault="00E73B08" w:rsidP="000A35BA">
      <w:pPr>
        <w:rPr>
          <w:rFonts w:eastAsia="MS Mincho"/>
        </w:rPr>
      </w:pPr>
      <w:r>
        <w:rPr>
          <w:rFonts w:eastAsia="MS Mincho"/>
        </w:rPr>
        <w:t xml:space="preserve">The </w:t>
      </w:r>
      <w:r w:rsidR="006F33D8">
        <w:rPr>
          <w:rFonts w:eastAsia="MS Mincho"/>
        </w:rPr>
        <w:t xml:space="preserve">TEAP and its TOCs </w:t>
      </w:r>
      <w:r>
        <w:rPr>
          <w:rFonts w:eastAsia="MS Mincho"/>
        </w:rPr>
        <w:t xml:space="preserve">only </w:t>
      </w:r>
      <w:r w:rsidR="006F33D8">
        <w:rPr>
          <w:rFonts w:eastAsia="MS Mincho"/>
        </w:rPr>
        <w:t xml:space="preserve">recently completed and published </w:t>
      </w:r>
      <w:r>
        <w:rPr>
          <w:rFonts w:eastAsia="MS Mincho"/>
        </w:rPr>
        <w:t>their</w:t>
      </w:r>
      <w:r w:rsidR="006F33D8">
        <w:rPr>
          <w:rFonts w:eastAsia="MS Mincho"/>
        </w:rPr>
        <w:t xml:space="preserve"> quadrennial Assessment Reports</w:t>
      </w:r>
      <w:r>
        <w:rPr>
          <w:rFonts w:eastAsia="MS Mincho"/>
        </w:rPr>
        <w:t>. Therefore</w:t>
      </w:r>
      <w:r w:rsidR="006F33D8">
        <w:rPr>
          <w:rFonts w:eastAsia="MS Mincho"/>
        </w:rPr>
        <w:t xml:space="preserve">, the above progress reports provide only brief updates </w:t>
      </w:r>
      <w:r>
        <w:rPr>
          <w:rFonts w:eastAsia="MS Mincho"/>
        </w:rPr>
        <w:t xml:space="preserve">and/or </w:t>
      </w:r>
      <w:r w:rsidR="006F33D8">
        <w:rPr>
          <w:rFonts w:eastAsia="MS Mincho"/>
        </w:rPr>
        <w:t>any new information that may not have been included in the Assessment Reports for the information of Parties.</w:t>
      </w:r>
    </w:p>
    <w:p w14:paraId="77769D83" w14:textId="42BADDE4" w:rsidR="006F33D8" w:rsidRPr="007F78CB" w:rsidRDefault="006F33D8" w:rsidP="000A35BA">
      <w:pPr>
        <w:rPr>
          <w:rFonts w:eastAsia="MS Mincho"/>
        </w:rPr>
      </w:pPr>
      <w:r w:rsidRPr="00CA0A83">
        <w:rPr>
          <w:rFonts w:eastAsia="MS Mincho"/>
        </w:rPr>
        <w:t>TEAP would like to express its sincere gratitude for the</w:t>
      </w:r>
      <w:r w:rsidR="00E73B08">
        <w:rPr>
          <w:rFonts w:eastAsia="MS Mincho"/>
        </w:rPr>
        <w:t xml:space="preserve"> voluntary</w:t>
      </w:r>
      <w:r w:rsidRPr="00CA0A83">
        <w:rPr>
          <w:rFonts w:eastAsia="MS Mincho"/>
        </w:rPr>
        <w:t xml:space="preserve"> service of the TOC members and their contributions to the work of completing the 2014 </w:t>
      </w:r>
      <w:r>
        <w:rPr>
          <w:rFonts w:eastAsia="MS Mincho"/>
        </w:rPr>
        <w:t>A</w:t>
      </w:r>
      <w:r w:rsidRPr="00CA0A83">
        <w:rPr>
          <w:rFonts w:eastAsia="MS Mincho"/>
        </w:rPr>
        <w:t xml:space="preserve">ssessment </w:t>
      </w:r>
      <w:r>
        <w:rPr>
          <w:rFonts w:eastAsia="MS Mincho"/>
        </w:rPr>
        <w:t>R</w:t>
      </w:r>
      <w:r w:rsidR="000A35BA">
        <w:rPr>
          <w:rFonts w:eastAsia="MS Mincho"/>
        </w:rPr>
        <w:t xml:space="preserve">eports. We look forward to </w:t>
      </w:r>
      <w:r w:rsidR="00E73B08">
        <w:rPr>
          <w:rFonts w:eastAsia="MS Mincho"/>
        </w:rPr>
        <w:t xml:space="preserve">future </w:t>
      </w:r>
      <w:r w:rsidRPr="00CA0A83">
        <w:rPr>
          <w:rFonts w:eastAsia="MS Mincho"/>
        </w:rPr>
        <w:t xml:space="preserve">contributions of </w:t>
      </w:r>
      <w:r w:rsidR="00E73B08">
        <w:rPr>
          <w:rFonts w:eastAsia="MS Mincho"/>
        </w:rPr>
        <w:t xml:space="preserve">both </w:t>
      </w:r>
      <w:r w:rsidRPr="00CA0A83">
        <w:rPr>
          <w:rFonts w:eastAsia="MS Mincho"/>
        </w:rPr>
        <w:t>continuing and new members to the TOCs.</w:t>
      </w:r>
    </w:p>
    <w:p w14:paraId="1C85A733" w14:textId="77777777" w:rsidR="006F33D8" w:rsidRDefault="006F33D8" w:rsidP="000A35BA">
      <w:pPr>
        <w:rPr>
          <w:rFonts w:eastAsia="MS Mincho"/>
        </w:rPr>
      </w:pPr>
    </w:p>
    <w:p w14:paraId="4E6C05B3" w14:textId="77777777" w:rsidR="00AD4B2A" w:rsidRDefault="00AD4B2A" w:rsidP="002B7818">
      <w:pPr>
        <w:pStyle w:val="Heading3"/>
      </w:pPr>
    </w:p>
    <w:p w14:paraId="21238A62" w14:textId="77777777" w:rsidR="001D3775" w:rsidRDefault="001D3775" w:rsidP="002B7818">
      <w:pPr>
        <w:pStyle w:val="Heading3"/>
      </w:pPr>
    </w:p>
    <w:p w14:paraId="6B8089B8" w14:textId="77777777" w:rsidR="001D3775" w:rsidRPr="007F78CB" w:rsidRDefault="001D3775" w:rsidP="002B7818">
      <w:pPr>
        <w:pStyle w:val="Heading3"/>
      </w:pPr>
    </w:p>
    <w:p w14:paraId="3D3059EB" w14:textId="77777777" w:rsidR="00AD4B2A" w:rsidRDefault="00591AA8" w:rsidP="0030141E">
      <w:pPr>
        <w:pStyle w:val="Heading1"/>
      </w:pPr>
      <w:r>
        <w:br w:type="page"/>
      </w:r>
      <w:bookmarkStart w:id="15" w:name="_Toc388648328"/>
      <w:bookmarkStart w:id="16" w:name="_Toc295406112"/>
      <w:r>
        <w:lastRenderedPageBreak/>
        <w:t>2</w:t>
      </w:r>
      <w:r>
        <w:tab/>
        <w:t>Chemicals TOC (CTOC) Progress Report</w:t>
      </w:r>
      <w:bookmarkStart w:id="17" w:name="_Toc102441951"/>
      <w:bookmarkStart w:id="18" w:name="_Toc101774583"/>
      <w:bookmarkEnd w:id="11"/>
      <w:bookmarkEnd w:id="15"/>
      <w:bookmarkEnd w:id="16"/>
    </w:p>
    <w:p w14:paraId="3FAD5ED7" w14:textId="4ABABAA1" w:rsidR="00350B22" w:rsidRDefault="00350B22" w:rsidP="002B7818">
      <w:pPr>
        <w:pStyle w:val="Heading2"/>
        <w:rPr>
          <w:rStyle w:val="Heading2Char"/>
          <w:b/>
        </w:rPr>
      </w:pPr>
      <w:bookmarkStart w:id="19" w:name="_Toc295406113"/>
      <w:r w:rsidRPr="00FD2654">
        <w:rPr>
          <w:rStyle w:val="Heading2Char"/>
          <w:b/>
        </w:rPr>
        <w:t>2.1.</w:t>
      </w:r>
      <w:r w:rsidRPr="00FD2654">
        <w:rPr>
          <w:rStyle w:val="Heading2Char"/>
          <w:b/>
        </w:rPr>
        <w:tab/>
        <w:t>CTOC Progress</w:t>
      </w:r>
      <w:bookmarkEnd w:id="19"/>
    </w:p>
    <w:p w14:paraId="791C38C4" w14:textId="4F0450D4" w:rsidR="00350B22" w:rsidRPr="00350B22" w:rsidRDefault="00FD2654" w:rsidP="00350B22">
      <w:r w:rsidRPr="00393D89">
        <w:rPr>
          <w:rFonts w:asciiTheme="majorBidi" w:hAnsiTheme="majorBidi" w:cstheme="majorBidi"/>
          <w:bCs/>
          <w:color w:val="auto"/>
          <w:szCs w:val="24"/>
        </w:rPr>
        <w:t xml:space="preserve">In view of the publication of the </w:t>
      </w:r>
      <w:r>
        <w:rPr>
          <w:rFonts w:asciiTheme="majorBidi" w:hAnsiTheme="majorBidi" w:cstheme="majorBidi"/>
          <w:bCs/>
          <w:color w:val="auto"/>
          <w:szCs w:val="24"/>
        </w:rPr>
        <w:t>C</w:t>
      </w:r>
      <w:r w:rsidRPr="00393D89">
        <w:rPr>
          <w:rFonts w:asciiTheme="majorBidi" w:hAnsiTheme="majorBidi" w:cstheme="majorBidi"/>
          <w:bCs/>
          <w:color w:val="auto"/>
          <w:szCs w:val="24"/>
        </w:rPr>
        <w:t>TOC 2014 Assessment Report</w:t>
      </w:r>
      <w:r w:rsidR="00944592">
        <w:rPr>
          <w:rFonts w:asciiTheme="majorBidi" w:hAnsiTheme="majorBidi" w:cstheme="majorBidi"/>
          <w:bCs/>
          <w:color w:val="auto"/>
          <w:szCs w:val="24"/>
        </w:rPr>
        <w:t xml:space="preserve"> occurring simultaneously with this Progress Report</w:t>
      </w:r>
      <w:r w:rsidRPr="00393D89">
        <w:rPr>
          <w:rFonts w:asciiTheme="majorBidi" w:hAnsiTheme="majorBidi" w:cstheme="majorBidi"/>
          <w:bCs/>
          <w:color w:val="auto"/>
          <w:szCs w:val="24"/>
        </w:rPr>
        <w:t xml:space="preserve">, </w:t>
      </w:r>
      <w:r>
        <w:rPr>
          <w:rFonts w:asciiTheme="majorBidi" w:hAnsiTheme="majorBidi" w:cstheme="majorBidi"/>
          <w:bCs/>
          <w:color w:val="auto"/>
          <w:szCs w:val="24"/>
        </w:rPr>
        <w:t>C</w:t>
      </w:r>
      <w:r w:rsidRPr="00393D89">
        <w:rPr>
          <w:rFonts w:asciiTheme="majorBidi" w:hAnsiTheme="majorBidi" w:cstheme="majorBidi"/>
          <w:bCs/>
          <w:color w:val="auto"/>
          <w:szCs w:val="24"/>
        </w:rPr>
        <w:t>TOC provides no further updates and looks forward to presenting its Assessment Report to Parties at the July OEWG</w:t>
      </w:r>
      <w:r w:rsidR="00944592">
        <w:rPr>
          <w:rFonts w:asciiTheme="majorBidi" w:hAnsiTheme="majorBidi" w:cstheme="majorBidi"/>
          <w:bCs/>
          <w:color w:val="auto"/>
          <w:szCs w:val="24"/>
        </w:rPr>
        <w:t>.</w:t>
      </w:r>
    </w:p>
    <w:p w14:paraId="02F672CD" w14:textId="78967D0A" w:rsidR="00326F62" w:rsidRDefault="00326F62" w:rsidP="002B7818">
      <w:pPr>
        <w:pStyle w:val="Heading2"/>
      </w:pPr>
      <w:bookmarkStart w:id="20" w:name="_Toc295406114"/>
      <w:r>
        <w:rPr>
          <w:rStyle w:val="Heading2Char"/>
          <w:b/>
        </w:rPr>
        <w:t>2.</w:t>
      </w:r>
      <w:r w:rsidR="00350B22">
        <w:t>2</w:t>
      </w:r>
      <w:r>
        <w:t>.</w:t>
      </w:r>
      <w:r>
        <w:tab/>
      </w:r>
      <w:r w:rsidRPr="00233ED4">
        <w:rPr>
          <w:rFonts w:hint="eastAsia"/>
        </w:rPr>
        <w:t xml:space="preserve">Essential Use Nomination of CTC </w:t>
      </w:r>
      <w:r w:rsidRPr="00233ED4">
        <w:t>Laboratory and analytical uses (“</w:t>
      </w:r>
      <w:r w:rsidRPr="00233ED4">
        <w:rPr>
          <w:rFonts w:hint="eastAsia"/>
        </w:rPr>
        <w:t>t</w:t>
      </w:r>
      <w:r w:rsidRPr="00233ED4">
        <w:t>esting of oil, grease and total petroleum hydrocarbons in water”)</w:t>
      </w:r>
      <w:r w:rsidRPr="00233ED4">
        <w:rPr>
          <w:rFonts w:hint="eastAsia"/>
        </w:rPr>
        <w:t xml:space="preserve"> </w:t>
      </w:r>
      <w:r w:rsidRPr="00233ED4">
        <w:t>by China</w:t>
      </w:r>
      <w:bookmarkEnd w:id="20"/>
    </w:p>
    <w:p w14:paraId="7B810484" w14:textId="77777777" w:rsidR="00BA2B00" w:rsidRDefault="00BA2B00" w:rsidP="002B7818">
      <w:pPr>
        <w:pStyle w:val="Heading3"/>
      </w:pPr>
      <w:bookmarkStart w:id="21" w:name="_Toc295406115"/>
    </w:p>
    <w:p w14:paraId="439EE190" w14:textId="20325D49" w:rsidR="002D15FF" w:rsidRDefault="002D15FF" w:rsidP="002B7818">
      <w:pPr>
        <w:pStyle w:val="Heading3"/>
      </w:pPr>
      <w:r>
        <w:t>2.</w:t>
      </w:r>
      <w:r w:rsidR="00350B22">
        <w:t>2</w:t>
      </w:r>
      <w:r>
        <w:t>.1.</w:t>
      </w:r>
      <w:r>
        <w:tab/>
        <w:t>Introduction</w:t>
      </w:r>
      <w:bookmarkEnd w:id="21"/>
    </w:p>
    <w:p w14:paraId="556E23B9" w14:textId="1D37D311" w:rsidR="00326F62" w:rsidRPr="00CA5E9C" w:rsidRDefault="00326F62" w:rsidP="00350B22">
      <w:pPr>
        <w:rPr>
          <w:b/>
          <w:bCs/>
          <w:szCs w:val="22"/>
        </w:rPr>
      </w:pPr>
      <w:r w:rsidRPr="00CA5E9C">
        <w:rPr>
          <w:rFonts w:hint="eastAsia"/>
          <w:szCs w:val="22"/>
        </w:rPr>
        <w:t xml:space="preserve">China </w:t>
      </w:r>
      <w:r w:rsidR="00350B22">
        <w:rPr>
          <w:szCs w:val="22"/>
        </w:rPr>
        <w:t>is requesting a continued</w:t>
      </w:r>
      <w:r w:rsidRPr="00CA5E9C">
        <w:rPr>
          <w:rFonts w:hint="eastAsia"/>
          <w:szCs w:val="22"/>
        </w:rPr>
        <w:t xml:space="preserve"> use</w:t>
      </w:r>
      <w:r w:rsidR="00350B22">
        <w:rPr>
          <w:szCs w:val="22"/>
        </w:rPr>
        <w:t xml:space="preserve"> of</w:t>
      </w:r>
      <w:r w:rsidRPr="00CA5E9C">
        <w:rPr>
          <w:rFonts w:hint="eastAsia"/>
          <w:szCs w:val="22"/>
        </w:rPr>
        <w:t xml:space="preserve"> c</w:t>
      </w:r>
      <w:r w:rsidRPr="00CA5E9C">
        <w:rPr>
          <w:szCs w:val="22"/>
        </w:rPr>
        <w:t>arbon tetrachloride</w:t>
      </w:r>
      <w:r w:rsidRPr="00CA5E9C">
        <w:rPr>
          <w:rFonts w:hint="eastAsia"/>
          <w:szCs w:val="22"/>
        </w:rPr>
        <w:t xml:space="preserve"> (CTC) for laboratory and </w:t>
      </w:r>
      <w:r w:rsidRPr="00CA5E9C">
        <w:rPr>
          <w:szCs w:val="22"/>
        </w:rPr>
        <w:t>analytical</w:t>
      </w:r>
      <w:r w:rsidRPr="00CA5E9C">
        <w:rPr>
          <w:rFonts w:hint="eastAsia"/>
          <w:szCs w:val="22"/>
        </w:rPr>
        <w:t xml:space="preserve"> uses of </w:t>
      </w:r>
      <w:bookmarkStart w:id="22" w:name="OLE_LINK7"/>
      <w:bookmarkStart w:id="23" w:name="OLE_LINK8"/>
      <w:r w:rsidRPr="00CA5E9C">
        <w:rPr>
          <w:rFonts w:hint="eastAsia"/>
          <w:szCs w:val="22"/>
        </w:rPr>
        <w:t>t</w:t>
      </w:r>
      <w:r w:rsidRPr="00CA5E9C">
        <w:rPr>
          <w:szCs w:val="22"/>
        </w:rPr>
        <w:t>esting of oil, grease and total petroleum hydrocarbons in water (</w:t>
      </w:r>
      <w:r w:rsidRPr="00CA5E9C">
        <w:rPr>
          <w:rFonts w:hint="eastAsia"/>
          <w:szCs w:val="22"/>
        </w:rPr>
        <w:t xml:space="preserve">hereinafter referred as </w:t>
      </w:r>
      <w:r w:rsidRPr="00CA5E9C">
        <w:rPr>
          <w:szCs w:val="22"/>
        </w:rPr>
        <w:t>“</w:t>
      </w:r>
      <w:r w:rsidRPr="00CA5E9C">
        <w:rPr>
          <w:rFonts w:hint="eastAsia"/>
          <w:szCs w:val="22"/>
        </w:rPr>
        <w:t>oil in water</w:t>
      </w:r>
      <w:r w:rsidRPr="00CA5E9C">
        <w:rPr>
          <w:szCs w:val="22"/>
        </w:rPr>
        <w:t>”</w:t>
      </w:r>
      <w:r w:rsidRPr="00CA5E9C">
        <w:rPr>
          <w:rFonts w:hint="eastAsia"/>
          <w:szCs w:val="22"/>
        </w:rPr>
        <w:t>)</w:t>
      </w:r>
      <w:bookmarkEnd w:id="22"/>
      <w:bookmarkEnd w:id="23"/>
      <w:r w:rsidRPr="00CA5E9C">
        <w:rPr>
          <w:rFonts w:hint="eastAsia"/>
          <w:szCs w:val="22"/>
        </w:rPr>
        <w:t xml:space="preserve">. </w:t>
      </w:r>
      <w:r w:rsidR="00350B22" w:rsidRPr="00280285">
        <w:rPr>
          <w:szCs w:val="22"/>
        </w:rPr>
        <w:t xml:space="preserve">Decision XXIII/6 specifies that after 31 December 2014, the use of CTC for the testing of oil, grease and total petroleum hydrocarbons in water would only be allowed under an essential-use exemption. In accordance with this Decision, </w:t>
      </w:r>
      <w:r w:rsidR="00350B22">
        <w:rPr>
          <w:szCs w:val="22"/>
          <w:lang w:eastAsia="ja-JP"/>
        </w:rPr>
        <w:t>l</w:t>
      </w:r>
      <w:r w:rsidRPr="00CA5E9C">
        <w:rPr>
          <w:rFonts w:hint="eastAsia"/>
          <w:szCs w:val="22"/>
          <w:lang w:eastAsia="ja-JP"/>
        </w:rPr>
        <w:t>ast year, t</w:t>
      </w:r>
      <w:r w:rsidRPr="00CA5E9C">
        <w:rPr>
          <w:szCs w:val="22"/>
        </w:rPr>
        <w:t>he Ministry of Environment Protection of China (</w:t>
      </w:r>
      <w:r w:rsidRPr="00CA5E9C">
        <w:rPr>
          <w:rFonts w:hint="eastAsia"/>
          <w:szCs w:val="22"/>
        </w:rPr>
        <w:t xml:space="preserve">hereinafter referred as </w:t>
      </w:r>
      <w:r w:rsidRPr="00CA5E9C">
        <w:rPr>
          <w:szCs w:val="22"/>
        </w:rPr>
        <w:t>“</w:t>
      </w:r>
      <w:r w:rsidRPr="00CA5E9C">
        <w:rPr>
          <w:rFonts w:hint="eastAsia"/>
          <w:szCs w:val="22"/>
          <w:lang w:eastAsia="ja-JP"/>
        </w:rPr>
        <w:t>MEP</w:t>
      </w:r>
      <w:r w:rsidRPr="00CA5E9C">
        <w:rPr>
          <w:szCs w:val="22"/>
        </w:rPr>
        <w:t>”</w:t>
      </w:r>
      <w:r w:rsidRPr="00CA5E9C">
        <w:rPr>
          <w:rFonts w:hint="eastAsia"/>
          <w:szCs w:val="22"/>
        </w:rPr>
        <w:t>)</w:t>
      </w:r>
      <w:r w:rsidRPr="00CA5E9C">
        <w:rPr>
          <w:rFonts w:hint="eastAsia"/>
          <w:szCs w:val="22"/>
          <w:lang w:eastAsia="ja-JP"/>
        </w:rPr>
        <w:t xml:space="preserve"> </w:t>
      </w:r>
      <w:r w:rsidRPr="00CA5E9C">
        <w:rPr>
          <w:szCs w:val="22"/>
        </w:rPr>
        <w:t xml:space="preserve">sent a request for an Essential Use Exemption for </w:t>
      </w:r>
      <w:r w:rsidRPr="00CA5E9C">
        <w:rPr>
          <w:rFonts w:hint="eastAsia"/>
          <w:szCs w:val="22"/>
        </w:rPr>
        <w:t xml:space="preserve">90 </w:t>
      </w:r>
      <w:r w:rsidRPr="00CA5E9C">
        <w:rPr>
          <w:szCs w:val="22"/>
        </w:rPr>
        <w:t xml:space="preserve">metric </w:t>
      </w:r>
      <w:r w:rsidRPr="00CA5E9C">
        <w:rPr>
          <w:rFonts w:hint="eastAsia"/>
          <w:szCs w:val="22"/>
        </w:rPr>
        <w:t>tonnes CTC in 2015</w:t>
      </w:r>
      <w:r w:rsidRPr="00CA5E9C">
        <w:rPr>
          <w:rFonts w:hint="eastAsia"/>
          <w:szCs w:val="22"/>
          <w:lang w:eastAsia="ja-JP"/>
        </w:rPr>
        <w:t xml:space="preserve">. </w:t>
      </w:r>
      <w:r w:rsidRPr="00CA5E9C">
        <w:rPr>
          <w:szCs w:val="22"/>
        </w:rPr>
        <w:t>However</w:t>
      </w:r>
      <w:r w:rsidR="002D1FC6">
        <w:rPr>
          <w:szCs w:val="22"/>
        </w:rPr>
        <w:t>,</w:t>
      </w:r>
      <w:r w:rsidRPr="00CA5E9C">
        <w:rPr>
          <w:szCs w:val="22"/>
        </w:rPr>
        <w:t xml:space="preserve"> according to information submitted by China, consumption of CTC increased by 20 MT between 2010 and 2012. An explanation was requested from China for this increase. In a b</w:t>
      </w:r>
      <w:r w:rsidRPr="00CA5E9C">
        <w:rPr>
          <w:rFonts w:hint="eastAsia"/>
          <w:szCs w:val="22"/>
        </w:rPr>
        <w:t xml:space="preserve">ilateral consultation </w:t>
      </w:r>
      <w:r w:rsidRPr="00CA5E9C">
        <w:rPr>
          <w:szCs w:val="22"/>
        </w:rPr>
        <w:t>during</w:t>
      </w:r>
      <w:r w:rsidRPr="00CA5E9C">
        <w:rPr>
          <w:rFonts w:hint="eastAsia"/>
          <w:szCs w:val="22"/>
        </w:rPr>
        <w:t xml:space="preserve"> </w:t>
      </w:r>
      <w:r w:rsidRPr="00CA5E9C">
        <w:rPr>
          <w:szCs w:val="22"/>
        </w:rPr>
        <w:t>the</w:t>
      </w:r>
      <w:r w:rsidR="00350B22">
        <w:rPr>
          <w:szCs w:val="22"/>
        </w:rPr>
        <w:t xml:space="preserve"> </w:t>
      </w:r>
      <w:r w:rsidRPr="00CA5E9C">
        <w:rPr>
          <w:rFonts w:hint="eastAsia"/>
          <w:szCs w:val="22"/>
        </w:rPr>
        <w:t>34</w:t>
      </w:r>
      <w:r w:rsidRPr="00350B22">
        <w:rPr>
          <w:rFonts w:hint="eastAsia"/>
          <w:szCs w:val="22"/>
          <w:vertAlign w:val="superscript"/>
        </w:rPr>
        <w:t>th</w:t>
      </w:r>
      <w:r w:rsidRPr="00CA5E9C">
        <w:rPr>
          <w:rFonts w:hint="eastAsia"/>
          <w:szCs w:val="22"/>
        </w:rPr>
        <w:t xml:space="preserve"> OEWG</w:t>
      </w:r>
      <w:r w:rsidRPr="00CA5E9C">
        <w:rPr>
          <w:szCs w:val="22"/>
        </w:rPr>
        <w:t xml:space="preserve">, </w:t>
      </w:r>
      <w:r w:rsidRPr="00CA5E9C">
        <w:rPr>
          <w:rFonts w:hint="eastAsia"/>
          <w:szCs w:val="22"/>
        </w:rPr>
        <w:t xml:space="preserve">China submitted the supplemental </w:t>
      </w:r>
      <w:r w:rsidRPr="00CA5E9C">
        <w:rPr>
          <w:szCs w:val="22"/>
        </w:rPr>
        <w:t>information requested by</w:t>
      </w:r>
      <w:r w:rsidRPr="00CA5E9C">
        <w:rPr>
          <w:rFonts w:hint="eastAsia"/>
          <w:szCs w:val="22"/>
        </w:rPr>
        <w:t xml:space="preserve"> </w:t>
      </w:r>
      <w:r w:rsidRPr="00CA5E9C">
        <w:rPr>
          <w:szCs w:val="22"/>
        </w:rPr>
        <w:t xml:space="preserve">CTOC, and subsequently reduced the nomination amount of CTC from 90 MT to 80MT for 2015, which was approved at </w:t>
      </w:r>
      <w:r w:rsidR="00350B22">
        <w:rPr>
          <w:szCs w:val="22"/>
        </w:rPr>
        <w:t xml:space="preserve">the </w:t>
      </w:r>
      <w:r w:rsidRPr="00CA5E9C">
        <w:rPr>
          <w:szCs w:val="22"/>
        </w:rPr>
        <w:t>26</w:t>
      </w:r>
      <w:r w:rsidRPr="00350B22">
        <w:rPr>
          <w:szCs w:val="22"/>
          <w:vertAlign w:val="superscript"/>
        </w:rPr>
        <w:t>th</w:t>
      </w:r>
      <w:r w:rsidRPr="00CA5E9C">
        <w:rPr>
          <w:szCs w:val="22"/>
        </w:rPr>
        <w:t xml:space="preserve"> MOP.</w:t>
      </w:r>
      <w:r w:rsidRPr="00CA5E9C">
        <w:rPr>
          <w:rFonts w:hint="eastAsia"/>
          <w:szCs w:val="22"/>
          <w:lang w:eastAsia="ja-JP"/>
        </w:rPr>
        <w:t xml:space="preserve"> </w:t>
      </w:r>
      <w:r w:rsidR="002D1FC6">
        <w:rPr>
          <w:szCs w:val="22"/>
          <w:lang w:eastAsia="ja-JP"/>
        </w:rPr>
        <w:t>In 2015</w:t>
      </w:r>
      <w:r w:rsidRPr="00CA5E9C">
        <w:rPr>
          <w:rFonts w:hint="eastAsia"/>
          <w:szCs w:val="22"/>
          <w:lang w:eastAsia="ja-JP"/>
        </w:rPr>
        <w:t xml:space="preserve">, </w:t>
      </w:r>
      <w:r w:rsidRPr="00CA5E9C">
        <w:rPr>
          <w:rFonts w:hint="eastAsia"/>
          <w:szCs w:val="22"/>
        </w:rPr>
        <w:t xml:space="preserve">China </w:t>
      </w:r>
      <w:r w:rsidRPr="00CA5E9C">
        <w:rPr>
          <w:rFonts w:hint="eastAsia"/>
          <w:szCs w:val="22"/>
          <w:lang w:eastAsia="ja-JP"/>
        </w:rPr>
        <w:t xml:space="preserve">has </w:t>
      </w:r>
      <w:r w:rsidRPr="00CA5E9C">
        <w:rPr>
          <w:rFonts w:hint="eastAsia"/>
          <w:szCs w:val="22"/>
        </w:rPr>
        <w:t>nominate</w:t>
      </w:r>
      <w:r w:rsidRPr="00CA5E9C">
        <w:rPr>
          <w:rFonts w:hint="eastAsia"/>
          <w:szCs w:val="22"/>
          <w:lang w:eastAsia="ja-JP"/>
        </w:rPr>
        <w:t>d</w:t>
      </w:r>
      <w:r w:rsidRPr="00CA5E9C">
        <w:rPr>
          <w:rFonts w:hint="eastAsia"/>
          <w:szCs w:val="22"/>
        </w:rPr>
        <w:t xml:space="preserve"> 70 metric tonnes of CTC for </w:t>
      </w:r>
      <w:r w:rsidR="002D1FC6">
        <w:rPr>
          <w:szCs w:val="22"/>
        </w:rPr>
        <w:t>use in</w:t>
      </w:r>
      <w:r w:rsidRPr="00CA5E9C">
        <w:rPr>
          <w:rFonts w:hint="eastAsia"/>
          <w:szCs w:val="22"/>
        </w:rPr>
        <w:t xml:space="preserve"> 2016:</w:t>
      </w:r>
      <w:r w:rsidRPr="00CA5E9C">
        <w:rPr>
          <w:b/>
          <w:bCs/>
          <w:szCs w:val="22"/>
        </w:rPr>
        <w:t xml:space="preserve"> </w:t>
      </w:r>
    </w:p>
    <w:p w14:paraId="7D5D4912" w14:textId="77777777" w:rsidR="00326F62" w:rsidRPr="00CA5E9C" w:rsidRDefault="00326F62" w:rsidP="00326F62">
      <w:pPr>
        <w:spacing w:afterLines="100"/>
        <w:rPr>
          <w:szCs w:val="22"/>
        </w:rPr>
      </w:pPr>
      <w:r w:rsidRPr="00CA5E9C">
        <w:rPr>
          <w:rFonts w:hint="eastAsia"/>
          <w:szCs w:val="22"/>
        </w:rPr>
        <w:t xml:space="preserve">The </w:t>
      </w:r>
      <w:bookmarkStart w:id="24" w:name="OLE_LINK3"/>
      <w:bookmarkStart w:id="25" w:name="OLE_LINK4"/>
      <w:r w:rsidRPr="00CA5E9C">
        <w:rPr>
          <w:rFonts w:hint="eastAsia"/>
          <w:szCs w:val="22"/>
        </w:rPr>
        <w:t xml:space="preserve">oil-in-water </w:t>
      </w:r>
      <w:bookmarkEnd w:id="24"/>
      <w:bookmarkEnd w:id="25"/>
      <w:r w:rsidRPr="00CA5E9C">
        <w:rPr>
          <w:rFonts w:hint="eastAsia"/>
          <w:szCs w:val="22"/>
        </w:rPr>
        <w:t xml:space="preserve">test in China observes the national standard </w:t>
      </w:r>
      <w:r w:rsidRPr="00CA5E9C">
        <w:rPr>
          <w:szCs w:val="22"/>
        </w:rPr>
        <w:t>“</w:t>
      </w:r>
      <w:r w:rsidRPr="00CA5E9C">
        <w:rPr>
          <w:rFonts w:hint="eastAsia"/>
          <w:i/>
          <w:szCs w:val="22"/>
        </w:rPr>
        <w:t>HJ 637</w:t>
      </w:r>
      <w:r w:rsidRPr="00CA5E9C">
        <w:rPr>
          <w:i/>
          <w:szCs w:val="22"/>
        </w:rPr>
        <w:t>-</w:t>
      </w:r>
      <w:r w:rsidRPr="00CA5E9C">
        <w:rPr>
          <w:rFonts w:hint="eastAsia"/>
          <w:i/>
          <w:szCs w:val="22"/>
        </w:rPr>
        <w:t xml:space="preserve">2012 </w:t>
      </w:r>
      <w:r w:rsidRPr="00CA5E9C">
        <w:rPr>
          <w:i/>
          <w:szCs w:val="22"/>
        </w:rPr>
        <w:t>Water quality</w:t>
      </w:r>
      <w:r w:rsidRPr="00CA5E9C">
        <w:rPr>
          <w:rFonts w:hint="eastAsia"/>
          <w:i/>
          <w:szCs w:val="22"/>
        </w:rPr>
        <w:t>-</w:t>
      </w:r>
      <w:r w:rsidRPr="00CA5E9C">
        <w:rPr>
          <w:i/>
          <w:szCs w:val="22"/>
        </w:rPr>
        <w:t xml:space="preserve"> Determination of petroleum oil, animal and vegetable oils</w:t>
      </w:r>
      <w:r w:rsidRPr="00CA5E9C">
        <w:rPr>
          <w:rFonts w:hint="eastAsia"/>
          <w:i/>
          <w:szCs w:val="22"/>
        </w:rPr>
        <w:t xml:space="preserve">- </w:t>
      </w:r>
      <w:r w:rsidRPr="00CA5E9C">
        <w:rPr>
          <w:i/>
          <w:szCs w:val="22"/>
        </w:rPr>
        <w:t xml:space="preserve">Infrared </w:t>
      </w:r>
      <w:r w:rsidRPr="00CA5E9C">
        <w:rPr>
          <w:rFonts w:hint="eastAsia"/>
          <w:i/>
          <w:szCs w:val="22"/>
        </w:rPr>
        <w:t>p</w:t>
      </w:r>
      <w:r w:rsidRPr="00CA5E9C">
        <w:rPr>
          <w:i/>
          <w:szCs w:val="22"/>
        </w:rPr>
        <w:t xml:space="preserve">hotometric </w:t>
      </w:r>
      <w:r w:rsidRPr="00CA5E9C">
        <w:rPr>
          <w:rFonts w:hint="eastAsia"/>
          <w:i/>
          <w:szCs w:val="22"/>
        </w:rPr>
        <w:t>m</w:t>
      </w:r>
      <w:r w:rsidRPr="00CA5E9C">
        <w:rPr>
          <w:i/>
          <w:szCs w:val="22"/>
        </w:rPr>
        <w:t>ethod”</w:t>
      </w:r>
      <w:r w:rsidRPr="00CA5E9C">
        <w:rPr>
          <w:rFonts w:hint="eastAsia"/>
          <w:szCs w:val="22"/>
        </w:rPr>
        <w:t>, in which CTC</w:t>
      </w:r>
      <w:r w:rsidRPr="00CA5E9C">
        <w:rPr>
          <w:szCs w:val="22"/>
        </w:rPr>
        <w:t xml:space="preserve"> is used as the extracting agent to extract oil substances which are then determined with the infrared photometric method.</w:t>
      </w:r>
    </w:p>
    <w:p w14:paraId="7EC921B5" w14:textId="77777777" w:rsidR="00326F62" w:rsidRPr="00CA5E9C" w:rsidRDefault="00326F62" w:rsidP="00326F62">
      <w:pPr>
        <w:rPr>
          <w:szCs w:val="22"/>
        </w:rPr>
      </w:pPr>
      <w:bookmarkStart w:id="26" w:name="OLE_LINK5"/>
      <w:bookmarkStart w:id="27" w:name="OLE_LINK6"/>
      <w:r w:rsidRPr="00CA5E9C">
        <w:rPr>
          <w:rFonts w:hint="eastAsia"/>
          <w:szCs w:val="22"/>
        </w:rPr>
        <w:t xml:space="preserve">It </w:t>
      </w:r>
      <w:r w:rsidRPr="00CA5E9C">
        <w:rPr>
          <w:szCs w:val="22"/>
        </w:rPr>
        <w:t xml:space="preserve">is a fundamental requirement </w:t>
      </w:r>
      <w:r w:rsidRPr="00CA5E9C">
        <w:rPr>
          <w:rFonts w:hint="eastAsia"/>
          <w:szCs w:val="22"/>
        </w:rPr>
        <w:t>to test</w:t>
      </w:r>
      <w:r w:rsidRPr="00CA5E9C">
        <w:rPr>
          <w:szCs w:val="22"/>
        </w:rPr>
        <w:t xml:space="preserve"> oil</w:t>
      </w:r>
      <w:r w:rsidRPr="00CA5E9C">
        <w:rPr>
          <w:rFonts w:hint="eastAsia"/>
          <w:szCs w:val="22"/>
        </w:rPr>
        <w:t xml:space="preserve"> </w:t>
      </w:r>
      <w:r w:rsidRPr="00CA5E9C">
        <w:rPr>
          <w:szCs w:val="22"/>
        </w:rPr>
        <w:t>in</w:t>
      </w:r>
      <w:r w:rsidRPr="00CA5E9C">
        <w:rPr>
          <w:rFonts w:hint="eastAsia"/>
          <w:szCs w:val="22"/>
        </w:rPr>
        <w:t xml:space="preserve"> </w:t>
      </w:r>
      <w:r w:rsidRPr="00CA5E9C">
        <w:rPr>
          <w:szCs w:val="22"/>
        </w:rPr>
        <w:t>water</w:t>
      </w:r>
      <w:r w:rsidRPr="00CA5E9C">
        <w:rPr>
          <w:rFonts w:hint="eastAsia"/>
          <w:szCs w:val="22"/>
        </w:rPr>
        <w:t xml:space="preserve"> in monitoring </w:t>
      </w:r>
      <w:r w:rsidRPr="00CA5E9C">
        <w:rPr>
          <w:szCs w:val="22"/>
        </w:rPr>
        <w:t>water quality</w:t>
      </w:r>
      <w:r w:rsidRPr="00CA5E9C">
        <w:rPr>
          <w:rFonts w:hint="eastAsia"/>
          <w:szCs w:val="22"/>
        </w:rPr>
        <w:t xml:space="preserve"> i</w:t>
      </w:r>
      <w:r w:rsidRPr="00CA5E9C">
        <w:rPr>
          <w:szCs w:val="22"/>
        </w:rPr>
        <w:t xml:space="preserve">n China. The </w:t>
      </w:r>
      <w:r w:rsidRPr="00CA5E9C">
        <w:rPr>
          <w:rFonts w:hint="eastAsia"/>
          <w:szCs w:val="22"/>
        </w:rPr>
        <w:t>scope of the water monitoring</w:t>
      </w:r>
      <w:r w:rsidRPr="00CA5E9C">
        <w:rPr>
          <w:szCs w:val="22"/>
        </w:rPr>
        <w:t xml:space="preserve"> </w:t>
      </w:r>
      <w:r w:rsidRPr="00CA5E9C">
        <w:rPr>
          <w:rFonts w:hint="eastAsia"/>
          <w:szCs w:val="22"/>
        </w:rPr>
        <w:t>includes</w:t>
      </w:r>
      <w:r w:rsidRPr="00CA5E9C">
        <w:rPr>
          <w:szCs w:val="22"/>
        </w:rPr>
        <w:t xml:space="preserve"> </w:t>
      </w:r>
      <w:r w:rsidRPr="00CA5E9C">
        <w:rPr>
          <w:rFonts w:hint="eastAsia"/>
          <w:szCs w:val="22"/>
        </w:rPr>
        <w:t>head</w:t>
      </w:r>
      <w:r w:rsidRPr="00CA5E9C">
        <w:rPr>
          <w:szCs w:val="22"/>
        </w:rPr>
        <w:t xml:space="preserve">water, lake water, river water, surface water, groundwater, seawater, </w:t>
      </w:r>
      <w:r w:rsidRPr="00CA5E9C">
        <w:rPr>
          <w:rFonts w:hint="eastAsia"/>
          <w:szCs w:val="22"/>
        </w:rPr>
        <w:t>potable</w:t>
      </w:r>
      <w:r w:rsidRPr="00CA5E9C">
        <w:rPr>
          <w:szCs w:val="22"/>
        </w:rPr>
        <w:t xml:space="preserve"> water, </w:t>
      </w:r>
      <w:r w:rsidRPr="00CA5E9C">
        <w:rPr>
          <w:rFonts w:hint="eastAsia"/>
          <w:szCs w:val="22"/>
        </w:rPr>
        <w:t xml:space="preserve">domestic </w:t>
      </w:r>
      <w:r w:rsidRPr="00CA5E9C">
        <w:rPr>
          <w:szCs w:val="22"/>
        </w:rPr>
        <w:t xml:space="preserve">sewage, industrial </w:t>
      </w:r>
      <w:r w:rsidRPr="00CA5E9C">
        <w:rPr>
          <w:rFonts w:hint="eastAsia"/>
          <w:szCs w:val="22"/>
        </w:rPr>
        <w:t>effluent</w:t>
      </w:r>
      <w:r w:rsidRPr="00CA5E9C">
        <w:rPr>
          <w:szCs w:val="22"/>
        </w:rPr>
        <w:t xml:space="preserve">, etc. </w:t>
      </w:r>
      <w:r w:rsidRPr="00CA5E9C">
        <w:rPr>
          <w:rFonts w:hint="eastAsia"/>
          <w:szCs w:val="22"/>
        </w:rPr>
        <w:t xml:space="preserve">The related stakeholders are diverse, </w:t>
      </w:r>
      <w:r w:rsidRPr="00CA5E9C">
        <w:rPr>
          <w:szCs w:val="22"/>
        </w:rPr>
        <w:t>which</w:t>
      </w:r>
      <w:r w:rsidRPr="00CA5E9C">
        <w:rPr>
          <w:rFonts w:hint="eastAsia"/>
          <w:szCs w:val="22"/>
        </w:rPr>
        <w:t xml:space="preserve"> involve governmental monitoring departments for environmental and water affairs, </w:t>
      </w:r>
      <w:r w:rsidRPr="00CA5E9C">
        <w:rPr>
          <w:szCs w:val="22"/>
        </w:rPr>
        <w:t>detect</w:t>
      </w:r>
      <w:r w:rsidRPr="00CA5E9C">
        <w:rPr>
          <w:rFonts w:hint="eastAsia"/>
          <w:szCs w:val="22"/>
        </w:rPr>
        <w:t>ing</w:t>
      </w:r>
      <w:r w:rsidRPr="00CA5E9C">
        <w:rPr>
          <w:szCs w:val="22"/>
        </w:rPr>
        <w:t xml:space="preserve"> agenc</w:t>
      </w:r>
      <w:r w:rsidRPr="00CA5E9C">
        <w:rPr>
          <w:rFonts w:hint="eastAsia"/>
          <w:szCs w:val="22"/>
        </w:rPr>
        <w:t>ies</w:t>
      </w:r>
      <w:r w:rsidRPr="00CA5E9C">
        <w:rPr>
          <w:szCs w:val="22"/>
        </w:rPr>
        <w:t xml:space="preserve"> </w:t>
      </w:r>
      <w:r w:rsidRPr="00CA5E9C">
        <w:rPr>
          <w:rFonts w:hint="eastAsia"/>
          <w:szCs w:val="22"/>
        </w:rPr>
        <w:t xml:space="preserve">of enterprises in </w:t>
      </w:r>
      <w:r w:rsidRPr="00CA5E9C">
        <w:rPr>
          <w:szCs w:val="22"/>
        </w:rPr>
        <w:t>petro</w:t>
      </w:r>
      <w:r w:rsidRPr="00CA5E9C">
        <w:rPr>
          <w:rFonts w:hint="eastAsia"/>
          <w:szCs w:val="22"/>
        </w:rPr>
        <w:t xml:space="preserve">chemical, chemical and agricultural industries, and testing agencies in universities, research institutes and social public testing </w:t>
      </w:r>
      <w:r w:rsidRPr="00CA5E9C">
        <w:rPr>
          <w:szCs w:val="22"/>
        </w:rPr>
        <w:t>organizations</w:t>
      </w:r>
      <w:r w:rsidRPr="00CA5E9C">
        <w:rPr>
          <w:rFonts w:hint="eastAsia"/>
          <w:szCs w:val="22"/>
        </w:rPr>
        <w:t xml:space="preserve">. </w:t>
      </w:r>
      <w:bookmarkEnd w:id="26"/>
      <w:bookmarkEnd w:id="27"/>
    </w:p>
    <w:p w14:paraId="1F972CDF" w14:textId="77777777" w:rsidR="00BA2B00" w:rsidRDefault="00BA2B00" w:rsidP="002B7818">
      <w:pPr>
        <w:pStyle w:val="Heading3"/>
      </w:pPr>
      <w:bookmarkStart w:id="28" w:name="_Toc355078929"/>
      <w:bookmarkStart w:id="29" w:name="_Toc295406116"/>
    </w:p>
    <w:p w14:paraId="051F2BCC" w14:textId="4E93DFC8" w:rsidR="00326F62" w:rsidRPr="00176D79" w:rsidRDefault="00326F62" w:rsidP="002B7818">
      <w:pPr>
        <w:pStyle w:val="Heading3"/>
      </w:pPr>
      <w:r w:rsidRPr="00EB5407">
        <w:t>2</w:t>
      </w:r>
      <w:r w:rsidR="00CA5E9C">
        <w:t>.</w:t>
      </w:r>
      <w:r w:rsidR="00350B22">
        <w:t>2</w:t>
      </w:r>
      <w:r w:rsidR="00CA5E9C">
        <w:t>.</w:t>
      </w:r>
      <w:r w:rsidR="002D15FF">
        <w:t>2</w:t>
      </w:r>
      <w:r w:rsidR="00CA5E9C">
        <w:t>.</w:t>
      </w:r>
      <w:r w:rsidRPr="00EB5407">
        <w:tab/>
      </w:r>
      <w:r w:rsidRPr="00EB5407">
        <w:rPr>
          <w:rFonts w:hint="eastAsia"/>
        </w:rPr>
        <w:t>Explanation on</w:t>
      </w:r>
      <w:r w:rsidRPr="00EB5407">
        <w:t xml:space="preserve"> EUN for CTC in 2015-2016 by </w:t>
      </w:r>
      <w:bookmarkEnd w:id="28"/>
      <w:r w:rsidRPr="00EB5407">
        <w:t>China</w:t>
      </w:r>
      <w:bookmarkEnd w:id="29"/>
    </w:p>
    <w:p w14:paraId="17DFDB26" w14:textId="77777777" w:rsidR="00326F62" w:rsidRPr="00CA5E9C" w:rsidRDefault="00326F62" w:rsidP="00E15FE9">
      <w:pPr>
        <w:pStyle w:val="ListParagraph"/>
        <w:numPr>
          <w:ilvl w:val="0"/>
          <w:numId w:val="55"/>
        </w:numPr>
        <w:spacing w:afterLines="50" w:after="120"/>
        <w:ind w:firstLineChars="0"/>
        <w:rPr>
          <w:rStyle w:val="Heading4Char"/>
          <w:b/>
          <w:sz w:val="20"/>
          <w:szCs w:val="20"/>
        </w:rPr>
      </w:pPr>
      <w:r w:rsidRPr="00CA5E9C">
        <w:rPr>
          <w:rStyle w:val="Heading4Char"/>
          <w:rFonts w:hint="eastAsia"/>
          <w:b/>
          <w:sz w:val="20"/>
          <w:szCs w:val="20"/>
        </w:rPr>
        <w:t>Steps to Minimise Use</w:t>
      </w:r>
    </w:p>
    <w:p w14:paraId="01E6F077" w14:textId="30238F25" w:rsidR="00326F62" w:rsidRPr="00CA5E9C" w:rsidRDefault="00326F62" w:rsidP="00326F62">
      <w:pPr>
        <w:spacing w:afterLines="100"/>
        <w:rPr>
          <w:szCs w:val="22"/>
        </w:rPr>
      </w:pPr>
      <w:r w:rsidRPr="00CA5E9C">
        <w:rPr>
          <w:rFonts w:hint="eastAsia"/>
          <w:szCs w:val="22"/>
        </w:rPr>
        <w:t xml:space="preserve">The MEP launched the revision of the standard </w:t>
      </w:r>
      <w:r w:rsidRPr="00CA5E9C">
        <w:rPr>
          <w:szCs w:val="22"/>
        </w:rPr>
        <w:t>“</w:t>
      </w:r>
      <w:r w:rsidRPr="00CA5E9C">
        <w:rPr>
          <w:rFonts w:hint="eastAsia"/>
          <w:i/>
          <w:szCs w:val="22"/>
        </w:rPr>
        <w:t>HJ 637</w:t>
      </w:r>
      <w:r w:rsidRPr="00CA5E9C">
        <w:rPr>
          <w:i/>
          <w:szCs w:val="22"/>
        </w:rPr>
        <w:t>-</w:t>
      </w:r>
      <w:r w:rsidRPr="00CA5E9C">
        <w:rPr>
          <w:rFonts w:hint="eastAsia"/>
          <w:i/>
          <w:szCs w:val="22"/>
        </w:rPr>
        <w:t xml:space="preserve">2012 </w:t>
      </w:r>
      <w:r w:rsidRPr="00CA5E9C">
        <w:rPr>
          <w:i/>
          <w:szCs w:val="22"/>
        </w:rPr>
        <w:t xml:space="preserve">Water quality— Determination of petroleum oil, animal and vegetable oils—Infrared </w:t>
      </w:r>
      <w:r w:rsidRPr="00CA5E9C">
        <w:rPr>
          <w:rFonts w:hint="eastAsia"/>
          <w:i/>
          <w:szCs w:val="22"/>
        </w:rPr>
        <w:t>p</w:t>
      </w:r>
      <w:r w:rsidRPr="00CA5E9C">
        <w:rPr>
          <w:i/>
          <w:szCs w:val="22"/>
        </w:rPr>
        <w:t xml:space="preserve">hotometric </w:t>
      </w:r>
      <w:r w:rsidRPr="00CA5E9C">
        <w:rPr>
          <w:rFonts w:hint="eastAsia"/>
          <w:i/>
          <w:szCs w:val="22"/>
        </w:rPr>
        <w:t>m</w:t>
      </w:r>
      <w:r w:rsidRPr="00CA5E9C">
        <w:rPr>
          <w:i/>
          <w:szCs w:val="22"/>
        </w:rPr>
        <w:t>ethod”</w:t>
      </w:r>
      <w:r w:rsidRPr="00CA5E9C">
        <w:rPr>
          <w:rFonts w:hint="eastAsia"/>
          <w:szCs w:val="22"/>
        </w:rPr>
        <w:t xml:space="preserve"> in February, 2013. The revision of two related standards on monitoring methods, </w:t>
      </w:r>
      <w:r w:rsidRPr="00CA5E9C">
        <w:rPr>
          <w:i/>
          <w:szCs w:val="22"/>
        </w:rPr>
        <w:t>“</w:t>
      </w:r>
      <w:bookmarkStart w:id="30" w:name="OLE_LINK9"/>
      <w:bookmarkStart w:id="31" w:name="OLE_LINK14"/>
      <w:r w:rsidRPr="00CA5E9C">
        <w:rPr>
          <w:rFonts w:hint="eastAsia"/>
          <w:i/>
          <w:szCs w:val="22"/>
        </w:rPr>
        <w:t xml:space="preserve">Water quality- Determination of </w:t>
      </w:r>
      <w:bookmarkEnd w:id="30"/>
      <w:bookmarkEnd w:id="31"/>
      <w:r w:rsidRPr="00CA5E9C">
        <w:rPr>
          <w:rFonts w:hint="eastAsia"/>
          <w:i/>
          <w:szCs w:val="22"/>
        </w:rPr>
        <w:t xml:space="preserve">volatile </w:t>
      </w:r>
      <w:r w:rsidRPr="00CA5E9C">
        <w:rPr>
          <w:i/>
          <w:szCs w:val="22"/>
        </w:rPr>
        <w:t>petroleum hydrocarbon</w:t>
      </w:r>
      <w:r w:rsidRPr="00CA5E9C">
        <w:rPr>
          <w:rFonts w:hint="eastAsia"/>
          <w:i/>
          <w:szCs w:val="22"/>
        </w:rPr>
        <w:t>- Purge and Trap/G</w:t>
      </w:r>
      <w:r w:rsidRPr="00CA5E9C">
        <w:rPr>
          <w:i/>
          <w:szCs w:val="22"/>
        </w:rPr>
        <w:t>as chromatography</w:t>
      </w:r>
      <w:r w:rsidRPr="00CA5E9C">
        <w:rPr>
          <w:rFonts w:hint="eastAsia"/>
          <w:i/>
          <w:szCs w:val="22"/>
        </w:rPr>
        <w:t xml:space="preserve"> (C6-C9)</w:t>
      </w:r>
      <w:r w:rsidRPr="00CA5E9C">
        <w:rPr>
          <w:i/>
          <w:szCs w:val="22"/>
        </w:rPr>
        <w:t>”</w:t>
      </w:r>
      <w:r w:rsidRPr="00CA5E9C">
        <w:rPr>
          <w:rFonts w:hint="eastAsia"/>
          <w:szCs w:val="22"/>
        </w:rPr>
        <w:t xml:space="preserve"> and </w:t>
      </w:r>
      <w:r w:rsidRPr="00CA5E9C">
        <w:rPr>
          <w:i/>
          <w:szCs w:val="22"/>
        </w:rPr>
        <w:t>“Water quality</w:t>
      </w:r>
      <w:r w:rsidRPr="00CA5E9C">
        <w:rPr>
          <w:rFonts w:hint="eastAsia"/>
          <w:i/>
          <w:szCs w:val="22"/>
        </w:rPr>
        <w:t xml:space="preserve">- </w:t>
      </w:r>
      <w:r w:rsidRPr="00CA5E9C">
        <w:rPr>
          <w:i/>
          <w:szCs w:val="22"/>
        </w:rPr>
        <w:t xml:space="preserve">Determination of </w:t>
      </w:r>
      <w:r w:rsidRPr="00CA5E9C">
        <w:rPr>
          <w:rFonts w:hint="eastAsia"/>
          <w:i/>
          <w:szCs w:val="22"/>
        </w:rPr>
        <w:t>extractive</w:t>
      </w:r>
      <w:r w:rsidRPr="00CA5E9C">
        <w:rPr>
          <w:i/>
          <w:szCs w:val="22"/>
        </w:rPr>
        <w:t xml:space="preserve"> petroleum hydrocarbon</w:t>
      </w:r>
      <w:r w:rsidRPr="00CA5E9C">
        <w:rPr>
          <w:rFonts w:hint="eastAsia"/>
          <w:i/>
          <w:szCs w:val="22"/>
        </w:rPr>
        <w:t>- liquid-liquid extraction</w:t>
      </w:r>
      <w:r w:rsidRPr="00CA5E9C">
        <w:rPr>
          <w:i/>
          <w:szCs w:val="22"/>
        </w:rPr>
        <w:t>/Gas chromatography</w:t>
      </w:r>
      <w:r w:rsidRPr="00CA5E9C">
        <w:rPr>
          <w:rFonts w:hint="eastAsia"/>
          <w:i/>
          <w:szCs w:val="22"/>
        </w:rPr>
        <w:t xml:space="preserve"> </w:t>
      </w:r>
      <w:r w:rsidRPr="00CA5E9C">
        <w:rPr>
          <w:i/>
          <w:szCs w:val="22"/>
        </w:rPr>
        <w:t>(C</w:t>
      </w:r>
      <w:r w:rsidRPr="00CA5E9C">
        <w:rPr>
          <w:rFonts w:hint="eastAsia"/>
          <w:i/>
          <w:szCs w:val="22"/>
        </w:rPr>
        <w:t>10</w:t>
      </w:r>
      <w:r w:rsidRPr="00CA5E9C">
        <w:rPr>
          <w:i/>
          <w:szCs w:val="22"/>
        </w:rPr>
        <w:t>-C</w:t>
      </w:r>
      <w:r w:rsidRPr="00CA5E9C">
        <w:rPr>
          <w:rFonts w:hint="eastAsia"/>
          <w:i/>
          <w:szCs w:val="22"/>
        </w:rPr>
        <w:t>40</w:t>
      </w:r>
      <w:r w:rsidRPr="00CA5E9C">
        <w:rPr>
          <w:i/>
          <w:szCs w:val="22"/>
        </w:rPr>
        <w:t>)”</w:t>
      </w:r>
      <w:r w:rsidRPr="00CA5E9C">
        <w:rPr>
          <w:rFonts w:hint="eastAsia"/>
          <w:i/>
          <w:szCs w:val="22"/>
        </w:rPr>
        <w:t xml:space="preserve"> </w:t>
      </w:r>
      <w:r w:rsidR="002D1FC6">
        <w:rPr>
          <w:rFonts w:hint="eastAsia"/>
          <w:szCs w:val="22"/>
        </w:rPr>
        <w:t>also started in April</w:t>
      </w:r>
      <w:r w:rsidRPr="00CA5E9C">
        <w:rPr>
          <w:rFonts w:hint="eastAsia"/>
          <w:szCs w:val="22"/>
        </w:rPr>
        <w:t xml:space="preserve"> 2014. Currently the revision of above-mentioned standards is </w:t>
      </w:r>
      <w:r w:rsidRPr="00CA5E9C">
        <w:rPr>
          <w:szCs w:val="22"/>
        </w:rPr>
        <w:t xml:space="preserve">in </w:t>
      </w:r>
      <w:r w:rsidRPr="00CA5E9C">
        <w:rPr>
          <w:rFonts w:hint="eastAsia"/>
          <w:szCs w:val="22"/>
        </w:rPr>
        <w:t xml:space="preserve">process. </w:t>
      </w:r>
      <w:r w:rsidR="002D1FC6">
        <w:rPr>
          <w:szCs w:val="22"/>
          <w:lang w:eastAsia="ja-JP"/>
        </w:rPr>
        <w:t>China indicates</w:t>
      </w:r>
      <w:r w:rsidR="0086014F">
        <w:rPr>
          <w:szCs w:val="22"/>
          <w:lang w:eastAsia="ja-JP"/>
        </w:rPr>
        <w:t xml:space="preserve"> its intention to complete</w:t>
      </w:r>
      <w:r w:rsidRPr="00CA5E9C">
        <w:rPr>
          <w:rFonts w:hint="eastAsia"/>
          <w:szCs w:val="22"/>
        </w:rPr>
        <w:t xml:space="preserve"> the revision </w:t>
      </w:r>
      <w:r w:rsidR="0086014F">
        <w:rPr>
          <w:szCs w:val="22"/>
        </w:rPr>
        <w:t xml:space="preserve">and </w:t>
      </w:r>
      <w:r w:rsidR="0086014F">
        <w:rPr>
          <w:szCs w:val="22"/>
        </w:rPr>
        <w:lastRenderedPageBreak/>
        <w:t>approve</w:t>
      </w:r>
      <w:r w:rsidRPr="00CA5E9C">
        <w:rPr>
          <w:rFonts w:hint="eastAsia"/>
          <w:szCs w:val="22"/>
        </w:rPr>
        <w:t xml:space="preserve"> </w:t>
      </w:r>
      <w:r w:rsidR="0086014F">
        <w:rPr>
          <w:szCs w:val="22"/>
        </w:rPr>
        <w:t xml:space="preserve">and promulgate </w:t>
      </w:r>
      <w:r w:rsidRPr="00CA5E9C">
        <w:rPr>
          <w:rFonts w:hint="eastAsia"/>
          <w:szCs w:val="22"/>
        </w:rPr>
        <w:t xml:space="preserve">the new standards by the end of 2016. </w:t>
      </w:r>
      <w:r w:rsidR="0086014F">
        <w:rPr>
          <w:szCs w:val="22"/>
        </w:rPr>
        <w:t>To achieve this,</w:t>
      </w:r>
      <w:r w:rsidRPr="00CA5E9C">
        <w:rPr>
          <w:rFonts w:hint="eastAsia"/>
          <w:szCs w:val="22"/>
        </w:rPr>
        <w:t xml:space="preserve"> activities to</w:t>
      </w:r>
      <w:r w:rsidR="0086014F">
        <w:rPr>
          <w:szCs w:val="22"/>
        </w:rPr>
        <w:t xml:space="preserve"> support the</w:t>
      </w:r>
      <w:r w:rsidRPr="00CA5E9C">
        <w:rPr>
          <w:rFonts w:hint="eastAsia"/>
          <w:szCs w:val="22"/>
        </w:rPr>
        <w:t xml:space="preserve"> implement</w:t>
      </w:r>
      <w:r w:rsidR="0086014F">
        <w:rPr>
          <w:szCs w:val="22"/>
        </w:rPr>
        <w:t>ation of</w:t>
      </w:r>
      <w:r w:rsidRPr="00CA5E9C">
        <w:rPr>
          <w:rFonts w:hint="eastAsia"/>
          <w:szCs w:val="22"/>
        </w:rPr>
        <w:t xml:space="preserve"> the standards will be carried out, including training </w:t>
      </w:r>
      <w:r w:rsidR="0086014F">
        <w:rPr>
          <w:szCs w:val="22"/>
        </w:rPr>
        <w:t>of</w:t>
      </w:r>
      <w:r w:rsidRPr="00CA5E9C">
        <w:rPr>
          <w:rFonts w:hint="eastAsia"/>
          <w:szCs w:val="22"/>
        </w:rPr>
        <w:t xml:space="preserve"> technicians and management </w:t>
      </w:r>
      <w:r w:rsidRPr="00CA5E9C">
        <w:rPr>
          <w:szCs w:val="22"/>
        </w:rPr>
        <w:t>staff</w:t>
      </w:r>
      <w:r w:rsidRPr="00CA5E9C">
        <w:rPr>
          <w:rFonts w:hint="eastAsia"/>
          <w:szCs w:val="22"/>
        </w:rPr>
        <w:t>, updating/replacing testing apparatus, equipment and reagents</w:t>
      </w:r>
      <w:r w:rsidR="0086014F">
        <w:rPr>
          <w:szCs w:val="22"/>
        </w:rPr>
        <w:t xml:space="preserve"> and</w:t>
      </w:r>
      <w:r w:rsidR="0086014F" w:rsidRPr="00CA5E9C">
        <w:rPr>
          <w:rFonts w:hint="eastAsia"/>
          <w:szCs w:val="22"/>
        </w:rPr>
        <w:t xml:space="preserve"> </w:t>
      </w:r>
      <w:r w:rsidRPr="00CA5E9C">
        <w:rPr>
          <w:rFonts w:hint="eastAsia"/>
          <w:szCs w:val="22"/>
        </w:rPr>
        <w:t>raising public awareness.</w:t>
      </w:r>
      <w:r w:rsidR="00350B22">
        <w:rPr>
          <w:szCs w:val="22"/>
        </w:rPr>
        <w:t xml:space="preserve"> </w:t>
      </w:r>
      <w:r w:rsidR="00350B22" w:rsidRPr="00CA5E9C">
        <w:rPr>
          <w:rFonts w:hint="eastAsia"/>
          <w:szCs w:val="22"/>
        </w:rPr>
        <w:t>.</w:t>
      </w:r>
      <w:r w:rsidR="00350B22">
        <w:rPr>
          <w:szCs w:val="22"/>
        </w:rPr>
        <w:t xml:space="preserve"> With the revised standard in 2016, it is highly unlikely that China would need to seek a future EUN for CTC in this use.</w:t>
      </w:r>
    </w:p>
    <w:p w14:paraId="13A3A66D" w14:textId="77777777" w:rsidR="00326F62" w:rsidRPr="00CA5E9C" w:rsidRDefault="00326F62" w:rsidP="00326F62">
      <w:pPr>
        <w:spacing w:afterLines="100"/>
        <w:rPr>
          <w:szCs w:val="22"/>
        </w:rPr>
      </w:pPr>
      <w:r w:rsidRPr="00CA5E9C">
        <w:rPr>
          <w:szCs w:val="22"/>
        </w:rPr>
        <w:t>China has</w:t>
      </w:r>
      <w:r w:rsidRPr="00CA5E9C">
        <w:rPr>
          <w:rFonts w:hint="eastAsia"/>
          <w:szCs w:val="22"/>
        </w:rPr>
        <w:t xml:space="preserve"> been</w:t>
      </w:r>
      <w:r w:rsidRPr="00CA5E9C">
        <w:rPr>
          <w:szCs w:val="22"/>
        </w:rPr>
        <w:t xml:space="preserve"> promot</w:t>
      </w:r>
      <w:r w:rsidRPr="00CA5E9C">
        <w:rPr>
          <w:rFonts w:hint="eastAsia"/>
          <w:szCs w:val="22"/>
        </w:rPr>
        <w:t xml:space="preserve">ing </w:t>
      </w:r>
      <w:r w:rsidRPr="00CA5E9C">
        <w:rPr>
          <w:szCs w:val="22"/>
        </w:rPr>
        <w:t xml:space="preserve">non-ODS </w:t>
      </w:r>
      <w:r w:rsidRPr="00CA5E9C">
        <w:rPr>
          <w:rFonts w:hint="eastAsia"/>
          <w:szCs w:val="22"/>
        </w:rPr>
        <w:t>standards in</w:t>
      </w:r>
      <w:r w:rsidRPr="00CA5E9C">
        <w:rPr>
          <w:szCs w:val="22"/>
        </w:rPr>
        <w:t xml:space="preserve"> different water systems and </w:t>
      </w:r>
      <w:r w:rsidRPr="00CA5E9C">
        <w:rPr>
          <w:rFonts w:hint="eastAsia"/>
          <w:szCs w:val="22"/>
        </w:rPr>
        <w:t>testing</w:t>
      </w:r>
      <w:r w:rsidRPr="00CA5E9C">
        <w:rPr>
          <w:szCs w:val="22"/>
        </w:rPr>
        <w:t xml:space="preserve"> range</w:t>
      </w:r>
      <w:r w:rsidRPr="00CA5E9C">
        <w:rPr>
          <w:rFonts w:hint="eastAsia"/>
          <w:szCs w:val="22"/>
        </w:rPr>
        <w:t xml:space="preserve">s. </w:t>
      </w:r>
      <w:r w:rsidRPr="00CA5E9C">
        <w:rPr>
          <w:szCs w:val="22"/>
        </w:rPr>
        <w:t>“</w:t>
      </w:r>
      <w:r w:rsidRPr="00CA5E9C">
        <w:rPr>
          <w:rFonts w:hint="eastAsia"/>
          <w:i/>
          <w:szCs w:val="22"/>
        </w:rPr>
        <w:t>Water quality- Determination of</w:t>
      </w:r>
      <w:r w:rsidRPr="00CA5E9C">
        <w:rPr>
          <w:i/>
          <w:szCs w:val="22"/>
        </w:rPr>
        <w:t xml:space="preserve"> petroleum oil</w:t>
      </w:r>
      <w:r w:rsidRPr="00CA5E9C">
        <w:rPr>
          <w:rFonts w:hint="eastAsia"/>
          <w:i/>
          <w:szCs w:val="22"/>
        </w:rPr>
        <w:t xml:space="preserve">- </w:t>
      </w:r>
      <w:r w:rsidRPr="00CA5E9C">
        <w:rPr>
          <w:i/>
          <w:szCs w:val="22"/>
        </w:rPr>
        <w:t>Molecular fluorescence spectrometry</w:t>
      </w:r>
      <w:r w:rsidRPr="00CA5E9C">
        <w:rPr>
          <w:rFonts w:hint="eastAsia"/>
          <w:i/>
          <w:szCs w:val="22"/>
        </w:rPr>
        <w:t xml:space="preserve"> (</w:t>
      </w:r>
      <w:r w:rsidRPr="00CA5E9C">
        <w:rPr>
          <w:i/>
          <w:szCs w:val="22"/>
        </w:rPr>
        <w:t>SL366-2006</w:t>
      </w:r>
      <w:r w:rsidRPr="00CA5E9C">
        <w:rPr>
          <w:rFonts w:hint="eastAsia"/>
          <w:i/>
          <w:szCs w:val="22"/>
        </w:rPr>
        <w:t>)</w:t>
      </w:r>
      <w:r w:rsidRPr="00CA5E9C">
        <w:rPr>
          <w:i/>
          <w:szCs w:val="22"/>
        </w:rPr>
        <w:t>”</w:t>
      </w:r>
      <w:r w:rsidRPr="00CA5E9C">
        <w:rPr>
          <w:rFonts w:hint="eastAsia"/>
          <w:i/>
          <w:szCs w:val="22"/>
        </w:rPr>
        <w:t xml:space="preserve"> </w:t>
      </w:r>
      <w:r w:rsidRPr="00CA5E9C">
        <w:rPr>
          <w:rFonts w:hint="eastAsia"/>
          <w:szCs w:val="22"/>
        </w:rPr>
        <w:t xml:space="preserve">was released by the Ministry of Water Resources, which takes </w:t>
      </w:r>
      <w:r w:rsidRPr="00CA5E9C">
        <w:rPr>
          <w:szCs w:val="22"/>
        </w:rPr>
        <w:t>n-hexane</w:t>
      </w:r>
      <w:r w:rsidRPr="00CA5E9C">
        <w:rPr>
          <w:rFonts w:hint="eastAsia"/>
          <w:szCs w:val="22"/>
        </w:rPr>
        <w:t xml:space="preserve"> as the extracting agent. </w:t>
      </w:r>
      <w:r w:rsidRPr="00CA5E9C">
        <w:rPr>
          <w:szCs w:val="22"/>
        </w:rPr>
        <w:t>“</w:t>
      </w:r>
      <w:r w:rsidRPr="00CA5E9C">
        <w:rPr>
          <w:rFonts w:hint="eastAsia"/>
          <w:i/>
          <w:szCs w:val="22"/>
        </w:rPr>
        <w:t>The specification for marine monitoring Part 4: Seawater analysis (</w:t>
      </w:r>
      <w:r w:rsidRPr="00CA5E9C">
        <w:rPr>
          <w:i/>
          <w:szCs w:val="22"/>
        </w:rPr>
        <w:t>GB/T17378.4-2007</w:t>
      </w:r>
      <w:r w:rsidRPr="00CA5E9C">
        <w:rPr>
          <w:rFonts w:hint="eastAsia"/>
          <w:i/>
          <w:szCs w:val="22"/>
        </w:rPr>
        <w:t>)</w:t>
      </w:r>
      <w:r w:rsidRPr="00CA5E9C">
        <w:rPr>
          <w:szCs w:val="22"/>
        </w:rPr>
        <w:t>”</w:t>
      </w:r>
      <w:r w:rsidRPr="00CA5E9C">
        <w:rPr>
          <w:rFonts w:hint="eastAsia"/>
          <w:szCs w:val="22"/>
        </w:rPr>
        <w:t xml:space="preserve"> was implemented in 2008, which targets at the oil pollution in marine, offshore and estuary waters. The standard uses s</w:t>
      </w:r>
      <w:r w:rsidRPr="00CA5E9C">
        <w:rPr>
          <w:szCs w:val="22"/>
        </w:rPr>
        <w:t>pectrofluorimetry</w:t>
      </w:r>
      <w:r w:rsidRPr="00CA5E9C">
        <w:rPr>
          <w:rFonts w:hint="eastAsia"/>
          <w:szCs w:val="22"/>
        </w:rPr>
        <w:t xml:space="preserve">, </w:t>
      </w:r>
      <w:r w:rsidRPr="00CA5E9C">
        <w:rPr>
          <w:szCs w:val="22"/>
        </w:rPr>
        <w:t>UV spectrophotometry</w:t>
      </w:r>
      <w:r w:rsidRPr="00CA5E9C">
        <w:rPr>
          <w:rFonts w:hint="eastAsia"/>
          <w:szCs w:val="22"/>
        </w:rPr>
        <w:t xml:space="preserve"> and </w:t>
      </w:r>
      <w:r w:rsidRPr="00CA5E9C">
        <w:rPr>
          <w:szCs w:val="22"/>
        </w:rPr>
        <w:t>gravimetric method</w:t>
      </w:r>
      <w:r w:rsidRPr="00CA5E9C">
        <w:rPr>
          <w:rFonts w:hint="eastAsia"/>
          <w:szCs w:val="22"/>
        </w:rPr>
        <w:t>, whose extracting agents are p</w:t>
      </w:r>
      <w:r w:rsidRPr="00CA5E9C">
        <w:rPr>
          <w:szCs w:val="22"/>
        </w:rPr>
        <w:t>etroleum ether</w:t>
      </w:r>
      <w:r w:rsidRPr="00CA5E9C">
        <w:rPr>
          <w:rFonts w:hint="eastAsia"/>
          <w:szCs w:val="22"/>
        </w:rPr>
        <w:t xml:space="preserve"> and </w:t>
      </w:r>
      <w:r w:rsidRPr="00CA5E9C">
        <w:rPr>
          <w:szCs w:val="22"/>
        </w:rPr>
        <w:t>cyclohexane</w:t>
      </w:r>
      <w:r w:rsidRPr="00CA5E9C">
        <w:rPr>
          <w:rFonts w:hint="eastAsia"/>
          <w:szCs w:val="22"/>
        </w:rPr>
        <w:t xml:space="preserve">. </w:t>
      </w:r>
    </w:p>
    <w:p w14:paraId="083468FD" w14:textId="77777777" w:rsidR="00326F62" w:rsidRPr="00CA5E9C" w:rsidRDefault="00326F62" w:rsidP="00326F62">
      <w:pPr>
        <w:spacing w:afterLines="100"/>
        <w:rPr>
          <w:szCs w:val="22"/>
        </w:rPr>
      </w:pPr>
      <w:r w:rsidRPr="00CA5E9C">
        <w:rPr>
          <w:rFonts w:hint="eastAsia"/>
          <w:szCs w:val="22"/>
        </w:rPr>
        <w:t xml:space="preserve">In order to promote </w:t>
      </w:r>
      <w:r w:rsidRPr="00CA5E9C">
        <w:rPr>
          <w:szCs w:val="22"/>
        </w:rPr>
        <w:t>the</w:t>
      </w:r>
      <w:r w:rsidRPr="00CA5E9C">
        <w:rPr>
          <w:rFonts w:hint="eastAsia"/>
          <w:szCs w:val="22"/>
        </w:rPr>
        <w:t xml:space="preserve"> replacement of CTC in laboratory and analytical uses, the </w:t>
      </w:r>
      <w:r w:rsidRPr="00CA5E9C">
        <w:rPr>
          <w:rFonts w:hint="eastAsia"/>
          <w:szCs w:val="22"/>
          <w:lang w:eastAsia="ja-JP"/>
        </w:rPr>
        <w:t>t</w:t>
      </w:r>
      <w:r w:rsidRPr="00CA5E9C">
        <w:rPr>
          <w:szCs w:val="22"/>
        </w:rPr>
        <w:t xml:space="preserve">echnical </w:t>
      </w:r>
      <w:r w:rsidRPr="00CA5E9C">
        <w:rPr>
          <w:rFonts w:hint="eastAsia"/>
          <w:szCs w:val="22"/>
        </w:rPr>
        <w:t>assistant</w:t>
      </w:r>
      <w:r w:rsidRPr="00CA5E9C">
        <w:rPr>
          <w:szCs w:val="22"/>
        </w:rPr>
        <w:t xml:space="preserve"> institution</w:t>
      </w:r>
      <w:r w:rsidRPr="00CA5E9C">
        <w:rPr>
          <w:rFonts w:hint="eastAsia"/>
          <w:szCs w:val="22"/>
        </w:rPr>
        <w:t>s</w:t>
      </w:r>
      <w:r w:rsidRPr="00CA5E9C">
        <w:rPr>
          <w:szCs w:val="22"/>
        </w:rPr>
        <w:t xml:space="preserve"> </w:t>
      </w:r>
      <w:r w:rsidRPr="00CA5E9C">
        <w:rPr>
          <w:rFonts w:hint="eastAsia"/>
          <w:szCs w:val="22"/>
        </w:rPr>
        <w:t xml:space="preserve">will </w:t>
      </w:r>
      <w:r w:rsidRPr="00CA5E9C">
        <w:rPr>
          <w:szCs w:val="22"/>
        </w:rPr>
        <w:t>conduct technical exchange and training</w:t>
      </w:r>
      <w:r w:rsidRPr="00CA5E9C">
        <w:rPr>
          <w:rFonts w:hint="eastAsia"/>
          <w:szCs w:val="22"/>
        </w:rPr>
        <w:t>s</w:t>
      </w:r>
      <w:r w:rsidRPr="00CA5E9C">
        <w:rPr>
          <w:szCs w:val="22"/>
        </w:rPr>
        <w:t xml:space="preserve"> </w:t>
      </w:r>
      <w:r w:rsidRPr="00CA5E9C">
        <w:rPr>
          <w:rFonts w:hint="eastAsia"/>
          <w:szCs w:val="22"/>
        </w:rPr>
        <w:t>among</w:t>
      </w:r>
      <w:r w:rsidRPr="00CA5E9C">
        <w:rPr>
          <w:szCs w:val="22"/>
        </w:rPr>
        <w:t xml:space="preserve"> </w:t>
      </w:r>
      <w:r w:rsidRPr="00CA5E9C">
        <w:rPr>
          <w:rFonts w:hint="eastAsia"/>
          <w:szCs w:val="22"/>
        </w:rPr>
        <w:t xml:space="preserve">institutional </w:t>
      </w:r>
      <w:r w:rsidRPr="00CA5E9C">
        <w:rPr>
          <w:szCs w:val="22"/>
        </w:rPr>
        <w:t>use</w:t>
      </w:r>
      <w:r w:rsidRPr="00CA5E9C">
        <w:rPr>
          <w:rFonts w:hint="eastAsia"/>
          <w:szCs w:val="22"/>
        </w:rPr>
        <w:t>rs, which can help them better aware of</w:t>
      </w:r>
      <w:r w:rsidRPr="00CA5E9C">
        <w:rPr>
          <w:szCs w:val="22"/>
        </w:rPr>
        <w:t xml:space="preserve"> domestic and international policies, standards and amendments</w:t>
      </w:r>
      <w:r w:rsidRPr="00CA5E9C">
        <w:rPr>
          <w:rFonts w:hint="eastAsia"/>
          <w:szCs w:val="22"/>
        </w:rPr>
        <w:t>, and substitute reagents and methods.</w:t>
      </w:r>
    </w:p>
    <w:p w14:paraId="5DAC5DAB" w14:textId="77777777" w:rsidR="00326F62" w:rsidRPr="00AF4B67" w:rsidRDefault="00326F62" w:rsidP="00326F62">
      <w:pPr>
        <w:spacing w:afterLines="100"/>
        <w:rPr>
          <w:sz w:val="24"/>
          <w:szCs w:val="24"/>
        </w:rPr>
      </w:pPr>
      <w:r w:rsidRPr="00CA5E9C">
        <w:rPr>
          <w:rFonts w:hint="eastAsia"/>
          <w:szCs w:val="22"/>
        </w:rPr>
        <w:t xml:space="preserve">Awareness raising activities are launched through public and professional media as well as the management website. </w:t>
      </w:r>
      <w:r w:rsidRPr="00CA5E9C">
        <w:rPr>
          <w:szCs w:val="22"/>
        </w:rPr>
        <w:t>B</w:t>
      </w:r>
      <w:r w:rsidRPr="00CA5E9C">
        <w:rPr>
          <w:rFonts w:hint="eastAsia"/>
          <w:szCs w:val="22"/>
        </w:rPr>
        <w:t xml:space="preserve">rochures and compact discs about lab-use ODS </w:t>
      </w:r>
      <w:r w:rsidRPr="00CA5E9C">
        <w:rPr>
          <w:szCs w:val="22"/>
        </w:rPr>
        <w:t>replacement</w:t>
      </w:r>
      <w:r w:rsidRPr="00CA5E9C">
        <w:rPr>
          <w:rFonts w:hint="eastAsia"/>
          <w:szCs w:val="22"/>
        </w:rPr>
        <w:t xml:space="preserve"> are being developed too, which will be distributed to reagent producers, dealers and users</w:t>
      </w:r>
      <w:r w:rsidRPr="00AF4B67">
        <w:rPr>
          <w:rFonts w:hint="eastAsia"/>
          <w:sz w:val="24"/>
          <w:szCs w:val="24"/>
        </w:rPr>
        <w:t xml:space="preserve">. </w:t>
      </w:r>
    </w:p>
    <w:p w14:paraId="389245F5" w14:textId="77777777" w:rsidR="00326F62" w:rsidRPr="002D15FF" w:rsidRDefault="00326F62" w:rsidP="00E15FE9">
      <w:pPr>
        <w:pStyle w:val="ListParagraph"/>
        <w:numPr>
          <w:ilvl w:val="0"/>
          <w:numId w:val="55"/>
        </w:numPr>
        <w:spacing w:afterLines="50" w:after="120"/>
        <w:ind w:firstLineChars="0"/>
        <w:rPr>
          <w:rStyle w:val="Heading4Char"/>
          <w:b/>
          <w:sz w:val="20"/>
          <w:szCs w:val="20"/>
        </w:rPr>
      </w:pPr>
      <w:r w:rsidRPr="002D15FF">
        <w:rPr>
          <w:rStyle w:val="Heading4Char"/>
          <w:rFonts w:hint="eastAsia"/>
          <w:b/>
          <w:sz w:val="20"/>
          <w:szCs w:val="20"/>
        </w:rPr>
        <w:t xml:space="preserve">Steps to Minimise Emissions </w:t>
      </w:r>
    </w:p>
    <w:p w14:paraId="5E92A3DD" w14:textId="68C24914" w:rsidR="00326F62" w:rsidRPr="00CA5E9C" w:rsidRDefault="00326F62" w:rsidP="00326F62">
      <w:pPr>
        <w:spacing w:afterLines="100"/>
        <w:rPr>
          <w:szCs w:val="22"/>
          <w:lang w:eastAsia="ja-JP"/>
        </w:rPr>
      </w:pPr>
      <w:r w:rsidRPr="00CA5E9C">
        <w:rPr>
          <w:rFonts w:hint="eastAsia"/>
          <w:szCs w:val="22"/>
        </w:rPr>
        <w:t>The environmental monitoring departments recycle</w:t>
      </w:r>
      <w:r w:rsidRPr="00CA5E9C">
        <w:rPr>
          <w:szCs w:val="22"/>
        </w:rPr>
        <w:t xml:space="preserve"> </w:t>
      </w:r>
      <w:r w:rsidRPr="00CA5E9C">
        <w:rPr>
          <w:rFonts w:hint="eastAsia"/>
          <w:szCs w:val="22"/>
        </w:rPr>
        <w:t>t</w:t>
      </w:r>
      <w:r w:rsidRPr="00CA5E9C">
        <w:rPr>
          <w:szCs w:val="22"/>
        </w:rPr>
        <w:t xml:space="preserve">he </w:t>
      </w:r>
      <w:r w:rsidRPr="00CA5E9C">
        <w:rPr>
          <w:rFonts w:hint="eastAsia"/>
          <w:szCs w:val="22"/>
        </w:rPr>
        <w:t>CTC</w:t>
      </w:r>
      <w:r w:rsidR="002D1FC6">
        <w:rPr>
          <w:szCs w:val="22"/>
        </w:rPr>
        <w:t>,</w:t>
      </w:r>
      <w:r w:rsidRPr="00CA5E9C">
        <w:rPr>
          <w:rFonts w:hint="eastAsia"/>
          <w:szCs w:val="22"/>
        </w:rPr>
        <w:t xml:space="preserve"> which approximately accounts for 20% of the total usage. For many of </w:t>
      </w:r>
      <w:r w:rsidR="00350B22">
        <w:rPr>
          <w:szCs w:val="22"/>
        </w:rPr>
        <w:t xml:space="preserve">the </w:t>
      </w:r>
      <w:r w:rsidRPr="00CA5E9C">
        <w:rPr>
          <w:rFonts w:hint="eastAsia"/>
          <w:szCs w:val="22"/>
        </w:rPr>
        <w:t xml:space="preserve">other testing and </w:t>
      </w:r>
      <w:r w:rsidRPr="00CA5E9C">
        <w:rPr>
          <w:szCs w:val="22"/>
        </w:rPr>
        <w:t>analysis</w:t>
      </w:r>
      <w:r w:rsidRPr="00CA5E9C">
        <w:rPr>
          <w:rFonts w:hint="eastAsia"/>
          <w:szCs w:val="22"/>
        </w:rPr>
        <w:t xml:space="preserve"> </w:t>
      </w:r>
      <w:r w:rsidRPr="00CA5E9C">
        <w:rPr>
          <w:szCs w:val="22"/>
        </w:rPr>
        <w:t>organizations</w:t>
      </w:r>
      <w:r w:rsidRPr="00CA5E9C">
        <w:rPr>
          <w:rFonts w:hint="eastAsia"/>
          <w:szCs w:val="22"/>
        </w:rPr>
        <w:t xml:space="preserve"> and university laboratories, the used CTC will be collected and destroyed. The amount of this part roughly makes up 50% of the total usage. </w:t>
      </w:r>
    </w:p>
    <w:p w14:paraId="3AA549A6" w14:textId="77777777" w:rsidR="00326F62" w:rsidRPr="002D15FF" w:rsidRDefault="00326F62" w:rsidP="00E15FE9">
      <w:pPr>
        <w:pStyle w:val="ListParagraph"/>
        <w:numPr>
          <w:ilvl w:val="0"/>
          <w:numId w:val="55"/>
        </w:numPr>
        <w:spacing w:afterLines="50" w:after="120"/>
        <w:ind w:firstLineChars="0"/>
        <w:rPr>
          <w:rStyle w:val="Heading4Char"/>
          <w:b/>
          <w:sz w:val="20"/>
          <w:szCs w:val="20"/>
        </w:rPr>
      </w:pPr>
      <w:r w:rsidRPr="002D15FF">
        <w:rPr>
          <w:rStyle w:val="Heading4Char"/>
          <w:rFonts w:hint="eastAsia"/>
          <w:b/>
          <w:sz w:val="20"/>
          <w:szCs w:val="20"/>
        </w:rPr>
        <w:t>The acquisition of c</w:t>
      </w:r>
      <w:r w:rsidRPr="002D15FF">
        <w:rPr>
          <w:rStyle w:val="Heading4Char"/>
          <w:b/>
          <w:sz w:val="20"/>
          <w:szCs w:val="20"/>
        </w:rPr>
        <w:t>arbon tetrachloride</w:t>
      </w:r>
    </w:p>
    <w:p w14:paraId="72074283" w14:textId="69E0FEFA" w:rsidR="00326F62" w:rsidRPr="00CA5E9C" w:rsidRDefault="00326F62" w:rsidP="00326F62">
      <w:pPr>
        <w:spacing w:afterLines="100"/>
        <w:rPr>
          <w:szCs w:val="22"/>
        </w:rPr>
      </w:pPr>
      <w:r w:rsidRPr="00CA5E9C">
        <w:rPr>
          <w:rFonts w:hint="eastAsia"/>
          <w:szCs w:val="22"/>
        </w:rPr>
        <w:t xml:space="preserve">CTC is one of the </w:t>
      </w:r>
      <w:r w:rsidRPr="00CA5E9C">
        <w:rPr>
          <w:szCs w:val="22"/>
        </w:rPr>
        <w:t>by-products</w:t>
      </w:r>
      <w:r w:rsidRPr="00CA5E9C">
        <w:rPr>
          <w:rFonts w:hint="eastAsia"/>
          <w:szCs w:val="22"/>
        </w:rPr>
        <w:t xml:space="preserve"> of the </w:t>
      </w:r>
      <w:r w:rsidRPr="00640263">
        <w:rPr>
          <w:szCs w:val="22"/>
        </w:rPr>
        <w:t>meth</w:t>
      </w:r>
      <w:r w:rsidR="00640263" w:rsidRPr="00640263">
        <w:rPr>
          <w:szCs w:val="22"/>
        </w:rPr>
        <w:t>yle</w:t>
      </w:r>
      <w:r w:rsidRPr="00640263">
        <w:rPr>
          <w:szCs w:val="22"/>
        </w:rPr>
        <w:t>ne</w:t>
      </w:r>
      <w:r w:rsidRPr="00CA5E9C">
        <w:rPr>
          <w:szCs w:val="22"/>
        </w:rPr>
        <w:t xml:space="preserve"> chloride</w:t>
      </w:r>
      <w:r w:rsidRPr="00CA5E9C">
        <w:rPr>
          <w:rFonts w:hint="eastAsia"/>
          <w:szCs w:val="22"/>
        </w:rPr>
        <w:t xml:space="preserve"> </w:t>
      </w:r>
      <w:r w:rsidRPr="00CA5E9C">
        <w:rPr>
          <w:szCs w:val="22"/>
        </w:rPr>
        <w:t>production</w:t>
      </w:r>
      <w:r w:rsidRPr="00CA5E9C">
        <w:rPr>
          <w:rFonts w:hint="eastAsia"/>
          <w:szCs w:val="22"/>
        </w:rPr>
        <w:t xml:space="preserve">. Since 2007, China has been managing the CTC with </w:t>
      </w:r>
      <w:r w:rsidRPr="00CA5E9C">
        <w:rPr>
          <w:szCs w:val="22"/>
        </w:rPr>
        <w:t>“</w:t>
      </w:r>
      <w:r w:rsidRPr="00CA5E9C">
        <w:rPr>
          <w:rFonts w:hint="eastAsia"/>
          <w:szCs w:val="22"/>
        </w:rPr>
        <w:t xml:space="preserve">zero </w:t>
      </w:r>
      <w:r w:rsidRPr="00CA5E9C">
        <w:rPr>
          <w:szCs w:val="22"/>
        </w:rPr>
        <w:t>production</w:t>
      </w:r>
      <w:r w:rsidRPr="00CA5E9C">
        <w:rPr>
          <w:rFonts w:hint="eastAsia"/>
          <w:szCs w:val="22"/>
        </w:rPr>
        <w:t xml:space="preserve"> quota</w:t>
      </w:r>
      <w:r w:rsidRPr="00CA5E9C">
        <w:rPr>
          <w:szCs w:val="22"/>
        </w:rPr>
        <w:t>”</w:t>
      </w:r>
      <w:r w:rsidRPr="00CA5E9C">
        <w:rPr>
          <w:rFonts w:hint="eastAsia"/>
          <w:szCs w:val="22"/>
        </w:rPr>
        <w:t xml:space="preserve"> </w:t>
      </w:r>
      <w:r w:rsidR="002D1FC6">
        <w:rPr>
          <w:szCs w:val="22"/>
        </w:rPr>
        <w:t>i.e.</w:t>
      </w:r>
      <w:r w:rsidRPr="00CA5E9C">
        <w:rPr>
          <w:rFonts w:hint="eastAsia"/>
          <w:szCs w:val="22"/>
        </w:rPr>
        <w:t xml:space="preserve">, a company could only purchase carbon tetrachloride from legitimate producers or distributors when its feedstock use or exempted use has been approved by the MEP. </w:t>
      </w:r>
      <w:r w:rsidR="002D1FC6">
        <w:rPr>
          <w:szCs w:val="22"/>
        </w:rPr>
        <w:t>Any remaining</w:t>
      </w:r>
      <w:r w:rsidRPr="00CA5E9C">
        <w:rPr>
          <w:rFonts w:hint="eastAsia"/>
          <w:szCs w:val="22"/>
        </w:rPr>
        <w:t xml:space="preserve"> carbon tetrachloride </w:t>
      </w:r>
      <w:r w:rsidR="005A7240">
        <w:rPr>
          <w:szCs w:val="22"/>
        </w:rPr>
        <w:t>resulting</w:t>
      </w:r>
      <w:r w:rsidRPr="00CA5E9C">
        <w:rPr>
          <w:rFonts w:hint="eastAsia"/>
          <w:szCs w:val="22"/>
        </w:rPr>
        <w:t xml:space="preserve"> as </w:t>
      </w:r>
      <w:r w:rsidR="002D1FC6">
        <w:rPr>
          <w:szCs w:val="22"/>
        </w:rPr>
        <w:t xml:space="preserve">a </w:t>
      </w:r>
      <w:r w:rsidRPr="00CA5E9C">
        <w:rPr>
          <w:rFonts w:hint="eastAsia"/>
          <w:szCs w:val="22"/>
        </w:rPr>
        <w:t xml:space="preserve">by-product </w:t>
      </w:r>
      <w:r w:rsidR="002D1FC6">
        <w:rPr>
          <w:szCs w:val="22"/>
        </w:rPr>
        <w:t>must</w:t>
      </w:r>
      <w:r w:rsidRPr="00CA5E9C">
        <w:rPr>
          <w:rFonts w:hint="eastAsia"/>
          <w:szCs w:val="22"/>
        </w:rPr>
        <w:t xml:space="preserve"> be converted into non-ODS substances or disposed by the producers. Therefore although China </w:t>
      </w:r>
      <w:r w:rsidR="005A7240">
        <w:rPr>
          <w:szCs w:val="22"/>
        </w:rPr>
        <w:t>nominates an</w:t>
      </w:r>
      <w:r w:rsidRPr="00CA5E9C">
        <w:rPr>
          <w:rFonts w:hint="eastAsia"/>
          <w:szCs w:val="22"/>
        </w:rPr>
        <w:t xml:space="preserve"> essential</w:t>
      </w:r>
      <w:r w:rsidR="005A7240">
        <w:rPr>
          <w:szCs w:val="22"/>
        </w:rPr>
        <w:t xml:space="preserve"> use</w:t>
      </w:r>
      <w:r w:rsidRPr="00CA5E9C">
        <w:rPr>
          <w:rFonts w:hint="eastAsia"/>
          <w:szCs w:val="22"/>
        </w:rPr>
        <w:t xml:space="preserve">, there will be no newly produced CTC even if the exemption is approved. </w:t>
      </w:r>
      <w:r w:rsidRPr="00CA5E9C">
        <w:rPr>
          <w:szCs w:val="22"/>
        </w:rPr>
        <w:t>T</w:t>
      </w:r>
      <w:r w:rsidRPr="00CA5E9C">
        <w:rPr>
          <w:rFonts w:hint="eastAsia"/>
          <w:szCs w:val="22"/>
        </w:rPr>
        <w:t xml:space="preserve">he exempted use of CTC for laboratory and analytical use for testing oil in water will be effectively supervised under the existing </w:t>
      </w:r>
      <w:r w:rsidRPr="00CA5E9C">
        <w:rPr>
          <w:szCs w:val="22"/>
        </w:rPr>
        <w:t>management</w:t>
      </w:r>
      <w:r w:rsidRPr="00CA5E9C">
        <w:rPr>
          <w:rFonts w:hint="eastAsia"/>
          <w:szCs w:val="22"/>
        </w:rPr>
        <w:t xml:space="preserve"> system. </w:t>
      </w:r>
    </w:p>
    <w:p w14:paraId="05A136AA" w14:textId="77777777" w:rsidR="00BA2B00" w:rsidRDefault="00BA2B00" w:rsidP="002B7818">
      <w:pPr>
        <w:pStyle w:val="Heading3"/>
      </w:pPr>
      <w:bookmarkStart w:id="32" w:name="_Toc355078930"/>
      <w:bookmarkStart w:id="33" w:name="_Toc295406117"/>
    </w:p>
    <w:p w14:paraId="1B8F9A4C" w14:textId="14E78BAE" w:rsidR="00326F62" w:rsidRPr="007E2229" w:rsidRDefault="002D15FF" w:rsidP="002B7818">
      <w:pPr>
        <w:pStyle w:val="Heading3"/>
      </w:pPr>
      <w:r>
        <w:t>2</w:t>
      </w:r>
      <w:r w:rsidR="00326F62">
        <w:t>.</w:t>
      </w:r>
      <w:r w:rsidR="00350B22">
        <w:t>2</w:t>
      </w:r>
      <w:r w:rsidR="00326F62">
        <w:t>.</w:t>
      </w:r>
      <w:r>
        <w:t>3</w:t>
      </w:r>
      <w:r w:rsidR="00326F62">
        <w:tab/>
      </w:r>
      <w:r w:rsidR="00326F62" w:rsidRPr="007E2229">
        <w:t xml:space="preserve">CTOC Comments </w:t>
      </w:r>
      <w:r w:rsidR="00326F62" w:rsidRPr="007E2229">
        <w:rPr>
          <w:rFonts w:hint="eastAsia"/>
        </w:rPr>
        <w:t>on</w:t>
      </w:r>
      <w:r w:rsidR="00326F62" w:rsidRPr="007E2229">
        <w:t xml:space="preserve"> EUN for CTC in 201</w:t>
      </w:r>
      <w:r w:rsidR="00326F62" w:rsidRPr="007E2229">
        <w:rPr>
          <w:rFonts w:hint="eastAsia"/>
        </w:rPr>
        <w:t>6</w:t>
      </w:r>
      <w:r w:rsidR="00326F62" w:rsidRPr="007E2229">
        <w:t>-201</w:t>
      </w:r>
      <w:r w:rsidR="00326F62" w:rsidRPr="007E2229">
        <w:rPr>
          <w:rFonts w:hint="eastAsia"/>
        </w:rPr>
        <w:t>7</w:t>
      </w:r>
      <w:r w:rsidR="00326F62" w:rsidRPr="007E2229">
        <w:t xml:space="preserve"> by China</w:t>
      </w:r>
      <w:bookmarkEnd w:id="32"/>
      <w:bookmarkEnd w:id="33"/>
    </w:p>
    <w:p w14:paraId="6F1F0F14" w14:textId="11A8B971" w:rsidR="00326F62" w:rsidRPr="00CA5E9C" w:rsidRDefault="00326F62" w:rsidP="00326F62">
      <w:pPr>
        <w:suppressAutoHyphens/>
        <w:spacing w:after="120"/>
        <w:rPr>
          <w:szCs w:val="22"/>
          <w:lang w:eastAsia="ja-JP"/>
        </w:rPr>
      </w:pPr>
      <w:r w:rsidRPr="00CA5E9C">
        <w:rPr>
          <w:szCs w:val="22"/>
        </w:rPr>
        <w:t>CTOC acknowledges th</w:t>
      </w:r>
      <w:r w:rsidRPr="00CA5E9C">
        <w:rPr>
          <w:rFonts w:hint="eastAsia"/>
          <w:szCs w:val="22"/>
          <w:lang w:eastAsia="ja-JP"/>
        </w:rPr>
        <w:t>at China has developed a new standard, and is now</w:t>
      </w:r>
      <w:r w:rsidR="005A7240">
        <w:rPr>
          <w:szCs w:val="22"/>
          <w:lang w:eastAsia="ja-JP"/>
        </w:rPr>
        <w:t xml:space="preserve"> in</w:t>
      </w:r>
      <w:r w:rsidR="00640263">
        <w:rPr>
          <w:rFonts w:hint="eastAsia"/>
          <w:szCs w:val="22"/>
          <w:lang w:eastAsia="ja-JP"/>
        </w:rPr>
        <w:t xml:space="preserve"> a transition period to replace</w:t>
      </w:r>
      <w:r w:rsidRPr="00CA5E9C">
        <w:rPr>
          <w:rFonts w:hint="eastAsia"/>
          <w:szCs w:val="22"/>
          <w:lang w:eastAsia="ja-JP"/>
        </w:rPr>
        <w:t xml:space="preserve"> CTC </w:t>
      </w:r>
      <w:r w:rsidR="00350B22">
        <w:rPr>
          <w:szCs w:val="22"/>
          <w:lang w:eastAsia="ja-JP"/>
        </w:rPr>
        <w:t xml:space="preserve">use </w:t>
      </w:r>
      <w:r w:rsidRPr="00CA5E9C">
        <w:rPr>
          <w:rFonts w:hint="eastAsia"/>
          <w:szCs w:val="22"/>
          <w:lang w:eastAsia="ja-JP"/>
        </w:rPr>
        <w:t>as the extracting solvent. CTOC also acknowledges</w:t>
      </w:r>
      <w:r w:rsidRPr="00CA5E9C">
        <w:rPr>
          <w:szCs w:val="22"/>
        </w:rPr>
        <w:t xml:space="preserve"> </w:t>
      </w:r>
      <w:r w:rsidRPr="00CA5E9C">
        <w:rPr>
          <w:rFonts w:hint="eastAsia"/>
          <w:szCs w:val="22"/>
          <w:lang w:eastAsia="ja-JP"/>
        </w:rPr>
        <w:t xml:space="preserve">the </w:t>
      </w:r>
      <w:r w:rsidRPr="00CA5E9C">
        <w:rPr>
          <w:szCs w:val="22"/>
        </w:rPr>
        <w:t>effort made by China in its endeavor to reduce the use of CTC</w:t>
      </w:r>
      <w:r w:rsidRPr="00CA5E9C">
        <w:rPr>
          <w:rFonts w:hint="eastAsia"/>
          <w:szCs w:val="22"/>
          <w:lang w:eastAsia="ja-JP"/>
        </w:rPr>
        <w:t xml:space="preserve">, and to </w:t>
      </w:r>
      <w:r w:rsidRPr="00CA5E9C">
        <w:rPr>
          <w:rFonts w:hint="eastAsia"/>
          <w:szCs w:val="22"/>
        </w:rPr>
        <w:t xml:space="preserve">promote </w:t>
      </w:r>
      <w:r w:rsidRPr="00CA5E9C">
        <w:rPr>
          <w:szCs w:val="22"/>
        </w:rPr>
        <w:t>the</w:t>
      </w:r>
      <w:r w:rsidRPr="00CA5E9C">
        <w:rPr>
          <w:rFonts w:hint="eastAsia"/>
          <w:szCs w:val="22"/>
        </w:rPr>
        <w:t xml:space="preserve"> replacement of CTC in laboratory and analytical uses</w:t>
      </w:r>
      <w:r w:rsidRPr="00CA5E9C">
        <w:rPr>
          <w:rFonts w:hint="eastAsia"/>
          <w:szCs w:val="22"/>
          <w:lang w:eastAsia="ja-JP"/>
        </w:rPr>
        <w:t>.</w:t>
      </w:r>
    </w:p>
    <w:p w14:paraId="14BACE75" w14:textId="77777777" w:rsidR="00BA2B00" w:rsidRDefault="00BA2B00" w:rsidP="002B7818">
      <w:pPr>
        <w:pStyle w:val="Heading3"/>
      </w:pPr>
      <w:bookmarkStart w:id="34" w:name="_Toc295406118"/>
    </w:p>
    <w:p w14:paraId="2A53048D" w14:textId="10DEDD39" w:rsidR="00326F62" w:rsidRPr="00431F9B" w:rsidRDefault="002D15FF" w:rsidP="002B7818">
      <w:pPr>
        <w:pStyle w:val="Heading3"/>
      </w:pPr>
      <w:r>
        <w:t>2</w:t>
      </w:r>
      <w:r w:rsidR="00326F62" w:rsidRPr="00431F9B">
        <w:rPr>
          <w:rFonts w:hint="eastAsia"/>
        </w:rPr>
        <w:t>.</w:t>
      </w:r>
      <w:r w:rsidR="00350B22">
        <w:t>2</w:t>
      </w:r>
      <w:r w:rsidR="00326F62" w:rsidRPr="00431F9B">
        <w:rPr>
          <w:rFonts w:hint="eastAsia"/>
        </w:rPr>
        <w:t>.4</w:t>
      </w:r>
      <w:r w:rsidR="00640263">
        <w:t>.</w:t>
      </w:r>
      <w:r w:rsidR="00326F62" w:rsidRPr="00431F9B">
        <w:rPr>
          <w:rFonts w:hint="eastAsia"/>
        </w:rPr>
        <w:t xml:space="preserve">  </w:t>
      </w:r>
      <w:r w:rsidR="00326F62" w:rsidRPr="00431F9B">
        <w:t>Conclusion</w:t>
      </w:r>
      <w:bookmarkEnd w:id="34"/>
    </w:p>
    <w:p w14:paraId="4DE268FE" w14:textId="7F8AD118" w:rsidR="00326F62" w:rsidRPr="00FC21B5" w:rsidRDefault="00326F62" w:rsidP="00326F62">
      <w:pPr>
        <w:rPr>
          <w:color w:val="auto"/>
        </w:rPr>
      </w:pPr>
      <w:r>
        <w:t>After careful rev</w:t>
      </w:r>
      <w:r w:rsidRPr="00431F9B">
        <w:rPr>
          <w:color w:val="auto"/>
        </w:rPr>
        <w:t>iew</w:t>
      </w:r>
      <w:r>
        <w:rPr>
          <w:rFonts w:hint="eastAsia"/>
          <w:color w:val="auto"/>
          <w:lang w:eastAsia="ja-JP"/>
        </w:rPr>
        <w:t>,</w:t>
      </w:r>
      <w:r w:rsidRPr="00431F9B">
        <w:rPr>
          <w:color w:val="auto"/>
        </w:rPr>
        <w:t xml:space="preserve"> CTOC </w:t>
      </w:r>
      <w:r>
        <w:rPr>
          <w:rFonts w:hint="eastAsia"/>
          <w:color w:val="auto"/>
          <w:lang w:eastAsia="ja-JP"/>
        </w:rPr>
        <w:t>recommends</w:t>
      </w:r>
      <w:r w:rsidRPr="00431F9B">
        <w:rPr>
          <w:color w:val="auto"/>
        </w:rPr>
        <w:t xml:space="preserve"> the Essential Use Exemptions</w:t>
      </w:r>
      <w:r w:rsidRPr="00431F9B">
        <w:rPr>
          <w:rFonts w:hint="eastAsia"/>
          <w:color w:val="auto"/>
          <w:lang w:eastAsia="ja-JP"/>
        </w:rPr>
        <w:t xml:space="preserve"> of</w:t>
      </w:r>
      <w:r w:rsidRPr="00431F9B">
        <w:rPr>
          <w:color w:val="auto"/>
        </w:rPr>
        <w:t xml:space="preserve"> </w:t>
      </w:r>
      <w:r w:rsidRPr="00431F9B">
        <w:rPr>
          <w:rFonts w:hint="eastAsia"/>
          <w:color w:val="auto"/>
          <w:lang w:eastAsia="ja-JP"/>
        </w:rPr>
        <w:t>70</w:t>
      </w:r>
      <w:r w:rsidRPr="00431F9B">
        <w:rPr>
          <w:rFonts w:hint="eastAsia"/>
          <w:color w:val="auto"/>
        </w:rPr>
        <w:t xml:space="preserve"> </w:t>
      </w:r>
      <w:r w:rsidRPr="00431F9B">
        <w:rPr>
          <w:color w:val="auto"/>
        </w:rPr>
        <w:t xml:space="preserve">metric </w:t>
      </w:r>
      <w:r w:rsidRPr="00431F9B">
        <w:rPr>
          <w:rFonts w:hint="eastAsia"/>
          <w:color w:val="auto"/>
        </w:rPr>
        <w:t>tonnes CTC in 20</w:t>
      </w:r>
      <w:r>
        <w:rPr>
          <w:rFonts w:hint="eastAsia"/>
        </w:rPr>
        <w:t>1</w:t>
      </w:r>
      <w:r>
        <w:rPr>
          <w:rFonts w:hint="eastAsia"/>
          <w:lang w:eastAsia="ja-JP"/>
        </w:rPr>
        <w:t xml:space="preserve">6 </w:t>
      </w:r>
      <w:r>
        <w:t xml:space="preserve">for </w:t>
      </w:r>
      <w:r w:rsidRPr="0045120A">
        <w:t>“</w:t>
      </w:r>
      <w:r>
        <w:rPr>
          <w:rFonts w:hint="eastAsia"/>
        </w:rPr>
        <w:t>t</w:t>
      </w:r>
      <w:r w:rsidRPr="0045120A">
        <w:t>esting of oil, grease and total petroleum hydrocarbons in water”</w:t>
      </w:r>
      <w:r>
        <w:t xml:space="preserve"> for China.</w:t>
      </w:r>
      <w:r>
        <w:rPr>
          <w:rFonts w:hint="eastAsia"/>
        </w:rPr>
        <w:t xml:space="preserve"> </w:t>
      </w:r>
      <w:r w:rsidR="005A7240">
        <w:rPr>
          <w:color w:val="auto"/>
          <w:lang w:eastAsia="ja-JP"/>
        </w:rPr>
        <w:t>T</w:t>
      </w:r>
      <w:r w:rsidRPr="00FC21B5">
        <w:rPr>
          <w:rFonts w:hint="eastAsia"/>
          <w:color w:val="auto"/>
          <w:lang w:eastAsia="ja-JP"/>
        </w:rPr>
        <w:t xml:space="preserve">he global exemption of the </w:t>
      </w:r>
      <w:r w:rsidRPr="00FC21B5">
        <w:rPr>
          <w:rFonts w:eastAsia="SimHei"/>
          <w:bCs/>
          <w:iCs/>
          <w:color w:val="auto"/>
        </w:rPr>
        <w:t>use of ODS for laboratory and analytical purposes</w:t>
      </w:r>
      <w:r w:rsidRPr="00FC21B5">
        <w:rPr>
          <w:rFonts w:hint="eastAsia"/>
          <w:color w:val="auto"/>
          <w:lang w:eastAsia="ja-JP"/>
        </w:rPr>
        <w:t xml:space="preserve"> </w:t>
      </w:r>
      <w:r w:rsidRPr="00FC21B5">
        <w:rPr>
          <w:rFonts w:eastAsia="SimHei"/>
          <w:bCs/>
          <w:iCs/>
          <w:color w:val="auto"/>
        </w:rPr>
        <w:t xml:space="preserve">has been further extended for another 7 years to 31 December 2021 by Decision XXVI/5.1 taken in 2014. </w:t>
      </w:r>
      <w:r w:rsidR="005A7240">
        <w:rPr>
          <w:rFonts w:eastAsia="SimHei"/>
          <w:bCs/>
          <w:iCs/>
          <w:color w:val="auto"/>
        </w:rPr>
        <w:t xml:space="preserve">However, </w:t>
      </w:r>
      <w:r w:rsidRPr="00FC21B5">
        <w:rPr>
          <w:rFonts w:hint="eastAsia"/>
          <w:bCs/>
          <w:iCs/>
          <w:color w:val="auto"/>
          <w:lang w:eastAsia="ja-JP"/>
        </w:rPr>
        <w:t xml:space="preserve">CTOC </w:t>
      </w:r>
      <w:r w:rsidR="005A7240">
        <w:rPr>
          <w:bCs/>
          <w:iCs/>
          <w:color w:val="auto"/>
          <w:lang w:eastAsia="ja-JP"/>
        </w:rPr>
        <w:t>anticipates that</w:t>
      </w:r>
      <w:r w:rsidRPr="00FC21B5">
        <w:rPr>
          <w:rFonts w:hint="eastAsia"/>
          <w:bCs/>
          <w:iCs/>
          <w:color w:val="auto"/>
          <w:lang w:eastAsia="ja-JP"/>
        </w:rPr>
        <w:t xml:space="preserve"> China </w:t>
      </w:r>
      <w:r w:rsidR="005A7240">
        <w:rPr>
          <w:bCs/>
          <w:iCs/>
          <w:color w:val="auto"/>
          <w:lang w:eastAsia="ja-JP"/>
        </w:rPr>
        <w:t>will</w:t>
      </w:r>
      <w:r w:rsidRPr="00FC21B5">
        <w:rPr>
          <w:rFonts w:hint="eastAsia"/>
          <w:bCs/>
          <w:iCs/>
          <w:color w:val="auto"/>
          <w:lang w:eastAsia="ja-JP"/>
        </w:rPr>
        <w:t xml:space="preserve"> </w:t>
      </w:r>
      <w:r>
        <w:rPr>
          <w:rFonts w:hint="eastAsia"/>
          <w:bCs/>
          <w:iCs/>
          <w:color w:val="auto"/>
          <w:lang w:eastAsia="ja-JP"/>
        </w:rPr>
        <w:t>implement the new standard and phase out the use of CTC for analytical use</w:t>
      </w:r>
      <w:r w:rsidR="005A7240">
        <w:rPr>
          <w:bCs/>
          <w:iCs/>
          <w:color w:val="auto"/>
          <w:lang w:eastAsia="ja-JP"/>
        </w:rPr>
        <w:t>s</w:t>
      </w:r>
      <w:r>
        <w:rPr>
          <w:rFonts w:hint="eastAsia"/>
          <w:bCs/>
          <w:iCs/>
          <w:color w:val="auto"/>
          <w:lang w:eastAsia="ja-JP"/>
        </w:rPr>
        <w:t xml:space="preserve"> </w:t>
      </w:r>
      <w:r w:rsidR="0086014F">
        <w:rPr>
          <w:bCs/>
          <w:iCs/>
          <w:color w:val="auto"/>
          <w:lang w:eastAsia="ja-JP"/>
        </w:rPr>
        <w:t>as soon as possible</w:t>
      </w:r>
      <w:r>
        <w:rPr>
          <w:rFonts w:hint="eastAsia"/>
          <w:bCs/>
          <w:iCs/>
          <w:color w:val="auto"/>
          <w:lang w:eastAsia="ja-JP"/>
        </w:rPr>
        <w:t xml:space="preserve">. </w:t>
      </w:r>
      <w:r w:rsidR="00350B22" w:rsidRPr="00674E3C">
        <w:rPr>
          <w:bCs/>
          <w:iCs/>
          <w:color w:val="auto"/>
          <w:lang w:eastAsia="ja-JP"/>
        </w:rPr>
        <w:t>With the revised standard in 2016, it is highly unlikely that China would need to seek a future EUN for CTC in this use.</w:t>
      </w:r>
    </w:p>
    <w:p w14:paraId="01E2B4F7" w14:textId="5D8F28E8" w:rsidR="00BA2B00" w:rsidRDefault="00BA2B00">
      <w:pPr>
        <w:spacing w:after="0"/>
      </w:pPr>
      <w:r>
        <w:br w:type="page"/>
      </w:r>
    </w:p>
    <w:p w14:paraId="58213448" w14:textId="77777777" w:rsidR="00326F62" w:rsidRPr="00326F62" w:rsidRDefault="00326F62" w:rsidP="00326F62"/>
    <w:p w14:paraId="0168867F" w14:textId="77777777" w:rsidR="00AD4B2A" w:rsidRDefault="00591AA8" w:rsidP="0030141E">
      <w:pPr>
        <w:pStyle w:val="Heading1"/>
        <w:rPr>
          <w:rStyle w:val="PageNumber"/>
        </w:rPr>
      </w:pPr>
      <w:bookmarkStart w:id="35" w:name="_Toc388648338"/>
      <w:bookmarkStart w:id="36" w:name="_Toc295406119"/>
      <w:bookmarkStart w:id="37" w:name="_Toc293834601"/>
      <w:bookmarkStart w:id="38" w:name="OLE_LINK34"/>
      <w:bookmarkStart w:id="39" w:name="OLE_LINK35"/>
      <w:bookmarkEnd w:id="12"/>
      <w:bookmarkEnd w:id="13"/>
      <w:bookmarkEnd w:id="14"/>
      <w:bookmarkEnd w:id="17"/>
      <w:bookmarkEnd w:id="18"/>
      <w:r>
        <w:rPr>
          <w:rStyle w:val="PageNumber"/>
        </w:rPr>
        <w:t>3</w:t>
      </w:r>
      <w:r>
        <w:rPr>
          <w:rStyle w:val="PageNumber"/>
        </w:rPr>
        <w:tab/>
      </w:r>
      <w:r w:rsidRPr="0030141E">
        <w:t>Foams TOC (FTOC) Progress Report</w:t>
      </w:r>
      <w:bookmarkEnd w:id="35"/>
      <w:bookmarkEnd w:id="36"/>
      <w:r>
        <w:rPr>
          <w:rStyle w:val="PageNumber"/>
        </w:rPr>
        <w:t xml:space="preserve"> </w:t>
      </w:r>
    </w:p>
    <w:p w14:paraId="494322D2" w14:textId="29EA4203" w:rsidR="008C3A0C" w:rsidRDefault="008C3A0C" w:rsidP="008C3A0C">
      <w:pPr>
        <w:rPr>
          <w:color w:val="auto"/>
          <w:lang w:val="en-US" w:eastAsia="fr-FR"/>
        </w:rPr>
      </w:pPr>
      <w:r w:rsidRPr="00393D89">
        <w:rPr>
          <w:bCs/>
          <w:color w:val="auto"/>
        </w:rPr>
        <w:t xml:space="preserve">The </w:t>
      </w:r>
      <w:r>
        <w:rPr>
          <w:bCs/>
          <w:color w:val="auto"/>
        </w:rPr>
        <w:t>F</w:t>
      </w:r>
      <w:r w:rsidRPr="00393D89">
        <w:rPr>
          <w:bCs/>
          <w:color w:val="auto"/>
        </w:rPr>
        <w:t>TOC 2014 Assessment Report has been published and is accessible at the Ozone Secretariat website</w:t>
      </w:r>
      <w:r w:rsidR="0099794D">
        <w:rPr>
          <w:bCs/>
          <w:color w:val="auto"/>
        </w:rPr>
        <w:t xml:space="preserve"> </w:t>
      </w:r>
      <w:hyperlink r:id="rId18" w:history="1">
        <w:r w:rsidR="0099794D" w:rsidRPr="0099794D">
          <w:rPr>
            <w:color w:val="0B4CB4"/>
            <w:szCs w:val="22"/>
            <w:u w:val="single" w:color="0B4CB4"/>
            <w:lang w:val="en-US" w:eastAsia="en-US"/>
          </w:rPr>
          <w:t>http://ozone.unep.org/Assessment_Panels/TEAP/Reports/FTOC/FTOC-2014-Assessment-Report.pdf</w:t>
        </w:r>
      </w:hyperlink>
      <w:r w:rsidRPr="00393D89">
        <w:rPr>
          <w:color w:val="4F81BD" w:themeColor="accent1"/>
        </w:rPr>
        <w:t xml:space="preserve">. </w:t>
      </w:r>
      <w:r w:rsidRPr="00393D89">
        <w:rPr>
          <w:color w:val="auto"/>
          <w:lang w:eastAsia="fr-FR"/>
        </w:rPr>
        <w:t xml:space="preserve">The </w:t>
      </w:r>
      <w:r>
        <w:rPr>
          <w:color w:val="auto"/>
          <w:lang w:eastAsia="fr-FR"/>
        </w:rPr>
        <w:t>A</w:t>
      </w:r>
      <w:r w:rsidRPr="00393D89">
        <w:rPr>
          <w:color w:val="auto"/>
          <w:lang w:eastAsia="fr-FR"/>
        </w:rPr>
        <w:t>ssessment</w:t>
      </w:r>
      <w:r w:rsidR="003A02B3">
        <w:rPr>
          <w:color w:val="auto"/>
          <w:lang w:eastAsia="fr-FR"/>
        </w:rPr>
        <w:t xml:space="preserve"> Report</w:t>
      </w:r>
      <w:r w:rsidRPr="00393D89">
        <w:rPr>
          <w:color w:val="auto"/>
          <w:lang w:eastAsia="fr-FR"/>
        </w:rPr>
        <w:t xml:space="preserve"> </w:t>
      </w:r>
      <w:r>
        <w:rPr>
          <w:color w:val="auto"/>
          <w:lang w:val="en-US" w:eastAsia="fr-FR"/>
        </w:rPr>
        <w:t xml:space="preserve">has taken a slightly different approach to the characterization of trends in blowing agent consumption in 2014, with stronger links back to the underlying growth in foam markets. The Report has also assessed the progress made in transitioning from HCFCs in Article 5 parties and the challenges remaining, particularly in the PU Spray and Extruded Polystyrene (XPS) sectors. The continued emergence of low-GWP blowing agent options, such as unsaturated H(C)FCs (H(C)FOs) and oxygenated hydrocarbons is also documented, leading to the following assessment of blowing agent markets to 2020. </w:t>
      </w:r>
    </w:p>
    <w:p w14:paraId="025AFD56" w14:textId="77777777" w:rsidR="008C3A0C" w:rsidRDefault="008C3A0C" w:rsidP="008C3A0C">
      <w:pPr>
        <w:shd w:val="clear" w:color="auto" w:fill="FFFFFF"/>
        <w:spacing w:after="0"/>
        <w:ind w:left="1134" w:hanging="1134"/>
        <w:rPr>
          <w:rFonts w:asciiTheme="majorBidi" w:hAnsiTheme="majorBidi" w:cstheme="majorBidi"/>
          <w:color w:val="auto"/>
          <w:szCs w:val="24"/>
          <w:lang w:val="en-US" w:eastAsia="fr-FR"/>
        </w:rPr>
      </w:pPr>
    </w:p>
    <w:p w14:paraId="0E5E0DC6" w14:textId="2F9BAD7A" w:rsidR="008C3A0C" w:rsidRPr="004A7A34" w:rsidRDefault="008C3A0C" w:rsidP="008C3A0C">
      <w:pPr>
        <w:shd w:val="clear" w:color="auto" w:fill="FFFFFF"/>
        <w:spacing w:after="0"/>
        <w:ind w:left="1134" w:hanging="1134"/>
        <w:rPr>
          <w:rFonts w:asciiTheme="majorBidi" w:hAnsiTheme="majorBidi" w:cstheme="majorBidi"/>
          <w:b/>
          <w:i/>
          <w:color w:val="auto"/>
          <w:szCs w:val="24"/>
          <w:lang w:val="en-US" w:eastAsia="fr-FR"/>
        </w:rPr>
      </w:pPr>
      <w:r>
        <w:rPr>
          <w:rFonts w:asciiTheme="majorBidi" w:hAnsiTheme="majorBidi" w:cstheme="majorBidi"/>
          <w:b/>
          <w:i/>
          <w:color w:val="auto"/>
          <w:szCs w:val="24"/>
          <w:lang w:val="en-US" w:eastAsia="fr-FR"/>
        </w:rPr>
        <w:t>Figure 3.1 – Assessment of the historic, current and future development of global blowing agent demand by blowing agent type</w:t>
      </w:r>
    </w:p>
    <w:p w14:paraId="0B451270" w14:textId="77777777" w:rsidR="008C3A0C" w:rsidRDefault="008C3A0C" w:rsidP="008C3A0C">
      <w:pPr>
        <w:shd w:val="clear" w:color="auto" w:fill="FFFFFF"/>
        <w:spacing w:after="0"/>
        <w:rPr>
          <w:rFonts w:asciiTheme="majorBidi" w:hAnsiTheme="majorBidi" w:cstheme="majorBidi"/>
          <w:color w:val="auto"/>
          <w:szCs w:val="24"/>
          <w:lang w:val="en-US" w:eastAsia="fr-FR"/>
        </w:rPr>
      </w:pPr>
    </w:p>
    <w:p w14:paraId="73E10869" w14:textId="77777777" w:rsidR="008C3A0C" w:rsidRDefault="008C3A0C" w:rsidP="008C3A0C">
      <w:pPr>
        <w:shd w:val="clear" w:color="auto" w:fill="FFFFFF"/>
        <w:spacing w:after="0"/>
        <w:rPr>
          <w:rFonts w:asciiTheme="majorBidi" w:hAnsiTheme="majorBidi" w:cstheme="majorBidi"/>
          <w:color w:val="auto"/>
          <w:szCs w:val="24"/>
          <w:lang w:val="en-US" w:eastAsia="fr-FR"/>
        </w:rPr>
      </w:pPr>
    </w:p>
    <w:p w14:paraId="1B0C870D" w14:textId="77777777" w:rsidR="008C3A0C" w:rsidRDefault="008C3A0C" w:rsidP="008C3A0C">
      <w:pPr>
        <w:shd w:val="clear" w:color="auto" w:fill="FFFFFF"/>
        <w:spacing w:after="0"/>
        <w:rPr>
          <w:rFonts w:asciiTheme="majorBidi" w:hAnsiTheme="majorBidi" w:cstheme="majorBidi"/>
          <w:color w:val="auto"/>
          <w:szCs w:val="24"/>
          <w:lang w:val="en-US" w:eastAsia="fr-FR"/>
        </w:rPr>
      </w:pPr>
      <w:r w:rsidRPr="004A7A34">
        <w:rPr>
          <w:rFonts w:asciiTheme="majorBidi" w:hAnsiTheme="majorBidi" w:cstheme="majorBidi"/>
          <w:noProof/>
          <w:color w:val="auto"/>
          <w:szCs w:val="24"/>
          <w:lang w:val="en-US" w:eastAsia="en-US"/>
        </w:rPr>
        <w:drawing>
          <wp:inline distT="0" distB="0" distL="0" distR="0" wp14:anchorId="6A0F46FB" wp14:editId="6722E88B">
            <wp:extent cx="5491480" cy="35816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1480" cy="3581687"/>
                    </a:xfrm>
                    <a:prstGeom prst="rect">
                      <a:avLst/>
                    </a:prstGeom>
                    <a:noFill/>
                    <a:ln>
                      <a:noFill/>
                    </a:ln>
                  </pic:spPr>
                </pic:pic>
              </a:graphicData>
            </a:graphic>
          </wp:inline>
        </w:drawing>
      </w:r>
      <w:r>
        <w:rPr>
          <w:rFonts w:asciiTheme="majorBidi" w:hAnsiTheme="majorBidi" w:cstheme="majorBidi"/>
          <w:color w:val="auto"/>
          <w:szCs w:val="24"/>
          <w:lang w:val="en-US" w:eastAsia="fr-FR"/>
        </w:rPr>
        <w:t xml:space="preserve">   </w:t>
      </w:r>
      <w:r w:rsidRPr="00393D89">
        <w:rPr>
          <w:rFonts w:asciiTheme="majorBidi" w:hAnsiTheme="majorBidi" w:cstheme="majorBidi"/>
          <w:color w:val="auto"/>
          <w:szCs w:val="24"/>
          <w:lang w:val="en-US" w:eastAsia="fr-FR"/>
        </w:rPr>
        <w:t xml:space="preserve"> </w:t>
      </w:r>
    </w:p>
    <w:p w14:paraId="55F29081" w14:textId="77777777" w:rsidR="008C3A0C" w:rsidRDefault="008C3A0C" w:rsidP="008C3A0C">
      <w:pPr>
        <w:shd w:val="clear" w:color="auto" w:fill="FFFFFF"/>
        <w:spacing w:after="0"/>
        <w:rPr>
          <w:rFonts w:asciiTheme="majorBidi" w:hAnsiTheme="majorBidi" w:cstheme="majorBidi"/>
          <w:color w:val="auto"/>
          <w:szCs w:val="24"/>
          <w:lang w:val="en-US" w:eastAsia="fr-FR"/>
        </w:rPr>
      </w:pPr>
    </w:p>
    <w:p w14:paraId="46BAF7E4" w14:textId="77777777" w:rsidR="00D46945" w:rsidRDefault="00D46945" w:rsidP="008C3A0C">
      <w:pPr>
        <w:shd w:val="clear" w:color="auto" w:fill="FFFFFF"/>
        <w:spacing w:after="0"/>
        <w:rPr>
          <w:rFonts w:asciiTheme="majorBidi" w:hAnsiTheme="majorBidi" w:cstheme="majorBidi"/>
          <w:bCs/>
          <w:color w:val="auto"/>
          <w:szCs w:val="24"/>
        </w:rPr>
      </w:pPr>
    </w:p>
    <w:p w14:paraId="559E7A0E" w14:textId="77777777" w:rsidR="008C3A0C" w:rsidRDefault="008C3A0C" w:rsidP="008C3A0C">
      <w:pPr>
        <w:shd w:val="clear" w:color="auto" w:fill="FFFFFF"/>
        <w:spacing w:after="0"/>
        <w:rPr>
          <w:rFonts w:asciiTheme="majorBidi" w:hAnsiTheme="majorBidi" w:cstheme="majorBidi"/>
          <w:bCs/>
          <w:color w:val="auto"/>
          <w:szCs w:val="24"/>
        </w:rPr>
      </w:pPr>
      <w:r>
        <w:rPr>
          <w:rFonts w:asciiTheme="majorBidi" w:hAnsiTheme="majorBidi" w:cstheme="majorBidi"/>
          <w:bCs/>
          <w:color w:val="auto"/>
          <w:szCs w:val="24"/>
        </w:rPr>
        <w:t xml:space="preserve">The Assessment Report will be presented by the out-going FTOC Co-Chairs to parties at the July OEWG. This presentation will also include any further updates in the development of the blowing agent choices, with focus on the impact of the various F-Gas initiatives on the selections being made, especially in XPS sectors where HFC-152a is becoming more prevalent.     </w:t>
      </w:r>
    </w:p>
    <w:p w14:paraId="3BBD5915" w14:textId="77777777" w:rsidR="008C3A0C" w:rsidRDefault="008C3A0C" w:rsidP="008C3A0C">
      <w:pPr>
        <w:shd w:val="clear" w:color="auto" w:fill="FFFFFF"/>
        <w:spacing w:after="0"/>
        <w:rPr>
          <w:rFonts w:asciiTheme="majorBidi" w:hAnsiTheme="majorBidi" w:cstheme="majorBidi"/>
          <w:bCs/>
          <w:color w:val="auto"/>
          <w:szCs w:val="24"/>
        </w:rPr>
      </w:pPr>
    </w:p>
    <w:p w14:paraId="21FC5CE0" w14:textId="77777777" w:rsidR="00AD4B2A" w:rsidRDefault="00591AA8">
      <w:pPr>
        <w:pStyle w:val="ListParagraph1"/>
        <w:numPr>
          <w:ilvl w:val="0"/>
          <w:numId w:val="0"/>
        </w:numPr>
        <w:textAlignment w:val="baseline"/>
      </w:pPr>
      <w:r>
        <w:br w:type="page"/>
      </w:r>
    </w:p>
    <w:p w14:paraId="6983D3B1" w14:textId="77777777" w:rsidR="00AD4B2A" w:rsidRDefault="00591AA8" w:rsidP="0030141E">
      <w:pPr>
        <w:pStyle w:val="Heading1"/>
      </w:pPr>
      <w:bookmarkStart w:id="40" w:name="_Toc388648339"/>
      <w:bookmarkStart w:id="41" w:name="_Toc295406120"/>
      <w:bookmarkEnd w:id="37"/>
      <w:bookmarkEnd w:id="38"/>
      <w:bookmarkEnd w:id="39"/>
      <w:r>
        <w:rPr>
          <w:rStyle w:val="PageNumber"/>
        </w:rPr>
        <w:lastRenderedPageBreak/>
        <w:t>4</w:t>
      </w:r>
      <w:r>
        <w:tab/>
        <w:t>Halons TOC (HTOC) Progress Report</w:t>
      </w:r>
      <w:bookmarkEnd w:id="40"/>
      <w:bookmarkEnd w:id="41"/>
    </w:p>
    <w:p w14:paraId="0962FE75" w14:textId="161D3726" w:rsidR="00350B22" w:rsidRDefault="00914F15" w:rsidP="00350B22">
      <w:pPr>
        <w:shd w:val="clear" w:color="auto" w:fill="FFFFFF"/>
        <w:spacing w:after="0"/>
        <w:rPr>
          <w:rFonts w:asciiTheme="majorBidi" w:hAnsiTheme="majorBidi" w:cstheme="majorBidi"/>
          <w:color w:val="auto"/>
          <w:szCs w:val="24"/>
          <w:lang w:val="en-US" w:eastAsia="fr-FR"/>
        </w:rPr>
      </w:pPr>
      <w:bookmarkStart w:id="42" w:name="_Toc515246693"/>
      <w:bookmarkStart w:id="43" w:name="_Toc39573689"/>
      <w:r w:rsidRPr="00B74C5B">
        <w:rPr>
          <w:rFonts w:asciiTheme="majorBidi" w:hAnsiTheme="majorBidi" w:cstheme="majorBidi"/>
          <w:bCs/>
          <w:color w:val="auto"/>
          <w:szCs w:val="24"/>
        </w:rPr>
        <w:t xml:space="preserve">The </w:t>
      </w:r>
      <w:r>
        <w:rPr>
          <w:rFonts w:asciiTheme="majorBidi" w:hAnsiTheme="majorBidi" w:cstheme="majorBidi"/>
          <w:bCs/>
          <w:color w:val="auto"/>
          <w:szCs w:val="24"/>
        </w:rPr>
        <w:t>H</w:t>
      </w:r>
      <w:r w:rsidRPr="00B74C5B">
        <w:rPr>
          <w:rFonts w:asciiTheme="majorBidi" w:hAnsiTheme="majorBidi" w:cstheme="majorBidi"/>
          <w:bCs/>
          <w:color w:val="auto"/>
          <w:szCs w:val="24"/>
        </w:rPr>
        <w:t xml:space="preserve">TOC 2014 Assessment Report has been published and is accessible at the Ozone Secretariat website: </w:t>
      </w:r>
      <w:hyperlink r:id="rId20" w:history="1">
        <w:r w:rsidR="0099794D" w:rsidRPr="0099794D">
          <w:rPr>
            <w:color w:val="0B4CB4"/>
            <w:szCs w:val="22"/>
            <w:u w:val="single" w:color="0B4CB4"/>
            <w:lang w:val="en-US" w:eastAsia="en-US"/>
          </w:rPr>
          <w:t>http://ozone.unep.org/Assessment_Panels/TEAP/Reports/HTOC/HTOC%202014%20Assessment%20Report.pdf</w:t>
        </w:r>
      </w:hyperlink>
      <w:r w:rsidRPr="0099794D">
        <w:rPr>
          <w:color w:val="4F81BD" w:themeColor="accent1"/>
          <w:szCs w:val="22"/>
        </w:rPr>
        <w:t xml:space="preserve">. </w:t>
      </w:r>
      <w:r w:rsidRPr="0099794D">
        <w:rPr>
          <w:color w:val="auto"/>
          <w:szCs w:val="22"/>
          <w:lang w:eastAsia="fr-FR"/>
        </w:rPr>
        <w:t xml:space="preserve">The assessment </w:t>
      </w:r>
      <w:r w:rsidRPr="0099794D">
        <w:rPr>
          <w:color w:val="auto"/>
          <w:szCs w:val="22"/>
        </w:rPr>
        <w:t xml:space="preserve">provides </w:t>
      </w:r>
      <w:r w:rsidRPr="0099794D">
        <w:rPr>
          <w:szCs w:val="22"/>
        </w:rPr>
        <w:t xml:space="preserve">new or </w:t>
      </w:r>
      <w:r>
        <w:rPr>
          <w:sz w:val="23"/>
          <w:szCs w:val="23"/>
        </w:rPr>
        <w:t xml:space="preserve">updated information only and focuses on the important messages for the Parties to consider such as the continued reliance on halons or high GWP alternatives in several important sectors, continued need for recycled halon for legacy uses, and lack of progress in civil aviation in implementing alternatives for new production aircraft and for new designs. </w:t>
      </w:r>
      <w:r w:rsidRPr="00B74C5B" w:rsidDel="00C3442C">
        <w:rPr>
          <w:rFonts w:asciiTheme="majorBidi" w:hAnsiTheme="majorBidi" w:cstheme="majorBidi"/>
          <w:color w:val="auto"/>
          <w:szCs w:val="24"/>
          <w:lang w:val="en-US" w:eastAsia="fr-FR"/>
        </w:rPr>
        <w:t xml:space="preserve"> </w:t>
      </w:r>
      <w:r w:rsidRPr="00B74C5B">
        <w:rPr>
          <w:rFonts w:asciiTheme="majorBidi" w:hAnsiTheme="majorBidi" w:cstheme="majorBidi"/>
          <w:color w:val="auto"/>
          <w:szCs w:val="24"/>
          <w:lang w:val="en-US" w:eastAsia="fr-FR"/>
        </w:rPr>
        <w:t xml:space="preserve">In view of the recent publication of the </w:t>
      </w:r>
      <w:r>
        <w:rPr>
          <w:rFonts w:asciiTheme="majorBidi" w:hAnsiTheme="majorBidi" w:cstheme="majorBidi"/>
          <w:color w:val="auto"/>
          <w:szCs w:val="24"/>
          <w:lang w:val="en-US" w:eastAsia="fr-FR"/>
        </w:rPr>
        <w:t>H</w:t>
      </w:r>
      <w:r w:rsidRPr="00B74C5B">
        <w:rPr>
          <w:rFonts w:asciiTheme="majorBidi" w:hAnsiTheme="majorBidi" w:cstheme="majorBidi"/>
          <w:color w:val="auto"/>
          <w:szCs w:val="24"/>
          <w:lang w:val="en-US" w:eastAsia="fr-FR"/>
        </w:rPr>
        <w:t xml:space="preserve">TOC 2014 Assessment Report, </w:t>
      </w:r>
      <w:r>
        <w:rPr>
          <w:rFonts w:asciiTheme="majorBidi" w:hAnsiTheme="majorBidi" w:cstheme="majorBidi"/>
          <w:color w:val="auto"/>
          <w:szCs w:val="24"/>
          <w:lang w:val="en-US" w:eastAsia="fr-FR"/>
        </w:rPr>
        <w:t>H</w:t>
      </w:r>
      <w:r w:rsidRPr="00B74C5B">
        <w:rPr>
          <w:rFonts w:asciiTheme="majorBidi" w:hAnsiTheme="majorBidi" w:cstheme="majorBidi"/>
          <w:color w:val="auto"/>
          <w:szCs w:val="24"/>
          <w:lang w:val="en-US" w:eastAsia="fr-FR"/>
        </w:rPr>
        <w:t xml:space="preserve">TOC </w:t>
      </w:r>
      <w:r>
        <w:rPr>
          <w:rFonts w:asciiTheme="majorBidi" w:hAnsiTheme="majorBidi" w:cstheme="majorBidi"/>
          <w:color w:val="auto"/>
          <w:szCs w:val="24"/>
          <w:lang w:val="en-US" w:eastAsia="fr-FR"/>
        </w:rPr>
        <w:t xml:space="preserve">only provides brief updates below in its 2015 Progress Report. HTOC </w:t>
      </w:r>
      <w:r w:rsidRPr="00B74C5B">
        <w:rPr>
          <w:rFonts w:asciiTheme="majorBidi" w:hAnsiTheme="majorBidi" w:cstheme="majorBidi"/>
          <w:color w:val="auto"/>
          <w:szCs w:val="24"/>
          <w:lang w:val="en-US" w:eastAsia="fr-FR"/>
        </w:rPr>
        <w:t>looks forward to presenting its Assessment Report to Parties at the July OEWG</w:t>
      </w:r>
      <w:r>
        <w:rPr>
          <w:rFonts w:asciiTheme="majorBidi" w:hAnsiTheme="majorBidi" w:cstheme="majorBidi"/>
          <w:color w:val="auto"/>
          <w:szCs w:val="24"/>
          <w:lang w:val="en-US" w:eastAsia="fr-FR"/>
        </w:rPr>
        <w:t>.</w:t>
      </w:r>
    </w:p>
    <w:p w14:paraId="09009432" w14:textId="77777777" w:rsidR="00914F15" w:rsidRPr="00B74C5B" w:rsidRDefault="00914F15" w:rsidP="00350B22">
      <w:pPr>
        <w:shd w:val="clear" w:color="auto" w:fill="FFFFFF"/>
        <w:spacing w:after="0"/>
        <w:rPr>
          <w:rFonts w:asciiTheme="majorBidi" w:hAnsiTheme="majorBidi" w:cstheme="majorBidi"/>
          <w:bCs/>
          <w:color w:val="auto"/>
          <w:szCs w:val="24"/>
        </w:rPr>
      </w:pPr>
    </w:p>
    <w:p w14:paraId="015D1C3C" w14:textId="0F0D3C7B" w:rsidR="00326F62" w:rsidRPr="00326F62" w:rsidRDefault="00326F62" w:rsidP="00326F62">
      <w:pPr>
        <w:rPr>
          <w:szCs w:val="22"/>
        </w:rPr>
      </w:pPr>
      <w:r w:rsidRPr="00326F62">
        <w:rPr>
          <w:szCs w:val="22"/>
        </w:rPr>
        <w:t>The United States, through its National Institute of Standards and Technology, hosted a workshop to try to determine why the currently available halon replacement agents have failed the Exploding Aerosol Can test, wh</w:t>
      </w:r>
      <w:r w:rsidR="005A7240">
        <w:rPr>
          <w:szCs w:val="22"/>
        </w:rPr>
        <w:t>ich is one of the required test</w:t>
      </w:r>
      <w:r w:rsidRPr="00326F62">
        <w:rPr>
          <w:szCs w:val="22"/>
        </w:rPr>
        <w:t>s needed to meet the Minimum Performance Standard in civil aviation cargo bays.  The intent is to be able to predict the behavior of any new agents that are developed.  A small</w:t>
      </w:r>
      <w:r w:rsidR="005A7240">
        <w:rPr>
          <w:szCs w:val="22"/>
        </w:rPr>
        <w:t>-</w:t>
      </w:r>
      <w:r w:rsidRPr="00326F62">
        <w:rPr>
          <w:szCs w:val="22"/>
        </w:rPr>
        <w:t>scale screening test has been developed and is available</w:t>
      </w:r>
      <w:r w:rsidR="00914F15">
        <w:rPr>
          <w:szCs w:val="22"/>
        </w:rPr>
        <w:t xml:space="preserve"> </w:t>
      </w:r>
      <w:r w:rsidR="006F33D8">
        <w:rPr>
          <w:szCs w:val="22"/>
        </w:rPr>
        <w:t>through NIST</w:t>
      </w:r>
      <w:r w:rsidRPr="00326F62">
        <w:rPr>
          <w:szCs w:val="22"/>
        </w:rPr>
        <w:t xml:space="preserve">. </w:t>
      </w:r>
    </w:p>
    <w:p w14:paraId="6C10ED61" w14:textId="77777777" w:rsidR="00326F62" w:rsidRPr="00326F62" w:rsidRDefault="00326F62" w:rsidP="00326F62">
      <w:pPr>
        <w:rPr>
          <w:szCs w:val="22"/>
        </w:rPr>
      </w:pPr>
      <w:r w:rsidRPr="00326F62">
        <w:rPr>
          <w:szCs w:val="22"/>
        </w:rPr>
        <w:t>The HTOC continues to strengthen or maintain key expertise.  At the end of 2014, five members retired from service and two new members have been appointed by the HTOC co-chairs, in consultation with the relevant Parties.   HTOC is still seeking additional expertise in civil aviation from Far East Asia</w:t>
      </w:r>
      <w:r w:rsidR="005A7240">
        <w:rPr>
          <w:szCs w:val="22"/>
        </w:rPr>
        <w:t>,</w:t>
      </w:r>
      <w:r w:rsidRPr="00326F62">
        <w:rPr>
          <w:szCs w:val="22"/>
        </w:rPr>
        <w:t xml:space="preserve"> and</w:t>
      </w:r>
      <w:r w:rsidR="005A7240">
        <w:rPr>
          <w:szCs w:val="22"/>
        </w:rPr>
        <w:t xml:space="preserve"> halon</w:t>
      </w:r>
      <w:r w:rsidRPr="00326F62">
        <w:rPr>
          <w:szCs w:val="22"/>
        </w:rPr>
        <w:t xml:space="preserve"> banking expertise in Africa and South America.   </w:t>
      </w:r>
    </w:p>
    <w:p w14:paraId="606F9C4C" w14:textId="3C2540ED" w:rsidR="00326F62" w:rsidRPr="00326F62" w:rsidRDefault="00326F62" w:rsidP="00326F62">
      <w:pPr>
        <w:rPr>
          <w:szCs w:val="22"/>
        </w:rPr>
      </w:pPr>
      <w:r w:rsidRPr="00326F62">
        <w:rPr>
          <w:szCs w:val="22"/>
        </w:rPr>
        <w:t>The UNEP Regional Office for Asia and the Pacific</w:t>
      </w:r>
      <w:r w:rsidR="006F33D8">
        <w:rPr>
          <w:szCs w:val="22"/>
        </w:rPr>
        <w:t xml:space="preserve"> (ROAP)</w:t>
      </w:r>
      <w:r w:rsidRPr="00326F62">
        <w:rPr>
          <w:szCs w:val="22"/>
        </w:rPr>
        <w:t xml:space="preserve"> arranged for HTOC representatives to meet with the Regional Director of the Asia and Pacific Office of International Civil Aviation Organization</w:t>
      </w:r>
      <w:r w:rsidR="006F33D8">
        <w:rPr>
          <w:szCs w:val="22"/>
        </w:rPr>
        <w:t xml:space="preserve"> (ICAO)</w:t>
      </w:r>
      <w:r w:rsidRPr="00326F62">
        <w:rPr>
          <w:szCs w:val="22"/>
        </w:rPr>
        <w:t xml:space="preserve"> just prior to OEWG-35. </w:t>
      </w:r>
      <w:r w:rsidR="006F33D8">
        <w:rPr>
          <w:szCs w:val="22"/>
        </w:rPr>
        <w:t>On the margins of OEWG-35, HTOC and UNEP ROAP representatives also discussed the issue of halons and aviation uses with staff from the Thai Civil Aviation Authority.</w:t>
      </w:r>
      <w:r w:rsidRPr="00326F62">
        <w:rPr>
          <w:szCs w:val="22"/>
        </w:rPr>
        <w:t xml:space="preserve"> The HTOC developed a questionnaire for dissemination to airlines that ICAO then provided to the Director of Aviation Environment in the International Air Transport Association, based in Geneva.  The HTOC may be asked to participate in an upcoming regional ICAO meeting in October in Manila, Philippines to continue to raise awareness on the issue of continued reliance on halons in civil aviation. </w:t>
      </w:r>
    </w:p>
    <w:p w14:paraId="34CBF0F1" w14:textId="77777777" w:rsidR="002D15FF" w:rsidRDefault="00591AA8" w:rsidP="0030141E">
      <w:pPr>
        <w:pStyle w:val="Heading1"/>
      </w:pPr>
      <w:r>
        <w:rPr>
          <w:rFonts w:eastAsia="MS Mincho"/>
        </w:rPr>
        <w:br w:type="page"/>
      </w:r>
      <w:bookmarkStart w:id="44" w:name="_Toc351916854"/>
      <w:bookmarkStart w:id="45" w:name="_Toc353428415"/>
      <w:bookmarkStart w:id="46" w:name="_Toc388648345"/>
      <w:bookmarkStart w:id="47" w:name="_Toc316306131"/>
    </w:p>
    <w:p w14:paraId="0EE72585" w14:textId="77777777" w:rsidR="00AD4B2A" w:rsidRDefault="002D15FF" w:rsidP="0030141E">
      <w:pPr>
        <w:pStyle w:val="Heading1"/>
      </w:pPr>
      <w:bookmarkStart w:id="48" w:name="_Toc295406121"/>
      <w:r>
        <w:lastRenderedPageBreak/>
        <w:t>5</w:t>
      </w:r>
      <w:r w:rsidR="00591AA8">
        <w:tab/>
        <w:t>Methyl Bromide TOC (MBTOC) Progress Report</w:t>
      </w:r>
      <w:bookmarkEnd w:id="44"/>
      <w:bookmarkEnd w:id="45"/>
      <w:bookmarkEnd w:id="46"/>
      <w:bookmarkEnd w:id="48"/>
      <w:r w:rsidR="00591AA8">
        <w:t xml:space="preserve"> </w:t>
      </w:r>
    </w:p>
    <w:p w14:paraId="54971C3B" w14:textId="77777777" w:rsidR="00CA5E9C" w:rsidRPr="00350022" w:rsidRDefault="00CA5E9C" w:rsidP="002B7818">
      <w:pPr>
        <w:pStyle w:val="Heading2"/>
      </w:pPr>
      <w:bookmarkStart w:id="49" w:name="_Toc413659282"/>
      <w:bookmarkStart w:id="50" w:name="_Toc413659345"/>
      <w:bookmarkStart w:id="51" w:name="_Toc413659412"/>
      <w:bookmarkStart w:id="52" w:name="_Toc413659847"/>
      <w:bookmarkStart w:id="53" w:name="_Toc414934265"/>
      <w:bookmarkStart w:id="54" w:name="_Toc418842500"/>
      <w:bookmarkStart w:id="55" w:name="_Toc295406122"/>
      <w:bookmarkStart w:id="56" w:name="_Toc230592156"/>
      <w:bookmarkEnd w:id="42"/>
      <w:bookmarkEnd w:id="43"/>
      <w:bookmarkEnd w:id="47"/>
      <w:r>
        <w:t>5.</w:t>
      </w:r>
      <w:r w:rsidRPr="00350022">
        <w:t>1</w:t>
      </w:r>
      <w:r>
        <w:t xml:space="preserve"> </w:t>
      </w:r>
      <w:bookmarkEnd w:id="49"/>
      <w:bookmarkEnd w:id="50"/>
      <w:bookmarkEnd w:id="51"/>
      <w:bookmarkEnd w:id="52"/>
      <w:bookmarkEnd w:id="53"/>
      <w:bookmarkEnd w:id="54"/>
      <w:r>
        <w:t>Introduction</w:t>
      </w:r>
      <w:bookmarkEnd w:id="55"/>
    </w:p>
    <w:p w14:paraId="4422F71F" w14:textId="77777777" w:rsidR="00CA5E9C" w:rsidRPr="00350022" w:rsidRDefault="00CA5E9C" w:rsidP="00CA5E9C">
      <w:pPr>
        <w:shd w:val="clear" w:color="auto" w:fill="FFFFFF"/>
        <w:spacing w:after="0"/>
        <w:rPr>
          <w:rFonts w:asciiTheme="majorBidi" w:hAnsiTheme="majorBidi" w:cstheme="majorBidi"/>
          <w:bCs/>
          <w:color w:val="auto"/>
          <w:szCs w:val="24"/>
        </w:rPr>
      </w:pPr>
    </w:p>
    <w:p w14:paraId="0C6F4B7D" w14:textId="50D99DE3" w:rsidR="00725450" w:rsidRPr="00350022" w:rsidRDefault="00725450" w:rsidP="00725450">
      <w:pPr>
        <w:shd w:val="clear" w:color="auto" w:fill="FFFFFF"/>
        <w:spacing w:after="0"/>
        <w:rPr>
          <w:rFonts w:asciiTheme="majorBidi" w:hAnsiTheme="majorBidi" w:cstheme="majorBidi"/>
          <w:color w:val="auto"/>
          <w:szCs w:val="24"/>
          <w:lang w:val="en-US" w:eastAsia="fr-FR"/>
        </w:rPr>
      </w:pPr>
      <w:r w:rsidRPr="00350022">
        <w:rPr>
          <w:rFonts w:asciiTheme="majorBidi" w:hAnsiTheme="majorBidi" w:cstheme="majorBidi"/>
          <w:bCs/>
          <w:color w:val="auto"/>
          <w:szCs w:val="24"/>
        </w:rPr>
        <w:t>The MBTOC 2014 Assessment Report has been published and is accessible at the Ozone Secretariat website</w:t>
      </w:r>
      <w:r>
        <w:rPr>
          <w:rFonts w:asciiTheme="majorBidi" w:hAnsiTheme="majorBidi" w:cstheme="majorBidi"/>
          <w:bCs/>
          <w:color w:val="auto"/>
          <w:szCs w:val="24"/>
        </w:rPr>
        <w:t xml:space="preserve">: </w:t>
      </w:r>
      <w:hyperlink r:id="rId21" w:history="1">
        <w:r w:rsidRPr="000423B4">
          <w:rPr>
            <w:rStyle w:val="Hyperlink"/>
            <w:rFonts w:asciiTheme="majorBidi" w:hAnsiTheme="majorBidi" w:cstheme="majorBidi"/>
            <w:szCs w:val="24"/>
          </w:rPr>
          <w:t>http://ozone.unep.org/Assessment_Panels/TEAP/Reports/MBTOC/MBTOC-Assessment-Report-2014.pdf</w:t>
        </w:r>
      </w:hyperlink>
      <w:r>
        <w:rPr>
          <w:rFonts w:asciiTheme="majorBidi" w:hAnsiTheme="majorBidi" w:cstheme="majorBidi"/>
          <w:color w:val="4F81BD" w:themeColor="accent1"/>
          <w:szCs w:val="24"/>
        </w:rPr>
        <w:t xml:space="preserve">. </w:t>
      </w:r>
      <w:r w:rsidRPr="00350022">
        <w:rPr>
          <w:rFonts w:asciiTheme="majorBidi" w:hAnsiTheme="majorBidi" w:cstheme="majorBidi"/>
          <w:color w:val="auto"/>
          <w:szCs w:val="24"/>
          <w:lang w:eastAsia="fr-FR"/>
        </w:rPr>
        <w:t>Th</w:t>
      </w:r>
      <w:r>
        <w:rPr>
          <w:rFonts w:asciiTheme="majorBidi" w:hAnsiTheme="majorBidi" w:cstheme="majorBidi"/>
          <w:color w:val="auto"/>
          <w:szCs w:val="24"/>
          <w:lang w:eastAsia="fr-FR"/>
        </w:rPr>
        <w:t>e assessment</w:t>
      </w:r>
      <w:r w:rsidRPr="00350022">
        <w:rPr>
          <w:rFonts w:asciiTheme="majorBidi" w:hAnsiTheme="majorBidi" w:cstheme="majorBidi"/>
          <w:color w:val="auto"/>
          <w:szCs w:val="24"/>
          <w:lang w:eastAsia="fr-FR"/>
        </w:rPr>
        <w:t xml:space="preserve"> </w:t>
      </w:r>
      <w:r w:rsidRPr="00350022">
        <w:rPr>
          <w:rFonts w:asciiTheme="majorBidi" w:hAnsiTheme="majorBidi" w:cstheme="majorBidi"/>
          <w:color w:val="auto"/>
          <w:szCs w:val="24"/>
          <w:lang w:val="en-US" w:eastAsia="fr-FR"/>
        </w:rPr>
        <w:t>focuse</w:t>
      </w:r>
      <w:r>
        <w:rPr>
          <w:rFonts w:asciiTheme="majorBidi" w:hAnsiTheme="majorBidi" w:cstheme="majorBidi"/>
          <w:color w:val="auto"/>
          <w:szCs w:val="24"/>
          <w:lang w:val="en-US" w:eastAsia="fr-FR"/>
        </w:rPr>
        <w:t xml:space="preserve">s </w:t>
      </w:r>
      <w:r w:rsidRPr="00350022">
        <w:rPr>
          <w:rFonts w:asciiTheme="majorBidi" w:hAnsiTheme="majorBidi" w:cstheme="majorBidi"/>
          <w:color w:val="auto"/>
          <w:szCs w:val="24"/>
          <w:lang w:val="en-US" w:eastAsia="fr-FR"/>
        </w:rPr>
        <w:t>on recent progress made in the development and adoption of alternatives</w:t>
      </w:r>
      <w:r>
        <w:rPr>
          <w:rFonts w:asciiTheme="majorBidi" w:hAnsiTheme="majorBidi" w:cstheme="majorBidi"/>
          <w:color w:val="auto"/>
          <w:szCs w:val="24"/>
          <w:lang w:val="en-US" w:eastAsia="fr-FR"/>
        </w:rPr>
        <w:t xml:space="preserve"> to methyl bromide for pre-plant (</w:t>
      </w:r>
      <w:r w:rsidRPr="00350022">
        <w:rPr>
          <w:rFonts w:asciiTheme="majorBidi" w:hAnsiTheme="majorBidi" w:cstheme="majorBidi"/>
          <w:color w:val="auto"/>
          <w:szCs w:val="24"/>
          <w:lang w:val="en-US" w:eastAsia="fr-FR"/>
        </w:rPr>
        <w:t>soil</w:t>
      </w:r>
      <w:r>
        <w:rPr>
          <w:rFonts w:asciiTheme="majorBidi" w:hAnsiTheme="majorBidi" w:cstheme="majorBidi"/>
          <w:color w:val="auto"/>
          <w:szCs w:val="24"/>
          <w:lang w:val="en-US" w:eastAsia="fr-FR"/>
        </w:rPr>
        <w:t>)</w:t>
      </w:r>
      <w:r w:rsidRPr="00350022">
        <w:rPr>
          <w:rFonts w:asciiTheme="majorBidi" w:hAnsiTheme="majorBidi" w:cstheme="majorBidi"/>
          <w:color w:val="auto"/>
          <w:szCs w:val="24"/>
          <w:lang w:val="en-US" w:eastAsia="fr-FR"/>
        </w:rPr>
        <w:t>, structures and commodities (SC) and</w:t>
      </w:r>
      <w:r>
        <w:rPr>
          <w:rFonts w:asciiTheme="majorBidi" w:hAnsiTheme="majorBidi" w:cstheme="majorBidi"/>
          <w:color w:val="auto"/>
          <w:szCs w:val="24"/>
          <w:lang w:val="en-US" w:eastAsia="fr-FR"/>
        </w:rPr>
        <w:t xml:space="preserve"> </w:t>
      </w:r>
      <w:r w:rsidRPr="00350022">
        <w:rPr>
          <w:rFonts w:asciiTheme="majorBidi" w:hAnsiTheme="majorBidi" w:cstheme="majorBidi"/>
          <w:color w:val="auto"/>
          <w:szCs w:val="24"/>
          <w:lang w:val="en-US" w:eastAsia="fr-FR"/>
        </w:rPr>
        <w:t>quarantine and preshipment (QPS)</w:t>
      </w:r>
      <w:r>
        <w:rPr>
          <w:rFonts w:asciiTheme="majorBidi" w:hAnsiTheme="majorBidi" w:cstheme="majorBidi"/>
          <w:color w:val="auto"/>
          <w:szCs w:val="24"/>
          <w:lang w:val="en-US" w:eastAsia="fr-FR"/>
        </w:rPr>
        <w:t xml:space="preserve"> treatments</w:t>
      </w:r>
      <w:r w:rsidRPr="00350022">
        <w:rPr>
          <w:rFonts w:asciiTheme="majorBidi" w:hAnsiTheme="majorBidi" w:cstheme="majorBidi"/>
          <w:color w:val="auto"/>
          <w:szCs w:val="24"/>
          <w:lang w:val="en-US" w:eastAsia="fr-FR"/>
        </w:rPr>
        <w:t>. It also update</w:t>
      </w:r>
      <w:r>
        <w:rPr>
          <w:rFonts w:asciiTheme="majorBidi" w:hAnsiTheme="majorBidi" w:cstheme="majorBidi"/>
          <w:color w:val="auto"/>
          <w:szCs w:val="24"/>
          <w:lang w:val="en-US" w:eastAsia="fr-FR"/>
        </w:rPr>
        <w:t xml:space="preserve">s </w:t>
      </w:r>
      <w:r w:rsidRPr="00350022">
        <w:rPr>
          <w:rFonts w:asciiTheme="majorBidi" w:hAnsiTheme="majorBidi" w:cstheme="majorBidi"/>
          <w:color w:val="auto"/>
          <w:szCs w:val="24"/>
          <w:lang w:val="en-US" w:eastAsia="fr-FR"/>
        </w:rPr>
        <w:t>trends in methyl bromide (MB) production and consumption for controlled uses in A5 and non</w:t>
      </w:r>
      <w:r>
        <w:rPr>
          <w:rFonts w:asciiTheme="majorBidi" w:hAnsiTheme="majorBidi" w:cstheme="majorBidi"/>
          <w:color w:val="auto"/>
          <w:szCs w:val="24"/>
          <w:lang w:val="en-US" w:eastAsia="fr-FR"/>
        </w:rPr>
        <w:t>-</w:t>
      </w:r>
      <w:r w:rsidRPr="00350022">
        <w:rPr>
          <w:rFonts w:asciiTheme="majorBidi" w:hAnsiTheme="majorBidi" w:cstheme="majorBidi"/>
          <w:color w:val="auto"/>
          <w:szCs w:val="24"/>
          <w:lang w:val="en-US" w:eastAsia="fr-FR"/>
        </w:rPr>
        <w:t xml:space="preserve">A5 </w:t>
      </w:r>
      <w:r>
        <w:rPr>
          <w:rFonts w:asciiTheme="majorBidi" w:hAnsiTheme="majorBidi" w:cstheme="majorBidi"/>
          <w:color w:val="auto"/>
          <w:szCs w:val="24"/>
          <w:lang w:val="en-US" w:eastAsia="fr-FR"/>
        </w:rPr>
        <w:t>Parties</w:t>
      </w:r>
      <w:r w:rsidRPr="00350022">
        <w:rPr>
          <w:rFonts w:asciiTheme="majorBidi" w:hAnsiTheme="majorBidi" w:cstheme="majorBidi"/>
          <w:color w:val="auto"/>
          <w:szCs w:val="24"/>
          <w:lang w:val="en-US" w:eastAsia="fr-FR"/>
        </w:rPr>
        <w:t xml:space="preserve">. The report </w:t>
      </w:r>
      <w:r>
        <w:rPr>
          <w:rFonts w:asciiTheme="majorBidi" w:hAnsiTheme="majorBidi" w:cstheme="majorBidi"/>
          <w:color w:val="auto"/>
          <w:szCs w:val="24"/>
          <w:lang w:val="en-US" w:eastAsia="fr-FR"/>
        </w:rPr>
        <w:t xml:space="preserve">further </w:t>
      </w:r>
      <w:r w:rsidRPr="00350022">
        <w:rPr>
          <w:rFonts w:asciiTheme="majorBidi" w:hAnsiTheme="majorBidi" w:cstheme="majorBidi"/>
          <w:color w:val="auto"/>
          <w:szCs w:val="24"/>
          <w:lang w:val="en-US" w:eastAsia="fr-FR"/>
        </w:rPr>
        <w:t>estimate</w:t>
      </w:r>
      <w:r>
        <w:rPr>
          <w:rFonts w:asciiTheme="majorBidi" w:hAnsiTheme="majorBidi" w:cstheme="majorBidi"/>
          <w:color w:val="auto"/>
          <w:szCs w:val="24"/>
          <w:lang w:val="en-US" w:eastAsia="fr-FR"/>
        </w:rPr>
        <w:t xml:space="preserve">s </w:t>
      </w:r>
      <w:r w:rsidRPr="00350022">
        <w:rPr>
          <w:rFonts w:asciiTheme="majorBidi" w:hAnsiTheme="majorBidi" w:cstheme="majorBidi"/>
          <w:color w:val="auto"/>
          <w:szCs w:val="24"/>
          <w:lang w:val="en-US" w:eastAsia="fr-FR"/>
        </w:rPr>
        <w:t>the</w:t>
      </w:r>
      <w:r w:rsidRPr="00350022">
        <w:rPr>
          <w:rFonts w:asciiTheme="majorBidi" w:hAnsiTheme="majorBidi" w:cstheme="majorBidi"/>
          <w:color w:val="auto"/>
          <w:szCs w:val="24"/>
          <w:lang w:val="en-US" w:eastAsia="en-US"/>
        </w:rPr>
        <w:t xml:space="preserve"> levels of emissions of MB to the atmosphere, and strategies to reduce </w:t>
      </w:r>
      <w:r>
        <w:rPr>
          <w:rFonts w:asciiTheme="majorBidi" w:hAnsiTheme="majorBidi" w:cstheme="majorBidi"/>
          <w:color w:val="auto"/>
          <w:szCs w:val="24"/>
          <w:lang w:val="en-US" w:eastAsia="en-US"/>
        </w:rPr>
        <w:t xml:space="preserve">such </w:t>
      </w:r>
      <w:r w:rsidRPr="00350022">
        <w:rPr>
          <w:rFonts w:asciiTheme="majorBidi" w:hAnsiTheme="majorBidi" w:cstheme="majorBidi"/>
          <w:color w:val="auto"/>
          <w:szCs w:val="24"/>
          <w:lang w:val="en-US" w:eastAsia="en-US"/>
        </w:rPr>
        <w:t xml:space="preserve">emissions. In addition, the document </w:t>
      </w:r>
      <w:r>
        <w:rPr>
          <w:rFonts w:asciiTheme="majorBidi" w:hAnsiTheme="majorBidi" w:cstheme="majorBidi"/>
          <w:color w:val="auto"/>
          <w:szCs w:val="24"/>
          <w:lang w:val="en-US" w:eastAsia="fr-FR"/>
        </w:rPr>
        <w:t>includes some case</w:t>
      </w:r>
      <w:r w:rsidRPr="00350022">
        <w:rPr>
          <w:rFonts w:asciiTheme="majorBidi" w:hAnsiTheme="majorBidi" w:cstheme="majorBidi"/>
          <w:color w:val="auto"/>
          <w:szCs w:val="24"/>
          <w:lang w:val="en-US" w:eastAsia="fr-FR"/>
        </w:rPr>
        <w:t xml:space="preserve"> studies</w:t>
      </w:r>
      <w:r>
        <w:rPr>
          <w:rFonts w:asciiTheme="majorBidi" w:hAnsiTheme="majorBidi" w:cstheme="majorBidi"/>
          <w:color w:val="auto"/>
          <w:szCs w:val="24"/>
          <w:lang w:val="en-US" w:eastAsia="fr-FR"/>
        </w:rPr>
        <w:t xml:space="preserve"> illustrating </w:t>
      </w:r>
      <w:r w:rsidRPr="00350022">
        <w:rPr>
          <w:rFonts w:asciiTheme="majorBidi" w:hAnsiTheme="majorBidi" w:cstheme="majorBidi"/>
          <w:color w:val="auto"/>
          <w:szCs w:val="24"/>
          <w:lang w:val="en-US" w:eastAsia="fr-FR"/>
        </w:rPr>
        <w:t>successful</w:t>
      </w:r>
      <w:r>
        <w:rPr>
          <w:rFonts w:asciiTheme="majorBidi" w:hAnsiTheme="majorBidi" w:cstheme="majorBidi"/>
          <w:color w:val="auto"/>
          <w:szCs w:val="24"/>
          <w:lang w:val="en-US" w:eastAsia="fr-FR"/>
        </w:rPr>
        <w:t xml:space="preserve"> adoption of alternatives to MB</w:t>
      </w:r>
      <w:r w:rsidRPr="00350022">
        <w:rPr>
          <w:rFonts w:asciiTheme="majorBidi" w:hAnsiTheme="majorBidi" w:cstheme="majorBidi"/>
          <w:color w:val="auto"/>
          <w:szCs w:val="24"/>
          <w:lang w:val="en-US" w:eastAsia="fr-FR"/>
        </w:rPr>
        <w:t>.</w:t>
      </w:r>
    </w:p>
    <w:p w14:paraId="24AFAB1E" w14:textId="77777777" w:rsidR="00725450" w:rsidRPr="00350022" w:rsidRDefault="00725450" w:rsidP="00725450">
      <w:pPr>
        <w:spacing w:after="0"/>
        <w:rPr>
          <w:rFonts w:asciiTheme="majorBidi" w:hAnsiTheme="majorBidi" w:cstheme="majorBidi"/>
          <w:color w:val="auto"/>
          <w:szCs w:val="24"/>
          <w:lang w:val="en-US" w:eastAsia="fr-FR"/>
        </w:rPr>
      </w:pPr>
    </w:p>
    <w:p w14:paraId="024453ED" w14:textId="77777777" w:rsidR="00725450" w:rsidRPr="00350022" w:rsidRDefault="00725450" w:rsidP="00725450">
      <w:pPr>
        <w:shd w:val="clear" w:color="auto" w:fill="FFFFFF"/>
        <w:spacing w:after="0"/>
        <w:rPr>
          <w:rFonts w:asciiTheme="majorBidi" w:hAnsiTheme="majorBidi" w:cstheme="majorBidi"/>
          <w:bCs/>
          <w:color w:val="auto"/>
          <w:szCs w:val="24"/>
        </w:rPr>
      </w:pPr>
      <w:r>
        <w:rPr>
          <w:rFonts w:asciiTheme="majorBidi" w:hAnsiTheme="majorBidi" w:cstheme="majorBidi"/>
          <w:color w:val="auto"/>
          <w:szCs w:val="24"/>
          <w:lang w:val="en-US" w:eastAsia="fr-FR"/>
        </w:rPr>
        <w:t>In view of the substantive review provided in the MBTOC 2014 Assessment Report,</w:t>
      </w:r>
      <w:r w:rsidRPr="00350022">
        <w:rPr>
          <w:rFonts w:asciiTheme="majorBidi" w:hAnsiTheme="majorBidi" w:cstheme="majorBidi"/>
          <w:color w:val="auto"/>
          <w:szCs w:val="24"/>
          <w:lang w:val="en-US" w:eastAsia="fr-FR"/>
        </w:rPr>
        <w:t xml:space="preserve"> </w:t>
      </w:r>
      <w:r>
        <w:rPr>
          <w:rFonts w:asciiTheme="majorBidi" w:hAnsiTheme="majorBidi" w:cstheme="majorBidi"/>
          <w:color w:val="auto"/>
          <w:szCs w:val="24"/>
          <w:lang w:val="en-US" w:eastAsia="fr-FR"/>
        </w:rPr>
        <w:t>t</w:t>
      </w:r>
      <w:r w:rsidRPr="00350022">
        <w:rPr>
          <w:rFonts w:asciiTheme="majorBidi" w:hAnsiTheme="majorBidi" w:cstheme="majorBidi"/>
          <w:color w:val="auto"/>
          <w:szCs w:val="24"/>
          <w:lang w:val="en-US" w:eastAsia="fr-FR"/>
        </w:rPr>
        <w:t>h</w:t>
      </w:r>
      <w:r>
        <w:rPr>
          <w:rFonts w:asciiTheme="majorBidi" w:hAnsiTheme="majorBidi" w:cstheme="majorBidi"/>
          <w:color w:val="auto"/>
          <w:szCs w:val="24"/>
          <w:lang w:val="en-US" w:eastAsia="fr-FR"/>
        </w:rPr>
        <w:t>is</w:t>
      </w:r>
      <w:r w:rsidRPr="00350022">
        <w:rPr>
          <w:rFonts w:asciiTheme="majorBidi" w:hAnsiTheme="majorBidi" w:cstheme="majorBidi"/>
          <w:color w:val="auto"/>
          <w:szCs w:val="24"/>
          <w:lang w:val="en-US" w:eastAsia="fr-FR"/>
        </w:rPr>
        <w:t xml:space="preserve"> 2015 </w:t>
      </w:r>
      <w:r>
        <w:rPr>
          <w:rFonts w:asciiTheme="majorBidi" w:hAnsiTheme="majorBidi" w:cstheme="majorBidi"/>
          <w:color w:val="auto"/>
          <w:szCs w:val="24"/>
          <w:lang w:val="en-US" w:eastAsia="fr-FR"/>
        </w:rPr>
        <w:t>MBTOC P</w:t>
      </w:r>
      <w:r w:rsidRPr="00350022">
        <w:rPr>
          <w:rFonts w:asciiTheme="majorBidi" w:hAnsiTheme="majorBidi" w:cstheme="majorBidi"/>
          <w:color w:val="auto"/>
          <w:szCs w:val="24"/>
          <w:lang w:val="en-US" w:eastAsia="fr-FR"/>
        </w:rPr>
        <w:t xml:space="preserve">rogress </w:t>
      </w:r>
      <w:r>
        <w:rPr>
          <w:rFonts w:asciiTheme="majorBidi" w:hAnsiTheme="majorBidi" w:cstheme="majorBidi"/>
          <w:color w:val="auto"/>
          <w:szCs w:val="24"/>
          <w:lang w:val="en-US" w:eastAsia="fr-FR"/>
        </w:rPr>
        <w:t>R</w:t>
      </w:r>
      <w:r w:rsidRPr="00350022">
        <w:rPr>
          <w:rFonts w:asciiTheme="majorBidi" w:hAnsiTheme="majorBidi" w:cstheme="majorBidi"/>
          <w:color w:val="auto"/>
          <w:szCs w:val="24"/>
          <w:lang w:val="en-US" w:eastAsia="fr-FR"/>
        </w:rPr>
        <w:t>eport highlight</w:t>
      </w:r>
      <w:r>
        <w:rPr>
          <w:rFonts w:asciiTheme="majorBidi" w:hAnsiTheme="majorBidi" w:cstheme="majorBidi"/>
          <w:color w:val="auto"/>
          <w:szCs w:val="24"/>
          <w:lang w:val="en-US" w:eastAsia="fr-FR"/>
        </w:rPr>
        <w:t>s</w:t>
      </w:r>
      <w:r w:rsidRPr="00350022">
        <w:rPr>
          <w:rFonts w:asciiTheme="majorBidi" w:hAnsiTheme="majorBidi" w:cstheme="majorBidi"/>
          <w:color w:val="auto"/>
          <w:szCs w:val="24"/>
          <w:lang w:val="en-US" w:eastAsia="fr-FR"/>
        </w:rPr>
        <w:t xml:space="preserve"> the </w:t>
      </w:r>
      <w:r>
        <w:rPr>
          <w:rFonts w:asciiTheme="majorBidi" w:hAnsiTheme="majorBidi" w:cstheme="majorBidi"/>
          <w:color w:val="auto"/>
          <w:szCs w:val="24"/>
          <w:lang w:val="en-US" w:eastAsia="fr-FR"/>
        </w:rPr>
        <w:t xml:space="preserve">recent progress in the </w:t>
      </w:r>
      <w:r w:rsidRPr="00350022">
        <w:rPr>
          <w:rFonts w:asciiTheme="majorBidi" w:hAnsiTheme="majorBidi" w:cstheme="majorBidi"/>
          <w:color w:val="auto"/>
          <w:szCs w:val="24"/>
          <w:lang w:val="en-US" w:eastAsia="fr-FR"/>
        </w:rPr>
        <w:t>development</w:t>
      </w:r>
      <w:r>
        <w:rPr>
          <w:rFonts w:asciiTheme="majorBidi" w:hAnsiTheme="majorBidi" w:cstheme="majorBidi"/>
          <w:color w:val="auto"/>
          <w:szCs w:val="24"/>
          <w:lang w:val="en-US" w:eastAsia="fr-FR"/>
        </w:rPr>
        <w:t xml:space="preserve"> and adoption</w:t>
      </w:r>
      <w:r w:rsidR="00E73B08">
        <w:rPr>
          <w:rFonts w:asciiTheme="majorBidi" w:hAnsiTheme="majorBidi" w:cstheme="majorBidi"/>
          <w:color w:val="auto"/>
          <w:szCs w:val="24"/>
          <w:lang w:val="en-US" w:eastAsia="fr-FR"/>
        </w:rPr>
        <w:t xml:space="preserve"> </w:t>
      </w:r>
      <w:r>
        <w:rPr>
          <w:rFonts w:asciiTheme="majorBidi" w:hAnsiTheme="majorBidi" w:cstheme="majorBidi"/>
          <w:color w:val="auto"/>
          <w:szCs w:val="24"/>
          <w:lang w:val="en-US" w:eastAsia="fr-FR"/>
        </w:rPr>
        <w:t>of</w:t>
      </w:r>
      <w:r w:rsidRPr="00350022">
        <w:rPr>
          <w:rFonts w:asciiTheme="majorBidi" w:hAnsiTheme="majorBidi" w:cstheme="majorBidi"/>
          <w:color w:val="auto"/>
          <w:szCs w:val="24"/>
          <w:lang w:val="en-US" w:eastAsia="fr-FR"/>
        </w:rPr>
        <w:t xml:space="preserve"> alternatives </w:t>
      </w:r>
      <w:r>
        <w:rPr>
          <w:rFonts w:asciiTheme="majorBidi" w:hAnsiTheme="majorBidi" w:cstheme="majorBidi"/>
          <w:color w:val="auto"/>
          <w:szCs w:val="24"/>
          <w:lang w:val="en-US" w:eastAsia="fr-FR"/>
        </w:rPr>
        <w:t xml:space="preserve">to MB </w:t>
      </w:r>
      <w:r w:rsidRPr="00350022">
        <w:rPr>
          <w:rFonts w:asciiTheme="majorBidi" w:hAnsiTheme="majorBidi" w:cstheme="majorBidi"/>
          <w:color w:val="auto"/>
          <w:szCs w:val="24"/>
          <w:lang w:val="en-US" w:eastAsia="fr-FR"/>
        </w:rPr>
        <w:t>mainly in</w:t>
      </w:r>
      <w:r>
        <w:rPr>
          <w:rFonts w:asciiTheme="majorBidi" w:hAnsiTheme="majorBidi" w:cstheme="majorBidi"/>
          <w:color w:val="auto"/>
          <w:szCs w:val="24"/>
          <w:lang w:val="en-US" w:eastAsia="fr-FR"/>
        </w:rPr>
        <w:t xml:space="preserve"> the</w:t>
      </w:r>
      <w:r w:rsidRPr="00350022">
        <w:rPr>
          <w:rFonts w:asciiTheme="majorBidi" w:hAnsiTheme="majorBidi" w:cstheme="majorBidi"/>
          <w:color w:val="auto"/>
          <w:szCs w:val="24"/>
          <w:lang w:val="en-US" w:eastAsia="fr-FR"/>
        </w:rPr>
        <w:t xml:space="preserve"> remaining </w:t>
      </w:r>
      <w:r>
        <w:rPr>
          <w:rFonts w:asciiTheme="majorBidi" w:hAnsiTheme="majorBidi" w:cstheme="majorBidi"/>
          <w:color w:val="auto"/>
          <w:szCs w:val="24"/>
          <w:lang w:val="en-US" w:eastAsia="fr-FR"/>
        </w:rPr>
        <w:t>sectors for which critical uses are requested: soils</w:t>
      </w:r>
      <w:r w:rsidRPr="00350022">
        <w:rPr>
          <w:rFonts w:asciiTheme="majorBidi" w:hAnsiTheme="majorBidi" w:cstheme="majorBidi"/>
          <w:color w:val="auto"/>
          <w:szCs w:val="24"/>
          <w:lang w:val="en-US" w:eastAsia="fr-FR"/>
        </w:rPr>
        <w:t xml:space="preserve"> (strawberry fruits and runners, </w:t>
      </w:r>
      <w:r w:rsidRPr="00350022">
        <w:rPr>
          <w:rFonts w:asciiTheme="majorBidi" w:hAnsiTheme="majorBidi" w:cstheme="majorBidi"/>
          <w:color w:val="auto"/>
          <w:szCs w:val="24"/>
          <w:lang w:val="en-US"/>
        </w:rPr>
        <w:t>raspberries</w:t>
      </w:r>
      <w:r w:rsidRPr="00350022">
        <w:rPr>
          <w:rFonts w:asciiTheme="majorBidi" w:hAnsiTheme="majorBidi" w:cstheme="majorBidi"/>
          <w:b/>
          <w:color w:val="auto"/>
          <w:szCs w:val="24"/>
          <w:lang w:val="en-US"/>
        </w:rPr>
        <w:t>,</w:t>
      </w:r>
      <w:r w:rsidRPr="00350022">
        <w:rPr>
          <w:rFonts w:asciiTheme="majorBidi" w:hAnsiTheme="majorBidi" w:cstheme="majorBidi"/>
          <w:color w:val="auto"/>
          <w:szCs w:val="24"/>
          <w:lang w:val="en-US" w:eastAsia="fr-FR"/>
        </w:rPr>
        <w:t xml:space="preserve"> tomato and ginger)</w:t>
      </w:r>
      <w:r>
        <w:rPr>
          <w:rFonts w:asciiTheme="majorBidi" w:hAnsiTheme="majorBidi" w:cstheme="majorBidi"/>
          <w:color w:val="auto"/>
          <w:szCs w:val="24"/>
          <w:lang w:val="en-US" w:eastAsia="fr-FR"/>
        </w:rPr>
        <w:t>,</w:t>
      </w:r>
      <w:r w:rsidRPr="00350022">
        <w:rPr>
          <w:rFonts w:asciiTheme="majorBidi" w:hAnsiTheme="majorBidi" w:cstheme="majorBidi"/>
          <w:color w:val="auto"/>
          <w:szCs w:val="24"/>
          <w:lang w:val="en-US" w:eastAsia="fr-FR"/>
        </w:rPr>
        <w:t xml:space="preserve"> commodities (dry cured pork) and structures plus any relevant developments </w:t>
      </w:r>
      <w:r>
        <w:rPr>
          <w:rFonts w:asciiTheme="majorBidi" w:hAnsiTheme="majorBidi" w:cstheme="majorBidi"/>
          <w:color w:val="auto"/>
          <w:szCs w:val="24"/>
          <w:lang w:val="en-US" w:eastAsia="fr-FR"/>
        </w:rPr>
        <w:t xml:space="preserve">with use of MB for </w:t>
      </w:r>
      <w:r w:rsidRPr="00350022">
        <w:rPr>
          <w:rFonts w:asciiTheme="majorBidi" w:hAnsiTheme="majorBidi" w:cstheme="majorBidi"/>
          <w:color w:val="auto"/>
          <w:szCs w:val="24"/>
          <w:lang w:val="en-US" w:eastAsia="fr-FR"/>
        </w:rPr>
        <w:t xml:space="preserve">QPS. </w:t>
      </w:r>
    </w:p>
    <w:p w14:paraId="12545D27" w14:textId="77777777" w:rsidR="00CA5E9C" w:rsidRPr="00350022" w:rsidRDefault="00CA5E9C" w:rsidP="00CA5E9C">
      <w:pPr>
        <w:shd w:val="clear" w:color="auto" w:fill="FFFFFF"/>
        <w:spacing w:after="0"/>
        <w:rPr>
          <w:rFonts w:asciiTheme="majorBidi" w:hAnsiTheme="majorBidi" w:cstheme="majorBidi"/>
          <w:bCs/>
          <w:color w:val="auto"/>
          <w:szCs w:val="24"/>
        </w:rPr>
      </w:pPr>
    </w:p>
    <w:p w14:paraId="49866189" w14:textId="77777777" w:rsidR="00CA5E9C" w:rsidRPr="00350022" w:rsidRDefault="00CA5E9C" w:rsidP="00CA5E9C">
      <w:pPr>
        <w:autoSpaceDE w:val="0"/>
        <w:autoSpaceDN w:val="0"/>
        <w:adjustRightInd w:val="0"/>
        <w:spacing w:after="0"/>
        <w:rPr>
          <w:rFonts w:asciiTheme="majorBidi" w:hAnsiTheme="majorBidi" w:cstheme="majorBidi"/>
          <w:color w:val="auto"/>
          <w:szCs w:val="24"/>
          <w:lang w:val="en-US" w:eastAsia="en-US"/>
        </w:rPr>
      </w:pPr>
    </w:p>
    <w:p w14:paraId="4358905F" w14:textId="77777777" w:rsidR="00CA5E9C" w:rsidRDefault="00CA5E9C" w:rsidP="002B7818">
      <w:pPr>
        <w:pStyle w:val="Heading2"/>
      </w:pPr>
      <w:bookmarkStart w:id="57" w:name="_Toc413659283"/>
      <w:bookmarkStart w:id="58" w:name="_Toc413659346"/>
      <w:bookmarkStart w:id="59" w:name="_Toc413659413"/>
      <w:bookmarkStart w:id="60" w:name="_Toc413659848"/>
      <w:bookmarkStart w:id="61" w:name="_Toc414934266"/>
      <w:bookmarkStart w:id="62" w:name="_Toc418842501"/>
      <w:bookmarkStart w:id="63" w:name="_Toc295406123"/>
      <w:r>
        <w:t>5.</w:t>
      </w:r>
      <w:r w:rsidRPr="00350022">
        <w:t>2</w:t>
      </w:r>
      <w:r>
        <w:t>.</w:t>
      </w:r>
      <w:r>
        <w:tab/>
      </w:r>
      <w:r w:rsidRPr="00350022">
        <w:t>Chemical and non-chemical alternatives for soils, structures,</w:t>
      </w:r>
      <w:r>
        <w:t xml:space="preserve"> </w:t>
      </w:r>
      <w:r w:rsidRPr="00350022">
        <w:t xml:space="preserve">commodities </w:t>
      </w:r>
      <w:r>
        <w:t xml:space="preserve">and QPS </w:t>
      </w:r>
      <w:r w:rsidRPr="00350022">
        <w:t>uses</w:t>
      </w:r>
      <w:bookmarkEnd w:id="57"/>
      <w:bookmarkEnd w:id="58"/>
      <w:bookmarkEnd w:id="59"/>
      <w:bookmarkEnd w:id="60"/>
      <w:bookmarkEnd w:id="61"/>
      <w:bookmarkEnd w:id="62"/>
      <w:bookmarkEnd w:id="63"/>
    </w:p>
    <w:p w14:paraId="37A770EB" w14:textId="77777777" w:rsidR="00CA5E9C" w:rsidRPr="00350022" w:rsidRDefault="00CA5E9C" w:rsidP="002B7818">
      <w:pPr>
        <w:pStyle w:val="Heading3"/>
      </w:pPr>
      <w:bookmarkStart w:id="64" w:name="_Toc413659850"/>
      <w:bookmarkStart w:id="65" w:name="_Toc414934268"/>
      <w:bookmarkStart w:id="66" w:name="_Toc418842502"/>
      <w:bookmarkStart w:id="67" w:name="_Toc295406124"/>
      <w:r>
        <w:t>5.</w:t>
      </w:r>
      <w:r w:rsidRPr="00350022">
        <w:t>2.1.</w:t>
      </w:r>
      <w:r>
        <w:t xml:space="preserve"> </w:t>
      </w:r>
      <w:r w:rsidRPr="00350022">
        <w:t>General</w:t>
      </w:r>
      <w:bookmarkEnd w:id="64"/>
      <w:bookmarkEnd w:id="65"/>
      <w:bookmarkEnd w:id="66"/>
      <w:bookmarkEnd w:id="67"/>
    </w:p>
    <w:p w14:paraId="2DA3AA22" w14:textId="77777777" w:rsidR="00CA5E9C" w:rsidRPr="00AD33E5" w:rsidRDefault="00CA5E9C" w:rsidP="00E15FE9">
      <w:pPr>
        <w:pStyle w:val="ListParagraph"/>
        <w:widowControl/>
        <w:numPr>
          <w:ilvl w:val="0"/>
          <w:numId w:val="49"/>
        </w:numPr>
        <w:ind w:firstLineChars="0"/>
        <w:contextualSpacing/>
        <w:jc w:val="left"/>
        <w:rPr>
          <w:rFonts w:asciiTheme="majorBidi" w:hAnsiTheme="majorBidi" w:cstheme="majorBidi"/>
          <w:sz w:val="22"/>
        </w:rPr>
      </w:pPr>
      <w:r w:rsidRPr="00AD33E5">
        <w:rPr>
          <w:rFonts w:asciiTheme="majorBidi" w:hAnsiTheme="majorBidi" w:cstheme="majorBidi"/>
          <w:sz w:val="22"/>
        </w:rPr>
        <w:t xml:space="preserve">Technically and economically feasible chemical and non-chemical alternatives to MB have been found for virtually all previous soils, structures and commodities uses. A few cases have proven more difficult to replace (strawberry runners, ginger, raspberry nurseries </w:t>
      </w:r>
      <w:r w:rsidRPr="00AD33E5">
        <w:rPr>
          <w:rFonts w:asciiTheme="majorBidi" w:hAnsiTheme="majorBidi" w:cstheme="majorBidi"/>
          <w:sz w:val="22"/>
          <w:lang w:eastAsia="fr-FR"/>
        </w:rPr>
        <w:t xml:space="preserve">and </w:t>
      </w:r>
      <w:r w:rsidRPr="00AD33E5">
        <w:rPr>
          <w:rFonts w:asciiTheme="majorBidi" w:hAnsiTheme="majorBidi" w:cstheme="majorBidi"/>
          <w:sz w:val="22"/>
        </w:rPr>
        <w:t>dry cured ham) especially where it comes to implementing alternatives a</w:t>
      </w:r>
      <w:r w:rsidR="003514D8">
        <w:rPr>
          <w:rFonts w:asciiTheme="majorBidi" w:hAnsiTheme="majorBidi" w:cstheme="majorBidi"/>
          <w:sz w:val="22"/>
        </w:rPr>
        <w:t>t a commercial scale</w:t>
      </w:r>
      <w:r w:rsidRPr="00AD33E5">
        <w:rPr>
          <w:rFonts w:asciiTheme="majorBidi" w:hAnsiTheme="majorBidi" w:cstheme="majorBidi"/>
          <w:sz w:val="22"/>
        </w:rPr>
        <w:t xml:space="preserve">. </w:t>
      </w:r>
    </w:p>
    <w:p w14:paraId="7AC2AE1E" w14:textId="77777777" w:rsidR="00CA5E9C" w:rsidRPr="003514D8" w:rsidRDefault="00CA5E9C" w:rsidP="00E15FE9">
      <w:pPr>
        <w:pStyle w:val="ListParagraph"/>
        <w:widowControl/>
        <w:numPr>
          <w:ilvl w:val="0"/>
          <w:numId w:val="49"/>
        </w:numPr>
        <w:ind w:firstLineChars="0"/>
        <w:contextualSpacing/>
        <w:jc w:val="left"/>
        <w:rPr>
          <w:rFonts w:asciiTheme="majorBidi" w:hAnsiTheme="majorBidi" w:cstheme="majorBidi"/>
          <w:sz w:val="22"/>
        </w:rPr>
      </w:pPr>
      <w:r w:rsidRPr="00AD33E5">
        <w:rPr>
          <w:rFonts w:asciiTheme="majorBidi" w:hAnsiTheme="majorBidi" w:cstheme="majorBidi"/>
          <w:sz w:val="22"/>
        </w:rPr>
        <w:t xml:space="preserve">By the end of 2013 (the last date for which officially reported information is available), about 99 % of the total consumption baseline for </w:t>
      </w:r>
      <w:r w:rsidR="003514D8">
        <w:rPr>
          <w:rFonts w:asciiTheme="majorBidi" w:hAnsiTheme="majorBidi" w:cstheme="majorBidi"/>
          <w:sz w:val="22"/>
        </w:rPr>
        <w:t>non-</w:t>
      </w:r>
      <w:r w:rsidRPr="00AD33E5">
        <w:rPr>
          <w:rFonts w:asciiTheme="majorBidi" w:hAnsiTheme="majorBidi" w:cstheme="majorBidi"/>
          <w:sz w:val="22"/>
        </w:rPr>
        <w:t>A5 Parties</w:t>
      </w:r>
      <w:r w:rsidR="003514D8">
        <w:rPr>
          <w:rFonts w:asciiTheme="majorBidi" w:hAnsiTheme="majorBidi" w:cstheme="majorBidi"/>
          <w:sz w:val="22"/>
        </w:rPr>
        <w:t xml:space="preserve"> </w:t>
      </w:r>
      <w:r w:rsidRPr="00AD33E5">
        <w:rPr>
          <w:rFonts w:asciiTheme="majorBidi" w:hAnsiTheme="majorBidi" w:cstheme="majorBidi"/>
          <w:sz w:val="22"/>
        </w:rPr>
        <w:t>had been replaced with alternatives or recategorised to QPS.</w:t>
      </w:r>
      <w:r w:rsidR="003514D8">
        <w:rPr>
          <w:rFonts w:asciiTheme="majorBidi" w:hAnsiTheme="majorBidi" w:cstheme="majorBidi"/>
          <w:sz w:val="22"/>
        </w:rPr>
        <w:t xml:space="preserve"> A</w:t>
      </w:r>
      <w:r w:rsidRPr="003514D8">
        <w:rPr>
          <w:rFonts w:asciiTheme="majorBidi" w:hAnsiTheme="majorBidi" w:cstheme="majorBidi"/>
          <w:sz w:val="22"/>
        </w:rPr>
        <w:t xml:space="preserve">bout 85 % of the total consumption baseline for A5 Parties had been replaced with alternatives, ahead of the January 2015 deadline. </w:t>
      </w:r>
    </w:p>
    <w:p w14:paraId="199EB7F3" w14:textId="77777777" w:rsidR="00CA5E9C" w:rsidRPr="00350022" w:rsidRDefault="00CA5E9C" w:rsidP="00E15FE9">
      <w:pPr>
        <w:numPr>
          <w:ilvl w:val="0"/>
          <w:numId w:val="49"/>
        </w:numPr>
        <w:spacing w:after="0"/>
        <w:rPr>
          <w:rFonts w:asciiTheme="majorBidi" w:eastAsia="Arial" w:hAnsiTheme="majorBidi" w:cstheme="majorBidi"/>
          <w:color w:val="auto"/>
          <w:szCs w:val="24"/>
        </w:rPr>
      </w:pPr>
      <w:r>
        <w:rPr>
          <w:rFonts w:asciiTheme="majorBidi" w:hAnsiTheme="majorBidi" w:cstheme="majorBidi"/>
          <w:color w:val="auto"/>
          <w:szCs w:val="24"/>
          <w:lang w:eastAsia="en-US"/>
        </w:rPr>
        <w:t>A r</w:t>
      </w:r>
      <w:r w:rsidRPr="00350022">
        <w:rPr>
          <w:rFonts w:asciiTheme="majorBidi" w:hAnsiTheme="majorBidi" w:cstheme="majorBidi"/>
          <w:color w:val="auto"/>
          <w:szCs w:val="24"/>
          <w:lang w:eastAsia="en-US"/>
        </w:rPr>
        <w:t>ecent survey</w:t>
      </w:r>
      <w:r>
        <w:rPr>
          <w:rFonts w:asciiTheme="majorBidi" w:hAnsiTheme="majorBidi" w:cstheme="majorBidi"/>
          <w:color w:val="auto"/>
          <w:szCs w:val="24"/>
          <w:lang w:eastAsia="en-US"/>
        </w:rPr>
        <w:t xml:space="preserve">, which was responded by about </w:t>
      </w:r>
      <w:r w:rsidRPr="00350022">
        <w:rPr>
          <w:rFonts w:asciiTheme="majorBidi" w:hAnsiTheme="majorBidi" w:cstheme="majorBidi"/>
          <w:color w:val="auto"/>
          <w:szCs w:val="24"/>
          <w:lang w:eastAsia="en-US"/>
        </w:rPr>
        <w:t xml:space="preserve">20 </w:t>
      </w:r>
      <w:r>
        <w:rPr>
          <w:rFonts w:asciiTheme="majorBidi" w:hAnsiTheme="majorBidi" w:cstheme="majorBidi"/>
          <w:color w:val="auto"/>
          <w:szCs w:val="24"/>
          <w:lang w:eastAsia="en-US"/>
        </w:rPr>
        <w:t>Parties (largest</w:t>
      </w:r>
      <w:r w:rsidR="003514D8">
        <w:rPr>
          <w:rFonts w:asciiTheme="majorBidi" w:hAnsiTheme="majorBidi" w:cstheme="majorBidi"/>
          <w:color w:val="auto"/>
          <w:szCs w:val="24"/>
          <w:lang w:eastAsia="en-US"/>
        </w:rPr>
        <w:t xml:space="preserve"> remaining</w:t>
      </w:r>
      <w:r>
        <w:rPr>
          <w:rFonts w:asciiTheme="majorBidi" w:hAnsiTheme="majorBidi" w:cstheme="majorBidi"/>
          <w:color w:val="auto"/>
          <w:szCs w:val="24"/>
          <w:lang w:eastAsia="en-US"/>
        </w:rPr>
        <w:t xml:space="preserve"> MB users), </w:t>
      </w:r>
      <w:r w:rsidRPr="00350022">
        <w:rPr>
          <w:rFonts w:asciiTheme="majorBidi" w:hAnsiTheme="majorBidi" w:cstheme="majorBidi"/>
          <w:color w:val="auto"/>
          <w:szCs w:val="24"/>
          <w:lang w:eastAsia="en-US"/>
        </w:rPr>
        <w:t xml:space="preserve">identified specific </w:t>
      </w:r>
      <w:r>
        <w:rPr>
          <w:rFonts w:asciiTheme="majorBidi" w:hAnsiTheme="majorBidi" w:cstheme="majorBidi"/>
          <w:color w:val="auto"/>
          <w:szCs w:val="24"/>
          <w:lang w:eastAsia="en-US"/>
        </w:rPr>
        <w:t xml:space="preserve">categories for </w:t>
      </w:r>
      <w:r w:rsidRPr="00350022">
        <w:rPr>
          <w:rFonts w:asciiTheme="majorBidi" w:hAnsiTheme="majorBidi" w:cstheme="majorBidi"/>
          <w:color w:val="auto"/>
          <w:szCs w:val="24"/>
          <w:lang w:eastAsia="en-US"/>
        </w:rPr>
        <w:t>QPS</w:t>
      </w:r>
      <w:r>
        <w:rPr>
          <w:rFonts w:asciiTheme="majorBidi" w:hAnsiTheme="majorBidi" w:cstheme="majorBidi"/>
          <w:color w:val="auto"/>
          <w:szCs w:val="24"/>
          <w:lang w:eastAsia="en-US"/>
        </w:rPr>
        <w:t xml:space="preserve"> for which MB is presently used.</w:t>
      </w:r>
      <w:r w:rsidRPr="00350022">
        <w:rPr>
          <w:rFonts w:asciiTheme="majorBidi" w:hAnsiTheme="majorBidi" w:cstheme="majorBidi"/>
          <w:color w:val="auto"/>
          <w:szCs w:val="24"/>
          <w:lang w:eastAsia="en-US"/>
        </w:rPr>
        <w:t xml:space="preserve"> MBTOC considers that there are technically and economically feasible alternatives</w:t>
      </w:r>
      <w:r>
        <w:rPr>
          <w:rFonts w:asciiTheme="majorBidi" w:hAnsiTheme="majorBidi" w:cstheme="majorBidi"/>
          <w:color w:val="auto"/>
          <w:szCs w:val="24"/>
          <w:lang w:eastAsia="en-US"/>
        </w:rPr>
        <w:t xml:space="preserve"> </w:t>
      </w:r>
      <w:r w:rsidRPr="00350022">
        <w:rPr>
          <w:rFonts w:asciiTheme="majorBidi" w:hAnsiTheme="majorBidi" w:cstheme="majorBidi"/>
          <w:color w:val="auto"/>
          <w:szCs w:val="24"/>
          <w:lang w:eastAsia="en-US"/>
        </w:rPr>
        <w:t xml:space="preserve">for </w:t>
      </w:r>
      <w:r>
        <w:rPr>
          <w:rFonts w:asciiTheme="majorBidi" w:hAnsiTheme="majorBidi" w:cstheme="majorBidi"/>
          <w:color w:val="auto"/>
          <w:szCs w:val="24"/>
          <w:lang w:eastAsia="en-US"/>
        </w:rPr>
        <w:t xml:space="preserve">about 40% of such </w:t>
      </w:r>
      <w:r w:rsidRPr="00350022">
        <w:rPr>
          <w:rFonts w:asciiTheme="majorBidi" w:hAnsiTheme="majorBidi" w:cstheme="majorBidi"/>
          <w:color w:val="auto"/>
          <w:szCs w:val="24"/>
          <w:lang w:eastAsia="en-US"/>
        </w:rPr>
        <w:t>QPS applications, particularly in the largest usage sectors of timber and wood packaging materials, grain, and logs</w:t>
      </w:r>
      <w:r w:rsidRPr="00350022">
        <w:rPr>
          <w:rFonts w:asciiTheme="majorBidi" w:hAnsiTheme="majorBidi" w:cstheme="majorBidi"/>
          <w:color w:val="auto"/>
          <w:szCs w:val="24"/>
          <w:lang w:val="en-US" w:eastAsia="en-US"/>
        </w:rPr>
        <w:t>.</w:t>
      </w:r>
    </w:p>
    <w:p w14:paraId="7903B346" w14:textId="77777777" w:rsidR="00CA5E9C" w:rsidRPr="00350022" w:rsidRDefault="00CA5E9C" w:rsidP="00CA5E9C">
      <w:pPr>
        <w:tabs>
          <w:tab w:val="left" w:pos="2117"/>
        </w:tabs>
        <w:spacing w:after="0"/>
        <w:rPr>
          <w:rFonts w:asciiTheme="majorBidi" w:eastAsia="Arial" w:hAnsiTheme="majorBidi" w:cstheme="majorBidi"/>
          <w:color w:val="auto"/>
          <w:szCs w:val="24"/>
          <w:lang w:val="en-US" w:eastAsia="fr-FR"/>
        </w:rPr>
      </w:pPr>
      <w:r w:rsidRPr="00350022">
        <w:rPr>
          <w:rFonts w:asciiTheme="majorBidi" w:eastAsia="Arial" w:hAnsiTheme="majorBidi" w:cstheme="majorBidi"/>
          <w:color w:val="auto"/>
          <w:szCs w:val="24"/>
          <w:lang w:val="en-US" w:eastAsia="fr-FR"/>
        </w:rPr>
        <w:tab/>
      </w:r>
    </w:p>
    <w:p w14:paraId="1E018802" w14:textId="77777777" w:rsidR="00CA5E9C" w:rsidRPr="00350022" w:rsidRDefault="00CA5E9C" w:rsidP="002B7818">
      <w:pPr>
        <w:pStyle w:val="Heading3"/>
      </w:pPr>
      <w:bookmarkStart w:id="68" w:name="_Toc413659851"/>
      <w:bookmarkStart w:id="69" w:name="_Toc414934269"/>
      <w:bookmarkStart w:id="70" w:name="_Toc418842503"/>
      <w:bookmarkStart w:id="71" w:name="_Toc295406125"/>
      <w:r>
        <w:t>5.</w:t>
      </w:r>
      <w:r w:rsidRPr="00350022">
        <w:t>2.2 Soil sector</w:t>
      </w:r>
      <w:bookmarkEnd w:id="68"/>
      <w:bookmarkEnd w:id="69"/>
      <w:bookmarkEnd w:id="70"/>
      <w:bookmarkEnd w:id="71"/>
    </w:p>
    <w:p w14:paraId="3BCB66B4" w14:textId="77777777" w:rsidR="00CA5E9C" w:rsidRPr="00350022" w:rsidRDefault="00CA5E9C" w:rsidP="00E15FE9">
      <w:pPr>
        <w:numPr>
          <w:ilvl w:val="0"/>
          <w:numId w:val="50"/>
        </w:numPr>
        <w:spacing w:after="0"/>
        <w:rPr>
          <w:rFonts w:asciiTheme="majorBidi" w:hAnsiTheme="majorBidi" w:cstheme="majorBidi"/>
          <w:snapToGrid w:val="0"/>
          <w:color w:val="auto"/>
          <w:szCs w:val="24"/>
        </w:rPr>
      </w:pPr>
      <w:r w:rsidRPr="00350022">
        <w:rPr>
          <w:rFonts w:asciiTheme="majorBidi" w:hAnsiTheme="majorBidi" w:cstheme="majorBidi"/>
          <w:color w:val="auto"/>
          <w:szCs w:val="24"/>
        </w:rPr>
        <w:t xml:space="preserve">The use of grafted plants (combined with other relevant treatments) has continued to increase as a MB alternative in tomato, eggplant, </w:t>
      </w:r>
      <w:r>
        <w:rPr>
          <w:rFonts w:asciiTheme="majorBidi" w:hAnsiTheme="majorBidi" w:cstheme="majorBidi"/>
          <w:color w:val="auto"/>
          <w:szCs w:val="24"/>
        </w:rPr>
        <w:t xml:space="preserve">pepper and cucurbits </w:t>
      </w:r>
      <w:r w:rsidRPr="00350022">
        <w:rPr>
          <w:rFonts w:asciiTheme="majorBidi" w:hAnsiTheme="majorBidi" w:cstheme="majorBidi"/>
          <w:color w:val="auto"/>
          <w:szCs w:val="24"/>
        </w:rPr>
        <w:t>in A5 and non</w:t>
      </w:r>
      <w:r>
        <w:rPr>
          <w:rFonts w:asciiTheme="majorBidi" w:hAnsiTheme="majorBidi" w:cstheme="majorBidi"/>
          <w:color w:val="auto"/>
          <w:szCs w:val="24"/>
        </w:rPr>
        <w:t>-</w:t>
      </w:r>
      <w:r w:rsidRPr="00350022">
        <w:rPr>
          <w:rFonts w:asciiTheme="majorBidi" w:hAnsiTheme="majorBidi" w:cstheme="majorBidi"/>
          <w:color w:val="auto"/>
          <w:szCs w:val="24"/>
        </w:rPr>
        <w:t>A5 countries (Kunwar</w:t>
      </w:r>
      <w:r>
        <w:rPr>
          <w:rFonts w:asciiTheme="majorBidi" w:hAnsiTheme="majorBidi" w:cstheme="majorBidi"/>
          <w:color w:val="auto"/>
          <w:szCs w:val="24"/>
        </w:rPr>
        <w:t xml:space="preserve"> </w:t>
      </w:r>
      <w:r w:rsidRPr="00DA6159">
        <w:rPr>
          <w:rFonts w:asciiTheme="majorBidi" w:hAnsiTheme="majorBidi" w:cstheme="majorBidi"/>
          <w:i/>
          <w:color w:val="auto"/>
          <w:szCs w:val="24"/>
        </w:rPr>
        <w:t>et al</w:t>
      </w:r>
      <w:r>
        <w:rPr>
          <w:rFonts w:asciiTheme="majorBidi" w:hAnsiTheme="majorBidi" w:cstheme="majorBidi"/>
          <w:i/>
          <w:color w:val="auto"/>
          <w:szCs w:val="24"/>
        </w:rPr>
        <w:t>.</w:t>
      </w:r>
      <w:r w:rsidRPr="00350022">
        <w:rPr>
          <w:rFonts w:asciiTheme="majorBidi" w:hAnsiTheme="majorBidi" w:cstheme="majorBidi"/>
          <w:color w:val="auto"/>
          <w:szCs w:val="24"/>
        </w:rPr>
        <w:t xml:space="preserve"> 2015</w:t>
      </w:r>
      <w:r>
        <w:rPr>
          <w:rFonts w:asciiTheme="majorBidi" w:hAnsiTheme="majorBidi" w:cstheme="majorBidi"/>
          <w:color w:val="auto"/>
          <w:szCs w:val="24"/>
        </w:rPr>
        <w:t xml:space="preserve">; </w:t>
      </w:r>
      <w:r w:rsidRPr="00893E0B">
        <w:rPr>
          <w:szCs w:val="24"/>
        </w:rPr>
        <w:t>Penella</w:t>
      </w:r>
      <w:r>
        <w:rPr>
          <w:rFonts w:asciiTheme="majorBidi" w:hAnsiTheme="majorBidi" w:cstheme="majorBidi"/>
          <w:color w:val="auto"/>
          <w:szCs w:val="24"/>
        </w:rPr>
        <w:t xml:space="preserve"> </w:t>
      </w:r>
      <w:r w:rsidRPr="00FE7E22">
        <w:rPr>
          <w:rFonts w:asciiTheme="majorBidi" w:hAnsiTheme="majorBidi" w:cstheme="majorBidi"/>
          <w:i/>
          <w:color w:val="auto"/>
          <w:szCs w:val="24"/>
        </w:rPr>
        <w:t>et al</w:t>
      </w:r>
      <w:r>
        <w:rPr>
          <w:rFonts w:asciiTheme="majorBidi" w:hAnsiTheme="majorBidi" w:cstheme="majorBidi"/>
          <w:color w:val="auto"/>
          <w:szCs w:val="24"/>
        </w:rPr>
        <w:t xml:space="preserve">.2015; </w:t>
      </w:r>
      <w:hyperlink r:id="rId22" w:history="1">
        <w:r w:rsidRPr="00172F4F">
          <w:rPr>
            <w:color w:val="auto"/>
            <w:szCs w:val="24"/>
            <w:lang w:eastAsia="tr-TR"/>
          </w:rPr>
          <w:t>Rysin</w:t>
        </w:r>
      </w:hyperlink>
      <w:r w:rsidRPr="00172F4F">
        <w:rPr>
          <w:color w:val="auto"/>
          <w:szCs w:val="24"/>
          <w:lang w:eastAsia="tr-TR"/>
        </w:rPr>
        <w:t xml:space="preserve"> and </w:t>
      </w:r>
      <w:hyperlink r:id="rId23" w:history="1">
        <w:r w:rsidRPr="00172F4F">
          <w:rPr>
            <w:color w:val="auto"/>
            <w:szCs w:val="24"/>
            <w:lang w:eastAsia="tr-TR"/>
          </w:rPr>
          <w:t xml:space="preserve"> Louws</w:t>
        </w:r>
      </w:hyperlink>
      <w:r w:rsidR="003514D8">
        <w:rPr>
          <w:color w:val="auto"/>
          <w:szCs w:val="24"/>
        </w:rPr>
        <w:t>,</w:t>
      </w:r>
      <w:r w:rsidRPr="00172F4F">
        <w:rPr>
          <w:color w:val="auto"/>
          <w:szCs w:val="24"/>
          <w:lang w:eastAsia="tr-TR"/>
        </w:rPr>
        <w:t xml:space="preserve"> </w:t>
      </w:r>
      <w:r w:rsidRPr="00172F4F">
        <w:rPr>
          <w:color w:val="403838"/>
          <w:szCs w:val="24"/>
          <w:lang w:eastAsia="tr-TR"/>
        </w:rPr>
        <w:t xml:space="preserve">2015, </w:t>
      </w:r>
      <w:r w:rsidRPr="00350022">
        <w:rPr>
          <w:rFonts w:asciiTheme="majorBidi" w:hAnsiTheme="majorBidi" w:cstheme="majorBidi"/>
          <w:color w:val="auto"/>
          <w:szCs w:val="24"/>
        </w:rPr>
        <w:t xml:space="preserve">Silverman </w:t>
      </w:r>
      <w:r w:rsidRPr="00DA6159">
        <w:rPr>
          <w:rFonts w:asciiTheme="majorBidi" w:hAnsiTheme="majorBidi" w:cstheme="majorBidi"/>
          <w:i/>
          <w:color w:val="auto"/>
          <w:szCs w:val="24"/>
        </w:rPr>
        <w:t>et al</w:t>
      </w:r>
      <w:r>
        <w:rPr>
          <w:rFonts w:asciiTheme="majorBidi" w:hAnsiTheme="majorBidi" w:cstheme="majorBidi"/>
          <w:color w:val="auto"/>
          <w:szCs w:val="24"/>
        </w:rPr>
        <w:t>.</w:t>
      </w:r>
      <w:r w:rsidRPr="00350022">
        <w:rPr>
          <w:rFonts w:asciiTheme="majorBidi" w:hAnsiTheme="majorBidi" w:cstheme="majorBidi"/>
          <w:color w:val="auto"/>
          <w:szCs w:val="24"/>
        </w:rPr>
        <w:t xml:space="preserve"> 2014)</w:t>
      </w:r>
      <w:r>
        <w:rPr>
          <w:rFonts w:asciiTheme="majorBidi" w:hAnsiTheme="majorBidi" w:cstheme="majorBidi"/>
          <w:color w:val="auto"/>
          <w:szCs w:val="24"/>
        </w:rPr>
        <w:t>.</w:t>
      </w:r>
    </w:p>
    <w:p w14:paraId="052FE727" w14:textId="77777777" w:rsidR="00CA5E9C" w:rsidRPr="00350022" w:rsidRDefault="00CA5E9C" w:rsidP="00E15FE9">
      <w:pPr>
        <w:numPr>
          <w:ilvl w:val="0"/>
          <w:numId w:val="50"/>
        </w:numPr>
        <w:autoSpaceDE w:val="0"/>
        <w:autoSpaceDN w:val="0"/>
        <w:spacing w:after="0"/>
        <w:rPr>
          <w:rFonts w:asciiTheme="majorBidi" w:hAnsiTheme="majorBidi" w:cstheme="majorBidi"/>
          <w:color w:val="auto"/>
          <w:szCs w:val="24"/>
          <w:lang w:val="en-US" w:eastAsia="fr-FR"/>
        </w:rPr>
      </w:pPr>
      <w:r w:rsidRPr="00350022">
        <w:rPr>
          <w:rFonts w:asciiTheme="majorBidi" w:hAnsiTheme="majorBidi" w:cstheme="majorBidi"/>
          <w:color w:val="auto"/>
          <w:szCs w:val="24"/>
        </w:rPr>
        <w:t xml:space="preserve">The use of low-cost substrates for protected vegetables, strawberries, ginger and flowers has increased in both A5 and non-A5 countries, </w:t>
      </w:r>
      <w:r w:rsidR="003514D8">
        <w:rPr>
          <w:rFonts w:asciiTheme="majorBidi" w:hAnsiTheme="majorBidi" w:cstheme="majorBidi"/>
          <w:color w:val="auto"/>
          <w:szCs w:val="24"/>
        </w:rPr>
        <w:t>including</w:t>
      </w:r>
      <w:r w:rsidRPr="00350022">
        <w:rPr>
          <w:rFonts w:asciiTheme="majorBidi" w:hAnsiTheme="majorBidi" w:cstheme="majorBidi"/>
          <w:color w:val="auto"/>
          <w:szCs w:val="24"/>
        </w:rPr>
        <w:t xml:space="preserve"> for open field crops i</w:t>
      </w:r>
      <w:r w:rsidRPr="00350022">
        <w:rPr>
          <w:rFonts w:asciiTheme="majorBidi" w:hAnsiTheme="majorBidi" w:cstheme="majorBidi"/>
          <w:snapToGrid w:val="0"/>
          <w:color w:val="auto"/>
          <w:szCs w:val="24"/>
        </w:rPr>
        <w:t>n</w:t>
      </w:r>
      <w:r w:rsidRPr="00350022">
        <w:rPr>
          <w:rFonts w:asciiTheme="majorBidi" w:hAnsiTheme="majorBidi" w:cstheme="majorBidi"/>
          <w:color w:val="auto"/>
          <w:szCs w:val="24"/>
        </w:rPr>
        <w:t xml:space="preserve"> certain situations.</w:t>
      </w:r>
      <w:r>
        <w:rPr>
          <w:rFonts w:asciiTheme="majorBidi" w:hAnsiTheme="majorBidi" w:cstheme="majorBidi"/>
          <w:color w:val="auto"/>
          <w:szCs w:val="24"/>
        </w:rPr>
        <w:t xml:space="preserve"> </w:t>
      </w:r>
      <w:r w:rsidRPr="00350022">
        <w:rPr>
          <w:rFonts w:asciiTheme="majorBidi" w:hAnsiTheme="majorBidi" w:cstheme="majorBidi"/>
          <w:color w:val="auto"/>
          <w:szCs w:val="24"/>
          <w:lang w:val="en-US" w:eastAsia="fr-FR"/>
        </w:rPr>
        <w:t>Soilless culture of ginger seed is widely used in Hawaii and it is considered a</w:t>
      </w:r>
      <w:r>
        <w:rPr>
          <w:rFonts w:asciiTheme="majorBidi" w:hAnsiTheme="majorBidi" w:cstheme="majorBidi"/>
          <w:color w:val="auto"/>
          <w:szCs w:val="24"/>
          <w:lang w:val="en-US" w:eastAsia="fr-FR"/>
        </w:rPr>
        <w:t xml:space="preserve"> suitable</w:t>
      </w:r>
      <w:r w:rsidRPr="00350022">
        <w:rPr>
          <w:rFonts w:asciiTheme="majorBidi" w:hAnsiTheme="majorBidi" w:cstheme="majorBidi"/>
          <w:color w:val="auto"/>
          <w:szCs w:val="24"/>
          <w:lang w:val="en-US" w:eastAsia="fr-FR"/>
        </w:rPr>
        <w:t xml:space="preserve"> alternative to MB (Kratky and Bernabe 2009)</w:t>
      </w:r>
      <w:r>
        <w:rPr>
          <w:rFonts w:asciiTheme="majorBidi" w:hAnsiTheme="majorBidi" w:cstheme="majorBidi"/>
          <w:color w:val="auto"/>
          <w:szCs w:val="24"/>
          <w:lang w:val="en-US" w:eastAsia="fr-FR"/>
        </w:rPr>
        <w:t>.</w:t>
      </w:r>
    </w:p>
    <w:p w14:paraId="19C37BE4" w14:textId="77777777" w:rsidR="00CA5E9C" w:rsidRPr="00350022" w:rsidRDefault="00CA5E9C" w:rsidP="00E15FE9">
      <w:pPr>
        <w:numPr>
          <w:ilvl w:val="0"/>
          <w:numId w:val="50"/>
        </w:numPr>
        <w:spacing w:after="0"/>
        <w:rPr>
          <w:rFonts w:asciiTheme="majorBidi" w:hAnsiTheme="majorBidi" w:cstheme="majorBidi"/>
          <w:color w:val="auto"/>
          <w:szCs w:val="24"/>
          <w:lang w:val="en-US" w:eastAsia="fr-FR"/>
        </w:rPr>
      </w:pPr>
      <w:r w:rsidRPr="00350022">
        <w:rPr>
          <w:rFonts w:asciiTheme="majorBidi" w:hAnsiTheme="majorBidi" w:cstheme="majorBidi"/>
          <w:color w:val="auto"/>
          <w:szCs w:val="24"/>
          <w:lang w:val="en-US"/>
        </w:rPr>
        <w:t xml:space="preserve">Anaerobic Soil Disinfestation (ASD) is </w:t>
      </w:r>
      <w:r>
        <w:rPr>
          <w:rFonts w:asciiTheme="majorBidi" w:hAnsiTheme="majorBidi" w:cstheme="majorBidi"/>
          <w:color w:val="auto"/>
          <w:szCs w:val="24"/>
          <w:lang w:val="en-US"/>
        </w:rPr>
        <w:t xml:space="preserve">receiving </w:t>
      </w:r>
      <w:r w:rsidRPr="00350022">
        <w:rPr>
          <w:rFonts w:asciiTheme="majorBidi" w:hAnsiTheme="majorBidi" w:cstheme="majorBidi"/>
          <w:color w:val="auto"/>
          <w:szCs w:val="24"/>
          <w:lang w:val="en-US"/>
        </w:rPr>
        <w:t xml:space="preserve">increasing </w:t>
      </w:r>
      <w:r>
        <w:rPr>
          <w:rFonts w:asciiTheme="majorBidi" w:hAnsiTheme="majorBidi" w:cstheme="majorBidi"/>
          <w:color w:val="auto"/>
          <w:szCs w:val="24"/>
          <w:lang w:val="en-US"/>
        </w:rPr>
        <w:t>attention</w:t>
      </w:r>
      <w:r w:rsidRPr="00350022">
        <w:rPr>
          <w:rFonts w:asciiTheme="majorBidi" w:hAnsiTheme="majorBidi" w:cstheme="majorBidi"/>
          <w:color w:val="auto"/>
          <w:szCs w:val="24"/>
          <w:lang w:val="en-US"/>
        </w:rPr>
        <w:t xml:space="preserve"> as</w:t>
      </w:r>
      <w:r>
        <w:rPr>
          <w:rFonts w:asciiTheme="majorBidi" w:hAnsiTheme="majorBidi" w:cstheme="majorBidi"/>
          <w:color w:val="auto"/>
          <w:szCs w:val="24"/>
          <w:lang w:val="en-US"/>
        </w:rPr>
        <w:t xml:space="preserve"> a potential</w:t>
      </w:r>
      <w:r w:rsidRPr="00350022">
        <w:rPr>
          <w:rFonts w:asciiTheme="majorBidi" w:hAnsiTheme="majorBidi" w:cstheme="majorBidi"/>
          <w:color w:val="auto"/>
          <w:szCs w:val="24"/>
          <w:lang w:val="en-US"/>
        </w:rPr>
        <w:t xml:space="preserve"> alternative to MB in developed and developing countries for strawberry, vegetables and other </w:t>
      </w:r>
      <w:r w:rsidRPr="00350022">
        <w:rPr>
          <w:rFonts w:asciiTheme="majorBidi" w:hAnsiTheme="majorBidi" w:cstheme="majorBidi"/>
          <w:color w:val="auto"/>
          <w:szCs w:val="24"/>
          <w:lang w:val="en-US"/>
        </w:rPr>
        <w:lastRenderedPageBreak/>
        <w:t>crops. This technology has been evaluated in diverse cropping systems</w:t>
      </w:r>
      <w:r>
        <w:rPr>
          <w:rFonts w:asciiTheme="majorBidi" w:hAnsiTheme="majorBidi" w:cstheme="majorBidi"/>
          <w:color w:val="auto"/>
          <w:szCs w:val="24"/>
          <w:lang w:val="en-US"/>
        </w:rPr>
        <w:t xml:space="preserve">, however still with </w:t>
      </w:r>
      <w:r w:rsidRPr="00350022">
        <w:rPr>
          <w:rFonts w:asciiTheme="majorBidi" w:hAnsiTheme="majorBidi" w:cstheme="majorBidi"/>
          <w:color w:val="auto"/>
          <w:szCs w:val="24"/>
          <w:lang w:val="en-US"/>
        </w:rPr>
        <w:t>variable</w:t>
      </w:r>
      <w:r>
        <w:rPr>
          <w:rFonts w:asciiTheme="majorBidi" w:hAnsiTheme="majorBidi" w:cstheme="majorBidi"/>
          <w:color w:val="auto"/>
          <w:szCs w:val="24"/>
          <w:lang w:val="en-US"/>
        </w:rPr>
        <w:t xml:space="preserve"> </w:t>
      </w:r>
      <w:r w:rsidR="003514D8">
        <w:rPr>
          <w:rFonts w:asciiTheme="majorBidi" w:hAnsiTheme="majorBidi" w:cstheme="majorBidi"/>
          <w:color w:val="auto"/>
          <w:szCs w:val="24"/>
          <w:lang w:val="en-US"/>
        </w:rPr>
        <w:t>results</w:t>
      </w:r>
      <w:r w:rsidRPr="00350022">
        <w:rPr>
          <w:rFonts w:asciiTheme="majorBidi" w:hAnsiTheme="majorBidi" w:cstheme="majorBidi"/>
          <w:color w:val="auto"/>
          <w:szCs w:val="24"/>
          <w:lang w:val="en-US"/>
        </w:rPr>
        <w:t xml:space="preserve"> (Shennan</w:t>
      </w:r>
      <w:r>
        <w:rPr>
          <w:rFonts w:asciiTheme="majorBidi" w:hAnsiTheme="majorBidi" w:cstheme="majorBidi"/>
          <w:color w:val="auto"/>
          <w:szCs w:val="24"/>
          <w:lang w:val="en-US"/>
        </w:rPr>
        <w:t xml:space="preserve"> </w:t>
      </w:r>
      <w:r w:rsidRPr="004160A3">
        <w:rPr>
          <w:rFonts w:asciiTheme="majorBidi" w:hAnsiTheme="majorBidi" w:cstheme="majorBidi"/>
          <w:i/>
          <w:iCs/>
          <w:color w:val="auto"/>
          <w:szCs w:val="24"/>
          <w:lang w:val="en-US"/>
        </w:rPr>
        <w:t>et al</w:t>
      </w:r>
      <w:r w:rsidRPr="00350022">
        <w:rPr>
          <w:rFonts w:asciiTheme="majorBidi" w:hAnsiTheme="majorBidi" w:cstheme="majorBidi"/>
          <w:color w:val="auto"/>
          <w:szCs w:val="24"/>
          <w:lang w:val="en-US"/>
        </w:rPr>
        <w:t xml:space="preserve"> 2014)</w:t>
      </w:r>
      <w:r>
        <w:rPr>
          <w:rFonts w:asciiTheme="majorBidi" w:hAnsiTheme="majorBidi" w:cstheme="majorBidi"/>
          <w:color w:val="auto"/>
          <w:szCs w:val="24"/>
          <w:lang w:val="en-US"/>
        </w:rPr>
        <w:t xml:space="preserve">. </w:t>
      </w:r>
      <w:r w:rsidRPr="00350022">
        <w:rPr>
          <w:rFonts w:asciiTheme="majorBidi" w:hAnsiTheme="majorBidi" w:cstheme="majorBidi"/>
          <w:color w:val="auto"/>
          <w:szCs w:val="24"/>
          <w:lang w:val="en-US"/>
        </w:rPr>
        <w:t>More work is needed to evaluate factors influenc</w:t>
      </w:r>
      <w:r w:rsidR="003514D8">
        <w:rPr>
          <w:rFonts w:asciiTheme="majorBidi" w:hAnsiTheme="majorBidi" w:cstheme="majorBidi"/>
          <w:color w:val="auto"/>
          <w:szCs w:val="24"/>
          <w:lang w:val="en-US"/>
        </w:rPr>
        <w:t>ing</w:t>
      </w:r>
      <w:r w:rsidRPr="00350022">
        <w:rPr>
          <w:rFonts w:asciiTheme="majorBidi" w:hAnsiTheme="majorBidi" w:cstheme="majorBidi"/>
          <w:color w:val="auto"/>
          <w:szCs w:val="24"/>
          <w:lang w:val="en-US"/>
        </w:rPr>
        <w:t xml:space="preserve"> the effectiveness of ASD treatment</w:t>
      </w:r>
      <w:r>
        <w:rPr>
          <w:rFonts w:asciiTheme="majorBidi" w:hAnsiTheme="majorBidi" w:cstheme="majorBidi"/>
          <w:color w:val="auto"/>
          <w:szCs w:val="24"/>
          <w:lang w:val="en-US"/>
        </w:rPr>
        <w:t>s</w:t>
      </w:r>
      <w:r w:rsidRPr="00350022">
        <w:rPr>
          <w:rFonts w:asciiTheme="majorBidi" w:hAnsiTheme="majorBidi" w:cstheme="majorBidi"/>
          <w:color w:val="auto"/>
          <w:szCs w:val="24"/>
          <w:lang w:val="en-US"/>
        </w:rPr>
        <w:t xml:space="preserve"> </w:t>
      </w:r>
      <w:r w:rsidR="003514D8">
        <w:rPr>
          <w:rFonts w:asciiTheme="majorBidi" w:hAnsiTheme="majorBidi" w:cstheme="majorBidi"/>
          <w:color w:val="auto"/>
          <w:szCs w:val="24"/>
          <w:lang w:val="en-US"/>
        </w:rPr>
        <w:t>and</w:t>
      </w:r>
      <w:r w:rsidRPr="00350022">
        <w:rPr>
          <w:rFonts w:asciiTheme="majorBidi" w:hAnsiTheme="majorBidi" w:cstheme="majorBidi"/>
          <w:color w:val="auto"/>
          <w:szCs w:val="24"/>
          <w:lang w:val="en-US"/>
        </w:rPr>
        <w:t xml:space="preserve"> to adapt th</w:t>
      </w:r>
      <w:r>
        <w:rPr>
          <w:rFonts w:asciiTheme="majorBidi" w:hAnsiTheme="majorBidi" w:cstheme="majorBidi"/>
          <w:color w:val="auto"/>
          <w:szCs w:val="24"/>
          <w:lang w:val="en-US"/>
        </w:rPr>
        <w:t xml:space="preserve">is </w:t>
      </w:r>
      <w:r w:rsidRPr="00350022">
        <w:rPr>
          <w:rFonts w:asciiTheme="majorBidi" w:hAnsiTheme="majorBidi" w:cstheme="majorBidi"/>
          <w:color w:val="auto"/>
          <w:szCs w:val="24"/>
          <w:lang w:val="en-US"/>
        </w:rPr>
        <w:t xml:space="preserve">procedure </w:t>
      </w:r>
      <w:r>
        <w:rPr>
          <w:rFonts w:asciiTheme="majorBidi" w:hAnsiTheme="majorBidi" w:cstheme="majorBidi"/>
          <w:color w:val="auto"/>
          <w:szCs w:val="24"/>
          <w:lang w:val="en-US"/>
        </w:rPr>
        <w:t xml:space="preserve">to </w:t>
      </w:r>
      <w:r w:rsidRPr="00350022">
        <w:rPr>
          <w:rFonts w:asciiTheme="majorBidi" w:hAnsiTheme="majorBidi" w:cstheme="majorBidi"/>
          <w:color w:val="auto"/>
          <w:szCs w:val="24"/>
          <w:lang w:val="en-US"/>
        </w:rPr>
        <w:t>diverse cropping systems and environments (</w:t>
      </w:r>
      <w:r w:rsidRPr="00350022">
        <w:rPr>
          <w:rFonts w:asciiTheme="majorBidi" w:hAnsiTheme="majorBidi" w:cstheme="majorBidi"/>
          <w:color w:val="auto"/>
          <w:szCs w:val="24"/>
          <w:lang w:eastAsia="fr-FR"/>
        </w:rPr>
        <w:t xml:space="preserve">Momma </w:t>
      </w:r>
      <w:r>
        <w:rPr>
          <w:rFonts w:asciiTheme="majorBidi" w:hAnsiTheme="majorBidi" w:cstheme="majorBidi"/>
          <w:color w:val="auto"/>
          <w:szCs w:val="24"/>
          <w:lang w:eastAsia="fr-FR"/>
        </w:rPr>
        <w:t>and</w:t>
      </w:r>
      <w:r>
        <w:rPr>
          <w:rFonts w:asciiTheme="majorBidi" w:hAnsiTheme="majorBidi" w:cstheme="majorBidi"/>
          <w:i/>
          <w:color w:val="auto"/>
          <w:szCs w:val="24"/>
          <w:lang w:eastAsia="fr-FR"/>
        </w:rPr>
        <w:t xml:space="preserve"> </w:t>
      </w:r>
      <w:r w:rsidRPr="00350022">
        <w:rPr>
          <w:rFonts w:asciiTheme="majorBidi" w:hAnsiTheme="majorBidi" w:cstheme="majorBidi"/>
          <w:color w:val="auto"/>
          <w:szCs w:val="24"/>
          <w:lang w:eastAsia="fr-FR"/>
        </w:rPr>
        <w:t>Kobara 2014</w:t>
      </w:r>
      <w:r>
        <w:rPr>
          <w:rFonts w:asciiTheme="majorBidi" w:hAnsiTheme="majorBidi" w:cstheme="majorBidi"/>
          <w:color w:val="auto"/>
          <w:szCs w:val="24"/>
          <w:lang w:eastAsia="fr-FR"/>
        </w:rPr>
        <w:t>;</w:t>
      </w:r>
      <w:r w:rsidR="003514D8">
        <w:rPr>
          <w:rFonts w:asciiTheme="majorBidi" w:hAnsiTheme="majorBidi" w:cstheme="majorBidi"/>
          <w:color w:val="auto"/>
          <w:szCs w:val="24"/>
          <w:lang w:eastAsia="fr-FR"/>
        </w:rPr>
        <w:t xml:space="preserve"> </w:t>
      </w:r>
      <w:r w:rsidRPr="00350022">
        <w:rPr>
          <w:rFonts w:asciiTheme="majorBidi" w:hAnsiTheme="majorBidi" w:cstheme="majorBidi"/>
          <w:color w:val="auto"/>
          <w:szCs w:val="24"/>
          <w:lang w:val="en-US"/>
        </w:rPr>
        <w:t>Shesta</w:t>
      </w:r>
      <w:r>
        <w:rPr>
          <w:rFonts w:asciiTheme="majorBidi" w:hAnsiTheme="majorBidi" w:cstheme="majorBidi"/>
          <w:color w:val="auto"/>
          <w:szCs w:val="24"/>
          <w:lang w:val="en-US"/>
        </w:rPr>
        <w:t xml:space="preserve"> </w:t>
      </w:r>
      <w:r w:rsidRPr="00350022">
        <w:rPr>
          <w:rFonts w:asciiTheme="majorBidi" w:hAnsiTheme="majorBidi" w:cstheme="majorBidi"/>
          <w:i/>
          <w:color w:val="auto"/>
          <w:szCs w:val="24"/>
          <w:lang w:val="en-US"/>
        </w:rPr>
        <w:t>et al</w:t>
      </w:r>
      <w:r>
        <w:rPr>
          <w:rFonts w:asciiTheme="majorBidi" w:hAnsiTheme="majorBidi" w:cstheme="majorBidi"/>
          <w:i/>
          <w:color w:val="auto"/>
          <w:szCs w:val="24"/>
          <w:lang w:val="en-US"/>
        </w:rPr>
        <w:t>.</w:t>
      </w:r>
      <w:r w:rsidRPr="00350022">
        <w:rPr>
          <w:rFonts w:asciiTheme="majorBidi" w:hAnsiTheme="majorBidi" w:cstheme="majorBidi"/>
          <w:color w:val="auto"/>
          <w:szCs w:val="24"/>
          <w:lang w:val="en-US"/>
        </w:rPr>
        <w:t xml:space="preserve"> 2014</w:t>
      </w:r>
      <w:r w:rsidRPr="00350022">
        <w:rPr>
          <w:rFonts w:asciiTheme="majorBidi" w:hAnsiTheme="majorBidi" w:cstheme="majorBidi"/>
          <w:color w:val="auto"/>
          <w:szCs w:val="24"/>
          <w:lang w:eastAsia="fr-FR"/>
        </w:rPr>
        <w:t>)</w:t>
      </w:r>
      <w:r>
        <w:rPr>
          <w:rFonts w:asciiTheme="majorBidi" w:hAnsiTheme="majorBidi" w:cstheme="majorBidi"/>
          <w:color w:val="auto"/>
          <w:szCs w:val="24"/>
          <w:lang w:eastAsia="fr-FR"/>
        </w:rPr>
        <w:t>.</w:t>
      </w:r>
    </w:p>
    <w:p w14:paraId="7B74A08F" w14:textId="77777777" w:rsidR="00CA5E9C" w:rsidRPr="00350022" w:rsidRDefault="00CA5E9C" w:rsidP="00E15FE9">
      <w:pPr>
        <w:numPr>
          <w:ilvl w:val="0"/>
          <w:numId w:val="50"/>
        </w:numPr>
        <w:autoSpaceDE w:val="0"/>
        <w:autoSpaceDN w:val="0"/>
        <w:spacing w:after="0"/>
        <w:rPr>
          <w:rFonts w:asciiTheme="majorBidi" w:hAnsiTheme="majorBidi" w:cstheme="majorBidi"/>
          <w:color w:val="auto"/>
          <w:szCs w:val="24"/>
          <w:lang w:val="en-US" w:eastAsia="fr-FR"/>
        </w:rPr>
      </w:pPr>
      <w:r w:rsidRPr="00350022">
        <w:rPr>
          <w:rFonts w:asciiTheme="majorBidi" w:hAnsiTheme="majorBidi" w:cstheme="majorBidi"/>
          <w:color w:val="auto"/>
          <w:szCs w:val="24"/>
          <w:lang w:val="en-US" w:eastAsia="fr-FR"/>
        </w:rPr>
        <w:t>Biofumiga</w:t>
      </w:r>
      <w:r w:rsidR="003514D8">
        <w:rPr>
          <w:rFonts w:asciiTheme="majorBidi" w:hAnsiTheme="majorBidi" w:cstheme="majorBidi"/>
          <w:color w:val="auto"/>
          <w:szCs w:val="24"/>
          <w:lang w:val="en-US" w:eastAsia="fr-FR"/>
        </w:rPr>
        <w:t>tion with materials</w:t>
      </w:r>
      <w:r w:rsidRPr="00350022">
        <w:rPr>
          <w:rFonts w:asciiTheme="majorBidi" w:hAnsiTheme="majorBidi" w:cstheme="majorBidi"/>
          <w:color w:val="auto"/>
          <w:szCs w:val="24"/>
          <w:lang w:val="en-US" w:eastAsia="fr-FR"/>
        </w:rPr>
        <w:t xml:space="preserve"> such as palmarosa (</w:t>
      </w:r>
      <w:r w:rsidRPr="00350022">
        <w:rPr>
          <w:rFonts w:asciiTheme="majorBidi" w:hAnsiTheme="majorBidi" w:cstheme="majorBidi"/>
          <w:i/>
          <w:iCs/>
          <w:color w:val="auto"/>
          <w:szCs w:val="24"/>
          <w:lang w:val="en-US" w:eastAsia="fr-FR"/>
        </w:rPr>
        <w:t>Cymbopogon martini</w:t>
      </w:r>
      <w:r w:rsidRPr="00350022">
        <w:rPr>
          <w:rFonts w:asciiTheme="majorBidi" w:hAnsiTheme="majorBidi" w:cstheme="majorBidi"/>
          <w:color w:val="auto"/>
          <w:szCs w:val="24"/>
          <w:lang w:val="en-US" w:eastAsia="fr-FR"/>
        </w:rPr>
        <w:t>), lemon</w:t>
      </w:r>
      <w:r>
        <w:rPr>
          <w:rFonts w:asciiTheme="majorBidi" w:hAnsiTheme="majorBidi" w:cstheme="majorBidi"/>
          <w:color w:val="auto"/>
          <w:szCs w:val="24"/>
          <w:lang w:val="en-US" w:eastAsia="fr-FR"/>
        </w:rPr>
        <w:t xml:space="preserve"> </w:t>
      </w:r>
      <w:r w:rsidRPr="00350022">
        <w:rPr>
          <w:rFonts w:asciiTheme="majorBidi" w:hAnsiTheme="majorBidi" w:cstheme="majorBidi"/>
          <w:color w:val="auto"/>
          <w:szCs w:val="24"/>
          <w:lang w:val="en-US" w:eastAsia="fr-FR"/>
        </w:rPr>
        <w:t>grass (</w:t>
      </w:r>
      <w:r w:rsidRPr="00350022">
        <w:rPr>
          <w:rFonts w:asciiTheme="majorBidi" w:hAnsiTheme="majorBidi" w:cstheme="majorBidi"/>
          <w:i/>
          <w:iCs/>
          <w:color w:val="auto"/>
          <w:szCs w:val="24"/>
          <w:lang w:val="en-US" w:eastAsia="fr-FR"/>
        </w:rPr>
        <w:t>C. citratus</w:t>
      </w:r>
      <w:r w:rsidRPr="00350022">
        <w:rPr>
          <w:rFonts w:asciiTheme="majorBidi" w:hAnsiTheme="majorBidi" w:cstheme="majorBidi"/>
          <w:color w:val="auto"/>
          <w:szCs w:val="24"/>
          <w:lang w:val="en-US" w:eastAsia="fr-FR"/>
        </w:rPr>
        <w:t>) and eucalyptus</w:t>
      </w:r>
      <w:r>
        <w:rPr>
          <w:rFonts w:asciiTheme="majorBidi" w:hAnsiTheme="majorBidi" w:cstheme="majorBidi"/>
          <w:color w:val="auto"/>
          <w:szCs w:val="24"/>
          <w:lang w:val="en-US" w:eastAsia="fr-FR"/>
        </w:rPr>
        <w:t xml:space="preserve"> oils</w:t>
      </w:r>
      <w:r w:rsidRPr="00350022">
        <w:rPr>
          <w:rFonts w:asciiTheme="majorBidi" w:hAnsiTheme="majorBidi" w:cstheme="majorBidi"/>
          <w:color w:val="auto"/>
          <w:szCs w:val="24"/>
          <w:lang w:val="en-US" w:eastAsia="fr-FR"/>
        </w:rPr>
        <w:t xml:space="preserve"> (</w:t>
      </w:r>
      <w:r w:rsidRPr="00350022">
        <w:rPr>
          <w:rFonts w:asciiTheme="majorBidi" w:hAnsiTheme="majorBidi" w:cstheme="majorBidi"/>
          <w:i/>
          <w:iCs/>
          <w:color w:val="auto"/>
          <w:szCs w:val="24"/>
          <w:lang w:val="en-US" w:eastAsia="fr-FR"/>
        </w:rPr>
        <w:t>Eucalyptus globulus</w:t>
      </w:r>
      <w:r w:rsidRPr="00350022">
        <w:rPr>
          <w:rFonts w:asciiTheme="majorBidi" w:hAnsiTheme="majorBidi" w:cstheme="majorBidi"/>
          <w:color w:val="auto"/>
          <w:szCs w:val="24"/>
          <w:lang w:val="en-US" w:eastAsia="fr-FR"/>
        </w:rPr>
        <w:t xml:space="preserve">) </w:t>
      </w:r>
      <w:r w:rsidR="003514D8">
        <w:rPr>
          <w:rFonts w:asciiTheme="majorBidi" w:hAnsiTheme="majorBidi" w:cstheme="majorBidi"/>
          <w:color w:val="auto"/>
          <w:szCs w:val="24"/>
          <w:lang w:val="en-US" w:eastAsia="fr-FR"/>
        </w:rPr>
        <w:t>is being trialed for</w:t>
      </w:r>
      <w:r w:rsidRPr="00350022">
        <w:rPr>
          <w:rFonts w:asciiTheme="majorBidi" w:hAnsiTheme="majorBidi" w:cstheme="majorBidi"/>
          <w:color w:val="auto"/>
          <w:szCs w:val="24"/>
          <w:lang w:val="en-US" w:eastAsia="fr-FR"/>
        </w:rPr>
        <w:t xml:space="preserve"> control</w:t>
      </w:r>
      <w:r w:rsidR="003514D8">
        <w:rPr>
          <w:rFonts w:asciiTheme="majorBidi" w:hAnsiTheme="majorBidi" w:cstheme="majorBidi"/>
          <w:color w:val="auto"/>
          <w:szCs w:val="24"/>
          <w:lang w:val="en-US" w:eastAsia="fr-FR"/>
        </w:rPr>
        <w:t>ling</w:t>
      </w:r>
      <w:r w:rsidRPr="00350022">
        <w:rPr>
          <w:rFonts w:asciiTheme="majorBidi" w:hAnsiTheme="majorBidi" w:cstheme="majorBidi"/>
          <w:color w:val="auto"/>
          <w:szCs w:val="24"/>
          <w:lang w:val="en-US" w:eastAsia="fr-FR"/>
        </w:rPr>
        <w:t xml:space="preserve"> </w:t>
      </w:r>
      <w:r w:rsidRPr="00350022">
        <w:rPr>
          <w:rFonts w:asciiTheme="majorBidi" w:hAnsiTheme="majorBidi" w:cstheme="majorBidi"/>
          <w:i/>
          <w:iCs/>
          <w:color w:val="auto"/>
          <w:szCs w:val="24"/>
          <w:lang w:val="en-US" w:eastAsia="fr-FR"/>
        </w:rPr>
        <w:t>Ralstonia</w:t>
      </w:r>
      <w:r>
        <w:rPr>
          <w:rFonts w:asciiTheme="majorBidi" w:hAnsiTheme="majorBidi" w:cstheme="majorBidi"/>
          <w:i/>
          <w:iCs/>
          <w:color w:val="auto"/>
          <w:szCs w:val="24"/>
          <w:lang w:val="en-US" w:eastAsia="fr-FR"/>
        </w:rPr>
        <w:t xml:space="preserve"> </w:t>
      </w:r>
      <w:r w:rsidRPr="00350022">
        <w:rPr>
          <w:rFonts w:asciiTheme="majorBidi" w:hAnsiTheme="majorBidi" w:cstheme="majorBidi"/>
          <w:i/>
          <w:iCs/>
          <w:color w:val="auto"/>
          <w:szCs w:val="24"/>
          <w:lang w:val="en-US" w:eastAsia="fr-FR"/>
        </w:rPr>
        <w:t>solanacearum</w:t>
      </w:r>
      <w:r>
        <w:rPr>
          <w:rFonts w:asciiTheme="majorBidi" w:hAnsiTheme="majorBidi" w:cstheme="majorBidi"/>
          <w:i/>
          <w:iCs/>
          <w:color w:val="auto"/>
          <w:szCs w:val="24"/>
          <w:lang w:val="en-US" w:eastAsia="fr-FR"/>
        </w:rPr>
        <w:t xml:space="preserve"> </w:t>
      </w:r>
      <w:r w:rsidRPr="00350022">
        <w:rPr>
          <w:rFonts w:asciiTheme="majorBidi" w:hAnsiTheme="majorBidi" w:cstheme="majorBidi"/>
          <w:color w:val="auto"/>
          <w:szCs w:val="24"/>
          <w:lang w:val="en-US" w:eastAsia="fr-FR"/>
        </w:rPr>
        <w:t>race 4 and reducing bacterial wilt disease of edible ginger (</w:t>
      </w:r>
      <w:r w:rsidRPr="00350022">
        <w:rPr>
          <w:rFonts w:asciiTheme="majorBidi" w:hAnsiTheme="majorBidi" w:cstheme="majorBidi"/>
          <w:i/>
          <w:iCs/>
          <w:color w:val="auto"/>
          <w:szCs w:val="24"/>
          <w:lang w:val="en-US" w:eastAsia="fr-FR"/>
        </w:rPr>
        <w:t>Zingiber</w:t>
      </w:r>
      <w:r>
        <w:rPr>
          <w:rFonts w:asciiTheme="majorBidi" w:hAnsiTheme="majorBidi" w:cstheme="majorBidi"/>
          <w:i/>
          <w:iCs/>
          <w:color w:val="auto"/>
          <w:szCs w:val="24"/>
          <w:lang w:val="en-US" w:eastAsia="fr-FR"/>
        </w:rPr>
        <w:t xml:space="preserve"> </w:t>
      </w:r>
      <w:r w:rsidRPr="00350022">
        <w:rPr>
          <w:rFonts w:asciiTheme="majorBidi" w:hAnsiTheme="majorBidi" w:cstheme="majorBidi"/>
          <w:i/>
          <w:iCs/>
          <w:color w:val="auto"/>
          <w:szCs w:val="24"/>
          <w:lang w:val="en-US" w:eastAsia="fr-FR"/>
        </w:rPr>
        <w:t>officinale</w:t>
      </w:r>
      <w:r w:rsidRPr="00350022">
        <w:rPr>
          <w:rFonts w:asciiTheme="majorBidi" w:hAnsiTheme="majorBidi" w:cstheme="majorBidi"/>
          <w:color w:val="auto"/>
          <w:szCs w:val="24"/>
          <w:lang w:val="en-US" w:eastAsia="fr-FR"/>
        </w:rPr>
        <w:t>) (Paret</w:t>
      </w:r>
      <w:r>
        <w:rPr>
          <w:rFonts w:asciiTheme="majorBidi" w:hAnsiTheme="majorBidi" w:cstheme="majorBidi"/>
          <w:color w:val="auto"/>
          <w:szCs w:val="24"/>
          <w:lang w:val="en-US" w:eastAsia="fr-FR"/>
        </w:rPr>
        <w:t xml:space="preserve"> </w:t>
      </w:r>
      <w:r w:rsidRPr="00350022">
        <w:rPr>
          <w:rFonts w:asciiTheme="majorBidi" w:hAnsiTheme="majorBidi" w:cstheme="majorBidi"/>
          <w:i/>
          <w:color w:val="auto"/>
          <w:szCs w:val="24"/>
          <w:lang w:val="en-US" w:eastAsia="fr-FR"/>
        </w:rPr>
        <w:t>et al</w:t>
      </w:r>
      <w:r>
        <w:rPr>
          <w:rFonts w:asciiTheme="majorBidi" w:hAnsiTheme="majorBidi" w:cstheme="majorBidi"/>
          <w:i/>
          <w:color w:val="auto"/>
          <w:szCs w:val="24"/>
          <w:lang w:val="en-US" w:eastAsia="fr-FR"/>
        </w:rPr>
        <w:t>.</w:t>
      </w:r>
      <w:r w:rsidRPr="00350022">
        <w:rPr>
          <w:rFonts w:asciiTheme="majorBidi" w:hAnsiTheme="majorBidi" w:cstheme="majorBidi"/>
          <w:color w:val="auto"/>
          <w:szCs w:val="24"/>
          <w:lang w:val="en-US" w:eastAsia="fr-FR"/>
        </w:rPr>
        <w:t xml:space="preserve"> 2010)</w:t>
      </w:r>
      <w:r>
        <w:rPr>
          <w:rFonts w:asciiTheme="majorBidi" w:hAnsiTheme="majorBidi" w:cstheme="majorBidi"/>
          <w:color w:val="auto"/>
          <w:szCs w:val="24"/>
          <w:lang w:val="en-US" w:eastAsia="fr-FR"/>
        </w:rPr>
        <w:t>.</w:t>
      </w:r>
    </w:p>
    <w:p w14:paraId="444079C5" w14:textId="77777777" w:rsidR="00CA5E9C" w:rsidRPr="00350022" w:rsidRDefault="00CA5E9C" w:rsidP="00E15FE9">
      <w:pPr>
        <w:numPr>
          <w:ilvl w:val="0"/>
          <w:numId w:val="50"/>
        </w:numPr>
        <w:autoSpaceDE w:val="0"/>
        <w:autoSpaceDN w:val="0"/>
        <w:spacing w:after="0"/>
        <w:rPr>
          <w:rFonts w:asciiTheme="majorBidi" w:hAnsiTheme="majorBidi" w:cstheme="majorBidi"/>
          <w:color w:val="auto"/>
          <w:szCs w:val="24"/>
        </w:rPr>
      </w:pPr>
      <w:r>
        <w:rPr>
          <w:rFonts w:asciiTheme="majorBidi" w:hAnsiTheme="majorBidi" w:cstheme="majorBidi"/>
          <w:color w:val="auto"/>
          <w:szCs w:val="24"/>
          <w:lang w:val="en-US"/>
        </w:rPr>
        <w:t>Recent research reinforces t</w:t>
      </w:r>
      <w:r w:rsidRPr="00350022">
        <w:rPr>
          <w:rFonts w:asciiTheme="majorBidi" w:hAnsiTheme="majorBidi" w:cstheme="majorBidi"/>
          <w:color w:val="auto"/>
          <w:szCs w:val="24"/>
          <w:lang w:val="en-US"/>
        </w:rPr>
        <w:t xml:space="preserve">he </w:t>
      </w:r>
      <w:r>
        <w:rPr>
          <w:rFonts w:asciiTheme="majorBidi" w:hAnsiTheme="majorBidi" w:cstheme="majorBidi"/>
          <w:color w:val="auto"/>
          <w:szCs w:val="24"/>
          <w:lang w:val="en-US"/>
        </w:rPr>
        <w:t>potential of b</w:t>
      </w:r>
      <w:r w:rsidRPr="00350022">
        <w:rPr>
          <w:rFonts w:asciiTheme="majorBidi" w:hAnsiTheme="majorBidi" w:cstheme="majorBidi"/>
          <w:color w:val="auto"/>
          <w:szCs w:val="24"/>
          <w:lang w:val="en-US"/>
        </w:rPr>
        <w:t xml:space="preserve">iological control as </w:t>
      </w:r>
      <w:r>
        <w:rPr>
          <w:rFonts w:asciiTheme="majorBidi" w:hAnsiTheme="majorBidi" w:cstheme="majorBidi"/>
          <w:color w:val="auto"/>
          <w:szCs w:val="24"/>
          <w:lang w:val="en-US"/>
        </w:rPr>
        <w:t xml:space="preserve">an </w:t>
      </w:r>
      <w:r w:rsidRPr="00350022">
        <w:rPr>
          <w:rFonts w:asciiTheme="majorBidi" w:hAnsiTheme="majorBidi" w:cstheme="majorBidi"/>
          <w:color w:val="auto"/>
          <w:szCs w:val="24"/>
          <w:lang w:val="en-US"/>
        </w:rPr>
        <w:t>alternative to MB</w:t>
      </w:r>
      <w:r>
        <w:rPr>
          <w:rFonts w:asciiTheme="majorBidi" w:hAnsiTheme="majorBidi" w:cstheme="majorBidi"/>
          <w:color w:val="auto"/>
          <w:szCs w:val="24"/>
          <w:lang w:val="en-US"/>
        </w:rPr>
        <w:t xml:space="preserve">. </w:t>
      </w:r>
      <w:r w:rsidRPr="00350022">
        <w:rPr>
          <w:rFonts w:asciiTheme="majorBidi" w:hAnsiTheme="majorBidi" w:cstheme="majorBidi"/>
          <w:color w:val="auto"/>
          <w:szCs w:val="24"/>
          <w:lang w:val="en-US"/>
        </w:rPr>
        <w:t xml:space="preserve"> For example, </w:t>
      </w:r>
      <w:r w:rsidRPr="00350022">
        <w:rPr>
          <w:rFonts w:asciiTheme="majorBidi" w:hAnsiTheme="majorBidi" w:cstheme="majorBidi"/>
          <w:color w:val="auto"/>
          <w:szCs w:val="24"/>
          <w:lang w:val="en-US" w:eastAsia="fr-FR"/>
        </w:rPr>
        <w:t xml:space="preserve">the biocontrol agent </w:t>
      </w:r>
      <w:r w:rsidRPr="00350022">
        <w:rPr>
          <w:rFonts w:asciiTheme="majorBidi" w:hAnsiTheme="majorBidi" w:cstheme="majorBidi"/>
          <w:i/>
          <w:iCs/>
          <w:color w:val="auto"/>
          <w:szCs w:val="24"/>
          <w:lang w:val="en-US" w:eastAsia="fr-FR"/>
        </w:rPr>
        <w:t>Pasteuria</w:t>
      </w:r>
      <w:r>
        <w:rPr>
          <w:rFonts w:asciiTheme="majorBidi" w:hAnsiTheme="majorBidi" w:cstheme="majorBidi"/>
          <w:i/>
          <w:iCs/>
          <w:color w:val="auto"/>
          <w:szCs w:val="24"/>
          <w:lang w:val="en-US" w:eastAsia="fr-FR"/>
        </w:rPr>
        <w:t xml:space="preserve"> </w:t>
      </w:r>
      <w:r w:rsidRPr="00350022">
        <w:rPr>
          <w:rFonts w:asciiTheme="majorBidi" w:hAnsiTheme="majorBidi" w:cstheme="majorBidi"/>
          <w:i/>
          <w:iCs/>
          <w:color w:val="auto"/>
          <w:szCs w:val="24"/>
          <w:lang w:val="en-US" w:eastAsia="fr-FR"/>
        </w:rPr>
        <w:t>penetrans</w:t>
      </w:r>
      <w:r>
        <w:rPr>
          <w:rFonts w:asciiTheme="majorBidi" w:hAnsiTheme="majorBidi" w:cstheme="majorBidi"/>
          <w:i/>
          <w:iCs/>
          <w:color w:val="auto"/>
          <w:szCs w:val="24"/>
          <w:lang w:val="en-US" w:eastAsia="fr-FR"/>
        </w:rPr>
        <w:t xml:space="preserve"> </w:t>
      </w:r>
      <w:r w:rsidRPr="00350022">
        <w:rPr>
          <w:rFonts w:asciiTheme="majorBidi" w:hAnsiTheme="majorBidi" w:cstheme="majorBidi"/>
          <w:color w:val="auto"/>
          <w:szCs w:val="24"/>
          <w:lang w:val="en-US" w:eastAsia="fr-FR"/>
        </w:rPr>
        <w:t xml:space="preserve">has </w:t>
      </w:r>
      <w:r>
        <w:rPr>
          <w:rFonts w:asciiTheme="majorBidi" w:hAnsiTheme="majorBidi" w:cstheme="majorBidi"/>
          <w:color w:val="auto"/>
          <w:szCs w:val="24"/>
          <w:lang w:val="en-US" w:eastAsia="fr-FR"/>
        </w:rPr>
        <w:t xml:space="preserve">shown good </w:t>
      </w:r>
      <w:r w:rsidRPr="00350022">
        <w:rPr>
          <w:rFonts w:asciiTheme="majorBidi" w:hAnsiTheme="majorBidi" w:cstheme="majorBidi"/>
          <w:color w:val="auto"/>
          <w:szCs w:val="24"/>
          <w:lang w:val="en-US" w:eastAsia="fr-FR"/>
        </w:rPr>
        <w:t>potential for controlling some species of nematodes and can n</w:t>
      </w:r>
      <w:r w:rsidRPr="00350022">
        <w:rPr>
          <w:rFonts w:asciiTheme="majorBidi" w:hAnsiTheme="majorBidi" w:cstheme="majorBidi"/>
          <w:iCs/>
          <w:color w:val="auto"/>
          <w:szCs w:val="24"/>
          <w:lang w:val="en-US" w:eastAsia="fr-FR"/>
        </w:rPr>
        <w:t>ow be mass</w:t>
      </w:r>
      <w:r>
        <w:rPr>
          <w:rFonts w:asciiTheme="majorBidi" w:hAnsiTheme="majorBidi" w:cstheme="majorBidi"/>
          <w:iCs/>
          <w:color w:val="auto"/>
          <w:szCs w:val="24"/>
          <w:lang w:val="en-US" w:eastAsia="fr-FR"/>
        </w:rPr>
        <w:t>-</w:t>
      </w:r>
      <w:r w:rsidRPr="00350022">
        <w:rPr>
          <w:rFonts w:asciiTheme="majorBidi" w:hAnsiTheme="majorBidi" w:cstheme="majorBidi"/>
          <w:iCs/>
          <w:color w:val="auto"/>
          <w:szCs w:val="24"/>
          <w:lang w:val="en-US" w:eastAsia="fr-FR"/>
        </w:rPr>
        <w:t>produced in vitro</w:t>
      </w:r>
      <w:r w:rsidRPr="00350022">
        <w:rPr>
          <w:rFonts w:asciiTheme="majorBidi" w:hAnsiTheme="majorBidi" w:cstheme="majorBidi"/>
          <w:color w:val="auto"/>
          <w:szCs w:val="24"/>
          <w:lang w:val="en-US" w:eastAsia="fr-FR"/>
        </w:rPr>
        <w:t xml:space="preserve"> (Kokalis-Burelle 2014). The beneficial microorganisms identified and commercially used include both bacteria and fungi (</w:t>
      </w:r>
      <w:r w:rsidRPr="00350022">
        <w:rPr>
          <w:rFonts w:asciiTheme="majorBidi" w:hAnsiTheme="majorBidi" w:cstheme="majorBidi"/>
          <w:color w:val="auto"/>
          <w:szCs w:val="24"/>
        </w:rPr>
        <w:t>Loganathan</w:t>
      </w:r>
      <w:r>
        <w:rPr>
          <w:rFonts w:asciiTheme="majorBidi" w:hAnsiTheme="majorBidi" w:cstheme="majorBidi"/>
          <w:color w:val="auto"/>
          <w:szCs w:val="24"/>
        </w:rPr>
        <w:t xml:space="preserve"> </w:t>
      </w:r>
      <w:r w:rsidRPr="00350022">
        <w:rPr>
          <w:rFonts w:asciiTheme="majorBidi" w:hAnsiTheme="majorBidi" w:cstheme="majorBidi"/>
          <w:i/>
          <w:iCs/>
          <w:color w:val="auto"/>
          <w:szCs w:val="24"/>
        </w:rPr>
        <w:t>et al</w:t>
      </w:r>
      <w:r w:rsidRPr="00350022">
        <w:rPr>
          <w:rFonts w:asciiTheme="majorBidi" w:hAnsiTheme="majorBidi" w:cstheme="majorBidi"/>
          <w:color w:val="auto"/>
          <w:szCs w:val="24"/>
        </w:rPr>
        <w:t>. 2014)</w:t>
      </w:r>
      <w:r>
        <w:rPr>
          <w:rFonts w:asciiTheme="majorBidi" w:hAnsiTheme="majorBidi" w:cstheme="majorBidi"/>
          <w:color w:val="auto"/>
          <w:szCs w:val="24"/>
        </w:rPr>
        <w:t>.</w:t>
      </w:r>
    </w:p>
    <w:p w14:paraId="788C6317" w14:textId="77777777" w:rsidR="00CA5E9C" w:rsidRPr="00350022" w:rsidRDefault="00CA5E9C" w:rsidP="00E15FE9">
      <w:pPr>
        <w:numPr>
          <w:ilvl w:val="0"/>
          <w:numId w:val="50"/>
        </w:numPr>
        <w:spacing w:after="0"/>
        <w:rPr>
          <w:rFonts w:asciiTheme="majorBidi" w:hAnsiTheme="majorBidi" w:cstheme="majorBidi"/>
          <w:color w:val="auto"/>
          <w:szCs w:val="24"/>
          <w:lang w:val="en-US" w:eastAsia="fr-FR"/>
        </w:rPr>
      </w:pPr>
      <w:r>
        <w:rPr>
          <w:rFonts w:asciiTheme="majorBidi" w:hAnsiTheme="majorBidi" w:cstheme="majorBidi"/>
          <w:color w:val="auto"/>
          <w:szCs w:val="24"/>
          <w:lang w:val="en-US" w:eastAsia="fr-FR"/>
        </w:rPr>
        <w:t>R</w:t>
      </w:r>
      <w:r w:rsidRPr="00350022">
        <w:rPr>
          <w:rFonts w:asciiTheme="majorBidi" w:hAnsiTheme="majorBidi" w:cstheme="majorBidi"/>
          <w:color w:val="auto"/>
          <w:szCs w:val="24"/>
          <w:lang w:val="en-US" w:eastAsia="fr-FR"/>
        </w:rPr>
        <w:t>epeated biosolari</w:t>
      </w:r>
      <w:r w:rsidR="003514D8">
        <w:rPr>
          <w:rFonts w:asciiTheme="majorBidi" w:hAnsiTheme="majorBidi" w:cstheme="majorBidi"/>
          <w:color w:val="auto"/>
          <w:szCs w:val="24"/>
          <w:lang w:val="en-US" w:eastAsia="fr-FR"/>
        </w:rPr>
        <w:t>s</w:t>
      </w:r>
      <w:r w:rsidRPr="00350022">
        <w:rPr>
          <w:rFonts w:asciiTheme="majorBidi" w:hAnsiTheme="majorBidi" w:cstheme="majorBidi"/>
          <w:color w:val="auto"/>
          <w:szCs w:val="24"/>
          <w:lang w:val="en-US" w:eastAsia="fr-FR"/>
        </w:rPr>
        <w:t>ation treatments (mainly with chicken manure) are</w:t>
      </w:r>
      <w:r>
        <w:rPr>
          <w:rFonts w:asciiTheme="majorBidi" w:hAnsiTheme="majorBidi" w:cstheme="majorBidi"/>
          <w:color w:val="auto"/>
          <w:szCs w:val="24"/>
          <w:lang w:val="en-US" w:eastAsia="fr-FR"/>
        </w:rPr>
        <w:t xml:space="preserve"> reported as</w:t>
      </w:r>
      <w:r w:rsidRPr="00350022">
        <w:rPr>
          <w:rFonts w:asciiTheme="majorBidi" w:hAnsiTheme="majorBidi" w:cstheme="majorBidi"/>
          <w:color w:val="auto"/>
          <w:szCs w:val="24"/>
          <w:lang w:val="en-US" w:eastAsia="fr-FR"/>
        </w:rPr>
        <w:t xml:space="preserve"> effective </w:t>
      </w:r>
      <w:r>
        <w:rPr>
          <w:rFonts w:asciiTheme="majorBidi" w:hAnsiTheme="majorBidi" w:cstheme="majorBidi"/>
          <w:color w:val="auto"/>
          <w:szCs w:val="24"/>
          <w:lang w:val="en-US" w:eastAsia="fr-FR"/>
        </w:rPr>
        <w:t xml:space="preserve">for </w:t>
      </w:r>
      <w:r w:rsidRPr="00350022">
        <w:rPr>
          <w:rFonts w:asciiTheme="majorBidi" w:hAnsiTheme="majorBidi" w:cstheme="majorBidi"/>
          <w:color w:val="auto"/>
          <w:szCs w:val="24"/>
          <w:lang w:val="en-US" w:eastAsia="fr-FR"/>
        </w:rPr>
        <w:t>control</w:t>
      </w:r>
      <w:r>
        <w:rPr>
          <w:rFonts w:asciiTheme="majorBidi" w:hAnsiTheme="majorBidi" w:cstheme="majorBidi"/>
          <w:color w:val="auto"/>
          <w:szCs w:val="24"/>
          <w:lang w:val="en-US" w:eastAsia="fr-FR"/>
        </w:rPr>
        <w:t xml:space="preserve">ling </w:t>
      </w:r>
      <w:r w:rsidRPr="00350022">
        <w:rPr>
          <w:rFonts w:asciiTheme="majorBidi" w:hAnsiTheme="majorBidi" w:cstheme="majorBidi"/>
          <w:i/>
          <w:color w:val="auto"/>
          <w:szCs w:val="24"/>
          <w:lang w:val="en-US" w:eastAsia="fr-FR"/>
        </w:rPr>
        <w:t>Macrophomina</w:t>
      </w:r>
      <w:r>
        <w:rPr>
          <w:rFonts w:asciiTheme="majorBidi" w:hAnsiTheme="majorBidi" w:cstheme="majorBidi"/>
          <w:i/>
          <w:color w:val="auto"/>
          <w:szCs w:val="24"/>
          <w:lang w:val="en-US" w:eastAsia="fr-FR"/>
        </w:rPr>
        <w:t xml:space="preserve"> </w:t>
      </w:r>
      <w:r w:rsidRPr="00350022">
        <w:rPr>
          <w:rFonts w:asciiTheme="majorBidi" w:hAnsiTheme="majorBidi" w:cstheme="majorBidi"/>
          <w:i/>
          <w:color w:val="auto"/>
          <w:szCs w:val="24"/>
          <w:lang w:val="en-US" w:eastAsia="fr-FR"/>
        </w:rPr>
        <w:t>phaseolina</w:t>
      </w:r>
      <w:r>
        <w:rPr>
          <w:rFonts w:asciiTheme="majorBidi" w:hAnsiTheme="majorBidi" w:cstheme="majorBidi"/>
          <w:i/>
          <w:color w:val="auto"/>
          <w:szCs w:val="24"/>
          <w:lang w:val="en-US" w:eastAsia="fr-FR"/>
        </w:rPr>
        <w:t xml:space="preserve"> </w:t>
      </w:r>
      <w:r w:rsidRPr="00350022">
        <w:rPr>
          <w:rFonts w:asciiTheme="majorBidi" w:hAnsiTheme="majorBidi" w:cstheme="majorBidi"/>
          <w:color w:val="auto"/>
          <w:szCs w:val="24"/>
          <w:lang w:val="en-US" w:eastAsia="fr-FR"/>
        </w:rPr>
        <w:t>in soil</w:t>
      </w:r>
      <w:r w:rsidR="003514D8">
        <w:rPr>
          <w:rFonts w:asciiTheme="majorBidi" w:hAnsiTheme="majorBidi" w:cstheme="majorBidi"/>
          <w:color w:val="auto"/>
          <w:szCs w:val="24"/>
          <w:lang w:val="en-US" w:eastAsia="fr-FR"/>
        </w:rPr>
        <w:t xml:space="preserve"> and increasing</w:t>
      </w:r>
      <w:r w:rsidRPr="00350022">
        <w:rPr>
          <w:rFonts w:asciiTheme="majorBidi" w:hAnsiTheme="majorBidi" w:cstheme="majorBidi"/>
          <w:color w:val="auto"/>
          <w:szCs w:val="24"/>
          <w:lang w:val="en-US" w:eastAsia="fr-FR"/>
        </w:rPr>
        <w:t xml:space="preserve"> yield</w:t>
      </w:r>
      <w:r w:rsidR="003514D8">
        <w:rPr>
          <w:rFonts w:asciiTheme="majorBidi" w:hAnsiTheme="majorBidi" w:cstheme="majorBidi"/>
          <w:color w:val="auto"/>
          <w:szCs w:val="24"/>
          <w:lang w:val="en-US" w:eastAsia="fr-FR"/>
        </w:rPr>
        <w:t>s of some crops to levels that</w:t>
      </w:r>
      <w:r>
        <w:rPr>
          <w:rFonts w:asciiTheme="majorBidi" w:hAnsiTheme="majorBidi" w:cstheme="majorBidi"/>
          <w:color w:val="auto"/>
          <w:szCs w:val="24"/>
          <w:lang w:val="en-US" w:eastAsia="fr-FR"/>
        </w:rPr>
        <w:t xml:space="preserve"> </w:t>
      </w:r>
      <w:r w:rsidRPr="00350022">
        <w:rPr>
          <w:rFonts w:asciiTheme="majorBidi" w:hAnsiTheme="majorBidi" w:cstheme="majorBidi"/>
          <w:color w:val="auto"/>
          <w:szCs w:val="24"/>
          <w:lang w:val="en-US" w:eastAsia="fr-FR"/>
        </w:rPr>
        <w:t xml:space="preserve">were similar or higher than </w:t>
      </w:r>
      <w:r w:rsidR="003514D8">
        <w:rPr>
          <w:rFonts w:asciiTheme="majorBidi" w:hAnsiTheme="majorBidi" w:cstheme="majorBidi"/>
          <w:color w:val="auto"/>
          <w:szCs w:val="24"/>
          <w:lang w:val="en-US" w:eastAsia="fr-FR"/>
        </w:rPr>
        <w:t>those</w:t>
      </w:r>
      <w:r w:rsidRPr="00350022">
        <w:rPr>
          <w:rFonts w:asciiTheme="majorBidi" w:hAnsiTheme="majorBidi" w:cstheme="majorBidi"/>
          <w:color w:val="auto"/>
          <w:szCs w:val="24"/>
          <w:lang w:val="en-US" w:eastAsia="fr-FR"/>
        </w:rPr>
        <w:t xml:space="preserve"> previously reported for</w:t>
      </w:r>
      <w:r>
        <w:rPr>
          <w:rFonts w:asciiTheme="majorBidi" w:hAnsiTheme="majorBidi" w:cstheme="majorBidi"/>
          <w:color w:val="auto"/>
          <w:szCs w:val="24"/>
          <w:lang w:val="en-US" w:eastAsia="fr-FR"/>
        </w:rPr>
        <w:t xml:space="preserve"> </w:t>
      </w:r>
      <w:r w:rsidRPr="00350022">
        <w:rPr>
          <w:rFonts w:asciiTheme="majorBidi" w:hAnsiTheme="majorBidi" w:cstheme="majorBidi"/>
          <w:color w:val="auto"/>
          <w:szCs w:val="24"/>
          <w:lang w:val="en-US" w:eastAsia="fr-FR"/>
        </w:rPr>
        <w:t>1,3-D/</w:t>
      </w:r>
      <w:r w:rsidR="003514D8">
        <w:rPr>
          <w:rFonts w:asciiTheme="majorBidi" w:hAnsiTheme="majorBidi" w:cstheme="majorBidi"/>
          <w:color w:val="auto"/>
          <w:szCs w:val="24"/>
          <w:lang w:val="en-US" w:eastAsia="fr-FR"/>
        </w:rPr>
        <w:t>Pic,</w:t>
      </w:r>
      <w:r w:rsidR="003514D8" w:rsidRPr="00350022">
        <w:rPr>
          <w:rFonts w:asciiTheme="majorBidi" w:hAnsiTheme="majorBidi" w:cstheme="majorBidi"/>
          <w:color w:val="auto"/>
          <w:szCs w:val="24"/>
          <w:lang w:val="en-US" w:eastAsia="fr-FR"/>
        </w:rPr>
        <w:t xml:space="preserve"> </w:t>
      </w:r>
      <w:r w:rsidR="003514D8">
        <w:rPr>
          <w:rFonts w:asciiTheme="majorBidi" w:hAnsiTheme="majorBidi" w:cstheme="majorBidi"/>
          <w:color w:val="auto"/>
          <w:szCs w:val="24"/>
          <w:lang w:val="en-US" w:eastAsia="fr-FR"/>
        </w:rPr>
        <w:t>a key alternative to MB</w:t>
      </w:r>
      <w:r w:rsidRPr="00350022">
        <w:rPr>
          <w:rFonts w:asciiTheme="majorBidi" w:hAnsiTheme="majorBidi" w:cstheme="majorBidi"/>
          <w:color w:val="auto"/>
          <w:szCs w:val="24"/>
          <w:lang w:val="en-US" w:eastAsia="fr-FR"/>
        </w:rPr>
        <w:t xml:space="preserve"> (Chamoro</w:t>
      </w:r>
      <w:r>
        <w:rPr>
          <w:rFonts w:asciiTheme="majorBidi" w:hAnsiTheme="majorBidi" w:cstheme="majorBidi"/>
          <w:color w:val="auto"/>
          <w:szCs w:val="24"/>
          <w:lang w:val="en-US" w:eastAsia="fr-FR"/>
        </w:rPr>
        <w:t xml:space="preserve"> </w:t>
      </w:r>
      <w:r w:rsidRPr="00350022">
        <w:rPr>
          <w:rFonts w:asciiTheme="majorBidi" w:hAnsiTheme="majorBidi" w:cstheme="majorBidi"/>
          <w:i/>
          <w:color w:val="auto"/>
          <w:szCs w:val="24"/>
          <w:lang w:val="en-US" w:eastAsia="fr-FR"/>
        </w:rPr>
        <w:t>et al</w:t>
      </w:r>
      <w:r>
        <w:rPr>
          <w:rFonts w:asciiTheme="majorBidi" w:hAnsiTheme="majorBidi" w:cstheme="majorBidi"/>
          <w:i/>
          <w:color w:val="auto"/>
          <w:szCs w:val="24"/>
          <w:lang w:val="en-US" w:eastAsia="fr-FR"/>
        </w:rPr>
        <w:t>.</w:t>
      </w:r>
      <w:r w:rsidRPr="00350022">
        <w:rPr>
          <w:rFonts w:asciiTheme="majorBidi" w:hAnsiTheme="majorBidi" w:cstheme="majorBidi"/>
          <w:color w:val="auto"/>
          <w:szCs w:val="24"/>
          <w:lang w:val="en-US" w:eastAsia="fr-FR"/>
        </w:rPr>
        <w:t xml:space="preserve"> 2015)</w:t>
      </w:r>
      <w:r>
        <w:rPr>
          <w:rFonts w:asciiTheme="majorBidi" w:hAnsiTheme="majorBidi" w:cstheme="majorBidi"/>
          <w:color w:val="auto"/>
          <w:szCs w:val="24"/>
          <w:lang w:val="en-US" w:eastAsia="fr-FR"/>
        </w:rPr>
        <w:t>.</w:t>
      </w:r>
    </w:p>
    <w:p w14:paraId="3CC2521B" w14:textId="77777777" w:rsidR="00CA5E9C" w:rsidRPr="00350022" w:rsidRDefault="00CA5E9C" w:rsidP="00E15FE9">
      <w:pPr>
        <w:numPr>
          <w:ilvl w:val="0"/>
          <w:numId w:val="50"/>
        </w:numPr>
        <w:autoSpaceDE w:val="0"/>
        <w:autoSpaceDN w:val="0"/>
        <w:adjustRightInd w:val="0"/>
        <w:spacing w:after="0"/>
        <w:rPr>
          <w:rFonts w:asciiTheme="majorBidi" w:hAnsiTheme="majorBidi" w:cstheme="majorBidi"/>
          <w:color w:val="auto"/>
          <w:szCs w:val="24"/>
        </w:rPr>
      </w:pPr>
      <w:r w:rsidRPr="00350022">
        <w:rPr>
          <w:rFonts w:asciiTheme="majorBidi" w:hAnsiTheme="majorBidi" w:cstheme="majorBidi"/>
          <w:color w:val="auto"/>
          <w:szCs w:val="24"/>
        </w:rPr>
        <w:t xml:space="preserve">Integrated approaches </w:t>
      </w:r>
      <w:r>
        <w:rPr>
          <w:rFonts w:asciiTheme="majorBidi" w:hAnsiTheme="majorBidi" w:cstheme="majorBidi"/>
          <w:color w:val="auto"/>
          <w:szCs w:val="24"/>
        </w:rPr>
        <w:t xml:space="preserve">continue to </w:t>
      </w:r>
      <w:r w:rsidR="003514D8">
        <w:rPr>
          <w:rFonts w:asciiTheme="majorBidi" w:hAnsiTheme="majorBidi" w:cstheme="majorBidi"/>
          <w:color w:val="auto"/>
          <w:szCs w:val="24"/>
        </w:rPr>
        <w:t>gain importance</w:t>
      </w:r>
      <w:r>
        <w:rPr>
          <w:rFonts w:asciiTheme="majorBidi" w:hAnsiTheme="majorBidi" w:cstheme="majorBidi"/>
          <w:color w:val="auto"/>
          <w:szCs w:val="24"/>
        </w:rPr>
        <w:t xml:space="preserve"> for </w:t>
      </w:r>
      <w:r w:rsidRPr="00350022">
        <w:rPr>
          <w:rFonts w:asciiTheme="majorBidi" w:hAnsiTheme="majorBidi" w:cstheme="majorBidi"/>
          <w:color w:val="auto"/>
          <w:szCs w:val="24"/>
        </w:rPr>
        <w:t>manag</w:t>
      </w:r>
      <w:r>
        <w:rPr>
          <w:rFonts w:asciiTheme="majorBidi" w:hAnsiTheme="majorBidi" w:cstheme="majorBidi"/>
          <w:color w:val="auto"/>
          <w:szCs w:val="24"/>
        </w:rPr>
        <w:t xml:space="preserve">ing </w:t>
      </w:r>
      <w:r w:rsidR="003514D8">
        <w:rPr>
          <w:rFonts w:asciiTheme="majorBidi" w:hAnsiTheme="majorBidi" w:cstheme="majorBidi"/>
          <w:color w:val="auto"/>
          <w:szCs w:val="24"/>
        </w:rPr>
        <w:t>root-knot</w:t>
      </w:r>
      <w:r w:rsidRPr="00350022">
        <w:rPr>
          <w:rFonts w:asciiTheme="majorBidi" w:hAnsiTheme="majorBidi" w:cstheme="majorBidi"/>
          <w:color w:val="auto"/>
          <w:szCs w:val="24"/>
        </w:rPr>
        <w:t xml:space="preserve"> nematodes. For example, </w:t>
      </w:r>
      <w:r w:rsidR="003514D8">
        <w:rPr>
          <w:rFonts w:asciiTheme="majorBidi" w:hAnsiTheme="majorBidi" w:cstheme="majorBidi"/>
          <w:color w:val="auto"/>
          <w:szCs w:val="24"/>
        </w:rPr>
        <w:t xml:space="preserve">applications of </w:t>
      </w:r>
      <w:r>
        <w:rPr>
          <w:rFonts w:asciiTheme="majorBidi" w:hAnsiTheme="majorBidi" w:cstheme="majorBidi"/>
          <w:color w:val="auto"/>
          <w:szCs w:val="24"/>
        </w:rPr>
        <w:t xml:space="preserve">the </w:t>
      </w:r>
      <w:r w:rsidRPr="00350022">
        <w:rPr>
          <w:rFonts w:asciiTheme="majorBidi" w:hAnsiTheme="majorBidi" w:cstheme="majorBidi"/>
          <w:color w:val="auto"/>
          <w:szCs w:val="24"/>
        </w:rPr>
        <w:t>bio</w:t>
      </w:r>
      <w:r>
        <w:rPr>
          <w:rFonts w:asciiTheme="majorBidi" w:hAnsiTheme="majorBidi" w:cstheme="majorBidi"/>
          <w:color w:val="auto"/>
          <w:szCs w:val="24"/>
        </w:rPr>
        <w:t>-</w:t>
      </w:r>
      <w:r w:rsidRPr="00350022">
        <w:rPr>
          <w:rFonts w:asciiTheme="majorBidi" w:hAnsiTheme="majorBidi" w:cstheme="majorBidi"/>
          <w:color w:val="auto"/>
          <w:szCs w:val="24"/>
        </w:rPr>
        <w:t xml:space="preserve">control agent </w:t>
      </w:r>
      <w:r w:rsidRPr="005A7240">
        <w:rPr>
          <w:rStyle w:val="Emphasis"/>
          <w:rFonts w:asciiTheme="majorBidi" w:hAnsiTheme="majorBidi" w:cstheme="majorBidi"/>
          <w:b w:val="0"/>
          <w:color w:val="auto"/>
          <w:szCs w:val="24"/>
        </w:rPr>
        <w:t>Pochonia chlamydosporia</w:t>
      </w:r>
      <w:r>
        <w:rPr>
          <w:rFonts w:asciiTheme="majorBidi" w:hAnsiTheme="majorBidi" w:cstheme="majorBidi"/>
          <w:color w:val="auto"/>
          <w:szCs w:val="24"/>
        </w:rPr>
        <w:t xml:space="preserve"> </w:t>
      </w:r>
      <w:r w:rsidR="003514D8">
        <w:rPr>
          <w:rFonts w:asciiTheme="majorBidi" w:hAnsiTheme="majorBidi" w:cstheme="majorBidi"/>
          <w:color w:val="auto"/>
          <w:szCs w:val="24"/>
        </w:rPr>
        <w:t xml:space="preserve">in combination </w:t>
      </w:r>
      <w:r>
        <w:rPr>
          <w:rFonts w:asciiTheme="majorBidi" w:hAnsiTheme="majorBidi" w:cstheme="majorBidi"/>
          <w:color w:val="auto"/>
          <w:szCs w:val="24"/>
        </w:rPr>
        <w:t>with</w:t>
      </w:r>
      <w:r w:rsidRPr="00350022">
        <w:rPr>
          <w:rFonts w:asciiTheme="majorBidi" w:hAnsiTheme="majorBidi" w:cstheme="majorBidi"/>
          <w:color w:val="auto"/>
          <w:szCs w:val="24"/>
        </w:rPr>
        <w:t xml:space="preserve"> crop rotation and organic amendment</w:t>
      </w:r>
      <w:r>
        <w:rPr>
          <w:rFonts w:asciiTheme="majorBidi" w:hAnsiTheme="majorBidi" w:cstheme="majorBidi"/>
          <w:color w:val="auto"/>
          <w:szCs w:val="24"/>
        </w:rPr>
        <w:t>s</w:t>
      </w:r>
      <w:r w:rsidRPr="00350022">
        <w:rPr>
          <w:rFonts w:asciiTheme="majorBidi" w:hAnsiTheme="majorBidi" w:cstheme="majorBidi"/>
          <w:color w:val="auto"/>
          <w:szCs w:val="24"/>
        </w:rPr>
        <w:t xml:space="preserve"> reduced the numbers of second-stage </w:t>
      </w:r>
      <w:r w:rsidR="003514D8">
        <w:rPr>
          <w:rFonts w:asciiTheme="majorBidi" w:hAnsiTheme="majorBidi" w:cstheme="majorBidi"/>
          <w:color w:val="auto"/>
          <w:szCs w:val="24"/>
        </w:rPr>
        <w:t xml:space="preserve">nematode </w:t>
      </w:r>
      <w:r w:rsidRPr="00350022">
        <w:rPr>
          <w:rFonts w:asciiTheme="majorBidi" w:hAnsiTheme="majorBidi" w:cstheme="majorBidi"/>
          <w:color w:val="auto"/>
          <w:szCs w:val="24"/>
        </w:rPr>
        <w:t>juvenile</w:t>
      </w:r>
      <w:r w:rsidR="003514D8">
        <w:rPr>
          <w:rFonts w:asciiTheme="majorBidi" w:hAnsiTheme="majorBidi" w:cstheme="majorBidi"/>
          <w:color w:val="auto"/>
          <w:szCs w:val="24"/>
        </w:rPr>
        <w:t>s</w:t>
      </w:r>
      <w:r w:rsidRPr="00350022">
        <w:rPr>
          <w:rFonts w:asciiTheme="majorBidi" w:hAnsiTheme="majorBidi" w:cstheme="majorBidi"/>
          <w:color w:val="auto"/>
          <w:szCs w:val="24"/>
        </w:rPr>
        <w:t xml:space="preserve"> on roots</w:t>
      </w:r>
      <w:r>
        <w:rPr>
          <w:rFonts w:asciiTheme="majorBidi" w:hAnsiTheme="majorBidi" w:cstheme="majorBidi"/>
          <w:color w:val="auto"/>
          <w:szCs w:val="24"/>
        </w:rPr>
        <w:t xml:space="preserve"> as well as</w:t>
      </w:r>
      <w:r w:rsidRPr="00350022">
        <w:rPr>
          <w:rFonts w:asciiTheme="majorBidi" w:hAnsiTheme="majorBidi" w:cstheme="majorBidi"/>
          <w:color w:val="auto"/>
          <w:szCs w:val="24"/>
        </w:rPr>
        <w:t xml:space="preserve"> the galling index</w:t>
      </w:r>
      <w:r>
        <w:rPr>
          <w:rFonts w:asciiTheme="majorBidi" w:hAnsiTheme="majorBidi" w:cstheme="majorBidi"/>
          <w:color w:val="auto"/>
          <w:szCs w:val="24"/>
        </w:rPr>
        <w:t>,</w:t>
      </w:r>
      <w:r w:rsidRPr="00350022">
        <w:rPr>
          <w:rFonts w:asciiTheme="majorBidi" w:hAnsiTheme="majorBidi" w:cstheme="majorBidi"/>
          <w:color w:val="auto"/>
          <w:szCs w:val="24"/>
        </w:rPr>
        <w:t xml:space="preserve"> </w:t>
      </w:r>
      <w:r w:rsidR="003514D8">
        <w:rPr>
          <w:rFonts w:asciiTheme="majorBidi" w:hAnsiTheme="majorBidi" w:cstheme="majorBidi"/>
          <w:color w:val="auto"/>
          <w:szCs w:val="24"/>
        </w:rPr>
        <w:t>and resulted in increased</w:t>
      </w:r>
      <w:r w:rsidRPr="00350022">
        <w:rPr>
          <w:rFonts w:asciiTheme="majorBidi" w:hAnsiTheme="majorBidi" w:cstheme="majorBidi"/>
          <w:color w:val="auto"/>
          <w:szCs w:val="24"/>
        </w:rPr>
        <w:t xml:space="preserve"> yield</w:t>
      </w:r>
      <w:r w:rsidR="003514D8">
        <w:rPr>
          <w:rFonts w:asciiTheme="majorBidi" w:hAnsiTheme="majorBidi" w:cstheme="majorBidi"/>
          <w:color w:val="auto"/>
          <w:szCs w:val="24"/>
        </w:rPr>
        <w:t>s</w:t>
      </w:r>
      <w:r w:rsidRPr="00350022">
        <w:rPr>
          <w:rFonts w:asciiTheme="majorBidi" w:hAnsiTheme="majorBidi" w:cstheme="majorBidi"/>
          <w:color w:val="auto"/>
          <w:szCs w:val="24"/>
        </w:rPr>
        <w:t xml:space="preserve"> (Nessie </w:t>
      </w:r>
      <w:r w:rsidRPr="00350022">
        <w:rPr>
          <w:rFonts w:asciiTheme="majorBidi" w:hAnsiTheme="majorBidi" w:cstheme="majorBidi"/>
          <w:i/>
          <w:color w:val="auto"/>
          <w:szCs w:val="24"/>
        </w:rPr>
        <w:t>et al</w:t>
      </w:r>
      <w:r>
        <w:rPr>
          <w:rFonts w:asciiTheme="majorBidi" w:hAnsiTheme="majorBidi" w:cstheme="majorBidi"/>
          <w:i/>
          <w:color w:val="auto"/>
          <w:szCs w:val="24"/>
        </w:rPr>
        <w:t>.</w:t>
      </w:r>
      <w:r w:rsidRPr="00350022">
        <w:rPr>
          <w:rFonts w:asciiTheme="majorBidi" w:hAnsiTheme="majorBidi" w:cstheme="majorBidi"/>
          <w:color w:val="auto"/>
          <w:szCs w:val="24"/>
        </w:rPr>
        <w:t xml:space="preserve"> 2015)</w:t>
      </w:r>
      <w:r>
        <w:rPr>
          <w:rFonts w:asciiTheme="majorBidi" w:hAnsiTheme="majorBidi" w:cstheme="majorBidi"/>
          <w:color w:val="auto"/>
          <w:szCs w:val="24"/>
        </w:rPr>
        <w:t>.</w:t>
      </w:r>
    </w:p>
    <w:p w14:paraId="05D4AD41" w14:textId="77777777" w:rsidR="00CA5E9C" w:rsidRPr="00350022" w:rsidRDefault="00CA5E9C" w:rsidP="00E15FE9">
      <w:pPr>
        <w:numPr>
          <w:ilvl w:val="0"/>
          <w:numId w:val="50"/>
        </w:numPr>
        <w:autoSpaceDE w:val="0"/>
        <w:autoSpaceDN w:val="0"/>
        <w:adjustRightInd w:val="0"/>
        <w:spacing w:after="0"/>
        <w:rPr>
          <w:rFonts w:asciiTheme="majorBidi" w:hAnsiTheme="majorBidi" w:cstheme="majorBidi"/>
          <w:color w:val="auto"/>
          <w:szCs w:val="24"/>
        </w:rPr>
      </w:pPr>
      <w:r w:rsidRPr="00350022">
        <w:rPr>
          <w:rFonts w:asciiTheme="majorBidi" w:eastAsia="Arial" w:hAnsiTheme="majorBidi" w:cstheme="majorBidi"/>
          <w:color w:val="auto"/>
          <w:szCs w:val="24"/>
          <w:lang w:val="en-US" w:eastAsia="fr-FR"/>
        </w:rPr>
        <w:t xml:space="preserve">In Europe, strawberry runner production for export </w:t>
      </w:r>
      <w:r w:rsidR="003514D8">
        <w:rPr>
          <w:rFonts w:asciiTheme="majorBidi" w:eastAsia="Arial" w:hAnsiTheme="majorBidi" w:cstheme="majorBidi"/>
          <w:color w:val="auto"/>
          <w:szCs w:val="24"/>
          <w:lang w:val="en-US" w:eastAsia="fr-FR"/>
        </w:rPr>
        <w:t>continues to increase even though MB use has been banned for five years</w:t>
      </w:r>
      <w:r w:rsidRPr="00350022">
        <w:rPr>
          <w:rFonts w:asciiTheme="majorBidi" w:eastAsia="Arial" w:hAnsiTheme="majorBidi" w:cstheme="majorBidi"/>
          <w:color w:val="auto"/>
          <w:szCs w:val="24"/>
          <w:lang w:val="en-US" w:eastAsia="fr-FR"/>
        </w:rPr>
        <w:t xml:space="preserve"> (Meszka</w:t>
      </w:r>
      <w:r>
        <w:rPr>
          <w:rFonts w:asciiTheme="majorBidi" w:eastAsia="Arial" w:hAnsiTheme="majorBidi" w:cstheme="majorBidi"/>
          <w:color w:val="auto"/>
          <w:szCs w:val="24"/>
          <w:lang w:val="en-US" w:eastAsia="fr-FR"/>
        </w:rPr>
        <w:t xml:space="preserve"> and Malus, </w:t>
      </w:r>
      <w:r w:rsidRPr="00350022">
        <w:rPr>
          <w:rFonts w:asciiTheme="majorBidi" w:eastAsia="Arial" w:hAnsiTheme="majorBidi" w:cstheme="majorBidi"/>
          <w:color w:val="auto"/>
          <w:szCs w:val="24"/>
          <w:lang w:val="en-US" w:eastAsia="fr-FR"/>
        </w:rPr>
        <w:t>2014</w:t>
      </w:r>
      <w:r>
        <w:rPr>
          <w:rFonts w:asciiTheme="majorBidi" w:eastAsia="Arial" w:hAnsiTheme="majorBidi" w:cstheme="majorBidi"/>
          <w:color w:val="auto"/>
          <w:szCs w:val="24"/>
          <w:lang w:val="en-US" w:eastAsia="fr-FR"/>
        </w:rPr>
        <w:t xml:space="preserve">; </w:t>
      </w:r>
      <w:r w:rsidRPr="00350022">
        <w:rPr>
          <w:rFonts w:asciiTheme="majorBidi" w:hAnsiTheme="majorBidi" w:cstheme="majorBidi"/>
          <w:color w:val="auto"/>
          <w:szCs w:val="24"/>
          <w:lang w:val="en-US" w:eastAsia="fr-FR"/>
        </w:rPr>
        <w:t xml:space="preserve">Wu </w:t>
      </w:r>
      <w:r w:rsidRPr="00DD70E1">
        <w:rPr>
          <w:rFonts w:asciiTheme="majorBidi" w:hAnsiTheme="majorBidi" w:cstheme="majorBidi"/>
          <w:i/>
          <w:iCs/>
          <w:color w:val="auto"/>
          <w:szCs w:val="24"/>
          <w:lang w:val="en-US" w:eastAsia="fr-FR"/>
        </w:rPr>
        <w:t>et al</w:t>
      </w:r>
      <w:r>
        <w:rPr>
          <w:rFonts w:asciiTheme="majorBidi" w:hAnsiTheme="majorBidi" w:cstheme="majorBidi"/>
          <w:i/>
          <w:iCs/>
          <w:color w:val="auto"/>
          <w:szCs w:val="24"/>
          <w:lang w:val="en-US" w:eastAsia="fr-FR"/>
        </w:rPr>
        <w:t>.</w:t>
      </w:r>
      <w:r w:rsidRPr="00350022">
        <w:rPr>
          <w:rFonts w:asciiTheme="majorBidi" w:hAnsiTheme="majorBidi" w:cstheme="majorBidi"/>
          <w:color w:val="auto"/>
          <w:szCs w:val="24"/>
          <w:lang w:val="en-US" w:eastAsia="fr-FR"/>
        </w:rPr>
        <w:t xml:space="preserve"> 2012)</w:t>
      </w:r>
      <w:r>
        <w:rPr>
          <w:rFonts w:asciiTheme="majorBidi" w:hAnsiTheme="majorBidi" w:cstheme="majorBidi"/>
          <w:color w:val="auto"/>
          <w:szCs w:val="24"/>
          <w:lang w:val="en-US" w:eastAsia="fr-FR"/>
        </w:rPr>
        <w:t>.</w:t>
      </w:r>
    </w:p>
    <w:p w14:paraId="4B07491D" w14:textId="77777777" w:rsidR="00CA5E9C" w:rsidRPr="00350022" w:rsidRDefault="00CA5E9C" w:rsidP="00E15FE9">
      <w:pPr>
        <w:numPr>
          <w:ilvl w:val="0"/>
          <w:numId w:val="50"/>
        </w:numPr>
        <w:autoSpaceDE w:val="0"/>
        <w:autoSpaceDN w:val="0"/>
        <w:adjustRightInd w:val="0"/>
        <w:spacing w:after="0"/>
        <w:rPr>
          <w:rFonts w:asciiTheme="majorBidi" w:hAnsiTheme="majorBidi" w:cstheme="majorBidi"/>
          <w:color w:val="auto"/>
          <w:szCs w:val="24"/>
        </w:rPr>
      </w:pPr>
      <w:r w:rsidRPr="00350022">
        <w:rPr>
          <w:rFonts w:asciiTheme="majorBidi" w:hAnsiTheme="majorBidi" w:cstheme="majorBidi"/>
          <w:color w:val="auto"/>
          <w:szCs w:val="24"/>
        </w:rPr>
        <w:t xml:space="preserve">Co-formulations of </w:t>
      </w:r>
      <w:r>
        <w:rPr>
          <w:rFonts w:asciiTheme="majorBidi" w:hAnsiTheme="majorBidi" w:cstheme="majorBidi"/>
          <w:color w:val="auto"/>
          <w:szCs w:val="24"/>
        </w:rPr>
        <w:t>1,3-D and Pic</w:t>
      </w:r>
      <w:r w:rsidRPr="00350022">
        <w:rPr>
          <w:rFonts w:asciiTheme="majorBidi" w:hAnsiTheme="majorBidi" w:cstheme="majorBidi"/>
          <w:color w:val="auto"/>
          <w:szCs w:val="24"/>
        </w:rPr>
        <w:t xml:space="preserve"> are commonly used for preplant</w:t>
      </w:r>
      <w:r>
        <w:rPr>
          <w:rFonts w:asciiTheme="majorBidi" w:hAnsiTheme="majorBidi" w:cstheme="majorBidi"/>
          <w:color w:val="auto"/>
          <w:szCs w:val="24"/>
        </w:rPr>
        <w:t xml:space="preserve"> </w:t>
      </w:r>
      <w:r w:rsidRPr="00350022">
        <w:rPr>
          <w:rFonts w:asciiTheme="majorBidi" w:hAnsiTheme="majorBidi" w:cstheme="majorBidi"/>
          <w:color w:val="auto"/>
          <w:szCs w:val="24"/>
        </w:rPr>
        <w:t>fumigation of high-value crops. Pic</w:t>
      </w:r>
      <w:r w:rsidR="004D6002">
        <w:rPr>
          <w:rFonts w:asciiTheme="majorBidi" w:hAnsiTheme="majorBidi" w:cstheme="majorBidi"/>
          <w:color w:val="auto"/>
          <w:szCs w:val="24"/>
        </w:rPr>
        <w:t xml:space="preserve"> emissions</w:t>
      </w:r>
      <w:r w:rsidRPr="00350022">
        <w:rPr>
          <w:rFonts w:asciiTheme="majorBidi" w:hAnsiTheme="majorBidi" w:cstheme="majorBidi"/>
          <w:color w:val="auto"/>
          <w:szCs w:val="24"/>
        </w:rPr>
        <w:t xml:space="preserve"> were signi</w:t>
      </w:r>
      <w:r w:rsidRPr="00350022">
        <w:rPr>
          <w:rFonts w:asciiTheme="majorBidi" w:eastAsia="AdvOT2e364b11+fb" w:hAnsiTheme="majorBidi" w:cstheme="majorBidi"/>
          <w:color w:val="auto"/>
          <w:szCs w:val="24"/>
        </w:rPr>
        <w:t>fi</w:t>
      </w:r>
      <w:r w:rsidRPr="00350022">
        <w:rPr>
          <w:rFonts w:asciiTheme="majorBidi" w:hAnsiTheme="majorBidi" w:cstheme="majorBidi"/>
          <w:color w:val="auto"/>
          <w:szCs w:val="24"/>
        </w:rPr>
        <w:t>cantly lower</w:t>
      </w:r>
      <w:r w:rsidR="004D6002">
        <w:rPr>
          <w:rFonts w:asciiTheme="majorBidi" w:hAnsiTheme="majorBidi" w:cstheme="majorBidi"/>
          <w:color w:val="auto"/>
          <w:szCs w:val="24"/>
        </w:rPr>
        <w:t xml:space="preserve"> when co-applied in this fashion</w:t>
      </w:r>
      <w:r w:rsidRPr="00350022">
        <w:rPr>
          <w:rFonts w:asciiTheme="majorBidi" w:hAnsiTheme="majorBidi" w:cstheme="majorBidi"/>
          <w:color w:val="auto"/>
          <w:szCs w:val="24"/>
        </w:rPr>
        <w:t xml:space="preserve"> than</w:t>
      </w:r>
      <w:r>
        <w:rPr>
          <w:rFonts w:asciiTheme="majorBidi" w:hAnsiTheme="majorBidi" w:cstheme="majorBidi"/>
          <w:color w:val="auto"/>
          <w:szCs w:val="24"/>
        </w:rPr>
        <w:t xml:space="preserve"> </w:t>
      </w:r>
      <w:r w:rsidRPr="00350022">
        <w:rPr>
          <w:rFonts w:asciiTheme="majorBidi" w:hAnsiTheme="majorBidi" w:cstheme="majorBidi"/>
          <w:color w:val="auto"/>
          <w:szCs w:val="24"/>
        </w:rPr>
        <w:t xml:space="preserve">when </w:t>
      </w:r>
      <w:r w:rsidR="004D6002">
        <w:rPr>
          <w:rFonts w:asciiTheme="majorBidi" w:hAnsiTheme="majorBidi" w:cstheme="majorBidi"/>
          <w:color w:val="auto"/>
          <w:szCs w:val="24"/>
        </w:rPr>
        <w:t>used</w:t>
      </w:r>
      <w:r w:rsidRPr="00350022">
        <w:rPr>
          <w:rFonts w:asciiTheme="majorBidi" w:hAnsiTheme="majorBidi" w:cstheme="majorBidi"/>
          <w:color w:val="auto"/>
          <w:szCs w:val="24"/>
        </w:rPr>
        <w:t xml:space="preserve"> alone (Ashworth </w:t>
      </w:r>
      <w:r w:rsidRPr="00DA6159">
        <w:rPr>
          <w:rFonts w:asciiTheme="majorBidi" w:hAnsiTheme="majorBidi" w:cstheme="majorBidi"/>
          <w:i/>
          <w:color w:val="auto"/>
          <w:szCs w:val="24"/>
        </w:rPr>
        <w:t>et al.</w:t>
      </w:r>
      <w:r w:rsidRPr="00350022">
        <w:rPr>
          <w:rFonts w:asciiTheme="majorBidi" w:hAnsiTheme="majorBidi" w:cstheme="majorBidi"/>
          <w:color w:val="auto"/>
          <w:szCs w:val="24"/>
        </w:rPr>
        <w:t xml:space="preserve"> 2015).</w:t>
      </w:r>
    </w:p>
    <w:p w14:paraId="718CC7B5" w14:textId="77777777" w:rsidR="00CA5E9C" w:rsidRPr="00350022" w:rsidRDefault="00CA5E9C" w:rsidP="002B7818">
      <w:pPr>
        <w:pStyle w:val="Heading3"/>
      </w:pPr>
      <w:r>
        <w:rPr>
          <w:rFonts w:asciiTheme="majorBidi" w:hAnsiTheme="majorBidi" w:cstheme="majorBidi"/>
          <w:szCs w:val="24"/>
        </w:rPr>
        <w:br/>
      </w:r>
      <w:bookmarkStart w:id="72" w:name="_Toc413659852"/>
      <w:bookmarkStart w:id="73" w:name="_Toc414934270"/>
      <w:bookmarkStart w:id="74" w:name="_Toc418842504"/>
      <w:bookmarkStart w:id="75" w:name="_Toc295406126"/>
      <w:r>
        <w:t>5.</w:t>
      </w:r>
      <w:r w:rsidRPr="00350022">
        <w:t xml:space="preserve">2.3 Structures and </w:t>
      </w:r>
      <w:bookmarkEnd w:id="72"/>
      <w:bookmarkEnd w:id="73"/>
      <w:r w:rsidRPr="00350022">
        <w:t>commodities sector</w:t>
      </w:r>
      <w:bookmarkEnd w:id="74"/>
      <w:bookmarkEnd w:id="75"/>
    </w:p>
    <w:p w14:paraId="40D6535B" w14:textId="77777777" w:rsidR="00CA5E9C" w:rsidRPr="00350022" w:rsidRDefault="00CA5E9C" w:rsidP="00CA5E9C">
      <w:pPr>
        <w:spacing w:after="0"/>
        <w:rPr>
          <w:rFonts w:asciiTheme="majorBidi" w:hAnsiTheme="majorBidi" w:cstheme="majorBidi"/>
          <w:color w:val="auto"/>
          <w:szCs w:val="24"/>
        </w:rPr>
      </w:pPr>
      <w:r>
        <w:rPr>
          <w:rFonts w:asciiTheme="majorBidi" w:hAnsiTheme="majorBidi" w:cstheme="majorBidi"/>
          <w:color w:val="auto"/>
          <w:szCs w:val="24"/>
        </w:rPr>
        <w:t xml:space="preserve">In </w:t>
      </w:r>
      <w:r w:rsidRPr="00350022">
        <w:rPr>
          <w:rFonts w:asciiTheme="majorBidi" w:hAnsiTheme="majorBidi" w:cstheme="majorBidi"/>
          <w:color w:val="auto"/>
          <w:szCs w:val="24"/>
        </w:rPr>
        <w:t xml:space="preserve">the past year, the state of the art and new developments of technologies in this sector have mostly been reported in the recent International Working Conference on Stored Product Protection and </w:t>
      </w:r>
      <w:r>
        <w:rPr>
          <w:rFonts w:asciiTheme="majorBidi" w:hAnsiTheme="majorBidi" w:cstheme="majorBidi"/>
          <w:color w:val="auto"/>
          <w:szCs w:val="24"/>
        </w:rPr>
        <w:t>some</w:t>
      </w:r>
      <w:r w:rsidRPr="00350022">
        <w:rPr>
          <w:rFonts w:asciiTheme="majorBidi" w:hAnsiTheme="majorBidi" w:cstheme="majorBidi"/>
          <w:color w:val="auto"/>
          <w:szCs w:val="24"/>
        </w:rPr>
        <w:t xml:space="preserve"> journal articles. </w:t>
      </w:r>
    </w:p>
    <w:p w14:paraId="79489369" w14:textId="77777777" w:rsidR="00CA5E9C" w:rsidRPr="00350022" w:rsidRDefault="00CA5E9C" w:rsidP="00CA5E9C">
      <w:pPr>
        <w:spacing w:after="0"/>
        <w:rPr>
          <w:rFonts w:asciiTheme="majorBidi" w:hAnsiTheme="majorBidi" w:cstheme="majorBidi"/>
          <w:color w:val="auto"/>
          <w:szCs w:val="24"/>
          <w:u w:val="single"/>
        </w:rPr>
      </w:pPr>
    </w:p>
    <w:p w14:paraId="704C1CAD" w14:textId="77777777" w:rsidR="00CA5E9C" w:rsidRPr="00DD70E1" w:rsidRDefault="00CA5E9C" w:rsidP="00E15FE9">
      <w:pPr>
        <w:numPr>
          <w:ilvl w:val="0"/>
          <w:numId w:val="53"/>
        </w:numPr>
        <w:spacing w:after="0"/>
        <w:ind w:left="360"/>
        <w:rPr>
          <w:rFonts w:asciiTheme="majorBidi" w:eastAsia="Arial" w:hAnsiTheme="majorBidi" w:cstheme="majorBidi"/>
          <w:color w:val="auto"/>
          <w:szCs w:val="24"/>
          <w:lang w:eastAsia="fr-FR"/>
        </w:rPr>
      </w:pPr>
      <w:r w:rsidRPr="00350022">
        <w:rPr>
          <w:rFonts w:asciiTheme="majorBidi" w:hAnsiTheme="majorBidi" w:cstheme="majorBidi"/>
          <w:b/>
          <w:bCs/>
          <w:color w:val="auto"/>
          <w:szCs w:val="24"/>
        </w:rPr>
        <w:t xml:space="preserve">Phosphine </w:t>
      </w:r>
      <w:r>
        <w:rPr>
          <w:rFonts w:asciiTheme="majorBidi" w:hAnsiTheme="majorBidi" w:cstheme="majorBidi"/>
          <w:b/>
          <w:bCs/>
          <w:color w:val="auto"/>
          <w:szCs w:val="24"/>
        </w:rPr>
        <w:t xml:space="preserve">adoption and resistance issues-: </w:t>
      </w:r>
      <w:r w:rsidR="004D6002">
        <w:rPr>
          <w:rFonts w:asciiTheme="majorBidi" w:eastAsia="Arial" w:hAnsiTheme="majorBidi" w:cstheme="majorBidi"/>
          <w:color w:val="auto"/>
          <w:szCs w:val="24"/>
          <w:lang w:eastAsia="fr-FR"/>
        </w:rPr>
        <w:t>S</w:t>
      </w:r>
      <w:r w:rsidRPr="00350022">
        <w:rPr>
          <w:rFonts w:asciiTheme="majorBidi" w:eastAsia="Arial" w:hAnsiTheme="majorBidi" w:cstheme="majorBidi"/>
          <w:color w:val="auto"/>
          <w:szCs w:val="24"/>
          <w:lang w:eastAsia="fr-FR"/>
        </w:rPr>
        <w:t xml:space="preserve">ustainable use of phosphine as the main fumigant for commodity pest control has been described </w:t>
      </w:r>
      <w:r>
        <w:rPr>
          <w:rFonts w:asciiTheme="majorBidi" w:eastAsia="Arial" w:hAnsiTheme="majorBidi" w:cstheme="majorBidi"/>
          <w:color w:val="auto"/>
          <w:szCs w:val="24"/>
          <w:lang w:eastAsia="fr-FR"/>
        </w:rPr>
        <w:t xml:space="preserve">in recent reviews </w:t>
      </w:r>
      <w:r w:rsidRPr="00350022">
        <w:rPr>
          <w:rFonts w:asciiTheme="majorBidi" w:eastAsia="Arial" w:hAnsiTheme="majorBidi" w:cstheme="majorBidi"/>
          <w:color w:val="auto"/>
          <w:szCs w:val="24"/>
          <w:lang w:eastAsia="fr-FR"/>
        </w:rPr>
        <w:t xml:space="preserve">(Arthur 2015; Rogers </w:t>
      </w:r>
      <w:r w:rsidRPr="00350022">
        <w:rPr>
          <w:rFonts w:asciiTheme="majorBidi" w:eastAsia="Arial" w:hAnsiTheme="majorBidi" w:cstheme="majorBidi"/>
          <w:i/>
          <w:color w:val="auto"/>
          <w:szCs w:val="24"/>
          <w:lang w:eastAsia="fr-FR"/>
        </w:rPr>
        <w:t>et al.</w:t>
      </w:r>
      <w:r w:rsidRPr="00350022">
        <w:rPr>
          <w:rFonts w:asciiTheme="majorBidi" w:eastAsia="Arial" w:hAnsiTheme="majorBidi" w:cstheme="majorBidi"/>
          <w:color w:val="auto"/>
          <w:szCs w:val="24"/>
          <w:lang w:eastAsia="fr-FR"/>
        </w:rPr>
        <w:t xml:space="preserve"> 2015). </w:t>
      </w:r>
      <w:r>
        <w:rPr>
          <w:rFonts w:asciiTheme="majorBidi" w:eastAsia="Arial" w:hAnsiTheme="majorBidi" w:cstheme="majorBidi"/>
          <w:color w:val="auto"/>
          <w:szCs w:val="24"/>
          <w:lang w:eastAsia="fr-FR"/>
        </w:rPr>
        <w:t xml:space="preserve">In particular, recent studies focus on guidelines and methods to avoid the development of </w:t>
      </w:r>
      <w:r w:rsidRPr="00350022">
        <w:rPr>
          <w:rFonts w:asciiTheme="majorBidi" w:eastAsia="Arial" w:hAnsiTheme="majorBidi" w:cstheme="majorBidi"/>
          <w:color w:val="auto"/>
          <w:szCs w:val="24"/>
          <w:lang w:eastAsia="fr-FR"/>
        </w:rPr>
        <w:t>phosphine resistant stored product pests (Jagedeesan</w:t>
      </w:r>
      <w:r>
        <w:rPr>
          <w:rFonts w:asciiTheme="majorBidi" w:eastAsia="Arial" w:hAnsiTheme="majorBidi" w:cstheme="majorBidi"/>
          <w:color w:val="auto"/>
          <w:szCs w:val="24"/>
          <w:lang w:eastAsia="fr-FR"/>
        </w:rPr>
        <w:t xml:space="preserve"> </w:t>
      </w:r>
      <w:r w:rsidRPr="00350022">
        <w:rPr>
          <w:rFonts w:asciiTheme="majorBidi" w:eastAsia="Arial" w:hAnsiTheme="majorBidi" w:cstheme="majorBidi"/>
          <w:i/>
          <w:color w:val="auto"/>
          <w:szCs w:val="24"/>
          <w:lang w:eastAsia="fr-FR"/>
        </w:rPr>
        <w:t>et al</w:t>
      </w:r>
      <w:r w:rsidRPr="00350022">
        <w:rPr>
          <w:rFonts w:asciiTheme="majorBidi" w:eastAsia="Arial" w:hAnsiTheme="majorBidi" w:cstheme="majorBidi"/>
          <w:color w:val="auto"/>
          <w:szCs w:val="24"/>
          <w:lang w:eastAsia="fr-FR"/>
        </w:rPr>
        <w:t>. 2015; Konemann</w:t>
      </w:r>
      <w:r>
        <w:rPr>
          <w:rFonts w:asciiTheme="majorBidi" w:eastAsia="Arial" w:hAnsiTheme="majorBidi" w:cstheme="majorBidi"/>
          <w:color w:val="auto"/>
          <w:szCs w:val="24"/>
          <w:lang w:eastAsia="fr-FR"/>
        </w:rPr>
        <w:t xml:space="preserve"> </w:t>
      </w:r>
      <w:r w:rsidRPr="00350022">
        <w:rPr>
          <w:rFonts w:asciiTheme="majorBidi" w:eastAsia="Arial" w:hAnsiTheme="majorBidi" w:cstheme="majorBidi"/>
          <w:i/>
          <w:color w:val="auto"/>
          <w:szCs w:val="24"/>
          <w:lang w:eastAsia="fr-FR"/>
        </w:rPr>
        <w:t>et al</w:t>
      </w:r>
      <w:r w:rsidRPr="00350022">
        <w:rPr>
          <w:rFonts w:asciiTheme="majorBidi" w:eastAsia="Arial" w:hAnsiTheme="majorBidi" w:cstheme="majorBidi"/>
          <w:color w:val="auto"/>
          <w:szCs w:val="24"/>
          <w:lang w:eastAsia="fr-FR"/>
        </w:rPr>
        <w:t>. 2015).</w:t>
      </w:r>
    </w:p>
    <w:p w14:paraId="32F50AAA" w14:textId="77777777" w:rsidR="00CA5E9C" w:rsidRPr="00575BA4" w:rsidRDefault="00CA5E9C" w:rsidP="00E15FE9">
      <w:pPr>
        <w:numPr>
          <w:ilvl w:val="0"/>
          <w:numId w:val="53"/>
        </w:numPr>
        <w:spacing w:after="0"/>
        <w:ind w:left="360"/>
        <w:rPr>
          <w:rFonts w:asciiTheme="majorBidi" w:eastAsia="Arial" w:hAnsiTheme="majorBidi" w:cstheme="majorBidi"/>
          <w:color w:val="FF0000"/>
          <w:szCs w:val="24"/>
          <w:lang w:eastAsia="fr-FR"/>
        </w:rPr>
      </w:pPr>
      <w:r w:rsidRPr="001D6B8A">
        <w:rPr>
          <w:rFonts w:asciiTheme="majorBidi" w:eastAsia="Arial" w:hAnsiTheme="majorBidi" w:cstheme="majorBidi"/>
          <w:b/>
          <w:color w:val="auto"/>
          <w:szCs w:val="24"/>
          <w:lang w:eastAsia="fr-FR"/>
        </w:rPr>
        <w:t xml:space="preserve">Phosphine </w:t>
      </w:r>
      <w:r>
        <w:rPr>
          <w:rFonts w:asciiTheme="majorBidi" w:eastAsia="Arial" w:hAnsiTheme="majorBidi" w:cstheme="majorBidi"/>
          <w:b/>
          <w:color w:val="auto"/>
          <w:szCs w:val="24"/>
          <w:lang w:eastAsia="fr-FR"/>
        </w:rPr>
        <w:t>g</w:t>
      </w:r>
      <w:r w:rsidRPr="001D6B8A">
        <w:rPr>
          <w:rFonts w:asciiTheme="majorBidi" w:eastAsia="Arial" w:hAnsiTheme="majorBidi" w:cstheme="majorBidi"/>
          <w:b/>
          <w:color w:val="auto"/>
          <w:szCs w:val="24"/>
          <w:lang w:eastAsia="fr-FR"/>
        </w:rPr>
        <w:t>enerators</w:t>
      </w:r>
      <w:r w:rsidRPr="00350022">
        <w:rPr>
          <w:rFonts w:asciiTheme="majorBidi" w:hAnsiTheme="majorBidi" w:cstheme="majorBidi"/>
          <w:color w:val="auto"/>
          <w:szCs w:val="24"/>
        </w:rPr>
        <w:t xml:space="preserve"> are </w:t>
      </w:r>
      <w:r>
        <w:rPr>
          <w:rFonts w:asciiTheme="majorBidi" w:hAnsiTheme="majorBidi" w:cstheme="majorBidi"/>
          <w:color w:val="auto"/>
          <w:szCs w:val="24"/>
        </w:rPr>
        <w:t xml:space="preserve">now more widely available </w:t>
      </w:r>
      <w:r w:rsidRPr="00350022">
        <w:rPr>
          <w:rFonts w:asciiTheme="majorBidi" w:hAnsiTheme="majorBidi" w:cstheme="majorBidi"/>
          <w:color w:val="auto"/>
          <w:szCs w:val="24"/>
        </w:rPr>
        <w:t>commercially. The generated gas is most often conveyed in a stream of CO</w:t>
      </w:r>
      <w:r w:rsidRPr="00350022">
        <w:rPr>
          <w:rFonts w:asciiTheme="majorBidi" w:hAnsiTheme="majorBidi" w:cstheme="majorBidi"/>
          <w:color w:val="auto"/>
          <w:szCs w:val="24"/>
          <w:vertAlign w:val="subscript"/>
        </w:rPr>
        <w:t>2</w:t>
      </w:r>
      <w:r w:rsidRPr="00350022">
        <w:rPr>
          <w:rFonts w:asciiTheme="majorBidi" w:hAnsiTheme="majorBidi" w:cstheme="majorBidi"/>
          <w:color w:val="auto"/>
          <w:szCs w:val="24"/>
        </w:rPr>
        <w:t xml:space="preserve"> as a fire suppressant and diluent. </w:t>
      </w:r>
      <w:r>
        <w:rPr>
          <w:rFonts w:asciiTheme="majorBidi" w:hAnsiTheme="majorBidi" w:cstheme="majorBidi"/>
          <w:color w:val="auto"/>
          <w:szCs w:val="24"/>
        </w:rPr>
        <w:t>Some MLF funded MB phaseout projects implemented in A5 countries have trialled and demonstrated such generators, for example</w:t>
      </w:r>
      <w:r w:rsidRPr="00350022">
        <w:rPr>
          <w:rFonts w:asciiTheme="majorBidi" w:hAnsiTheme="majorBidi" w:cstheme="majorBidi"/>
          <w:color w:val="auto"/>
          <w:szCs w:val="24"/>
        </w:rPr>
        <w:t xml:space="preserve"> for</w:t>
      </w:r>
      <w:r>
        <w:rPr>
          <w:rFonts w:asciiTheme="majorBidi" w:hAnsiTheme="majorBidi" w:cstheme="majorBidi"/>
          <w:color w:val="auto"/>
          <w:szCs w:val="24"/>
        </w:rPr>
        <w:t xml:space="preserve"> treatment of</w:t>
      </w:r>
      <w:r w:rsidRPr="00350022">
        <w:rPr>
          <w:rFonts w:asciiTheme="majorBidi" w:hAnsiTheme="majorBidi" w:cstheme="majorBidi"/>
          <w:color w:val="auto"/>
          <w:szCs w:val="24"/>
        </w:rPr>
        <w:t xml:space="preserve"> stored bagged grain in Syria</w:t>
      </w:r>
      <w:r>
        <w:rPr>
          <w:rFonts w:asciiTheme="majorBidi" w:hAnsiTheme="majorBidi" w:cstheme="majorBidi"/>
          <w:color w:val="auto"/>
          <w:szCs w:val="24"/>
        </w:rPr>
        <w:t xml:space="preserve"> and of </w:t>
      </w:r>
      <w:r w:rsidRPr="00350022">
        <w:rPr>
          <w:rFonts w:asciiTheme="majorBidi" w:hAnsiTheme="majorBidi" w:cstheme="majorBidi"/>
          <w:color w:val="auto"/>
          <w:szCs w:val="24"/>
        </w:rPr>
        <w:t>stored maize in silo bins in Kenya</w:t>
      </w:r>
      <w:r w:rsidR="004D6002">
        <w:rPr>
          <w:rFonts w:asciiTheme="majorBidi" w:hAnsiTheme="majorBidi" w:cstheme="majorBidi"/>
          <w:color w:val="auto"/>
          <w:szCs w:val="24"/>
        </w:rPr>
        <w:t>.</w:t>
      </w:r>
      <w:r>
        <w:rPr>
          <w:rFonts w:asciiTheme="majorBidi" w:hAnsiTheme="majorBidi" w:cstheme="majorBidi"/>
          <w:color w:val="auto"/>
          <w:szCs w:val="24"/>
        </w:rPr>
        <w:t xml:space="preserve"> </w:t>
      </w:r>
    </w:p>
    <w:p w14:paraId="7DA6F24C" w14:textId="77777777" w:rsidR="00CA5E9C" w:rsidRPr="004D6002" w:rsidRDefault="004D6002" w:rsidP="00E15FE9">
      <w:pPr>
        <w:pStyle w:val="ListParagraph"/>
        <w:widowControl/>
        <w:numPr>
          <w:ilvl w:val="0"/>
          <w:numId w:val="53"/>
        </w:numPr>
        <w:autoSpaceDE w:val="0"/>
        <w:autoSpaceDN w:val="0"/>
        <w:adjustRightInd w:val="0"/>
        <w:ind w:left="360" w:firstLineChars="0"/>
        <w:contextualSpacing/>
        <w:jc w:val="left"/>
        <w:rPr>
          <w:sz w:val="22"/>
        </w:rPr>
      </w:pPr>
      <w:r>
        <w:rPr>
          <w:rFonts w:asciiTheme="majorBidi" w:hAnsiTheme="majorBidi" w:cstheme="majorBidi"/>
          <w:sz w:val="22"/>
        </w:rPr>
        <w:t>A recent</w:t>
      </w:r>
      <w:r w:rsidR="00CA5E9C" w:rsidRPr="004D6002">
        <w:rPr>
          <w:rFonts w:asciiTheme="majorBidi" w:hAnsiTheme="majorBidi" w:cstheme="majorBidi"/>
          <w:sz w:val="22"/>
        </w:rPr>
        <w:t xml:space="preserve"> </w:t>
      </w:r>
      <w:r w:rsidR="00CA5E9C" w:rsidRPr="004D6002">
        <w:rPr>
          <w:rFonts w:asciiTheme="majorBidi" w:eastAsia="Arial" w:hAnsiTheme="majorBidi" w:cstheme="majorBidi"/>
          <w:sz w:val="22"/>
          <w:lang w:eastAsia="fr-FR"/>
        </w:rPr>
        <w:t>MLF funded project in Tunisia has used phosphine generator</w:t>
      </w:r>
      <w:r>
        <w:rPr>
          <w:rFonts w:asciiTheme="majorBidi" w:eastAsia="Arial" w:hAnsiTheme="majorBidi" w:cstheme="majorBidi"/>
          <w:sz w:val="22"/>
          <w:lang w:eastAsia="fr-FR"/>
        </w:rPr>
        <w:t>s</w:t>
      </w:r>
      <w:r w:rsidR="00CA5E9C" w:rsidRPr="004D6002">
        <w:rPr>
          <w:rFonts w:asciiTheme="majorBidi" w:eastAsia="Arial" w:hAnsiTheme="majorBidi" w:cstheme="majorBidi"/>
          <w:sz w:val="22"/>
          <w:lang w:eastAsia="fr-FR"/>
        </w:rPr>
        <w:t xml:space="preserve"> to control </w:t>
      </w:r>
      <w:r w:rsidR="00CA5E9C" w:rsidRPr="004D6002">
        <w:rPr>
          <w:rFonts w:asciiTheme="majorBidi" w:eastAsia="Arial" w:hAnsiTheme="majorBidi" w:cstheme="majorBidi"/>
          <w:i/>
          <w:iCs/>
          <w:sz w:val="22"/>
          <w:lang w:eastAsia="fr-FR"/>
        </w:rPr>
        <w:t>Ephestia kuehniella</w:t>
      </w:r>
      <w:r w:rsidR="00CA5E9C" w:rsidRPr="004D6002">
        <w:rPr>
          <w:rFonts w:asciiTheme="majorBidi" w:eastAsia="Arial" w:hAnsiTheme="majorBidi" w:cstheme="majorBidi"/>
          <w:sz w:val="22"/>
          <w:lang w:eastAsia="fr-FR"/>
        </w:rPr>
        <w:t xml:space="preserve"> and </w:t>
      </w:r>
      <w:r w:rsidR="00CA5E9C" w:rsidRPr="004D6002">
        <w:rPr>
          <w:rFonts w:asciiTheme="majorBidi" w:eastAsia="Arial" w:hAnsiTheme="majorBidi" w:cstheme="majorBidi"/>
          <w:i/>
          <w:iCs/>
          <w:sz w:val="22"/>
          <w:lang w:eastAsia="fr-FR"/>
        </w:rPr>
        <w:t xml:space="preserve">Ectomylois ceratoniae </w:t>
      </w:r>
      <w:r w:rsidR="00CA5E9C" w:rsidRPr="004D6002">
        <w:rPr>
          <w:rFonts w:asciiTheme="majorBidi" w:eastAsia="Arial" w:hAnsiTheme="majorBidi" w:cstheme="majorBidi"/>
          <w:sz w:val="22"/>
          <w:lang w:eastAsia="fr-FR"/>
        </w:rPr>
        <w:t>attacking dates. An optimum rate of 3 g/m</w:t>
      </w:r>
      <w:r w:rsidR="00CA5E9C" w:rsidRPr="004D6002">
        <w:rPr>
          <w:rFonts w:asciiTheme="majorBidi" w:eastAsia="Arial" w:hAnsiTheme="majorBidi" w:cstheme="majorBidi"/>
          <w:sz w:val="22"/>
          <w:vertAlign w:val="superscript"/>
          <w:lang w:eastAsia="fr-FR"/>
        </w:rPr>
        <w:t>3</w:t>
      </w:r>
      <w:r w:rsidR="00CA5E9C" w:rsidRPr="004D6002">
        <w:rPr>
          <w:rFonts w:asciiTheme="majorBidi" w:eastAsia="Arial" w:hAnsiTheme="majorBidi" w:cstheme="majorBidi"/>
          <w:sz w:val="22"/>
          <w:lang w:eastAsia="fr-FR"/>
        </w:rPr>
        <w:t xml:space="preserve"> was identified for use during 12h, 16h and 24h exposure times at respectively,</w:t>
      </w:r>
      <w:r>
        <w:rPr>
          <w:rFonts w:asciiTheme="majorBidi" w:eastAsia="Arial" w:hAnsiTheme="majorBidi" w:cstheme="majorBidi"/>
          <w:sz w:val="22"/>
          <w:lang w:eastAsia="fr-FR"/>
        </w:rPr>
        <w:t xml:space="preserve"> </w:t>
      </w:r>
      <w:r w:rsidR="00CA5E9C" w:rsidRPr="004D6002">
        <w:rPr>
          <w:rFonts w:asciiTheme="majorBidi" w:eastAsia="Arial" w:hAnsiTheme="majorBidi" w:cstheme="majorBidi"/>
          <w:sz w:val="22"/>
          <w:lang w:eastAsia="fr-FR"/>
        </w:rPr>
        <w:t>30°C,</w:t>
      </w:r>
      <w:r>
        <w:rPr>
          <w:rFonts w:asciiTheme="majorBidi" w:eastAsia="Arial" w:hAnsiTheme="majorBidi" w:cstheme="majorBidi"/>
          <w:sz w:val="22"/>
          <w:lang w:eastAsia="fr-FR"/>
        </w:rPr>
        <w:t xml:space="preserve"> </w:t>
      </w:r>
      <w:r w:rsidR="00CA5E9C" w:rsidRPr="004D6002">
        <w:rPr>
          <w:rFonts w:asciiTheme="majorBidi" w:eastAsia="Arial" w:hAnsiTheme="majorBidi" w:cstheme="majorBidi"/>
          <w:sz w:val="22"/>
          <w:lang w:eastAsia="fr-FR"/>
        </w:rPr>
        <w:t xml:space="preserve">25°C and 20°C, with a resulting mortality of 100%. These results confirm that phosphine can be considered an efficient alternative to MB for date disinfestation (Dhouibi </w:t>
      </w:r>
      <w:r w:rsidR="00CA5E9C" w:rsidRPr="004D6002">
        <w:rPr>
          <w:rFonts w:asciiTheme="majorBidi" w:eastAsia="Arial" w:hAnsiTheme="majorBidi" w:cstheme="majorBidi"/>
          <w:i/>
          <w:sz w:val="22"/>
          <w:lang w:eastAsia="fr-FR"/>
        </w:rPr>
        <w:t>et al.</w:t>
      </w:r>
      <w:r w:rsidR="00CA5E9C" w:rsidRPr="004D6002">
        <w:rPr>
          <w:rFonts w:asciiTheme="majorBidi" w:eastAsia="Arial" w:hAnsiTheme="majorBidi" w:cstheme="majorBidi"/>
          <w:sz w:val="22"/>
          <w:lang w:eastAsia="fr-FR"/>
        </w:rPr>
        <w:t xml:space="preserve"> 2015, </w:t>
      </w:r>
      <w:r w:rsidR="00CA5E9C" w:rsidRPr="004D6002">
        <w:rPr>
          <w:rFonts w:asciiTheme="majorBidi" w:hAnsiTheme="majorBidi" w:cstheme="majorBidi"/>
          <w:sz w:val="22"/>
        </w:rPr>
        <w:t>Dhouibi and Hammami, 2015)</w:t>
      </w:r>
      <w:r w:rsidR="00CA5E9C" w:rsidRPr="004D6002">
        <w:rPr>
          <w:rFonts w:asciiTheme="majorBidi" w:eastAsia="Arial" w:hAnsiTheme="majorBidi" w:cstheme="majorBidi"/>
          <w:sz w:val="22"/>
          <w:lang w:eastAsia="fr-FR"/>
        </w:rPr>
        <w:t>.</w:t>
      </w:r>
      <w:r w:rsidR="00CA5E9C" w:rsidRPr="004D6002">
        <w:rPr>
          <w:sz w:val="22"/>
        </w:rPr>
        <w:t xml:space="preserve"> </w:t>
      </w:r>
    </w:p>
    <w:p w14:paraId="08AA45F3" w14:textId="77777777" w:rsidR="00CA5E9C" w:rsidRPr="004D6002" w:rsidRDefault="00CA5E9C" w:rsidP="00E15FE9">
      <w:pPr>
        <w:pStyle w:val="ListParagraph"/>
        <w:widowControl/>
        <w:numPr>
          <w:ilvl w:val="0"/>
          <w:numId w:val="53"/>
        </w:numPr>
        <w:autoSpaceDE w:val="0"/>
        <w:autoSpaceDN w:val="0"/>
        <w:adjustRightInd w:val="0"/>
        <w:ind w:left="360" w:firstLineChars="0"/>
        <w:contextualSpacing/>
        <w:jc w:val="left"/>
        <w:rPr>
          <w:sz w:val="22"/>
        </w:rPr>
      </w:pPr>
      <w:r w:rsidRPr="004D6002">
        <w:rPr>
          <w:rFonts w:ascii="Times New Roman" w:hAnsi="Times New Roman"/>
          <w:b/>
          <w:sz w:val="22"/>
        </w:rPr>
        <w:lastRenderedPageBreak/>
        <w:t>Ethyl formate</w:t>
      </w:r>
      <w:r w:rsidR="005A7240">
        <w:rPr>
          <w:rFonts w:ascii="Times New Roman" w:hAnsi="Times New Roman"/>
          <w:b/>
          <w:sz w:val="22"/>
        </w:rPr>
        <w:t xml:space="preserve"> (EF)</w:t>
      </w:r>
      <w:r w:rsidRPr="004D6002">
        <w:rPr>
          <w:rFonts w:ascii="Times New Roman" w:hAnsi="Times New Roman"/>
          <w:sz w:val="22"/>
        </w:rPr>
        <w:t xml:space="preserve"> was studied in Tunisia, as an alternative to methyl bromide (MB) for date fruit disinfestations. Date fruits ‘Deglet Nour’ with different initial moisture content (16% for dry dates, 20% for semi dry dates, and a mixture of the two types) were separately fumigated with EF at different concentrations: Experimental EF sorption during fumigation was evaluated using the Peleg’s model. This model allows the prediction of the effects of date moisture content and EF concentration on sorption behavior. A 2-h fumigation with 114.6 g/m3 EF provided complete control of all the carob moth stages (</w:t>
      </w:r>
      <w:r w:rsidRPr="004D6002">
        <w:rPr>
          <w:rFonts w:ascii="Times New Roman" w:hAnsi="Times New Roman"/>
          <w:i/>
          <w:sz w:val="22"/>
        </w:rPr>
        <w:t>Ectomyelois ceratoniae</w:t>
      </w:r>
      <w:r w:rsidRPr="004D6002">
        <w:rPr>
          <w:rFonts w:ascii="Times New Roman" w:hAnsi="Times New Roman"/>
          <w:sz w:val="22"/>
        </w:rPr>
        <w:t xml:space="preserve">) (Bessi </w:t>
      </w:r>
      <w:r w:rsidRPr="004D6002">
        <w:rPr>
          <w:rFonts w:ascii="Times New Roman" w:hAnsi="Times New Roman"/>
          <w:i/>
          <w:sz w:val="22"/>
        </w:rPr>
        <w:t>et al</w:t>
      </w:r>
      <w:r w:rsidRPr="004D6002">
        <w:rPr>
          <w:rFonts w:ascii="Times New Roman" w:hAnsi="Times New Roman"/>
          <w:sz w:val="22"/>
        </w:rPr>
        <w:t xml:space="preserve">, 2015) </w:t>
      </w:r>
    </w:p>
    <w:p w14:paraId="074A23F8" w14:textId="77777777" w:rsidR="00CA5E9C" w:rsidRPr="00350022" w:rsidRDefault="00CA5E9C" w:rsidP="00E15FE9">
      <w:pPr>
        <w:numPr>
          <w:ilvl w:val="0"/>
          <w:numId w:val="53"/>
        </w:numPr>
        <w:autoSpaceDE w:val="0"/>
        <w:autoSpaceDN w:val="0"/>
        <w:adjustRightInd w:val="0"/>
        <w:spacing w:after="0"/>
        <w:ind w:left="360"/>
        <w:rPr>
          <w:rFonts w:asciiTheme="majorBidi" w:hAnsiTheme="majorBidi" w:cstheme="majorBidi"/>
          <w:color w:val="auto"/>
          <w:szCs w:val="24"/>
        </w:rPr>
      </w:pPr>
      <w:r w:rsidRPr="00350022">
        <w:rPr>
          <w:rFonts w:asciiTheme="majorBidi" w:eastAsia="Arial" w:hAnsiTheme="majorBidi" w:cstheme="majorBidi"/>
          <w:b/>
          <w:bCs/>
          <w:color w:val="auto"/>
          <w:szCs w:val="24"/>
          <w:lang w:eastAsia="fr-FR"/>
        </w:rPr>
        <w:t>Ham mites</w:t>
      </w:r>
      <w:r w:rsidRPr="00DA6159">
        <w:rPr>
          <w:rFonts w:asciiTheme="majorBidi" w:eastAsia="Arial" w:hAnsiTheme="majorBidi" w:cstheme="majorBidi"/>
          <w:color w:val="auto"/>
          <w:szCs w:val="24"/>
          <w:lang w:eastAsia="fr-FR"/>
        </w:rPr>
        <w:t>:</w:t>
      </w:r>
      <w:r>
        <w:rPr>
          <w:rFonts w:asciiTheme="majorBidi" w:eastAsia="Arial" w:hAnsiTheme="majorBidi" w:cstheme="majorBidi"/>
          <w:color w:val="auto"/>
          <w:szCs w:val="24"/>
          <w:lang w:eastAsia="fr-FR"/>
        </w:rPr>
        <w:t xml:space="preserve"> </w:t>
      </w:r>
      <w:r w:rsidRPr="00350022">
        <w:rPr>
          <w:rFonts w:asciiTheme="majorBidi" w:eastAsia="Arial" w:hAnsiTheme="majorBidi" w:cstheme="majorBidi"/>
          <w:color w:val="auto"/>
          <w:szCs w:val="24"/>
          <w:lang w:eastAsia="fr-FR"/>
        </w:rPr>
        <w:t xml:space="preserve">Results of </w:t>
      </w:r>
      <w:r>
        <w:rPr>
          <w:rFonts w:asciiTheme="majorBidi" w:eastAsia="Arial" w:hAnsiTheme="majorBidi" w:cstheme="majorBidi"/>
          <w:color w:val="auto"/>
          <w:szCs w:val="24"/>
          <w:lang w:eastAsia="fr-FR"/>
        </w:rPr>
        <w:t xml:space="preserve">studies on </w:t>
      </w:r>
      <w:r w:rsidRPr="00350022">
        <w:rPr>
          <w:rFonts w:asciiTheme="majorBidi" w:eastAsia="Arial" w:hAnsiTheme="majorBidi" w:cstheme="majorBidi"/>
          <w:color w:val="auto"/>
          <w:szCs w:val="24"/>
          <w:lang w:eastAsia="fr-FR"/>
        </w:rPr>
        <w:t xml:space="preserve">the control of mold mites </w:t>
      </w:r>
      <w:r w:rsidRPr="00350022">
        <w:rPr>
          <w:rFonts w:asciiTheme="majorBidi" w:hAnsiTheme="majorBidi" w:cstheme="majorBidi"/>
          <w:i/>
          <w:color w:val="auto"/>
          <w:szCs w:val="24"/>
        </w:rPr>
        <w:t>Tyrophagus</w:t>
      </w:r>
      <w:r>
        <w:rPr>
          <w:rFonts w:asciiTheme="majorBidi" w:hAnsiTheme="majorBidi" w:cstheme="majorBidi"/>
          <w:i/>
          <w:color w:val="auto"/>
          <w:szCs w:val="24"/>
        </w:rPr>
        <w:t xml:space="preserve"> </w:t>
      </w:r>
      <w:r w:rsidRPr="00350022">
        <w:rPr>
          <w:rFonts w:asciiTheme="majorBidi" w:hAnsiTheme="majorBidi" w:cstheme="majorBidi"/>
          <w:i/>
          <w:color w:val="auto"/>
          <w:szCs w:val="24"/>
        </w:rPr>
        <w:t>putrescentiae</w:t>
      </w:r>
      <w:r>
        <w:rPr>
          <w:rFonts w:asciiTheme="majorBidi" w:hAnsiTheme="majorBidi" w:cstheme="majorBidi"/>
          <w:i/>
          <w:color w:val="auto"/>
          <w:szCs w:val="24"/>
        </w:rPr>
        <w:t xml:space="preserve"> </w:t>
      </w:r>
      <w:r w:rsidRPr="00350022">
        <w:rPr>
          <w:rFonts w:asciiTheme="majorBidi" w:hAnsiTheme="majorBidi" w:cstheme="majorBidi"/>
          <w:color w:val="auto"/>
          <w:szCs w:val="24"/>
        </w:rPr>
        <w:t xml:space="preserve">have been </w:t>
      </w:r>
      <w:r>
        <w:rPr>
          <w:rFonts w:asciiTheme="majorBidi" w:hAnsiTheme="majorBidi" w:cstheme="majorBidi"/>
          <w:color w:val="auto"/>
          <w:szCs w:val="24"/>
        </w:rPr>
        <w:t xml:space="preserve">updated; food-grade coatings and IPM offer encouraging results </w:t>
      </w:r>
      <w:r w:rsidRPr="00350022">
        <w:rPr>
          <w:rFonts w:asciiTheme="majorBidi" w:hAnsiTheme="majorBidi" w:cstheme="majorBidi"/>
          <w:color w:val="auto"/>
          <w:szCs w:val="24"/>
        </w:rPr>
        <w:t xml:space="preserve">(Phillips </w:t>
      </w:r>
      <w:r w:rsidRPr="00350022">
        <w:rPr>
          <w:rFonts w:asciiTheme="majorBidi" w:hAnsiTheme="majorBidi" w:cstheme="majorBidi"/>
          <w:i/>
          <w:color w:val="auto"/>
          <w:szCs w:val="24"/>
        </w:rPr>
        <w:t>et al</w:t>
      </w:r>
      <w:r w:rsidRPr="00350022">
        <w:rPr>
          <w:rFonts w:asciiTheme="majorBidi" w:hAnsiTheme="majorBidi" w:cstheme="majorBidi"/>
          <w:color w:val="auto"/>
          <w:szCs w:val="24"/>
        </w:rPr>
        <w:t>. 2015</w:t>
      </w:r>
      <w:r>
        <w:rPr>
          <w:rFonts w:asciiTheme="majorBidi" w:hAnsiTheme="majorBidi" w:cstheme="majorBidi"/>
          <w:color w:val="auto"/>
          <w:szCs w:val="24"/>
        </w:rPr>
        <w:t>; Schilling 2014</w:t>
      </w:r>
      <w:r w:rsidRPr="00350022">
        <w:rPr>
          <w:rFonts w:asciiTheme="majorBidi" w:hAnsiTheme="majorBidi" w:cstheme="majorBidi"/>
          <w:color w:val="auto"/>
          <w:szCs w:val="24"/>
        </w:rPr>
        <w:t>).</w:t>
      </w:r>
    </w:p>
    <w:p w14:paraId="42528669" w14:textId="77777777" w:rsidR="00CA5E9C" w:rsidRPr="00350022" w:rsidRDefault="00CA5E9C" w:rsidP="00E15FE9">
      <w:pPr>
        <w:numPr>
          <w:ilvl w:val="0"/>
          <w:numId w:val="53"/>
        </w:numPr>
        <w:spacing w:after="0"/>
        <w:ind w:left="360"/>
        <w:rPr>
          <w:rFonts w:asciiTheme="majorBidi" w:hAnsiTheme="majorBidi" w:cstheme="majorBidi"/>
          <w:color w:val="auto"/>
          <w:szCs w:val="24"/>
        </w:rPr>
      </w:pPr>
      <w:r w:rsidRPr="00350022">
        <w:rPr>
          <w:rFonts w:asciiTheme="majorBidi" w:hAnsiTheme="majorBidi" w:cstheme="majorBidi"/>
          <w:b/>
          <w:bCs/>
          <w:color w:val="auto"/>
          <w:szCs w:val="24"/>
        </w:rPr>
        <w:t>Inert gases and hermetic storage</w:t>
      </w:r>
      <w:r w:rsidRPr="00DA6159">
        <w:rPr>
          <w:rFonts w:asciiTheme="majorBidi" w:hAnsiTheme="majorBidi" w:cstheme="majorBidi"/>
          <w:color w:val="auto"/>
          <w:szCs w:val="24"/>
        </w:rPr>
        <w:t>:</w:t>
      </w:r>
      <w:r w:rsidRPr="00350022">
        <w:rPr>
          <w:rFonts w:asciiTheme="majorBidi" w:hAnsiTheme="majorBidi" w:cstheme="majorBidi"/>
          <w:color w:val="auto"/>
          <w:szCs w:val="24"/>
        </w:rPr>
        <w:t xml:space="preserve"> The potential of inert gases, hermetic storage and reduced partial </w:t>
      </w:r>
      <w:r>
        <w:rPr>
          <w:rFonts w:asciiTheme="majorBidi" w:hAnsiTheme="majorBidi" w:cstheme="majorBidi"/>
          <w:color w:val="auto"/>
          <w:szCs w:val="24"/>
        </w:rPr>
        <w:t xml:space="preserve">air </w:t>
      </w:r>
      <w:r w:rsidRPr="00350022">
        <w:rPr>
          <w:rFonts w:asciiTheme="majorBidi" w:hAnsiTheme="majorBidi" w:cstheme="majorBidi"/>
          <w:color w:val="auto"/>
          <w:szCs w:val="24"/>
        </w:rPr>
        <w:t>pressure</w:t>
      </w:r>
      <w:r>
        <w:rPr>
          <w:rFonts w:asciiTheme="majorBidi" w:hAnsiTheme="majorBidi" w:cstheme="majorBidi"/>
          <w:color w:val="auto"/>
          <w:szCs w:val="24"/>
        </w:rPr>
        <w:t xml:space="preserve"> implemented</w:t>
      </w:r>
      <w:r w:rsidRPr="00350022">
        <w:rPr>
          <w:rFonts w:asciiTheme="majorBidi" w:hAnsiTheme="majorBidi" w:cstheme="majorBidi"/>
          <w:color w:val="auto"/>
          <w:szCs w:val="24"/>
        </w:rPr>
        <w:t xml:space="preserve"> within an integrated approach </w:t>
      </w:r>
      <w:r>
        <w:rPr>
          <w:rFonts w:asciiTheme="majorBidi" w:hAnsiTheme="majorBidi" w:cstheme="majorBidi"/>
          <w:color w:val="auto"/>
          <w:szCs w:val="24"/>
        </w:rPr>
        <w:t>has gained wider interest and adoption</w:t>
      </w:r>
      <w:r w:rsidRPr="00350022">
        <w:rPr>
          <w:rFonts w:asciiTheme="majorBidi" w:hAnsiTheme="majorBidi" w:cstheme="majorBidi"/>
          <w:color w:val="auto"/>
          <w:szCs w:val="24"/>
        </w:rPr>
        <w:t xml:space="preserve"> (Chigoverah</w:t>
      </w:r>
      <w:r>
        <w:rPr>
          <w:rFonts w:asciiTheme="majorBidi" w:hAnsiTheme="majorBidi" w:cstheme="majorBidi"/>
          <w:color w:val="auto"/>
          <w:szCs w:val="24"/>
        </w:rPr>
        <w:t xml:space="preserve"> </w:t>
      </w:r>
      <w:r w:rsidRPr="00350022">
        <w:rPr>
          <w:rFonts w:asciiTheme="majorBidi" w:hAnsiTheme="majorBidi" w:cstheme="majorBidi"/>
          <w:i/>
          <w:color w:val="auto"/>
          <w:szCs w:val="24"/>
        </w:rPr>
        <w:t>et al.</w:t>
      </w:r>
      <w:r w:rsidRPr="00350022">
        <w:rPr>
          <w:rFonts w:asciiTheme="majorBidi" w:hAnsiTheme="majorBidi" w:cstheme="majorBidi"/>
          <w:color w:val="auto"/>
          <w:szCs w:val="24"/>
        </w:rPr>
        <w:t xml:space="preserve"> 2015;</w:t>
      </w:r>
      <w:r>
        <w:rPr>
          <w:rFonts w:asciiTheme="majorBidi" w:hAnsiTheme="majorBidi" w:cstheme="majorBidi"/>
          <w:color w:val="auto"/>
          <w:szCs w:val="24"/>
        </w:rPr>
        <w:t xml:space="preserve"> </w:t>
      </w:r>
      <w:r w:rsidRPr="00350022">
        <w:rPr>
          <w:rFonts w:asciiTheme="majorBidi" w:hAnsiTheme="majorBidi" w:cstheme="majorBidi"/>
          <w:color w:val="auto"/>
          <w:szCs w:val="24"/>
        </w:rPr>
        <w:t>Murdock 2015;</w:t>
      </w:r>
      <w:r w:rsidR="004D6002">
        <w:rPr>
          <w:rFonts w:asciiTheme="majorBidi" w:hAnsiTheme="majorBidi" w:cstheme="majorBidi"/>
          <w:color w:val="auto"/>
          <w:szCs w:val="24"/>
        </w:rPr>
        <w:t xml:space="preserve"> </w:t>
      </w:r>
      <w:r w:rsidRPr="00350022">
        <w:rPr>
          <w:rFonts w:asciiTheme="majorBidi" w:hAnsiTheme="majorBidi" w:cstheme="majorBidi"/>
          <w:color w:val="auto"/>
          <w:szCs w:val="24"/>
        </w:rPr>
        <w:t>Navarro 2015; Prasantha</w:t>
      </w:r>
      <w:r>
        <w:rPr>
          <w:rFonts w:asciiTheme="majorBidi" w:hAnsiTheme="majorBidi" w:cstheme="majorBidi"/>
          <w:color w:val="auto"/>
          <w:szCs w:val="24"/>
        </w:rPr>
        <w:t xml:space="preserve"> </w:t>
      </w:r>
      <w:r w:rsidRPr="00350022">
        <w:rPr>
          <w:rFonts w:asciiTheme="majorBidi" w:hAnsiTheme="majorBidi" w:cstheme="majorBidi"/>
          <w:i/>
          <w:color w:val="auto"/>
          <w:szCs w:val="24"/>
        </w:rPr>
        <w:t>et al</w:t>
      </w:r>
      <w:r w:rsidRPr="00350022">
        <w:rPr>
          <w:rFonts w:asciiTheme="majorBidi" w:hAnsiTheme="majorBidi" w:cstheme="majorBidi"/>
          <w:color w:val="auto"/>
          <w:szCs w:val="24"/>
        </w:rPr>
        <w:t>. 2015).</w:t>
      </w:r>
    </w:p>
    <w:p w14:paraId="72FB2F27" w14:textId="77777777" w:rsidR="00CA5E9C" w:rsidRPr="004D6002" w:rsidRDefault="00CA5E9C" w:rsidP="00E15FE9">
      <w:pPr>
        <w:pStyle w:val="Default"/>
        <w:numPr>
          <w:ilvl w:val="0"/>
          <w:numId w:val="53"/>
        </w:numPr>
        <w:ind w:left="360"/>
        <w:rPr>
          <w:rFonts w:asciiTheme="majorBidi" w:hAnsiTheme="majorBidi" w:cstheme="majorBidi"/>
          <w:color w:val="auto"/>
          <w:sz w:val="22"/>
          <w:szCs w:val="22"/>
        </w:rPr>
      </w:pPr>
      <w:r w:rsidRPr="004D6002">
        <w:rPr>
          <w:rFonts w:asciiTheme="majorBidi" w:hAnsiTheme="majorBidi" w:cstheme="majorBidi"/>
          <w:b/>
          <w:bCs/>
          <w:color w:val="auto"/>
          <w:sz w:val="22"/>
          <w:szCs w:val="22"/>
        </w:rPr>
        <w:t>Museum pests:</w:t>
      </w:r>
      <w:r w:rsidRPr="004D6002">
        <w:rPr>
          <w:rFonts w:asciiTheme="majorBidi" w:hAnsiTheme="majorBidi" w:cstheme="majorBidi"/>
          <w:color w:val="auto"/>
          <w:sz w:val="22"/>
          <w:szCs w:val="22"/>
        </w:rPr>
        <w:t xml:space="preserve"> The detection and control of museum pests with alternatives has been a focus of several recent publications: Strang 2015; Arthur and Kelly 2015; Mendez and Ryder 2015.</w:t>
      </w:r>
    </w:p>
    <w:p w14:paraId="294CD02C" w14:textId="77777777" w:rsidR="00CA5E9C" w:rsidRPr="004D6002" w:rsidRDefault="00CA5E9C" w:rsidP="00E15FE9">
      <w:pPr>
        <w:pStyle w:val="Default"/>
        <w:numPr>
          <w:ilvl w:val="0"/>
          <w:numId w:val="53"/>
        </w:numPr>
        <w:ind w:left="360"/>
        <w:rPr>
          <w:rFonts w:asciiTheme="majorBidi" w:hAnsiTheme="majorBidi" w:cstheme="majorBidi"/>
          <w:color w:val="auto"/>
          <w:sz w:val="22"/>
          <w:szCs w:val="22"/>
          <w:lang w:eastAsia="fr-FR"/>
        </w:rPr>
      </w:pPr>
      <w:r w:rsidRPr="004D6002">
        <w:rPr>
          <w:rFonts w:asciiTheme="majorBidi" w:hAnsiTheme="majorBidi" w:cstheme="majorBidi"/>
          <w:b/>
          <w:bCs/>
          <w:color w:val="auto"/>
          <w:sz w:val="22"/>
          <w:szCs w:val="22"/>
        </w:rPr>
        <w:t>Biological control:</w:t>
      </w:r>
      <w:r w:rsidRPr="004D6002">
        <w:rPr>
          <w:rFonts w:asciiTheme="majorBidi" w:hAnsiTheme="majorBidi" w:cstheme="majorBidi"/>
          <w:color w:val="auto"/>
          <w:sz w:val="22"/>
          <w:szCs w:val="22"/>
        </w:rPr>
        <w:t xml:space="preserve"> The adoption of biological control and related methods as a friendly approach for the envir</w:t>
      </w:r>
      <w:r w:rsidR="004D6002">
        <w:rPr>
          <w:rFonts w:asciiTheme="majorBidi" w:hAnsiTheme="majorBidi" w:cstheme="majorBidi"/>
          <w:color w:val="auto"/>
          <w:sz w:val="22"/>
          <w:szCs w:val="22"/>
        </w:rPr>
        <w:t xml:space="preserve">onment, workers and customers, </w:t>
      </w:r>
      <w:r w:rsidRPr="004D6002">
        <w:rPr>
          <w:rFonts w:asciiTheme="majorBidi" w:hAnsiTheme="majorBidi" w:cstheme="majorBidi"/>
          <w:color w:val="auto"/>
          <w:sz w:val="22"/>
          <w:szCs w:val="22"/>
        </w:rPr>
        <w:t>increasingly present alternative options for certain areas of stored product protection and this avoids the need and use of fumigants. For example, r</w:t>
      </w:r>
      <w:r w:rsidRPr="004D6002">
        <w:rPr>
          <w:rFonts w:asciiTheme="majorBidi" w:hAnsiTheme="majorBidi" w:cstheme="majorBidi"/>
          <w:color w:val="auto"/>
          <w:sz w:val="22"/>
          <w:szCs w:val="22"/>
          <w:lang w:eastAsia="fr-FR"/>
        </w:rPr>
        <w:t xml:space="preserve">ecent research has demonstrated the effectiveness of </w:t>
      </w:r>
      <w:r w:rsidRPr="004D6002">
        <w:rPr>
          <w:rFonts w:asciiTheme="majorBidi" w:hAnsiTheme="majorBidi" w:cstheme="majorBidi"/>
          <w:i/>
          <w:color w:val="auto"/>
          <w:sz w:val="22"/>
          <w:szCs w:val="22"/>
          <w:lang w:eastAsia="fr-FR"/>
        </w:rPr>
        <w:t>Holepyris sylvanidis</w:t>
      </w:r>
      <w:r w:rsidRPr="004D6002">
        <w:rPr>
          <w:rFonts w:asciiTheme="majorBidi" w:hAnsiTheme="majorBidi" w:cstheme="majorBidi"/>
          <w:color w:val="auto"/>
          <w:sz w:val="22"/>
          <w:szCs w:val="22"/>
          <w:lang w:eastAsia="fr-FR"/>
        </w:rPr>
        <w:t xml:space="preserve"> against </w:t>
      </w:r>
      <w:r w:rsidRPr="004D6002">
        <w:rPr>
          <w:rFonts w:asciiTheme="majorBidi" w:hAnsiTheme="majorBidi" w:cstheme="majorBidi"/>
          <w:i/>
          <w:color w:val="auto"/>
          <w:sz w:val="22"/>
          <w:szCs w:val="22"/>
          <w:lang w:eastAsia="fr-FR"/>
        </w:rPr>
        <w:t>Tribolium</w:t>
      </w:r>
      <w:r w:rsidRPr="004D6002">
        <w:rPr>
          <w:rFonts w:asciiTheme="majorBidi" w:hAnsiTheme="majorBidi" w:cstheme="majorBidi"/>
          <w:color w:val="auto"/>
          <w:sz w:val="22"/>
          <w:szCs w:val="22"/>
          <w:lang w:eastAsia="fr-FR"/>
        </w:rPr>
        <w:t xml:space="preserve"> larvae and of parasitic wasps against other pest insects in storage. Mating disruption by use of highly concentrated pheromones was also shown to be promising within an IPM strategy (Athanassiou2015; Thakur and Renuka, 2015).</w:t>
      </w:r>
    </w:p>
    <w:p w14:paraId="02DAFC22" w14:textId="77777777" w:rsidR="00CA5E9C" w:rsidRPr="004D6002" w:rsidRDefault="00CA5E9C" w:rsidP="00E15FE9">
      <w:pPr>
        <w:numPr>
          <w:ilvl w:val="0"/>
          <w:numId w:val="53"/>
        </w:numPr>
        <w:autoSpaceDE w:val="0"/>
        <w:autoSpaceDN w:val="0"/>
        <w:spacing w:after="0"/>
        <w:ind w:left="360"/>
        <w:rPr>
          <w:rFonts w:asciiTheme="majorBidi" w:hAnsiTheme="majorBidi" w:cstheme="majorBidi"/>
          <w:color w:val="auto"/>
          <w:szCs w:val="22"/>
          <w:lang w:eastAsia="de-DE"/>
        </w:rPr>
      </w:pPr>
      <w:r w:rsidRPr="004D6002">
        <w:rPr>
          <w:rFonts w:asciiTheme="majorBidi" w:hAnsiTheme="majorBidi" w:cstheme="majorBidi"/>
          <w:b/>
          <w:bCs/>
          <w:color w:val="auto"/>
          <w:szCs w:val="22"/>
          <w:lang w:val="en-US" w:eastAsia="fr-FR"/>
        </w:rPr>
        <w:t xml:space="preserve">Other fumigants and contact insecticides: </w:t>
      </w:r>
      <w:r w:rsidRPr="004D6002">
        <w:rPr>
          <w:rFonts w:asciiTheme="majorBidi" w:hAnsiTheme="majorBidi" w:cstheme="majorBidi"/>
          <w:color w:val="auto"/>
          <w:szCs w:val="22"/>
          <w:lang w:val="en-US" w:eastAsia="fr-FR"/>
        </w:rPr>
        <w:t>Additional research on fumigant alternatives to MB</w:t>
      </w:r>
      <w:r w:rsidR="004D6002">
        <w:rPr>
          <w:rFonts w:asciiTheme="majorBidi" w:hAnsiTheme="majorBidi" w:cstheme="majorBidi"/>
          <w:color w:val="auto"/>
          <w:szCs w:val="22"/>
          <w:lang w:val="en-US" w:eastAsia="fr-FR"/>
        </w:rPr>
        <w:t>,</w:t>
      </w:r>
      <w:r w:rsidRPr="004D6002">
        <w:rPr>
          <w:rFonts w:asciiTheme="majorBidi" w:hAnsiTheme="majorBidi" w:cstheme="majorBidi"/>
          <w:color w:val="auto"/>
          <w:szCs w:val="22"/>
          <w:lang w:val="en-US" w:eastAsia="fr-FR"/>
        </w:rPr>
        <w:t xml:space="preserve"> have focused on </w:t>
      </w:r>
      <w:r w:rsidR="004D6002">
        <w:rPr>
          <w:rFonts w:asciiTheme="majorBidi" w:hAnsiTheme="majorBidi" w:cstheme="majorBidi"/>
          <w:color w:val="auto"/>
          <w:szCs w:val="22"/>
          <w:lang w:val="en-US" w:eastAsia="fr-FR"/>
        </w:rPr>
        <w:t xml:space="preserve">the </w:t>
      </w:r>
      <w:r w:rsidRPr="004D6002">
        <w:rPr>
          <w:rFonts w:asciiTheme="majorBidi" w:hAnsiTheme="majorBidi" w:cstheme="majorBidi"/>
          <w:color w:val="auto"/>
          <w:szCs w:val="22"/>
          <w:lang w:val="en-US" w:eastAsia="fr-FR"/>
        </w:rPr>
        <w:t xml:space="preserve">development of new phosphine treatments and on inert gases (Ren </w:t>
      </w:r>
      <w:r w:rsidRPr="004D6002">
        <w:rPr>
          <w:rFonts w:asciiTheme="majorBidi" w:hAnsiTheme="majorBidi" w:cstheme="majorBidi"/>
          <w:i/>
          <w:color w:val="auto"/>
          <w:szCs w:val="22"/>
          <w:lang w:val="en-US" w:eastAsia="fr-FR"/>
        </w:rPr>
        <w:t>et al</w:t>
      </w:r>
      <w:r w:rsidRPr="004D6002">
        <w:rPr>
          <w:rFonts w:asciiTheme="majorBidi" w:hAnsiTheme="majorBidi" w:cstheme="majorBidi"/>
          <w:color w:val="auto"/>
          <w:szCs w:val="22"/>
          <w:lang w:val="en-US" w:eastAsia="fr-FR"/>
        </w:rPr>
        <w:t xml:space="preserve">.2015; Gautam </w:t>
      </w:r>
      <w:r w:rsidRPr="004D6002">
        <w:rPr>
          <w:rFonts w:asciiTheme="majorBidi" w:hAnsiTheme="majorBidi" w:cstheme="majorBidi"/>
          <w:i/>
          <w:color w:val="auto"/>
          <w:szCs w:val="22"/>
          <w:lang w:val="en-US" w:eastAsia="fr-FR"/>
        </w:rPr>
        <w:t>et al</w:t>
      </w:r>
      <w:r w:rsidRPr="004D6002">
        <w:rPr>
          <w:rFonts w:asciiTheme="majorBidi" w:hAnsiTheme="majorBidi" w:cstheme="majorBidi"/>
          <w:color w:val="auto"/>
          <w:szCs w:val="22"/>
          <w:lang w:val="en-US" w:eastAsia="fr-FR"/>
        </w:rPr>
        <w:t xml:space="preserve">. 2015; Hansen </w:t>
      </w:r>
      <w:r w:rsidRPr="004D6002">
        <w:rPr>
          <w:rFonts w:asciiTheme="majorBidi" w:hAnsiTheme="majorBidi" w:cstheme="majorBidi"/>
          <w:i/>
          <w:color w:val="auto"/>
          <w:szCs w:val="22"/>
          <w:lang w:val="en-US" w:eastAsia="fr-FR"/>
        </w:rPr>
        <w:t>et al</w:t>
      </w:r>
      <w:r w:rsidRPr="004D6002">
        <w:rPr>
          <w:rFonts w:asciiTheme="majorBidi" w:hAnsiTheme="majorBidi" w:cstheme="majorBidi"/>
          <w:color w:val="auto"/>
          <w:szCs w:val="22"/>
          <w:lang w:val="en-US" w:eastAsia="fr-FR"/>
        </w:rPr>
        <w:t>. 2015).</w:t>
      </w:r>
      <w:r w:rsidR="004D6002">
        <w:rPr>
          <w:rFonts w:asciiTheme="majorBidi" w:hAnsiTheme="majorBidi" w:cstheme="majorBidi"/>
          <w:color w:val="auto"/>
          <w:szCs w:val="22"/>
          <w:lang w:val="en-US" w:eastAsia="fr-FR"/>
        </w:rPr>
        <w:t xml:space="preserve"> </w:t>
      </w:r>
      <w:r w:rsidRPr="004D6002">
        <w:rPr>
          <w:rFonts w:asciiTheme="majorBidi" w:hAnsiTheme="majorBidi" w:cstheme="majorBidi"/>
          <w:color w:val="auto"/>
          <w:szCs w:val="22"/>
          <w:lang w:val="en-US" w:eastAsia="fr-FR"/>
        </w:rPr>
        <w:t xml:space="preserve">Further research has been presented on contact insecticides and diatomaceous earths for arthropod control (Eroglu 2015; Guedes 2015; Jimenez </w:t>
      </w:r>
      <w:r w:rsidRPr="004D6002">
        <w:rPr>
          <w:rFonts w:asciiTheme="majorBidi" w:hAnsiTheme="majorBidi" w:cstheme="majorBidi"/>
          <w:i/>
          <w:color w:val="auto"/>
          <w:szCs w:val="22"/>
          <w:lang w:val="en-US" w:eastAsia="fr-FR"/>
        </w:rPr>
        <w:t>et al.</w:t>
      </w:r>
      <w:r w:rsidRPr="004D6002">
        <w:rPr>
          <w:rFonts w:asciiTheme="majorBidi" w:hAnsiTheme="majorBidi" w:cstheme="majorBidi"/>
          <w:color w:val="auto"/>
          <w:szCs w:val="22"/>
          <w:lang w:val="en-US" w:eastAsia="fr-FR"/>
        </w:rPr>
        <w:t xml:space="preserve"> 2015; Korunic </w:t>
      </w:r>
      <w:r w:rsidRPr="004D6002">
        <w:rPr>
          <w:rFonts w:asciiTheme="majorBidi" w:hAnsiTheme="majorBidi" w:cstheme="majorBidi"/>
          <w:i/>
          <w:color w:val="auto"/>
          <w:szCs w:val="22"/>
          <w:lang w:val="en-US" w:eastAsia="fr-FR"/>
        </w:rPr>
        <w:t>et al</w:t>
      </w:r>
      <w:r w:rsidRPr="004D6002">
        <w:rPr>
          <w:rFonts w:asciiTheme="majorBidi" w:hAnsiTheme="majorBidi" w:cstheme="majorBidi"/>
          <w:color w:val="auto"/>
          <w:szCs w:val="22"/>
          <w:lang w:val="en-US" w:eastAsia="fr-FR"/>
        </w:rPr>
        <w:t xml:space="preserve">. 2015; Sansur </w:t>
      </w:r>
      <w:r w:rsidRPr="004D6002">
        <w:rPr>
          <w:rFonts w:asciiTheme="majorBidi" w:hAnsiTheme="majorBidi" w:cstheme="majorBidi"/>
          <w:i/>
          <w:color w:val="auto"/>
          <w:szCs w:val="22"/>
          <w:lang w:val="en-US" w:eastAsia="fr-FR"/>
        </w:rPr>
        <w:t>et al</w:t>
      </w:r>
      <w:r w:rsidRPr="004D6002">
        <w:rPr>
          <w:rFonts w:asciiTheme="majorBidi" w:hAnsiTheme="majorBidi" w:cstheme="majorBidi"/>
          <w:color w:val="auto"/>
          <w:szCs w:val="22"/>
          <w:lang w:val="en-US" w:eastAsia="fr-FR"/>
        </w:rPr>
        <w:t xml:space="preserve">. 2015; Stejskal </w:t>
      </w:r>
      <w:r w:rsidRPr="004D6002">
        <w:rPr>
          <w:rFonts w:asciiTheme="majorBidi" w:hAnsiTheme="majorBidi" w:cstheme="majorBidi"/>
          <w:i/>
          <w:color w:val="auto"/>
          <w:szCs w:val="22"/>
          <w:lang w:val="en-US" w:eastAsia="fr-FR"/>
        </w:rPr>
        <w:t>et al.</w:t>
      </w:r>
      <w:r w:rsidRPr="004D6002">
        <w:rPr>
          <w:rFonts w:asciiTheme="majorBidi" w:hAnsiTheme="majorBidi" w:cstheme="majorBidi"/>
          <w:color w:val="auto"/>
          <w:szCs w:val="22"/>
          <w:lang w:val="en-US" w:eastAsia="fr-FR"/>
        </w:rPr>
        <w:t xml:space="preserve"> 2015; </w:t>
      </w:r>
      <w:r w:rsidRPr="004D6002">
        <w:rPr>
          <w:rFonts w:asciiTheme="majorBidi" w:hAnsiTheme="majorBidi" w:cstheme="majorBidi"/>
          <w:color w:val="auto"/>
          <w:szCs w:val="22"/>
          <w:lang w:eastAsia="de-DE"/>
        </w:rPr>
        <w:t xml:space="preserve">Subramanyam </w:t>
      </w:r>
      <w:r w:rsidRPr="004D6002">
        <w:rPr>
          <w:rFonts w:asciiTheme="majorBidi" w:hAnsiTheme="majorBidi" w:cstheme="majorBidi"/>
          <w:i/>
          <w:color w:val="auto"/>
          <w:szCs w:val="22"/>
          <w:lang w:eastAsia="de-DE"/>
        </w:rPr>
        <w:t>et al</w:t>
      </w:r>
      <w:r w:rsidRPr="004D6002">
        <w:rPr>
          <w:rFonts w:asciiTheme="majorBidi" w:hAnsiTheme="majorBidi" w:cstheme="majorBidi"/>
          <w:color w:val="auto"/>
          <w:szCs w:val="22"/>
          <w:lang w:eastAsia="de-DE"/>
        </w:rPr>
        <w:t xml:space="preserve">. 2015; </w:t>
      </w:r>
      <w:r w:rsidRPr="004D6002">
        <w:rPr>
          <w:rFonts w:asciiTheme="majorBidi" w:hAnsiTheme="majorBidi" w:cstheme="majorBidi"/>
          <w:color w:val="auto"/>
          <w:szCs w:val="22"/>
          <w:lang w:val="en-US" w:eastAsia="fr-FR"/>
        </w:rPr>
        <w:t>Wijayaratne 2015).</w:t>
      </w:r>
      <w:r w:rsidRPr="004D6002">
        <w:rPr>
          <w:rFonts w:asciiTheme="majorBidi" w:hAnsiTheme="majorBidi" w:cstheme="majorBidi"/>
          <w:color w:val="auto"/>
          <w:szCs w:val="22"/>
          <w:lang w:eastAsia="de-DE"/>
        </w:rPr>
        <w:t xml:space="preserve"> The use of aerosols and contact insecticides for structural treatments is increasing in the USA, given that with robust IPM in place, infested sites needing treatment within a mill can be specifically identified (Campbell </w:t>
      </w:r>
      <w:r w:rsidRPr="004D6002">
        <w:rPr>
          <w:rFonts w:asciiTheme="majorBidi" w:hAnsiTheme="majorBidi" w:cstheme="majorBidi"/>
          <w:i/>
          <w:color w:val="auto"/>
          <w:szCs w:val="22"/>
          <w:lang w:eastAsia="de-DE"/>
        </w:rPr>
        <w:t>et al.</w:t>
      </w:r>
      <w:r w:rsidRPr="004D6002">
        <w:rPr>
          <w:rFonts w:asciiTheme="majorBidi" w:hAnsiTheme="majorBidi" w:cstheme="majorBidi"/>
          <w:color w:val="auto"/>
          <w:szCs w:val="22"/>
          <w:lang w:eastAsia="de-DE"/>
        </w:rPr>
        <w:t xml:space="preserve"> 2014).</w:t>
      </w:r>
    </w:p>
    <w:p w14:paraId="26075728" w14:textId="77777777" w:rsidR="00CA5E9C" w:rsidRPr="00350022" w:rsidRDefault="00CA5E9C" w:rsidP="00E15FE9">
      <w:pPr>
        <w:numPr>
          <w:ilvl w:val="0"/>
          <w:numId w:val="53"/>
        </w:numPr>
        <w:autoSpaceDE w:val="0"/>
        <w:autoSpaceDN w:val="0"/>
        <w:spacing w:after="0"/>
        <w:ind w:left="360"/>
        <w:rPr>
          <w:rFonts w:asciiTheme="majorBidi" w:hAnsiTheme="majorBidi" w:cstheme="majorBidi"/>
          <w:color w:val="auto"/>
          <w:szCs w:val="24"/>
          <w:lang w:val="en-US" w:eastAsia="fr-FR"/>
        </w:rPr>
      </w:pPr>
      <w:r w:rsidRPr="00350022">
        <w:rPr>
          <w:rFonts w:asciiTheme="majorBidi" w:hAnsiTheme="majorBidi" w:cstheme="majorBidi"/>
          <w:b/>
          <w:bCs/>
          <w:color w:val="auto"/>
          <w:szCs w:val="24"/>
          <w:lang w:val="en-US" w:eastAsia="fr-FR"/>
        </w:rPr>
        <w:t>Extreme temperatures:</w:t>
      </w:r>
      <w:r w:rsidRPr="00350022">
        <w:rPr>
          <w:rFonts w:asciiTheme="majorBidi" w:hAnsiTheme="majorBidi" w:cstheme="majorBidi"/>
          <w:color w:val="auto"/>
          <w:szCs w:val="24"/>
          <w:lang w:val="en-US" w:eastAsia="fr-FR"/>
        </w:rPr>
        <w:t xml:space="preserve"> Extreme temperatures </w:t>
      </w:r>
      <w:r>
        <w:rPr>
          <w:rFonts w:asciiTheme="majorBidi" w:hAnsiTheme="majorBidi" w:cstheme="majorBidi"/>
          <w:color w:val="auto"/>
          <w:szCs w:val="24"/>
          <w:lang w:val="en-US" w:eastAsia="fr-FR"/>
        </w:rPr>
        <w:t xml:space="preserve">are being adopted </w:t>
      </w:r>
      <w:r w:rsidRPr="00350022">
        <w:rPr>
          <w:rFonts w:asciiTheme="majorBidi" w:hAnsiTheme="majorBidi" w:cstheme="majorBidi"/>
          <w:color w:val="auto"/>
          <w:szCs w:val="24"/>
          <w:lang w:val="en-US" w:eastAsia="fr-FR"/>
        </w:rPr>
        <w:t xml:space="preserve">in various sectors </w:t>
      </w:r>
      <w:r>
        <w:rPr>
          <w:rFonts w:asciiTheme="majorBidi" w:hAnsiTheme="majorBidi" w:cstheme="majorBidi"/>
          <w:color w:val="auto"/>
          <w:szCs w:val="24"/>
          <w:lang w:val="en-US" w:eastAsia="fr-FR"/>
        </w:rPr>
        <w:t xml:space="preserve">for protection of </w:t>
      </w:r>
      <w:r w:rsidRPr="00350022">
        <w:rPr>
          <w:rFonts w:asciiTheme="majorBidi" w:hAnsiTheme="majorBidi" w:cstheme="majorBidi"/>
          <w:color w:val="auto"/>
          <w:szCs w:val="24"/>
          <w:lang w:val="en-US" w:eastAsia="fr-FR"/>
        </w:rPr>
        <w:t>stored product and material</w:t>
      </w:r>
      <w:r>
        <w:rPr>
          <w:rFonts w:asciiTheme="majorBidi" w:hAnsiTheme="majorBidi" w:cstheme="majorBidi"/>
          <w:color w:val="auto"/>
          <w:szCs w:val="24"/>
          <w:lang w:val="en-US" w:eastAsia="fr-FR"/>
        </w:rPr>
        <w:t xml:space="preserve">s against arthropod pests </w:t>
      </w:r>
      <w:r w:rsidRPr="00350022">
        <w:rPr>
          <w:rFonts w:asciiTheme="majorBidi" w:hAnsiTheme="majorBidi" w:cstheme="majorBidi"/>
          <w:color w:val="auto"/>
          <w:szCs w:val="24"/>
          <w:lang w:val="en-US" w:eastAsia="fr-FR"/>
        </w:rPr>
        <w:t xml:space="preserve">(Arlene-Christina </w:t>
      </w:r>
      <w:r w:rsidRPr="00350022">
        <w:rPr>
          <w:rFonts w:asciiTheme="majorBidi" w:hAnsiTheme="majorBidi" w:cstheme="majorBidi"/>
          <w:i/>
          <w:color w:val="auto"/>
          <w:szCs w:val="24"/>
          <w:lang w:val="en-US" w:eastAsia="fr-FR"/>
        </w:rPr>
        <w:t>et al.</w:t>
      </w:r>
      <w:r w:rsidRPr="00350022">
        <w:rPr>
          <w:rFonts w:asciiTheme="majorBidi" w:hAnsiTheme="majorBidi" w:cstheme="majorBidi"/>
          <w:color w:val="auto"/>
          <w:szCs w:val="24"/>
          <w:lang w:val="en-US" w:eastAsia="fr-FR"/>
        </w:rPr>
        <w:t xml:space="preserve"> 2015; Loganathan</w:t>
      </w:r>
      <w:r>
        <w:rPr>
          <w:rFonts w:asciiTheme="majorBidi" w:hAnsiTheme="majorBidi" w:cstheme="majorBidi"/>
          <w:color w:val="auto"/>
          <w:szCs w:val="24"/>
          <w:lang w:val="en-US" w:eastAsia="fr-FR"/>
        </w:rPr>
        <w:t xml:space="preserve"> </w:t>
      </w:r>
      <w:r w:rsidRPr="00350022">
        <w:rPr>
          <w:rFonts w:asciiTheme="majorBidi" w:hAnsiTheme="majorBidi" w:cstheme="majorBidi"/>
          <w:i/>
          <w:color w:val="auto"/>
          <w:szCs w:val="24"/>
          <w:lang w:val="en-US" w:eastAsia="fr-FR"/>
        </w:rPr>
        <w:t>et al.</w:t>
      </w:r>
      <w:r w:rsidRPr="00350022">
        <w:rPr>
          <w:rFonts w:asciiTheme="majorBidi" w:hAnsiTheme="majorBidi" w:cstheme="majorBidi"/>
          <w:color w:val="auto"/>
          <w:szCs w:val="24"/>
          <w:lang w:val="en-US" w:eastAsia="fr-FR"/>
        </w:rPr>
        <w:t>2015; Braunbeck 2015; Fields and Abdelghany 2015).</w:t>
      </w:r>
    </w:p>
    <w:p w14:paraId="02A752DC" w14:textId="77777777" w:rsidR="00CA5E9C" w:rsidRPr="00350022" w:rsidRDefault="00CA5E9C" w:rsidP="00E15FE9">
      <w:pPr>
        <w:numPr>
          <w:ilvl w:val="0"/>
          <w:numId w:val="53"/>
        </w:numPr>
        <w:autoSpaceDE w:val="0"/>
        <w:autoSpaceDN w:val="0"/>
        <w:spacing w:after="0"/>
        <w:ind w:left="360"/>
        <w:rPr>
          <w:rFonts w:asciiTheme="majorBidi" w:hAnsiTheme="majorBidi" w:cstheme="majorBidi"/>
          <w:color w:val="auto"/>
          <w:szCs w:val="24"/>
          <w:lang w:val="en-US" w:eastAsia="fr-FR"/>
        </w:rPr>
      </w:pPr>
      <w:r w:rsidRPr="00350022">
        <w:rPr>
          <w:rFonts w:asciiTheme="majorBidi" w:hAnsiTheme="majorBidi" w:cstheme="majorBidi"/>
          <w:b/>
          <w:bCs/>
          <w:color w:val="auto"/>
          <w:szCs w:val="24"/>
          <w:lang w:val="en-US" w:eastAsia="fr-FR"/>
        </w:rPr>
        <w:t>Scrubbing of fumigants:</w:t>
      </w:r>
      <w:r>
        <w:rPr>
          <w:rFonts w:asciiTheme="majorBidi" w:hAnsiTheme="majorBidi" w:cstheme="majorBidi"/>
          <w:b/>
          <w:bCs/>
          <w:color w:val="auto"/>
          <w:szCs w:val="24"/>
          <w:lang w:val="en-US" w:eastAsia="fr-FR"/>
        </w:rPr>
        <w:t xml:space="preserve"> </w:t>
      </w:r>
      <w:r w:rsidRPr="00350022">
        <w:rPr>
          <w:rFonts w:asciiTheme="majorBidi" w:hAnsiTheme="majorBidi" w:cstheme="majorBidi"/>
          <w:color w:val="auto"/>
          <w:szCs w:val="24"/>
          <w:lang w:val="en-US" w:eastAsia="fr-FR"/>
        </w:rPr>
        <w:t xml:space="preserve">Mueller </w:t>
      </w:r>
      <w:r w:rsidRPr="00350022">
        <w:rPr>
          <w:rFonts w:asciiTheme="majorBidi" w:hAnsiTheme="majorBidi" w:cstheme="majorBidi"/>
          <w:i/>
          <w:color w:val="auto"/>
          <w:szCs w:val="24"/>
          <w:lang w:val="en-US" w:eastAsia="fr-FR"/>
        </w:rPr>
        <w:t>et al.</w:t>
      </w:r>
      <w:r w:rsidRPr="00350022">
        <w:rPr>
          <w:rFonts w:asciiTheme="majorBidi" w:hAnsiTheme="majorBidi" w:cstheme="majorBidi"/>
          <w:color w:val="auto"/>
          <w:szCs w:val="24"/>
          <w:lang w:val="en-US" w:eastAsia="fr-FR"/>
        </w:rPr>
        <w:t xml:space="preserve"> (2015) described the disposal and scrubbing of several fumigants.</w:t>
      </w:r>
    </w:p>
    <w:p w14:paraId="0DC4D254" w14:textId="77777777" w:rsidR="00D46945" w:rsidRDefault="00D46945" w:rsidP="002B7818">
      <w:pPr>
        <w:pStyle w:val="Heading3"/>
      </w:pPr>
      <w:bookmarkStart w:id="76" w:name="_Toc413659853"/>
      <w:bookmarkStart w:id="77" w:name="_Toc414934271"/>
      <w:bookmarkStart w:id="78" w:name="_Toc418842505"/>
      <w:bookmarkStart w:id="79" w:name="_Toc295406127"/>
    </w:p>
    <w:p w14:paraId="68226450" w14:textId="77777777" w:rsidR="00CA5E9C" w:rsidRPr="00350022" w:rsidRDefault="00CA5E9C" w:rsidP="002B7818">
      <w:pPr>
        <w:pStyle w:val="Heading3"/>
      </w:pPr>
      <w:r>
        <w:t>5.</w:t>
      </w:r>
      <w:r w:rsidRPr="00350022">
        <w:t>2.4 QPS sector</w:t>
      </w:r>
      <w:bookmarkEnd w:id="76"/>
      <w:bookmarkEnd w:id="77"/>
      <w:bookmarkEnd w:id="78"/>
      <w:bookmarkEnd w:id="79"/>
    </w:p>
    <w:p w14:paraId="0A6F3938" w14:textId="77777777" w:rsidR="00CA5E9C" w:rsidRPr="004D6002" w:rsidRDefault="00CA5E9C" w:rsidP="00E15FE9">
      <w:pPr>
        <w:pStyle w:val="ListParagraph"/>
        <w:widowControl/>
        <w:numPr>
          <w:ilvl w:val="0"/>
          <w:numId w:val="51"/>
        </w:numPr>
        <w:autoSpaceDE w:val="0"/>
        <w:autoSpaceDN w:val="0"/>
        <w:adjustRightInd w:val="0"/>
        <w:ind w:left="360" w:firstLineChars="0"/>
        <w:contextualSpacing/>
        <w:jc w:val="left"/>
        <w:rPr>
          <w:rFonts w:asciiTheme="majorBidi" w:hAnsiTheme="majorBidi" w:cstheme="majorBidi"/>
          <w:sz w:val="22"/>
          <w:lang w:eastAsia="fr-FR"/>
        </w:rPr>
      </w:pPr>
      <w:r w:rsidRPr="004D6002">
        <w:rPr>
          <w:rFonts w:asciiTheme="majorBidi" w:hAnsiTheme="majorBidi" w:cstheme="majorBidi"/>
          <w:sz w:val="22"/>
        </w:rPr>
        <w:t xml:space="preserve">As reported previously, MBTOC believes that between 31 and 47% of the MB used for QPS purposes in key consumption categories (WPM, grain, logs and soil fumigation) could be phased out and replaced with immediately available alternatives. </w:t>
      </w:r>
    </w:p>
    <w:p w14:paraId="67F2CFE4" w14:textId="77777777" w:rsidR="00CA5E9C" w:rsidRPr="004D6002" w:rsidRDefault="00CA5E9C" w:rsidP="00E15FE9">
      <w:pPr>
        <w:numPr>
          <w:ilvl w:val="0"/>
          <w:numId w:val="51"/>
        </w:numPr>
        <w:spacing w:after="0"/>
        <w:ind w:left="360"/>
        <w:rPr>
          <w:rFonts w:asciiTheme="majorBidi" w:hAnsiTheme="majorBidi" w:cstheme="majorBidi"/>
          <w:b/>
          <w:color w:val="auto"/>
          <w:szCs w:val="22"/>
        </w:rPr>
      </w:pPr>
      <w:r w:rsidRPr="004D6002">
        <w:rPr>
          <w:rFonts w:asciiTheme="majorBidi" w:hAnsiTheme="majorBidi" w:cstheme="majorBidi"/>
          <w:color w:val="auto"/>
          <w:szCs w:val="22"/>
        </w:rPr>
        <w:t>A presentation at a conference in Surabaya, Indonesia, (Anonymous, 2014) covered ten years of the Australian Fumigation Accreditation Scheme (AFAS), a programme comprising 600 fumigation companies in 9 countries and which was developed for products exported to Australia.</w:t>
      </w:r>
      <w:r w:rsidRPr="004D6002">
        <w:rPr>
          <w:rFonts w:asciiTheme="majorBidi" w:hAnsiTheme="majorBidi" w:cstheme="majorBidi"/>
          <w:color w:val="auto"/>
          <w:szCs w:val="22"/>
          <w:lang w:val="en-AU"/>
        </w:rPr>
        <w:t xml:space="preserve"> The scheme has resulted in a 50% reduction in detected fumigation failures requiring re-fumigation on arrival into Australia, therefore saving MB. The scheme is being developed under the new International Cargo Cooperative Biosecurity Arrangement to </w:t>
      </w:r>
      <w:r w:rsidRPr="004D6002">
        <w:rPr>
          <w:rFonts w:asciiTheme="majorBidi" w:hAnsiTheme="majorBidi" w:cstheme="majorBidi"/>
          <w:color w:val="auto"/>
          <w:szCs w:val="22"/>
          <w:lang w:val="en-AU"/>
        </w:rPr>
        <w:lastRenderedPageBreak/>
        <w:t>include trade between additional countries. The International Cargo Cooperative Biosecurity Arrangement is also developing standardised methods for heat treatment of export commodities and proper storage conditions thereafter (Cox, 2014).</w:t>
      </w:r>
    </w:p>
    <w:p w14:paraId="691E40A8" w14:textId="77777777" w:rsidR="00CA5E9C" w:rsidRPr="004D6002" w:rsidRDefault="00CA5E9C" w:rsidP="00E15FE9">
      <w:pPr>
        <w:numPr>
          <w:ilvl w:val="0"/>
          <w:numId w:val="51"/>
        </w:numPr>
        <w:spacing w:after="0"/>
        <w:ind w:left="360"/>
        <w:rPr>
          <w:rFonts w:asciiTheme="majorBidi" w:hAnsiTheme="majorBidi" w:cstheme="majorBidi"/>
          <w:color w:val="auto"/>
          <w:szCs w:val="22"/>
          <w:lang w:val="en-US"/>
        </w:rPr>
      </w:pPr>
      <w:r w:rsidRPr="004D6002">
        <w:rPr>
          <w:rFonts w:asciiTheme="majorBidi" w:hAnsiTheme="majorBidi" w:cstheme="majorBidi"/>
          <w:color w:val="auto"/>
          <w:szCs w:val="22"/>
          <w:lang w:val="en-US"/>
        </w:rPr>
        <w:t>The company Nordiko reported that their recapture systems are now in 30 countries and they estimate that the</w:t>
      </w:r>
      <w:r w:rsidR="004D6002">
        <w:rPr>
          <w:rFonts w:asciiTheme="majorBidi" w:hAnsiTheme="majorBidi" w:cstheme="majorBidi"/>
          <w:color w:val="auto"/>
          <w:szCs w:val="22"/>
          <w:lang w:val="en-US"/>
        </w:rPr>
        <w:t>ir</w:t>
      </w:r>
      <w:r w:rsidRPr="004D6002">
        <w:rPr>
          <w:rFonts w:asciiTheme="majorBidi" w:hAnsiTheme="majorBidi" w:cstheme="majorBidi"/>
          <w:color w:val="auto"/>
          <w:szCs w:val="22"/>
          <w:lang w:val="en-US"/>
        </w:rPr>
        <w:t xml:space="preserve"> systems have capacity to capture about 500 tonnes MB/year in total worldwide (Nordiko, 2014).</w:t>
      </w:r>
    </w:p>
    <w:p w14:paraId="48A35D46" w14:textId="77777777" w:rsidR="00CA5E9C" w:rsidRPr="004D6002" w:rsidRDefault="00CA5E9C" w:rsidP="00E15FE9">
      <w:pPr>
        <w:pStyle w:val="Default"/>
        <w:numPr>
          <w:ilvl w:val="0"/>
          <w:numId w:val="51"/>
        </w:numPr>
        <w:ind w:left="360"/>
        <w:rPr>
          <w:rFonts w:asciiTheme="majorBidi" w:hAnsiTheme="majorBidi" w:cstheme="majorBidi"/>
          <w:color w:val="auto"/>
          <w:sz w:val="22"/>
          <w:szCs w:val="22"/>
        </w:rPr>
      </w:pPr>
      <w:r w:rsidRPr="004D6002">
        <w:rPr>
          <w:rFonts w:asciiTheme="majorBidi" w:hAnsiTheme="majorBidi" w:cstheme="majorBidi"/>
          <w:color w:val="auto"/>
          <w:sz w:val="22"/>
          <w:szCs w:val="22"/>
        </w:rPr>
        <w:t>Indonesia has projects for replacing MB used for QPS (reported usage is &gt;150 tons per year) with the phosphine + CO</w:t>
      </w:r>
      <w:r w:rsidRPr="004D6002">
        <w:rPr>
          <w:rFonts w:asciiTheme="majorBidi" w:hAnsiTheme="majorBidi" w:cstheme="majorBidi"/>
          <w:color w:val="auto"/>
          <w:sz w:val="22"/>
          <w:szCs w:val="22"/>
          <w:vertAlign w:val="subscript"/>
        </w:rPr>
        <w:t>2</w:t>
      </w:r>
      <w:r w:rsidRPr="004D6002">
        <w:rPr>
          <w:rFonts w:asciiTheme="majorBidi" w:hAnsiTheme="majorBidi" w:cstheme="majorBidi"/>
          <w:color w:val="auto"/>
          <w:sz w:val="22"/>
          <w:szCs w:val="22"/>
        </w:rPr>
        <w:t xml:space="preserve"> mix known as ECO</w:t>
      </w:r>
      <w:r w:rsidRPr="004D6002">
        <w:rPr>
          <w:rFonts w:asciiTheme="majorBidi" w:hAnsiTheme="majorBidi" w:cstheme="majorBidi"/>
          <w:color w:val="auto"/>
          <w:sz w:val="22"/>
          <w:szCs w:val="22"/>
          <w:vertAlign w:val="subscript"/>
        </w:rPr>
        <w:t>2</w:t>
      </w:r>
      <w:r w:rsidRPr="004D6002">
        <w:rPr>
          <w:rFonts w:asciiTheme="majorBidi" w:hAnsiTheme="majorBidi" w:cstheme="majorBidi"/>
          <w:color w:val="auto"/>
          <w:sz w:val="22"/>
          <w:szCs w:val="22"/>
        </w:rPr>
        <w:t>FUME</w:t>
      </w:r>
      <w:r w:rsidRPr="004D6002">
        <w:rPr>
          <w:rFonts w:asciiTheme="majorBidi" w:hAnsiTheme="majorBidi" w:cstheme="majorBidi"/>
          <w:color w:val="auto"/>
          <w:sz w:val="22"/>
          <w:szCs w:val="22"/>
          <w:vertAlign w:val="superscript"/>
        </w:rPr>
        <w:t>®</w:t>
      </w:r>
      <w:r w:rsidRPr="004D6002">
        <w:rPr>
          <w:rFonts w:asciiTheme="majorBidi" w:hAnsiTheme="majorBidi" w:cstheme="majorBidi"/>
          <w:color w:val="auto"/>
          <w:sz w:val="22"/>
          <w:szCs w:val="22"/>
        </w:rPr>
        <w:t>. This is used to treat exported woodchips as well as coffee, cocoa beans and other exported commodities requiring QPS treatments (Tumambing 2013). Indonesia has developed a QPS phosphine fumigation protocol manual (Salazar, 2014).</w:t>
      </w:r>
    </w:p>
    <w:p w14:paraId="3E3E2404" w14:textId="77777777" w:rsidR="00CA5E9C" w:rsidRPr="004D6002" w:rsidRDefault="00CA5E9C" w:rsidP="00E15FE9">
      <w:pPr>
        <w:pStyle w:val="Default"/>
        <w:numPr>
          <w:ilvl w:val="0"/>
          <w:numId w:val="51"/>
        </w:numPr>
        <w:ind w:left="360"/>
        <w:rPr>
          <w:rFonts w:asciiTheme="majorBidi" w:hAnsiTheme="majorBidi" w:cstheme="majorBidi"/>
          <w:color w:val="auto"/>
          <w:sz w:val="22"/>
          <w:szCs w:val="22"/>
        </w:rPr>
      </w:pPr>
      <w:r w:rsidRPr="004D6002">
        <w:rPr>
          <w:rFonts w:asciiTheme="majorBidi" w:hAnsiTheme="majorBidi" w:cstheme="majorBidi"/>
          <w:color w:val="auto"/>
          <w:sz w:val="22"/>
          <w:szCs w:val="22"/>
        </w:rPr>
        <w:t>ECO</w:t>
      </w:r>
      <w:r w:rsidRPr="004D6002">
        <w:rPr>
          <w:rFonts w:asciiTheme="majorBidi" w:hAnsiTheme="majorBidi" w:cstheme="majorBidi"/>
          <w:color w:val="auto"/>
          <w:sz w:val="22"/>
          <w:szCs w:val="22"/>
          <w:vertAlign w:val="subscript"/>
        </w:rPr>
        <w:t>2</w:t>
      </w:r>
      <w:r w:rsidRPr="004D6002">
        <w:rPr>
          <w:rFonts w:asciiTheme="majorBidi" w:hAnsiTheme="majorBidi" w:cstheme="majorBidi"/>
          <w:color w:val="auto"/>
          <w:sz w:val="22"/>
          <w:szCs w:val="22"/>
        </w:rPr>
        <w:t>FUME</w:t>
      </w:r>
      <w:r w:rsidRPr="004D6002">
        <w:rPr>
          <w:rFonts w:asciiTheme="majorBidi" w:hAnsiTheme="majorBidi" w:cstheme="majorBidi"/>
          <w:color w:val="auto"/>
          <w:sz w:val="22"/>
          <w:szCs w:val="22"/>
          <w:vertAlign w:val="superscript"/>
        </w:rPr>
        <w:t>®</w:t>
      </w:r>
      <w:r w:rsidRPr="004D6002">
        <w:rPr>
          <w:rFonts w:asciiTheme="majorBidi" w:hAnsiTheme="majorBidi" w:cstheme="majorBidi"/>
          <w:color w:val="auto"/>
          <w:sz w:val="22"/>
          <w:szCs w:val="22"/>
        </w:rPr>
        <w:t xml:space="preserve"> has recently been registered in Morocco (ONSSA 2015) for grain fumigation.</w:t>
      </w:r>
    </w:p>
    <w:p w14:paraId="70F88245" w14:textId="77777777" w:rsidR="00CA5E9C" w:rsidRPr="004D6002" w:rsidRDefault="00CA5E9C" w:rsidP="00E15FE9">
      <w:pPr>
        <w:numPr>
          <w:ilvl w:val="0"/>
          <w:numId w:val="51"/>
        </w:numPr>
        <w:autoSpaceDE w:val="0"/>
        <w:autoSpaceDN w:val="0"/>
        <w:adjustRightInd w:val="0"/>
        <w:spacing w:after="0"/>
        <w:ind w:left="360"/>
        <w:rPr>
          <w:rFonts w:asciiTheme="majorBidi" w:hAnsiTheme="majorBidi" w:cstheme="majorBidi"/>
          <w:color w:val="auto"/>
          <w:szCs w:val="22"/>
          <w:lang w:val="en-US"/>
        </w:rPr>
      </w:pPr>
      <w:r w:rsidRPr="004D6002">
        <w:rPr>
          <w:rFonts w:asciiTheme="majorBidi" w:hAnsiTheme="majorBidi" w:cstheme="majorBidi"/>
          <w:color w:val="auto"/>
          <w:szCs w:val="22"/>
          <w:lang w:val="en-US"/>
        </w:rPr>
        <w:t xml:space="preserve"> In Turkey, ECO</w:t>
      </w:r>
      <w:r w:rsidRPr="004D6002">
        <w:rPr>
          <w:rFonts w:asciiTheme="majorBidi" w:hAnsiTheme="majorBidi" w:cstheme="majorBidi"/>
          <w:color w:val="auto"/>
          <w:szCs w:val="22"/>
          <w:vertAlign w:val="subscript"/>
          <w:lang w:val="en-US"/>
        </w:rPr>
        <w:t>2</w:t>
      </w:r>
      <w:r w:rsidRPr="004D6002">
        <w:rPr>
          <w:rFonts w:asciiTheme="majorBidi" w:hAnsiTheme="majorBidi" w:cstheme="majorBidi"/>
          <w:color w:val="auto"/>
          <w:szCs w:val="22"/>
          <w:lang w:val="en-US"/>
        </w:rPr>
        <w:t>FUME</w:t>
      </w:r>
      <w:r w:rsidRPr="004D6002">
        <w:rPr>
          <w:rFonts w:asciiTheme="majorBidi" w:hAnsiTheme="majorBidi" w:cstheme="majorBidi"/>
          <w:color w:val="auto"/>
          <w:szCs w:val="22"/>
          <w:vertAlign w:val="superscript"/>
        </w:rPr>
        <w:t>®</w:t>
      </w:r>
      <w:r w:rsidRPr="004D6002">
        <w:rPr>
          <w:rFonts w:asciiTheme="majorBidi" w:hAnsiTheme="majorBidi" w:cstheme="majorBidi"/>
          <w:color w:val="auto"/>
          <w:szCs w:val="22"/>
          <w:lang w:val="en-US"/>
        </w:rPr>
        <w:t xml:space="preserve"> efficacy trials have been conducted to establish QPS fumigation protocols for export cut flowers (carnation, gerbera and roses) against </w:t>
      </w:r>
      <w:r w:rsidRPr="004D6002">
        <w:rPr>
          <w:rFonts w:asciiTheme="majorBidi" w:hAnsiTheme="majorBidi" w:cstheme="majorBidi"/>
          <w:color w:val="auto"/>
          <w:szCs w:val="22"/>
          <w:lang w:val="en-AU"/>
        </w:rPr>
        <w:t>thrips (</w:t>
      </w:r>
      <w:r w:rsidRPr="004D6002">
        <w:rPr>
          <w:rFonts w:asciiTheme="majorBidi" w:hAnsiTheme="majorBidi" w:cstheme="majorBidi"/>
          <w:i/>
          <w:iCs/>
          <w:color w:val="auto"/>
          <w:szCs w:val="22"/>
          <w:lang w:val="tr-TR"/>
        </w:rPr>
        <w:t>Frankliniella occidentalis</w:t>
      </w:r>
      <w:r w:rsidRPr="004D6002">
        <w:rPr>
          <w:rFonts w:asciiTheme="majorBidi" w:hAnsiTheme="majorBidi" w:cstheme="majorBidi"/>
          <w:color w:val="auto"/>
          <w:szCs w:val="22"/>
          <w:lang w:val="tr-TR"/>
        </w:rPr>
        <w:t>) and mites (</w:t>
      </w:r>
      <w:r w:rsidRPr="004D6002">
        <w:rPr>
          <w:rFonts w:asciiTheme="majorBidi" w:hAnsiTheme="majorBidi" w:cstheme="majorBidi"/>
          <w:i/>
          <w:iCs/>
          <w:color w:val="auto"/>
          <w:szCs w:val="22"/>
          <w:lang w:val="tr-TR"/>
        </w:rPr>
        <w:t>Tetranychus cinnabarinus</w:t>
      </w:r>
      <w:r w:rsidRPr="004D6002">
        <w:rPr>
          <w:rFonts w:asciiTheme="majorBidi" w:hAnsiTheme="majorBidi" w:cstheme="majorBidi"/>
          <w:color w:val="auto"/>
          <w:szCs w:val="22"/>
          <w:lang w:val="tr-TR"/>
        </w:rPr>
        <w:t>)</w:t>
      </w:r>
      <w:r w:rsidRPr="004D6002">
        <w:rPr>
          <w:rFonts w:asciiTheme="majorBidi" w:hAnsiTheme="majorBidi" w:cstheme="majorBidi"/>
          <w:color w:val="auto"/>
          <w:szCs w:val="22"/>
          <w:lang w:val="en-US"/>
        </w:rPr>
        <w:t xml:space="preserve"> at 4°C.Trials with ECO</w:t>
      </w:r>
      <w:r w:rsidRPr="004D6002">
        <w:rPr>
          <w:rFonts w:asciiTheme="majorBidi" w:hAnsiTheme="majorBidi" w:cstheme="majorBidi"/>
          <w:color w:val="auto"/>
          <w:szCs w:val="22"/>
          <w:vertAlign w:val="subscript"/>
          <w:lang w:val="en-US"/>
        </w:rPr>
        <w:t>2</w:t>
      </w:r>
      <w:r w:rsidRPr="004D6002">
        <w:rPr>
          <w:rFonts w:asciiTheme="majorBidi" w:hAnsiTheme="majorBidi" w:cstheme="majorBidi"/>
          <w:color w:val="auto"/>
          <w:szCs w:val="22"/>
          <w:lang w:val="en-US"/>
        </w:rPr>
        <w:t>FUME</w:t>
      </w:r>
      <w:r w:rsidRPr="004D6002">
        <w:rPr>
          <w:rFonts w:asciiTheme="majorBidi" w:hAnsiTheme="majorBidi" w:cstheme="majorBidi"/>
          <w:color w:val="auto"/>
          <w:szCs w:val="22"/>
          <w:vertAlign w:val="superscript"/>
        </w:rPr>
        <w:t>®</w:t>
      </w:r>
      <w:r w:rsidRPr="004D6002">
        <w:rPr>
          <w:rFonts w:asciiTheme="majorBidi" w:hAnsiTheme="majorBidi" w:cstheme="majorBidi"/>
          <w:color w:val="auto"/>
          <w:szCs w:val="22"/>
          <w:lang w:val="en-US"/>
        </w:rPr>
        <w:t xml:space="preserve"> for dried fruits have been also conducted to control saw-toothed grain beetle (</w:t>
      </w:r>
      <w:r w:rsidRPr="004D6002">
        <w:rPr>
          <w:rFonts w:asciiTheme="majorBidi" w:hAnsiTheme="majorBidi" w:cstheme="majorBidi"/>
          <w:i/>
          <w:iCs/>
          <w:color w:val="auto"/>
          <w:szCs w:val="22"/>
          <w:lang w:val="en-US"/>
        </w:rPr>
        <w:t>Oryzaephilus surinamensis</w:t>
      </w:r>
      <w:r w:rsidRPr="004D6002">
        <w:rPr>
          <w:rFonts w:asciiTheme="majorBidi" w:hAnsiTheme="majorBidi" w:cstheme="majorBidi"/>
          <w:color w:val="auto"/>
          <w:szCs w:val="22"/>
          <w:lang w:val="en-US"/>
        </w:rPr>
        <w:t>) and raisin moth (</w:t>
      </w:r>
      <w:r w:rsidRPr="004D6002">
        <w:rPr>
          <w:rFonts w:asciiTheme="majorBidi" w:hAnsiTheme="majorBidi" w:cstheme="majorBidi"/>
          <w:i/>
          <w:iCs/>
          <w:color w:val="auto"/>
          <w:szCs w:val="22"/>
          <w:lang w:val="en-US"/>
        </w:rPr>
        <w:t>Ephestia figulilella</w:t>
      </w:r>
      <w:r w:rsidRPr="004D6002">
        <w:rPr>
          <w:rFonts w:asciiTheme="majorBidi" w:hAnsiTheme="majorBidi" w:cstheme="majorBidi"/>
          <w:color w:val="auto"/>
          <w:szCs w:val="22"/>
          <w:lang w:val="en-US"/>
        </w:rPr>
        <w:t>), where</w:t>
      </w:r>
      <w:r w:rsidRPr="004D6002">
        <w:rPr>
          <w:rFonts w:asciiTheme="majorBidi" w:hAnsiTheme="majorBidi" w:cstheme="majorBidi"/>
          <w:color w:val="auto"/>
          <w:szCs w:val="22"/>
          <w:lang w:val="tr-TR"/>
        </w:rPr>
        <w:t xml:space="preserve">100% mortality of all stages of </w:t>
      </w:r>
      <w:r w:rsidRPr="004D6002">
        <w:rPr>
          <w:rFonts w:asciiTheme="majorBidi" w:hAnsiTheme="majorBidi" w:cstheme="majorBidi"/>
          <w:color w:val="auto"/>
          <w:szCs w:val="22"/>
          <w:lang w:val="en-US"/>
        </w:rPr>
        <w:t xml:space="preserve">these pests was achieved using </w:t>
      </w:r>
      <w:r w:rsidRPr="004D6002">
        <w:rPr>
          <w:rFonts w:asciiTheme="majorBidi" w:hAnsiTheme="majorBidi" w:cstheme="majorBidi"/>
          <w:color w:val="auto"/>
          <w:szCs w:val="22"/>
          <w:lang w:val="tr-TR"/>
        </w:rPr>
        <w:t>1000 ppm PH</w:t>
      </w:r>
      <w:r w:rsidRPr="004D6002">
        <w:rPr>
          <w:rFonts w:asciiTheme="majorBidi" w:hAnsiTheme="majorBidi" w:cstheme="majorBidi"/>
          <w:color w:val="auto"/>
          <w:szCs w:val="22"/>
          <w:vertAlign w:val="subscript"/>
          <w:lang w:val="tr-TR"/>
        </w:rPr>
        <w:t>3</w:t>
      </w:r>
      <w:r w:rsidRPr="004D6002">
        <w:rPr>
          <w:rFonts w:asciiTheme="majorBidi" w:hAnsiTheme="majorBidi" w:cstheme="majorBidi"/>
          <w:color w:val="auto"/>
          <w:szCs w:val="22"/>
          <w:lang w:val="tr-TR"/>
        </w:rPr>
        <w:t xml:space="preserve"> (70 g </w:t>
      </w:r>
      <w:r w:rsidRPr="004D6002">
        <w:rPr>
          <w:rFonts w:asciiTheme="majorBidi" w:hAnsiTheme="majorBidi" w:cstheme="majorBidi"/>
          <w:color w:val="auto"/>
          <w:szCs w:val="22"/>
          <w:lang w:val="en-AU"/>
        </w:rPr>
        <w:t>ECO</w:t>
      </w:r>
      <w:r w:rsidRPr="004D6002">
        <w:rPr>
          <w:rFonts w:asciiTheme="majorBidi" w:hAnsiTheme="majorBidi" w:cstheme="majorBidi"/>
          <w:color w:val="auto"/>
          <w:szCs w:val="22"/>
          <w:vertAlign w:val="subscript"/>
          <w:lang w:val="en-AU"/>
        </w:rPr>
        <w:t>2</w:t>
      </w:r>
      <w:r w:rsidRPr="004D6002">
        <w:rPr>
          <w:rFonts w:asciiTheme="majorBidi" w:hAnsiTheme="majorBidi" w:cstheme="majorBidi"/>
          <w:color w:val="auto"/>
          <w:szCs w:val="22"/>
          <w:lang w:val="en-AU"/>
        </w:rPr>
        <w:t>FUME</w:t>
      </w:r>
      <w:r w:rsidRPr="004D6002">
        <w:rPr>
          <w:rFonts w:asciiTheme="majorBidi" w:hAnsiTheme="majorBidi" w:cstheme="majorBidi"/>
          <w:color w:val="auto"/>
          <w:szCs w:val="22"/>
          <w:vertAlign w:val="superscript"/>
        </w:rPr>
        <w:t>®</w:t>
      </w:r>
      <w:r w:rsidRPr="004D6002">
        <w:rPr>
          <w:rFonts w:asciiTheme="majorBidi" w:hAnsiTheme="majorBidi" w:cstheme="majorBidi"/>
          <w:color w:val="auto"/>
          <w:szCs w:val="22"/>
          <w:lang w:val="tr-TR"/>
        </w:rPr>
        <w:t>/m</w:t>
      </w:r>
      <w:r w:rsidRPr="004D6002">
        <w:rPr>
          <w:rFonts w:asciiTheme="majorBidi" w:hAnsiTheme="majorBidi" w:cstheme="majorBidi"/>
          <w:color w:val="auto"/>
          <w:szCs w:val="22"/>
          <w:vertAlign w:val="superscript"/>
          <w:lang w:val="tr-TR"/>
        </w:rPr>
        <w:t>3</w:t>
      </w:r>
      <w:r w:rsidRPr="004D6002">
        <w:rPr>
          <w:rFonts w:asciiTheme="majorBidi" w:hAnsiTheme="majorBidi" w:cstheme="majorBidi"/>
          <w:color w:val="auto"/>
          <w:szCs w:val="22"/>
          <w:lang w:val="tr-TR"/>
        </w:rPr>
        <w:t xml:space="preserve">) for 24 h at </w:t>
      </w:r>
      <w:r w:rsidRPr="004D6002">
        <w:rPr>
          <w:rFonts w:asciiTheme="majorBidi" w:hAnsiTheme="majorBidi" w:cstheme="majorBidi"/>
          <w:color w:val="auto"/>
          <w:szCs w:val="22"/>
          <w:lang w:val="en-US"/>
        </w:rPr>
        <w:t>23</w:t>
      </w:r>
      <w:r w:rsidRPr="004D6002">
        <w:rPr>
          <w:rFonts w:asciiTheme="majorBidi" w:hAnsiTheme="majorBidi" w:cstheme="majorBidi"/>
          <w:color w:val="auto"/>
          <w:szCs w:val="22"/>
          <w:lang w:val="tr-TR"/>
        </w:rPr>
        <w:t xml:space="preserve">°C </w:t>
      </w:r>
      <w:r w:rsidRPr="004D6002">
        <w:rPr>
          <w:rFonts w:asciiTheme="majorBidi" w:hAnsiTheme="majorBidi" w:cstheme="majorBidi"/>
          <w:color w:val="auto"/>
          <w:szCs w:val="22"/>
          <w:lang w:val="en-US"/>
        </w:rPr>
        <w:t>or higher (</w:t>
      </w:r>
      <w:r w:rsidRPr="004D6002">
        <w:rPr>
          <w:rFonts w:asciiTheme="majorBidi" w:hAnsiTheme="majorBidi" w:cstheme="majorBidi"/>
          <w:color w:val="auto"/>
          <w:szCs w:val="22"/>
          <w:lang w:val="en-US" w:eastAsia="en-US"/>
        </w:rPr>
        <w:t>Salazar, 2014</w:t>
      </w:r>
      <w:r w:rsidRPr="004D6002">
        <w:rPr>
          <w:rFonts w:asciiTheme="majorBidi" w:hAnsiTheme="majorBidi" w:cstheme="majorBidi"/>
          <w:color w:val="auto"/>
          <w:szCs w:val="22"/>
          <w:lang w:val="en-US"/>
        </w:rPr>
        <w:t>).</w:t>
      </w:r>
    </w:p>
    <w:p w14:paraId="08AA8296" w14:textId="77777777" w:rsidR="00CA5E9C" w:rsidRPr="004D6002" w:rsidRDefault="00CA5E9C" w:rsidP="00E15FE9">
      <w:pPr>
        <w:numPr>
          <w:ilvl w:val="0"/>
          <w:numId w:val="51"/>
        </w:numPr>
        <w:autoSpaceDE w:val="0"/>
        <w:autoSpaceDN w:val="0"/>
        <w:adjustRightInd w:val="0"/>
        <w:spacing w:after="0"/>
        <w:ind w:left="360"/>
        <w:rPr>
          <w:rFonts w:asciiTheme="majorBidi" w:hAnsiTheme="majorBidi" w:cstheme="majorBidi"/>
          <w:color w:val="auto"/>
          <w:szCs w:val="22"/>
          <w:lang w:val="en-US"/>
        </w:rPr>
      </w:pPr>
      <w:r w:rsidRPr="004D6002">
        <w:rPr>
          <w:rFonts w:asciiTheme="majorBidi" w:hAnsiTheme="majorBidi" w:cstheme="majorBidi"/>
          <w:color w:val="auto"/>
          <w:szCs w:val="22"/>
          <w:lang w:val="en-US"/>
        </w:rPr>
        <w:t>In Korea, efficacy trials withECO</w:t>
      </w:r>
      <w:r w:rsidRPr="004D6002">
        <w:rPr>
          <w:rFonts w:asciiTheme="majorBidi" w:hAnsiTheme="majorBidi" w:cstheme="majorBidi"/>
          <w:color w:val="auto"/>
          <w:szCs w:val="22"/>
          <w:vertAlign w:val="subscript"/>
          <w:lang w:val="en-US"/>
        </w:rPr>
        <w:t>2</w:t>
      </w:r>
      <w:r w:rsidRPr="004D6002">
        <w:rPr>
          <w:rFonts w:asciiTheme="majorBidi" w:hAnsiTheme="majorBidi" w:cstheme="majorBidi"/>
          <w:color w:val="auto"/>
          <w:szCs w:val="22"/>
          <w:lang w:val="en-US"/>
        </w:rPr>
        <w:t>FUME</w:t>
      </w:r>
      <w:r w:rsidRPr="004D6002">
        <w:rPr>
          <w:rFonts w:asciiTheme="majorBidi" w:hAnsiTheme="majorBidi" w:cstheme="majorBidi"/>
          <w:color w:val="auto"/>
          <w:szCs w:val="22"/>
          <w:vertAlign w:val="superscript"/>
        </w:rPr>
        <w:t>®</w:t>
      </w:r>
      <w:r w:rsidRPr="004D6002">
        <w:rPr>
          <w:rFonts w:asciiTheme="majorBidi" w:hAnsiTheme="majorBidi" w:cstheme="majorBidi"/>
          <w:color w:val="auto"/>
          <w:szCs w:val="22"/>
          <w:lang w:val="en-US"/>
        </w:rPr>
        <w:t xml:space="preserve"> have been conducted to control eggs and adults of various insects on strawberries (1,100 ppm, 24 h, 2°C or 600 ppm, 24h, 10°C), cherry tomato (25 ppm, 24 h, 13°C), paprika (30 ppm, 24 h, 13°C), cut flowers (1,400 ppm, 24 h, 8°C) and nursery trees (1,400 ppm, 48 h, 15°C) (</w:t>
      </w:r>
      <w:r w:rsidRPr="004D6002">
        <w:rPr>
          <w:rFonts w:asciiTheme="majorBidi" w:hAnsiTheme="majorBidi" w:cstheme="majorBidi"/>
          <w:color w:val="auto"/>
          <w:szCs w:val="22"/>
          <w:lang w:val="en-US" w:eastAsia="en-US"/>
        </w:rPr>
        <w:t xml:space="preserve">Salazar, 2014) </w:t>
      </w:r>
    </w:p>
    <w:p w14:paraId="10606F2A" w14:textId="77777777" w:rsidR="00CA5E9C" w:rsidRPr="004D6002" w:rsidRDefault="00CA5E9C" w:rsidP="00E15FE9">
      <w:pPr>
        <w:numPr>
          <w:ilvl w:val="0"/>
          <w:numId w:val="51"/>
        </w:numPr>
        <w:autoSpaceDE w:val="0"/>
        <w:autoSpaceDN w:val="0"/>
        <w:adjustRightInd w:val="0"/>
        <w:spacing w:after="0"/>
        <w:ind w:left="360"/>
        <w:rPr>
          <w:rFonts w:asciiTheme="majorBidi" w:hAnsiTheme="majorBidi" w:cstheme="majorBidi"/>
          <w:color w:val="auto"/>
          <w:szCs w:val="22"/>
        </w:rPr>
      </w:pPr>
      <w:r w:rsidRPr="004D6002">
        <w:rPr>
          <w:rFonts w:asciiTheme="majorBidi" w:hAnsiTheme="majorBidi" w:cstheme="majorBidi"/>
          <w:color w:val="auto"/>
          <w:szCs w:val="22"/>
        </w:rPr>
        <w:t>A controlled atmosphere system that uses nitrogen to lower O</w:t>
      </w:r>
      <w:r w:rsidRPr="004D6002">
        <w:rPr>
          <w:rFonts w:asciiTheme="majorBidi" w:hAnsiTheme="majorBidi" w:cstheme="majorBidi"/>
          <w:color w:val="auto"/>
          <w:szCs w:val="22"/>
          <w:vertAlign w:val="subscript"/>
        </w:rPr>
        <w:t>2</w:t>
      </w:r>
      <w:r w:rsidRPr="004D6002">
        <w:rPr>
          <w:rFonts w:asciiTheme="majorBidi" w:hAnsiTheme="majorBidi" w:cstheme="majorBidi"/>
          <w:color w:val="auto"/>
          <w:szCs w:val="22"/>
        </w:rPr>
        <w:t xml:space="preserve"> levels below 1% and is combined with high temperatures (38</w:t>
      </w:r>
      <w:r w:rsidRPr="004D6002">
        <w:rPr>
          <w:rFonts w:asciiTheme="majorBidi" w:hAnsiTheme="majorBidi" w:cstheme="majorBidi"/>
          <w:color w:val="auto"/>
          <w:szCs w:val="22"/>
          <w:vertAlign w:val="superscript"/>
        </w:rPr>
        <w:t>o</w:t>
      </w:r>
      <w:r w:rsidRPr="004D6002">
        <w:rPr>
          <w:rFonts w:asciiTheme="majorBidi" w:hAnsiTheme="majorBidi" w:cstheme="majorBidi"/>
          <w:color w:val="auto"/>
          <w:szCs w:val="22"/>
        </w:rPr>
        <w:t>C) is an efficient treatment used in Indonesia for commodities such as tobacco (exposure time 4 days), which can also be used on grains with good results. Forty-six similar facilities are reported in 18 countries (Mahmudi, 2014).</w:t>
      </w:r>
    </w:p>
    <w:p w14:paraId="5E955A59" w14:textId="77777777" w:rsidR="00CA5E9C" w:rsidRPr="004D6002" w:rsidRDefault="00CA5E9C" w:rsidP="00E15FE9">
      <w:pPr>
        <w:numPr>
          <w:ilvl w:val="0"/>
          <w:numId w:val="51"/>
        </w:numPr>
        <w:autoSpaceDE w:val="0"/>
        <w:autoSpaceDN w:val="0"/>
        <w:adjustRightInd w:val="0"/>
        <w:spacing w:after="0"/>
        <w:ind w:left="360"/>
        <w:rPr>
          <w:rFonts w:asciiTheme="majorBidi" w:hAnsiTheme="majorBidi" w:cstheme="majorBidi"/>
          <w:color w:val="auto"/>
          <w:szCs w:val="22"/>
        </w:rPr>
      </w:pPr>
      <w:r w:rsidRPr="004D6002">
        <w:rPr>
          <w:rFonts w:asciiTheme="majorBidi" w:hAnsiTheme="majorBidi" w:cstheme="majorBidi"/>
          <w:color w:val="auto"/>
          <w:szCs w:val="22"/>
        </w:rPr>
        <w:t xml:space="preserve">Trials with EDN achieved 100% mortality of the European house borer </w:t>
      </w:r>
      <w:r w:rsidRPr="004D6002">
        <w:rPr>
          <w:rFonts w:asciiTheme="majorBidi" w:hAnsiTheme="majorBidi" w:cstheme="majorBidi"/>
          <w:i/>
          <w:color w:val="auto"/>
          <w:szCs w:val="22"/>
        </w:rPr>
        <w:t xml:space="preserve">Hylotrupes bajulus </w:t>
      </w:r>
      <w:r w:rsidRPr="004D6002">
        <w:rPr>
          <w:rFonts w:asciiTheme="majorBidi" w:hAnsiTheme="majorBidi" w:cstheme="majorBidi"/>
          <w:color w:val="auto"/>
          <w:szCs w:val="22"/>
        </w:rPr>
        <w:t xml:space="preserve">within 24 h, under an environment of 25°C and75% relative humidity (Emmery </w:t>
      </w:r>
      <w:r w:rsidRPr="004D6002">
        <w:rPr>
          <w:rFonts w:asciiTheme="majorBidi" w:hAnsiTheme="majorBidi" w:cstheme="majorBidi"/>
          <w:i/>
          <w:color w:val="auto"/>
          <w:szCs w:val="22"/>
        </w:rPr>
        <w:t>et al.,</w:t>
      </w:r>
      <w:r w:rsidRPr="004D6002">
        <w:rPr>
          <w:rFonts w:asciiTheme="majorBidi" w:hAnsiTheme="majorBidi" w:cstheme="majorBidi"/>
          <w:color w:val="auto"/>
          <w:szCs w:val="22"/>
        </w:rPr>
        <w:t xml:space="preserve"> 2015).</w:t>
      </w:r>
    </w:p>
    <w:p w14:paraId="22B7FC19" w14:textId="77777777" w:rsidR="00CA5E9C" w:rsidRPr="004D6002" w:rsidRDefault="00CA5E9C" w:rsidP="00E15FE9">
      <w:pPr>
        <w:numPr>
          <w:ilvl w:val="0"/>
          <w:numId w:val="54"/>
        </w:numPr>
        <w:spacing w:after="0"/>
        <w:ind w:left="360"/>
        <w:rPr>
          <w:rFonts w:asciiTheme="majorBidi" w:hAnsiTheme="majorBidi" w:cstheme="majorBidi"/>
          <w:color w:val="auto"/>
          <w:szCs w:val="22"/>
        </w:rPr>
      </w:pPr>
      <w:r w:rsidRPr="004D6002">
        <w:rPr>
          <w:rFonts w:asciiTheme="majorBidi" w:hAnsiTheme="majorBidi" w:cstheme="majorBidi"/>
          <w:color w:val="auto"/>
          <w:szCs w:val="22"/>
          <w:lang w:eastAsia="es-ES"/>
        </w:rPr>
        <w:t xml:space="preserve">Three cold treatments for controlling </w:t>
      </w:r>
      <w:r w:rsidRPr="004D6002">
        <w:rPr>
          <w:rFonts w:asciiTheme="majorBidi" w:hAnsiTheme="majorBidi" w:cstheme="majorBidi"/>
          <w:i/>
          <w:iCs/>
          <w:color w:val="auto"/>
          <w:szCs w:val="22"/>
          <w:lang w:eastAsia="es-ES"/>
        </w:rPr>
        <w:t>Bactrocera tryoni</w:t>
      </w:r>
      <w:r w:rsidRPr="004D6002">
        <w:rPr>
          <w:rFonts w:asciiTheme="majorBidi" w:hAnsiTheme="majorBidi" w:cstheme="majorBidi"/>
          <w:color w:val="auto"/>
          <w:szCs w:val="22"/>
          <w:lang w:eastAsia="es-ES"/>
        </w:rPr>
        <w:t> for different citrus species and an irradiation treatment for mealybugs were adopted by the IPPC CPM (Commission of Phytosanitary Measures) during its 10</w:t>
      </w:r>
      <w:r w:rsidRPr="004D6002">
        <w:rPr>
          <w:rFonts w:asciiTheme="majorBidi" w:hAnsiTheme="majorBidi" w:cstheme="majorBidi"/>
          <w:color w:val="auto"/>
          <w:szCs w:val="22"/>
          <w:vertAlign w:val="superscript"/>
          <w:lang w:eastAsia="es-ES"/>
        </w:rPr>
        <w:t>th</w:t>
      </w:r>
      <w:r w:rsidRPr="004D6002">
        <w:rPr>
          <w:rFonts w:asciiTheme="majorBidi" w:hAnsiTheme="majorBidi" w:cstheme="majorBidi"/>
          <w:color w:val="auto"/>
          <w:szCs w:val="22"/>
          <w:lang w:eastAsia="es-ES"/>
        </w:rPr>
        <w:t xml:space="preserve"> Session(end of 2014). These will be included in the appropriate ISPMs (International Standards of Phytosanitary Measures) and can replace MB in some instances (Willink 2015, personal communication)</w:t>
      </w:r>
    </w:p>
    <w:p w14:paraId="074F16EA" w14:textId="77777777" w:rsidR="00CA5E9C" w:rsidRPr="004D6002" w:rsidRDefault="00CA5E9C" w:rsidP="00E15FE9">
      <w:pPr>
        <w:numPr>
          <w:ilvl w:val="0"/>
          <w:numId w:val="54"/>
        </w:numPr>
        <w:spacing w:after="0"/>
        <w:ind w:left="360"/>
        <w:rPr>
          <w:rFonts w:asciiTheme="majorBidi" w:hAnsiTheme="majorBidi" w:cstheme="majorBidi"/>
          <w:color w:val="auto"/>
          <w:szCs w:val="22"/>
        </w:rPr>
      </w:pPr>
      <w:r w:rsidRPr="004D6002">
        <w:rPr>
          <w:rFonts w:asciiTheme="majorBidi" w:hAnsiTheme="majorBidi" w:cstheme="majorBidi"/>
          <w:color w:val="auto"/>
          <w:szCs w:val="22"/>
        </w:rPr>
        <w:t>Ethyl formate (EF) has been categorised as a full control fumigant with action against citrus mealybugs, adults of the Californian red scale and all stages of Fuller’s rose weevil within 6 h, at dose rates of 20 g/m³, 61.8 g/m</w:t>
      </w:r>
      <w:r w:rsidRPr="004D6002">
        <w:rPr>
          <w:rFonts w:asciiTheme="majorBidi" w:hAnsiTheme="majorBidi" w:cstheme="majorBidi"/>
          <w:color w:val="auto"/>
          <w:szCs w:val="22"/>
          <w:vertAlign w:val="superscript"/>
        </w:rPr>
        <w:t>3</w:t>
      </w:r>
      <w:r w:rsidRPr="004D6002">
        <w:rPr>
          <w:rFonts w:asciiTheme="majorBidi" w:hAnsiTheme="majorBidi" w:cstheme="majorBidi"/>
          <w:color w:val="auto"/>
          <w:szCs w:val="22"/>
        </w:rPr>
        <w:t xml:space="preserve"> and 60.1 g/m³, respectively at 15°C and a fill rate of 40%. Eucalyptus weevils attacking Pink Lady apples did not survive a 24 h treatment with 30g/m³ of EF at 25°C or 50 g/m³ at 4-8°C (Agarwal </w:t>
      </w:r>
      <w:r w:rsidRPr="004D6002">
        <w:rPr>
          <w:rFonts w:asciiTheme="majorBidi" w:hAnsiTheme="majorBidi" w:cstheme="majorBidi"/>
          <w:i/>
          <w:color w:val="auto"/>
          <w:szCs w:val="22"/>
        </w:rPr>
        <w:t>et al.</w:t>
      </w:r>
      <w:r w:rsidRPr="004D6002">
        <w:rPr>
          <w:rFonts w:asciiTheme="majorBidi" w:hAnsiTheme="majorBidi" w:cstheme="majorBidi"/>
          <w:color w:val="auto"/>
          <w:szCs w:val="22"/>
        </w:rPr>
        <w:t xml:space="preserve"> 2015).</w:t>
      </w:r>
    </w:p>
    <w:p w14:paraId="002EBB98" w14:textId="77777777" w:rsidR="00CA5E9C" w:rsidRPr="004D6002" w:rsidRDefault="00CA5E9C" w:rsidP="00E15FE9">
      <w:pPr>
        <w:numPr>
          <w:ilvl w:val="0"/>
          <w:numId w:val="54"/>
        </w:numPr>
        <w:spacing w:after="0"/>
        <w:ind w:left="360"/>
        <w:rPr>
          <w:rFonts w:asciiTheme="majorBidi" w:hAnsiTheme="majorBidi" w:cstheme="majorBidi"/>
          <w:color w:val="auto"/>
          <w:szCs w:val="22"/>
        </w:rPr>
      </w:pPr>
      <w:r w:rsidRPr="004D6002">
        <w:rPr>
          <w:rFonts w:asciiTheme="majorBidi" w:hAnsiTheme="majorBidi" w:cstheme="majorBidi"/>
          <w:color w:val="auto"/>
          <w:szCs w:val="22"/>
        </w:rPr>
        <w:t xml:space="preserve">Sulfuryl fluoride was subject of investigations as a suitable quarantine treatment fumigant against the khapra beetle </w:t>
      </w:r>
      <w:r w:rsidRPr="004D6002">
        <w:rPr>
          <w:rFonts w:asciiTheme="majorBidi" w:hAnsiTheme="majorBidi" w:cstheme="majorBidi"/>
          <w:i/>
          <w:color w:val="auto"/>
          <w:szCs w:val="22"/>
        </w:rPr>
        <w:t xml:space="preserve">Trogoderma granarium </w:t>
      </w:r>
      <w:r w:rsidRPr="004D6002">
        <w:rPr>
          <w:rFonts w:asciiTheme="majorBidi" w:hAnsiTheme="majorBidi" w:cstheme="majorBidi"/>
          <w:color w:val="auto"/>
          <w:szCs w:val="22"/>
        </w:rPr>
        <w:t>(Myers and Ghinmire, 2014).</w:t>
      </w:r>
    </w:p>
    <w:p w14:paraId="52C59497" w14:textId="77777777" w:rsidR="00D46945" w:rsidRDefault="00D46945" w:rsidP="002B7818">
      <w:pPr>
        <w:pStyle w:val="Heading3"/>
      </w:pPr>
      <w:bookmarkStart w:id="80" w:name="_Toc413659285"/>
      <w:bookmarkStart w:id="81" w:name="_Toc413659348"/>
      <w:bookmarkStart w:id="82" w:name="_Toc413659415"/>
      <w:bookmarkStart w:id="83" w:name="_Toc413659854"/>
      <w:bookmarkStart w:id="84" w:name="_Toc414934272"/>
      <w:bookmarkStart w:id="85" w:name="_Toc418842506"/>
      <w:bookmarkStart w:id="86" w:name="_Toc295406128"/>
    </w:p>
    <w:p w14:paraId="1BDF6C9F" w14:textId="77777777" w:rsidR="00CA5E9C" w:rsidRPr="00350022" w:rsidRDefault="00CA5E9C" w:rsidP="002B7818">
      <w:pPr>
        <w:pStyle w:val="Heading3"/>
      </w:pPr>
      <w:r>
        <w:t>5.</w:t>
      </w:r>
      <w:r w:rsidRPr="00350022">
        <w:t>2.</w:t>
      </w:r>
      <w:r>
        <w:t>5</w:t>
      </w:r>
      <w:r w:rsidRPr="00350022">
        <w:t>Critical uses</w:t>
      </w:r>
      <w:bookmarkEnd w:id="80"/>
      <w:bookmarkEnd w:id="81"/>
      <w:bookmarkEnd w:id="82"/>
      <w:bookmarkEnd w:id="83"/>
      <w:bookmarkEnd w:id="84"/>
      <w:bookmarkEnd w:id="85"/>
      <w:bookmarkEnd w:id="86"/>
    </w:p>
    <w:p w14:paraId="6556BE4B" w14:textId="77777777" w:rsidR="00CA5E9C" w:rsidRPr="008B134C" w:rsidRDefault="00CA5E9C" w:rsidP="00E15FE9">
      <w:pPr>
        <w:numPr>
          <w:ilvl w:val="0"/>
          <w:numId w:val="52"/>
        </w:numPr>
        <w:spacing w:after="0"/>
        <w:rPr>
          <w:rFonts w:asciiTheme="majorBidi" w:eastAsia="Arial" w:hAnsiTheme="majorBidi" w:cstheme="majorBidi"/>
          <w:color w:val="auto"/>
          <w:szCs w:val="24"/>
        </w:rPr>
      </w:pPr>
      <w:r w:rsidRPr="00577121">
        <w:t xml:space="preserve">Of over 140 nominations submitted for critical use of over 18,000 tonnes by non-Article 5 Parties for 2005, only </w:t>
      </w:r>
      <w:r>
        <w:t>three</w:t>
      </w:r>
      <w:r w:rsidRPr="00577121">
        <w:t xml:space="preserve"> remain for less than 300 tonnes in 2016</w:t>
      </w:r>
      <w:r>
        <w:rPr>
          <w:rFonts w:asciiTheme="majorBidi" w:hAnsiTheme="majorBidi" w:cstheme="majorBidi"/>
          <w:color w:val="auto"/>
          <w:szCs w:val="24"/>
        </w:rPr>
        <w:t xml:space="preserve">.  </w:t>
      </w:r>
    </w:p>
    <w:p w14:paraId="4BCF23C1" w14:textId="77777777" w:rsidR="00CA5E9C" w:rsidRPr="00577121" w:rsidRDefault="00CA5E9C" w:rsidP="00E15FE9">
      <w:pPr>
        <w:numPr>
          <w:ilvl w:val="0"/>
          <w:numId w:val="52"/>
        </w:numPr>
        <w:spacing w:after="120"/>
      </w:pPr>
      <w:r>
        <w:t>In 2014, s</w:t>
      </w:r>
      <w:r w:rsidRPr="00577121">
        <w:t xml:space="preserve">ix critical use nominations were received </w:t>
      </w:r>
      <w:r>
        <w:t xml:space="preserve">and approved for use of MB in 2015 by the Parties at the MOP. This year eight nominations were received for use in 2016. </w:t>
      </w:r>
      <w:r w:rsidRPr="00577121">
        <w:t>CUE’s are</w:t>
      </w:r>
      <w:r>
        <w:t xml:space="preserve"> </w:t>
      </w:r>
      <w:r>
        <w:lastRenderedPageBreak/>
        <w:t>now possible</w:t>
      </w:r>
      <w:r w:rsidRPr="00577121">
        <w:t xml:space="preserve"> for </w:t>
      </w:r>
      <w:r>
        <w:t>A5</w:t>
      </w:r>
      <w:r w:rsidRPr="00577121">
        <w:t xml:space="preserve"> Parties</w:t>
      </w:r>
      <w:r>
        <w:t xml:space="preserve"> since the phase-out deadline of January 1</w:t>
      </w:r>
      <w:r w:rsidRPr="00201420">
        <w:rPr>
          <w:vertAlign w:val="superscript"/>
        </w:rPr>
        <w:t>st</w:t>
      </w:r>
      <w:r>
        <w:t xml:space="preserve"> 2015 has now passed, however nominations have to meet the specific criteria established under Decision IX/6</w:t>
      </w:r>
      <w:r w:rsidRPr="00577121">
        <w:t>.</w:t>
      </w:r>
    </w:p>
    <w:p w14:paraId="649B7B27" w14:textId="77777777" w:rsidR="00CA5E9C" w:rsidRPr="00350022" w:rsidRDefault="00CA5E9C" w:rsidP="00CA5E9C">
      <w:pPr>
        <w:pStyle w:val="ListParagraph"/>
        <w:rPr>
          <w:rFonts w:asciiTheme="majorBidi" w:hAnsiTheme="majorBidi" w:cstheme="majorBidi"/>
        </w:rPr>
      </w:pPr>
    </w:p>
    <w:p w14:paraId="3BD0716B" w14:textId="77777777" w:rsidR="00CA5E9C" w:rsidRPr="00350022" w:rsidRDefault="00CA5E9C" w:rsidP="002B7818">
      <w:pPr>
        <w:pStyle w:val="Heading2"/>
      </w:pPr>
      <w:bookmarkStart w:id="87" w:name="_Toc418842507"/>
      <w:bookmarkStart w:id="88" w:name="_Toc295406129"/>
      <w:r>
        <w:t xml:space="preserve">5. 3. </w:t>
      </w:r>
      <w:r w:rsidRPr="00350022">
        <w:t>References</w:t>
      </w:r>
      <w:bookmarkEnd w:id="87"/>
      <w:bookmarkEnd w:id="88"/>
    </w:p>
    <w:p w14:paraId="469BDF13"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de-DE"/>
        </w:rPr>
        <w:t xml:space="preserve">Agarwal M., Ren Y., Newman J., Stewart L. 2015. </w:t>
      </w:r>
      <w:r w:rsidRPr="004D6002">
        <w:rPr>
          <w:rFonts w:ascii="Times New Roman" w:hAnsi="Times New Roman"/>
          <w:sz w:val="18"/>
          <w:szCs w:val="18"/>
        </w:rPr>
        <w:t xml:space="preserve">Alternative to methyl bromide for preshipment treatment of export fruits. In Arthur </w:t>
      </w:r>
      <w:r w:rsidRPr="004D6002">
        <w:rPr>
          <w:rFonts w:ascii="Times New Roman" w:hAnsi="Times New Roman"/>
          <w:i/>
          <w:iCs/>
          <w:sz w:val="18"/>
          <w:szCs w:val="18"/>
        </w:rPr>
        <w:t>et al.</w:t>
      </w:r>
      <w:r w:rsidRPr="004D6002">
        <w:rPr>
          <w:rFonts w:ascii="Times New Roman" w:hAnsi="Times New Roman"/>
          <w:iCs/>
          <w:sz w:val="18"/>
          <w:szCs w:val="18"/>
        </w:rPr>
        <w:t xml:space="preserve"> eds p. 158.</w:t>
      </w:r>
    </w:p>
    <w:p w14:paraId="64C9C77F" w14:textId="77777777" w:rsidR="00CA5E9C" w:rsidRPr="004D6002" w:rsidRDefault="00CA5E9C" w:rsidP="00CA5E9C">
      <w:pPr>
        <w:pStyle w:val="Refs0"/>
        <w:rPr>
          <w:rStyle w:val="Hyperlink"/>
          <w:rFonts w:ascii="Times New Roman" w:hAnsi="Times New Roman"/>
          <w:iCs/>
          <w:sz w:val="18"/>
          <w:szCs w:val="18"/>
        </w:rPr>
      </w:pPr>
      <w:r w:rsidRPr="004D6002">
        <w:rPr>
          <w:rFonts w:ascii="Times New Roman" w:hAnsi="Times New Roman"/>
          <w:sz w:val="18"/>
          <w:szCs w:val="18"/>
        </w:rPr>
        <w:t xml:space="preserve">Anonymous 2014. Proceedings of a conference in Surabaya, 2014, link: homepage New Zealand Quarantine, Methyl Bromide Alternatives Conference Surabaya Indonesia 2014, </w:t>
      </w:r>
      <w:hyperlink r:id="rId24" w:history="1">
        <w:r w:rsidRPr="004D6002">
          <w:rPr>
            <w:rStyle w:val="Hyperlink"/>
            <w:rFonts w:ascii="Times New Roman" w:hAnsi="Times New Roman"/>
            <w:sz w:val="18"/>
            <w:szCs w:val="18"/>
          </w:rPr>
          <w:t>http://www.biosecurity.govt.nz/regs/trans/treat</w:t>
        </w:r>
      </w:hyperlink>
      <w:r w:rsidRPr="004D6002">
        <w:rPr>
          <w:rStyle w:val="Hyperlink"/>
          <w:rFonts w:ascii="Times New Roman" w:hAnsi="Times New Roman"/>
          <w:sz w:val="18"/>
          <w:szCs w:val="18"/>
        </w:rPr>
        <w:t>.</w:t>
      </w:r>
    </w:p>
    <w:p w14:paraId="2BF74D0C"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US" w:eastAsia="fr-FR"/>
        </w:rPr>
        <w:t xml:space="preserve">Arlene-Christina G. D., Jayas D. S., Fields P. G., Alagusundaram K. 2015. High temperatures effects on the </w:t>
      </w:r>
      <w:r w:rsidRPr="004D6002">
        <w:rPr>
          <w:rFonts w:ascii="Times New Roman" w:hAnsi="Times New Roman"/>
          <w:i/>
          <w:sz w:val="18"/>
          <w:szCs w:val="18"/>
          <w:lang w:val="en-US" w:eastAsia="fr-FR"/>
        </w:rPr>
        <w:t>Cryptolestes ferrugineus</w:t>
      </w:r>
      <w:r w:rsidRPr="004D6002">
        <w:rPr>
          <w:rFonts w:ascii="Times New Roman" w:hAnsi="Times New Roman"/>
          <w:sz w:val="18"/>
          <w:szCs w:val="18"/>
          <w:lang w:val="en-US" w:eastAsia="fr-FR"/>
        </w:rPr>
        <w:t xml:space="preserve"> (Stephens) movement and survival.</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 eds, 53.</w:t>
      </w:r>
    </w:p>
    <w:p w14:paraId="49538D24" w14:textId="77777777" w:rsidR="00CA5E9C" w:rsidRPr="004D6002" w:rsidRDefault="00CA5E9C" w:rsidP="00CA5E9C">
      <w:pPr>
        <w:pStyle w:val="Refs0"/>
        <w:rPr>
          <w:rFonts w:ascii="Times New Roman" w:eastAsia="Arial" w:hAnsi="Times New Roman"/>
          <w:sz w:val="18"/>
          <w:szCs w:val="18"/>
          <w:lang w:eastAsia="fr-FR"/>
        </w:rPr>
      </w:pPr>
      <w:r w:rsidRPr="004D6002">
        <w:rPr>
          <w:rFonts w:ascii="Times New Roman" w:hAnsi="Times New Roman"/>
          <w:sz w:val="18"/>
          <w:szCs w:val="18"/>
        </w:rPr>
        <w:t xml:space="preserve">Arthur F. H., Kelly P. 2015. </w:t>
      </w:r>
      <w:r w:rsidRPr="004D6002">
        <w:rPr>
          <w:rFonts w:ascii="Times New Roman" w:hAnsi="Times New Roman"/>
          <w:i/>
          <w:sz w:val="18"/>
          <w:szCs w:val="18"/>
        </w:rPr>
        <w:t>Trogoderma variabile</w:t>
      </w:r>
      <w:r w:rsidRPr="004D6002">
        <w:rPr>
          <w:rFonts w:ascii="Times New Roman" w:hAnsi="Times New Roman"/>
          <w:sz w:val="18"/>
          <w:szCs w:val="18"/>
        </w:rPr>
        <w:t xml:space="preserve">: a model species for control of Dermestids in Museums.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 eds, 121.</w:t>
      </w:r>
    </w:p>
    <w:p w14:paraId="255A785E"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Arthur F.H., Throne J. E., Daglish G, White N., Campbell J., Adler C., Chayaprasert W., Jones C., Collins P., Phillips T., Scussel V. M., Baributsa D., Trematerra P., Schöller M., Kavallierators N., Nayak N, Opit, G., Mahroof R., Fields P., Suthisut D., Villalobos M. J. P., Riudavets J., Carvalho M. O., eds, 2014 (in press). Book of Abstracts of the Proceedings of the 11</w:t>
      </w:r>
      <w:r w:rsidRPr="004D6002">
        <w:rPr>
          <w:rFonts w:ascii="Times New Roman" w:hAnsi="Times New Roman"/>
          <w:sz w:val="18"/>
          <w:szCs w:val="18"/>
          <w:vertAlign w:val="superscript"/>
        </w:rPr>
        <w:t>th</w:t>
      </w:r>
      <w:r w:rsidRPr="004D6002">
        <w:rPr>
          <w:rFonts w:ascii="Times New Roman" w:hAnsi="Times New Roman"/>
          <w:sz w:val="18"/>
          <w:szCs w:val="18"/>
        </w:rPr>
        <w:t xml:space="preserve"> International Working Conference on Stored Product Protection, 24-28 November 2014 in Chiang Mai, Thailand.</w:t>
      </w:r>
    </w:p>
    <w:p w14:paraId="1AC88345"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Ashworth D.J, Yates S.R, Van Wesenbeeck I.J., Stanghellini M.2015. E</w:t>
      </w:r>
      <w:r w:rsidRPr="004D6002">
        <w:rPr>
          <w:rFonts w:ascii="Times New Roman" w:eastAsia="AdvOTce3d9a73+fb" w:hAnsi="Times New Roman"/>
          <w:sz w:val="18"/>
          <w:szCs w:val="18"/>
        </w:rPr>
        <w:t>ff</w:t>
      </w:r>
      <w:r w:rsidRPr="004D6002">
        <w:rPr>
          <w:rFonts w:ascii="Times New Roman" w:hAnsi="Times New Roman"/>
          <w:sz w:val="18"/>
          <w:szCs w:val="18"/>
        </w:rPr>
        <w:t>ect of Co-formulation of 1,3-dichloropropene and chloro</w:t>
      </w:r>
      <w:r w:rsidR="004D6002">
        <w:rPr>
          <w:rFonts w:ascii="Times New Roman" w:hAnsi="Times New Roman"/>
          <w:sz w:val="18"/>
          <w:szCs w:val="18"/>
        </w:rPr>
        <w:t>picrin on evaporative Emissions</w:t>
      </w:r>
      <w:r w:rsidRPr="004D6002">
        <w:rPr>
          <w:rFonts w:ascii="Times New Roman" w:hAnsi="Times New Roman"/>
          <w:sz w:val="18"/>
          <w:szCs w:val="18"/>
        </w:rPr>
        <w:t xml:space="preserve"> Soil. </w:t>
      </w:r>
      <w:r w:rsidRPr="004D6002">
        <w:rPr>
          <w:rFonts w:ascii="Times New Roman" w:hAnsi="Times New Roman"/>
          <w:i/>
          <w:sz w:val="18"/>
          <w:szCs w:val="18"/>
        </w:rPr>
        <w:t>J. Agric. Food Chem</w:t>
      </w:r>
      <w:r w:rsidRPr="004D6002">
        <w:rPr>
          <w:rFonts w:ascii="Times New Roman" w:hAnsi="Times New Roman"/>
          <w:sz w:val="18"/>
          <w:szCs w:val="18"/>
        </w:rPr>
        <w:t>. 63, 415</w:t>
      </w:r>
      <w:r w:rsidRPr="004D6002">
        <w:rPr>
          <w:rFonts w:ascii="Times New Roman" w:eastAsia="MS Mincho" w:hAnsi="Times New Roman"/>
          <w:sz w:val="18"/>
          <w:szCs w:val="18"/>
        </w:rPr>
        <w:t>−</w:t>
      </w:r>
      <w:r w:rsidRPr="004D6002">
        <w:rPr>
          <w:rFonts w:ascii="Times New Roman" w:hAnsi="Times New Roman"/>
          <w:sz w:val="18"/>
          <w:szCs w:val="18"/>
        </w:rPr>
        <w:t>421.</w:t>
      </w:r>
    </w:p>
    <w:p w14:paraId="1960AEBB" w14:textId="77777777" w:rsidR="00CA5E9C" w:rsidRPr="004D6002" w:rsidRDefault="00CA5E9C" w:rsidP="00CA5E9C">
      <w:pPr>
        <w:pStyle w:val="Refs0"/>
        <w:rPr>
          <w:rFonts w:ascii="Times New Roman" w:hAnsi="Times New Roman"/>
          <w:sz w:val="18"/>
          <w:szCs w:val="18"/>
          <w:lang w:val="en-US"/>
        </w:rPr>
      </w:pPr>
      <w:r w:rsidRPr="004D6002">
        <w:rPr>
          <w:rFonts w:ascii="Times New Roman" w:hAnsi="Times New Roman"/>
          <w:sz w:val="18"/>
          <w:szCs w:val="18"/>
          <w:lang w:val="en-US" w:eastAsia="fr-FR"/>
        </w:rPr>
        <w:t>Athanassiou C. 2015. The present and future of the use of mating disruption for the control of stored product insects.</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137.</w:t>
      </w:r>
      <w:r w:rsidRPr="004D6002">
        <w:rPr>
          <w:rFonts w:ascii="Times New Roman" w:hAnsi="Times New Roman"/>
          <w:sz w:val="18"/>
          <w:szCs w:val="18"/>
          <w:lang w:val="en-US"/>
        </w:rPr>
        <w:t xml:space="preserve"> </w:t>
      </w:r>
    </w:p>
    <w:p w14:paraId="2D1C0C68" w14:textId="77777777" w:rsidR="00CA5E9C" w:rsidRPr="004D6002" w:rsidRDefault="00CA5E9C" w:rsidP="00CA5E9C">
      <w:pPr>
        <w:pStyle w:val="Refs0"/>
        <w:rPr>
          <w:rFonts w:ascii="Times New Roman" w:hAnsi="Times New Roman"/>
          <w:sz w:val="18"/>
          <w:szCs w:val="18"/>
          <w:lang w:val="en-US"/>
        </w:rPr>
      </w:pPr>
      <w:r w:rsidRPr="004D6002">
        <w:rPr>
          <w:rFonts w:ascii="Times New Roman" w:hAnsi="Times New Roman"/>
          <w:sz w:val="18"/>
          <w:szCs w:val="18"/>
          <w:lang w:val="en-US"/>
        </w:rPr>
        <w:t xml:space="preserve">Bessi H, Bellagha S., Lebdi K.G, Bikoba V., Mitcham E.J, 2015. Ethyl Formate Fumigation of Dry and Semidry Date Fruits: Experimental Kinetics, Modeling, and Lethal Effect on Carob Moth . J. Econ. Entomol. 1–7 </w:t>
      </w:r>
    </w:p>
    <w:p w14:paraId="2814CEC5"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US" w:eastAsia="fr-FR"/>
        </w:rPr>
        <w:t>Braunbeck C. M. 2015.Conservation of stored grain by cooling.</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 xml:space="preserve">et al. </w:t>
      </w:r>
      <w:r w:rsidRPr="004D6002">
        <w:rPr>
          <w:rFonts w:ascii="Times New Roman" w:eastAsia="Arial" w:hAnsi="Times New Roman"/>
          <w:sz w:val="18"/>
          <w:szCs w:val="18"/>
          <w:lang w:eastAsia="fr-FR"/>
        </w:rPr>
        <w:t>eds, 74.</w:t>
      </w:r>
    </w:p>
    <w:p w14:paraId="414D1F01" w14:textId="77777777" w:rsidR="00CA5E9C" w:rsidRPr="004D6002" w:rsidRDefault="00CA5E9C" w:rsidP="00CA5E9C">
      <w:pPr>
        <w:pStyle w:val="Refs0"/>
        <w:rPr>
          <w:rFonts w:ascii="Times New Roman" w:hAnsi="Times New Roman"/>
          <w:sz w:val="18"/>
          <w:szCs w:val="18"/>
          <w:lang w:val="fr-FR" w:eastAsia="de-DE"/>
        </w:rPr>
      </w:pPr>
      <w:r w:rsidRPr="004D6002">
        <w:rPr>
          <w:rFonts w:ascii="Times New Roman" w:hAnsi="Times New Roman"/>
          <w:sz w:val="18"/>
          <w:szCs w:val="18"/>
          <w:lang w:eastAsia="de-DE"/>
        </w:rPr>
        <w:t xml:space="preserve">Campbell J. F., Arthur F. H., Zhu K. Y. 2014. Spatial pattern in aerosol insecticide deposition inside a flour mill. J. Econ. </w:t>
      </w:r>
      <w:r w:rsidRPr="004D6002">
        <w:rPr>
          <w:rFonts w:ascii="Times New Roman" w:hAnsi="Times New Roman"/>
          <w:sz w:val="18"/>
          <w:szCs w:val="18"/>
          <w:lang w:val="fr-FR" w:eastAsia="de-DE"/>
        </w:rPr>
        <w:t>Entomol. 107, 440-454.</w:t>
      </w:r>
    </w:p>
    <w:p w14:paraId="46AB2F1F" w14:textId="77777777" w:rsidR="00CA5E9C" w:rsidRPr="004D6002" w:rsidRDefault="00CA5E9C" w:rsidP="00CA5E9C">
      <w:pPr>
        <w:pStyle w:val="Refs0"/>
        <w:rPr>
          <w:rFonts w:ascii="Times New Roman" w:hAnsi="Times New Roman"/>
          <w:sz w:val="18"/>
          <w:szCs w:val="18"/>
          <w:lang w:val="en-US" w:eastAsia="fr-FR"/>
        </w:rPr>
      </w:pPr>
      <w:r w:rsidRPr="004D6002">
        <w:rPr>
          <w:rFonts w:ascii="Times New Roman" w:hAnsi="Times New Roman"/>
          <w:sz w:val="18"/>
          <w:szCs w:val="18"/>
          <w:lang w:val="fr-FR"/>
        </w:rPr>
        <w:t xml:space="preserve">Chamorro M., L., Miranda P., Domínguez J.J., Medina C., Soria F., Romero J.M., López Aranda B. De los Santos 2015. </w:t>
      </w:r>
      <w:r w:rsidRPr="004D6002">
        <w:rPr>
          <w:rFonts w:ascii="Times New Roman" w:hAnsi="Times New Roman"/>
          <w:sz w:val="18"/>
          <w:szCs w:val="18"/>
          <w:lang w:val="en-US" w:eastAsia="fr-FR"/>
        </w:rPr>
        <w:t>Evaluation of biosolarization for the control of charcoal rot disease (</w:t>
      </w:r>
      <w:r w:rsidRPr="004D6002">
        <w:rPr>
          <w:rFonts w:ascii="Times New Roman" w:hAnsi="Times New Roman"/>
          <w:i/>
          <w:sz w:val="18"/>
          <w:szCs w:val="18"/>
          <w:lang w:val="en-US" w:eastAsia="fr-FR"/>
        </w:rPr>
        <w:t>Macrophomina phaseolina</w:t>
      </w:r>
      <w:r w:rsidRPr="004D6002">
        <w:rPr>
          <w:rFonts w:ascii="Times New Roman" w:hAnsi="Times New Roman"/>
          <w:sz w:val="18"/>
          <w:szCs w:val="18"/>
          <w:lang w:val="en-US" w:eastAsia="fr-FR"/>
        </w:rPr>
        <w:t>) in strawberry. Crop Protection 67, 279-286.</w:t>
      </w:r>
    </w:p>
    <w:p w14:paraId="303B9639"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 xml:space="preserve">Chigoverah A. A., Mvumi B. M., Kebede A. T., Tefera T. 2015. Effect of hermetic facilities on stored maize insect infestation and grain quality.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 xml:space="preserve">et al. </w:t>
      </w:r>
      <w:r w:rsidRPr="004D6002">
        <w:rPr>
          <w:rFonts w:ascii="Times New Roman" w:eastAsia="Arial" w:hAnsi="Times New Roman"/>
          <w:sz w:val="18"/>
          <w:szCs w:val="18"/>
          <w:lang w:eastAsia="fr-FR"/>
        </w:rPr>
        <w:t>eds, 86.</w:t>
      </w:r>
    </w:p>
    <w:p w14:paraId="78FEDA00"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Cox D. 2014. AFAS,10 years of collaboration. In: Anonymous 2014, Proc. of the Methyl Bromide Alternatives Conference in Surabaya, Indonesia, 2014, 14.</w:t>
      </w:r>
    </w:p>
    <w:p w14:paraId="63FE3546" w14:textId="77777777" w:rsidR="00CA5E9C" w:rsidRPr="004D6002" w:rsidRDefault="00CA5E9C" w:rsidP="00CA5E9C">
      <w:pPr>
        <w:pStyle w:val="Refs0"/>
        <w:rPr>
          <w:rFonts w:ascii="Times New Roman" w:hAnsi="Times New Roman"/>
          <w:sz w:val="18"/>
          <w:szCs w:val="18"/>
          <w:lang w:val="fr-FR"/>
        </w:rPr>
      </w:pPr>
      <w:r w:rsidRPr="004D6002">
        <w:rPr>
          <w:rFonts w:ascii="Times New Roman" w:hAnsi="Times New Roman"/>
          <w:sz w:val="18"/>
          <w:szCs w:val="18"/>
        </w:rPr>
        <w:t xml:space="preserve">Dhouibi M.H, Lagha A., Bensalem A., 2015. </w:t>
      </w:r>
      <w:r w:rsidRPr="004D6002">
        <w:rPr>
          <w:rFonts w:ascii="Times New Roman" w:hAnsi="Times New Roman"/>
          <w:sz w:val="18"/>
          <w:szCs w:val="18"/>
          <w:lang w:val="fr-FR"/>
        </w:rPr>
        <w:t>Efficacité de la combinaison du traitement CO</w:t>
      </w:r>
      <w:r w:rsidRPr="004D6002">
        <w:rPr>
          <w:rFonts w:ascii="Times New Roman" w:hAnsi="Times New Roman"/>
          <w:sz w:val="18"/>
          <w:szCs w:val="18"/>
          <w:vertAlign w:val="subscript"/>
          <w:lang w:val="fr-FR"/>
        </w:rPr>
        <w:t>2</w:t>
      </w:r>
      <w:r w:rsidRPr="004D6002">
        <w:rPr>
          <w:rFonts w:ascii="Times New Roman" w:hAnsi="Times New Roman"/>
          <w:sz w:val="18"/>
          <w:szCs w:val="18"/>
          <w:lang w:val="fr-FR"/>
        </w:rPr>
        <w:t>-phosphine et de la température pour la fumigation des dates comme alternative au bromure de méthyle moyennant un générateur de phosphine. Rapport UNIDO, 24 pp.</w:t>
      </w:r>
    </w:p>
    <w:p w14:paraId="2A4EA143" w14:textId="77777777" w:rsidR="00CA5E9C" w:rsidRPr="004D6002" w:rsidRDefault="00CA5E9C" w:rsidP="00CA5E9C">
      <w:pPr>
        <w:pStyle w:val="Refs0"/>
        <w:rPr>
          <w:rFonts w:ascii="Times New Roman" w:hAnsi="Times New Roman"/>
          <w:sz w:val="18"/>
          <w:szCs w:val="18"/>
          <w:lang w:val="fr-FR"/>
        </w:rPr>
      </w:pPr>
      <w:r w:rsidRPr="004D6002">
        <w:rPr>
          <w:rFonts w:ascii="Times New Roman" w:hAnsi="Times New Roman"/>
          <w:sz w:val="18"/>
          <w:szCs w:val="18"/>
          <w:lang w:val="fr-FR"/>
        </w:rPr>
        <w:t>Dhouibi M.H., Hammami Y. 2015. La fumigation des dates: Une nouvelle alternative au bromure de méthyle. Agence Nationale pour la Protection de l’Environnement (ANPE), Institut National Agronomique de Tunis (INAT), 32 pp.</w:t>
      </w:r>
    </w:p>
    <w:p w14:paraId="258D5139"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Emekci M., Ferizli A. G., Goztas R., Taner A., Garnier G. P. 2015. ECO</w:t>
      </w:r>
      <w:r w:rsidRPr="004D6002">
        <w:rPr>
          <w:rFonts w:ascii="Times New Roman" w:hAnsi="Times New Roman"/>
          <w:sz w:val="18"/>
          <w:szCs w:val="18"/>
          <w:vertAlign w:val="subscript"/>
        </w:rPr>
        <w:t>2</w:t>
      </w:r>
      <w:r w:rsidRPr="004D6002">
        <w:rPr>
          <w:rFonts w:ascii="Times New Roman" w:hAnsi="Times New Roman"/>
          <w:sz w:val="18"/>
          <w:szCs w:val="18"/>
        </w:rPr>
        <w:t xml:space="preserve">FUME fumigation protocols for effective QPS treatment of export cut flowers in Turkey. In: Arthur </w:t>
      </w:r>
      <w:r w:rsidRPr="004D6002">
        <w:rPr>
          <w:rFonts w:ascii="Times New Roman" w:hAnsi="Times New Roman"/>
          <w:i/>
          <w:sz w:val="18"/>
          <w:szCs w:val="18"/>
        </w:rPr>
        <w:t>et al</w:t>
      </w:r>
      <w:r w:rsidRPr="004D6002">
        <w:rPr>
          <w:rFonts w:ascii="Times New Roman" w:hAnsi="Times New Roman"/>
          <w:sz w:val="18"/>
          <w:szCs w:val="18"/>
        </w:rPr>
        <w:t>.eds, 163.</w:t>
      </w:r>
    </w:p>
    <w:p w14:paraId="3971AEEE"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 xml:space="preserve">Emmery R. N., RenY. L., Newman J., Thalavasundaram S. 2015. Evaluation of ethanedinitrile (EDN) as a methyl bromide alternative for eradication of European House Borer (EHB).  In: Arthur </w:t>
      </w:r>
      <w:r w:rsidRPr="004D6002">
        <w:rPr>
          <w:rFonts w:ascii="Times New Roman" w:hAnsi="Times New Roman"/>
          <w:i/>
          <w:sz w:val="18"/>
          <w:szCs w:val="18"/>
        </w:rPr>
        <w:t>et al.</w:t>
      </w:r>
      <w:r w:rsidRPr="004D6002">
        <w:rPr>
          <w:rFonts w:ascii="Times New Roman" w:hAnsi="Times New Roman"/>
          <w:sz w:val="18"/>
          <w:szCs w:val="18"/>
        </w:rPr>
        <w:t>eds, 160.</w:t>
      </w:r>
    </w:p>
    <w:p w14:paraId="5950B547"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US" w:eastAsia="fr-FR"/>
        </w:rPr>
        <w:t xml:space="preserve">Eroglu N. 2015. A review: Insecticidal potential of zeolite (Clinoptilolite), toxicity ratings and general properties of Turkish Zeolites.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128.</w:t>
      </w:r>
    </w:p>
    <w:p w14:paraId="08475650" w14:textId="77777777" w:rsidR="00CA5E9C" w:rsidRPr="004D6002" w:rsidRDefault="00CA5E9C" w:rsidP="00CA5E9C">
      <w:pPr>
        <w:pStyle w:val="Refs0"/>
        <w:rPr>
          <w:rFonts w:ascii="Times New Roman" w:hAnsi="Times New Roman"/>
          <w:sz w:val="18"/>
          <w:szCs w:val="18"/>
        </w:rPr>
      </w:pPr>
      <w:r w:rsidRPr="004D6002">
        <w:rPr>
          <w:rFonts w:ascii="Times New Roman" w:eastAsia="Arial" w:hAnsi="Times New Roman"/>
          <w:sz w:val="18"/>
          <w:szCs w:val="18"/>
          <w:lang w:eastAsia="fr-FR"/>
        </w:rPr>
        <w:lastRenderedPageBreak/>
        <w:t xml:space="preserve">Fields P. G., Abdelghany A. Y. 2015. Low temperature to control insects in grain bins and flour mills. 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 eds, 138.</w:t>
      </w:r>
    </w:p>
    <w:p w14:paraId="33C6F5A8"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US" w:eastAsia="fr-FR"/>
        </w:rPr>
        <w:t>Gautam S. G., Walse S., Tebbets J. S., Opit G. P. 2015. Efficacy of propylene oxide in combination with carbon dioxide against eggs of six postharvest insect pests at normal atmospheric pressure.</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88.</w:t>
      </w:r>
    </w:p>
    <w:p w14:paraId="72CB0984" w14:textId="77777777" w:rsidR="00CA5E9C" w:rsidRPr="004D6002" w:rsidRDefault="00CA5E9C" w:rsidP="00CA5E9C">
      <w:pPr>
        <w:pStyle w:val="Refs0"/>
        <w:rPr>
          <w:rFonts w:ascii="Times New Roman" w:hAnsi="Times New Roman"/>
          <w:sz w:val="18"/>
          <w:szCs w:val="18"/>
          <w:lang w:val="de-DE"/>
        </w:rPr>
      </w:pPr>
      <w:r w:rsidRPr="004D6002">
        <w:rPr>
          <w:rFonts w:ascii="Times New Roman" w:hAnsi="Times New Roman"/>
          <w:sz w:val="18"/>
          <w:szCs w:val="18"/>
          <w:lang w:val="en-US" w:eastAsia="fr-FR"/>
        </w:rPr>
        <w:t xml:space="preserve">Guedes R. N. C. 2015. Residual insecticides in stored product arthropods: anything amiss? </w:t>
      </w:r>
      <w:r w:rsidRPr="004D6002">
        <w:rPr>
          <w:rFonts w:ascii="Times New Roman" w:eastAsia="Arial" w:hAnsi="Times New Roman"/>
          <w:sz w:val="18"/>
          <w:szCs w:val="18"/>
          <w:lang w:val="de-DE" w:eastAsia="fr-FR"/>
        </w:rPr>
        <w:t xml:space="preserve">In: Arthur </w:t>
      </w:r>
      <w:r w:rsidRPr="004D6002">
        <w:rPr>
          <w:rFonts w:ascii="Times New Roman" w:eastAsia="Arial" w:hAnsi="Times New Roman"/>
          <w:i/>
          <w:sz w:val="18"/>
          <w:szCs w:val="18"/>
          <w:lang w:val="de-DE" w:eastAsia="fr-FR"/>
        </w:rPr>
        <w:t>et al</w:t>
      </w:r>
      <w:r w:rsidRPr="004D6002">
        <w:rPr>
          <w:rFonts w:ascii="Times New Roman" w:eastAsia="Arial" w:hAnsi="Times New Roman"/>
          <w:sz w:val="18"/>
          <w:szCs w:val="18"/>
          <w:lang w:val="de-DE" w:eastAsia="fr-FR"/>
        </w:rPr>
        <w:t>.eds,127.</w:t>
      </w:r>
    </w:p>
    <w:p w14:paraId="723904D6"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de-DE" w:eastAsia="fr-FR"/>
        </w:rPr>
        <w:t xml:space="preserve">Hansen L. S., Hansen P., Jensen K.-M. 2015. </w:t>
      </w:r>
      <w:r w:rsidRPr="004D6002">
        <w:rPr>
          <w:rFonts w:ascii="Times New Roman" w:hAnsi="Times New Roman"/>
          <w:sz w:val="18"/>
          <w:szCs w:val="18"/>
          <w:lang w:val="en-US" w:eastAsia="fr-FR"/>
        </w:rPr>
        <w:t xml:space="preserve">Requirements for practical use of ozone in storage silos for control of all stages of internal and external feeders in stored products – Recent scientific results and their possible application.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 xml:space="preserve"> eds, 106.</w:t>
      </w:r>
    </w:p>
    <w:p w14:paraId="107B7790" w14:textId="77777777" w:rsidR="00CA5E9C" w:rsidRPr="004D6002" w:rsidRDefault="00CA5E9C" w:rsidP="00CA5E9C">
      <w:pPr>
        <w:pStyle w:val="Refs0"/>
        <w:rPr>
          <w:rFonts w:ascii="Times New Roman" w:hAnsi="Times New Roman"/>
          <w:sz w:val="18"/>
          <w:szCs w:val="18"/>
        </w:rPr>
      </w:pPr>
      <w:r w:rsidRPr="004D6002">
        <w:rPr>
          <w:rFonts w:ascii="Times New Roman" w:eastAsia="Arial" w:hAnsi="Times New Roman"/>
          <w:sz w:val="18"/>
          <w:szCs w:val="18"/>
          <w:lang w:eastAsia="fr-FR"/>
        </w:rPr>
        <w:t xml:space="preserve">Jagedeesan R., Nayak M. K., Pavich H., Collins P. J., Schlipalius D. I., Ebert P. R. 2015. Inheritance of resistance to phosphine in the rusty grain beetle , </w:t>
      </w:r>
      <w:r w:rsidRPr="004D6002">
        <w:rPr>
          <w:rFonts w:ascii="Times New Roman" w:eastAsia="Arial" w:hAnsi="Times New Roman"/>
          <w:i/>
          <w:sz w:val="18"/>
          <w:szCs w:val="18"/>
          <w:lang w:eastAsia="fr-FR"/>
        </w:rPr>
        <w:t>Cryptolestes ferrugineus</w:t>
      </w:r>
      <w:r w:rsidRPr="004D6002">
        <w:rPr>
          <w:rFonts w:ascii="Times New Roman" w:eastAsia="Arial" w:hAnsi="Times New Roman"/>
          <w:sz w:val="18"/>
          <w:szCs w:val="18"/>
          <w:lang w:eastAsia="fr-FR"/>
        </w:rPr>
        <w:t xml:space="preserve"> (Stephens). 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 xml:space="preserve"> eds, 98.</w:t>
      </w:r>
    </w:p>
    <w:p w14:paraId="6BA67F7D"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 xml:space="preserve">Jimenez R. L., Tebbets J. S., Opit G. P., Gautam S. G., Walse S. S. 2015. Commercial fumigation of stored products with a propylene oxide, carbon dioxide, and sulfuryl fluoride mixture .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etal</w:t>
      </w:r>
      <w:r w:rsidRPr="004D6002">
        <w:rPr>
          <w:rFonts w:ascii="Times New Roman" w:eastAsia="Arial" w:hAnsi="Times New Roman"/>
          <w:sz w:val="18"/>
          <w:szCs w:val="18"/>
          <w:lang w:eastAsia="fr-FR"/>
        </w:rPr>
        <w:t>.eds, 90.</w:t>
      </w:r>
    </w:p>
    <w:p w14:paraId="6D75D6BE" w14:textId="77777777" w:rsidR="00CA5E9C" w:rsidRPr="004D6002" w:rsidRDefault="00CA5E9C" w:rsidP="00CA5E9C">
      <w:pPr>
        <w:pStyle w:val="Refs0"/>
        <w:rPr>
          <w:rFonts w:ascii="Times New Roman" w:eastAsiaTheme="minorEastAsia" w:hAnsi="Times New Roman"/>
          <w:sz w:val="18"/>
          <w:szCs w:val="18"/>
          <w:lang w:eastAsia="ja-JP"/>
        </w:rPr>
      </w:pPr>
      <w:r w:rsidRPr="004D6002">
        <w:rPr>
          <w:rFonts w:ascii="Times New Roman" w:hAnsi="Times New Roman"/>
          <w:sz w:val="18"/>
          <w:szCs w:val="18"/>
        </w:rPr>
        <w:t>Kokalis-Burelle N, 2014.</w:t>
      </w:r>
      <w:r w:rsidRPr="004D6002">
        <w:rPr>
          <w:rFonts w:ascii="Times New Roman" w:hAnsi="Times New Roman"/>
          <w:i/>
          <w:sz w:val="18"/>
          <w:szCs w:val="18"/>
        </w:rPr>
        <w:t>P</w:t>
      </w:r>
      <w:r w:rsidRPr="004D6002">
        <w:rPr>
          <w:rFonts w:ascii="Times New Roman" w:hAnsi="Times New Roman"/>
          <w:i/>
          <w:iCs/>
          <w:sz w:val="18"/>
          <w:szCs w:val="18"/>
        </w:rPr>
        <w:t>asteuria penetrans</w:t>
      </w:r>
      <w:r w:rsidRPr="004D6002">
        <w:rPr>
          <w:rFonts w:ascii="Times New Roman" w:hAnsi="Times New Roman"/>
          <w:sz w:val="18"/>
          <w:szCs w:val="18"/>
        </w:rPr>
        <w:t>for root-knot nematode control in vegetables and ornamentals</w:t>
      </w:r>
      <w:r w:rsidRPr="004D6002">
        <w:rPr>
          <w:rFonts w:ascii="Times New Roman" w:hAnsi="Times New Roman"/>
          <w:b/>
          <w:sz w:val="18"/>
          <w:szCs w:val="18"/>
        </w:rPr>
        <w:t xml:space="preserve">. </w:t>
      </w:r>
      <w:r w:rsidRPr="004D6002">
        <w:rPr>
          <w:rFonts w:ascii="Times New Roman" w:hAnsi="Times New Roman"/>
          <w:sz w:val="18"/>
          <w:szCs w:val="18"/>
        </w:rPr>
        <w:t xml:space="preserve">In: Obenauf G, ed, Proc. Ann. Int. Res. Conf. on Methyl Bromide Alternatives and Emission Reductions, </w:t>
      </w:r>
      <w:r w:rsidRPr="004D6002">
        <w:rPr>
          <w:rFonts w:ascii="Times New Roman" w:eastAsiaTheme="minorEastAsia" w:hAnsi="Times New Roman"/>
          <w:sz w:val="18"/>
          <w:szCs w:val="18"/>
          <w:lang w:eastAsia="ja-JP"/>
        </w:rPr>
        <w:t>4-6 November in Orlando, Fl., USA,  21-1 - 21-2.</w:t>
      </w:r>
    </w:p>
    <w:p w14:paraId="5CBC2C6F" w14:textId="77777777" w:rsidR="00CA5E9C" w:rsidRPr="004D6002" w:rsidRDefault="00CA5E9C" w:rsidP="00CA5E9C">
      <w:pPr>
        <w:pStyle w:val="Refs0"/>
        <w:rPr>
          <w:rFonts w:ascii="Times New Roman" w:hAnsi="Times New Roman"/>
          <w:sz w:val="18"/>
          <w:szCs w:val="18"/>
        </w:rPr>
      </w:pPr>
      <w:r w:rsidRPr="004D6002">
        <w:rPr>
          <w:rFonts w:ascii="Times New Roman" w:eastAsia="Arial" w:hAnsi="Times New Roman"/>
          <w:sz w:val="18"/>
          <w:szCs w:val="18"/>
          <w:lang w:eastAsia="fr-FR"/>
        </w:rPr>
        <w:t xml:space="preserve">Konemann C. E., Opit G. P., Bajracharya N. S., Shakya K. 2015. Levels of phosphine resistance in rusty grain beetles, </w:t>
      </w:r>
      <w:r w:rsidRPr="004D6002">
        <w:rPr>
          <w:rFonts w:ascii="Times New Roman" w:eastAsia="Arial" w:hAnsi="Times New Roman"/>
          <w:i/>
          <w:sz w:val="18"/>
          <w:szCs w:val="18"/>
          <w:lang w:eastAsia="fr-FR"/>
        </w:rPr>
        <w:t>Cryptolestes ferrugineus</w:t>
      </w:r>
      <w:r w:rsidRPr="004D6002">
        <w:rPr>
          <w:rFonts w:ascii="Times New Roman" w:eastAsia="Arial" w:hAnsi="Times New Roman"/>
          <w:sz w:val="18"/>
          <w:szCs w:val="18"/>
          <w:lang w:eastAsia="fr-FR"/>
        </w:rPr>
        <w:t xml:space="preserve"> (Stephens), (Coleoptera: Laemophloeidae) from stored wheat in Oklahoma. 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99.</w:t>
      </w:r>
    </w:p>
    <w:p w14:paraId="3A019071"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US" w:eastAsia="fr-FR"/>
        </w:rPr>
        <w:t xml:space="preserve">Korunic Z., Almasi R., Andric G, Kljajic P, Fields P. G., Wakil W., Ziaee M. 2015. Variation in the susceptibility of stored-product insects from five locations to two diatomaceous earth based formulations.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134.</w:t>
      </w:r>
    </w:p>
    <w:p w14:paraId="690F0B07" w14:textId="77777777" w:rsidR="00CA5E9C" w:rsidRPr="004D6002" w:rsidRDefault="00CA5E9C" w:rsidP="00CA5E9C">
      <w:pPr>
        <w:pStyle w:val="Refs0"/>
        <w:rPr>
          <w:rFonts w:ascii="Times New Roman" w:hAnsi="Times New Roman"/>
          <w:sz w:val="18"/>
          <w:szCs w:val="18"/>
          <w:lang w:val="en-US" w:eastAsia="fr-FR"/>
        </w:rPr>
      </w:pPr>
      <w:r w:rsidRPr="004D6002">
        <w:rPr>
          <w:rFonts w:ascii="Times New Roman" w:hAnsi="Times New Roman"/>
          <w:sz w:val="18"/>
          <w:szCs w:val="18"/>
          <w:lang w:val="en-US" w:eastAsia="fr-FR"/>
        </w:rPr>
        <w:t xml:space="preserve">Kratky B., Bernabe C.I. 2009.Outdoor growing of clean edible ginger seed by a pot-in-potin- pot sub-irrigation method. </w:t>
      </w:r>
      <w:r w:rsidRPr="004D6002">
        <w:rPr>
          <w:rFonts w:ascii="Times New Roman" w:hAnsi="Times New Roman"/>
          <w:iCs/>
          <w:sz w:val="18"/>
          <w:szCs w:val="18"/>
          <w:lang w:val="en-US" w:eastAsia="fr-FR"/>
        </w:rPr>
        <w:t>Proc. of the 35th National Agricultural Plastics Congress.  American Society for Plasticulture, Bellafonte, PA (published on a CD)</w:t>
      </w:r>
      <w:r w:rsidRPr="004D6002">
        <w:rPr>
          <w:rFonts w:ascii="Times New Roman" w:hAnsi="Times New Roman"/>
          <w:i/>
          <w:iCs/>
          <w:sz w:val="18"/>
          <w:szCs w:val="18"/>
          <w:lang w:val="en-US" w:eastAsia="fr-FR"/>
        </w:rPr>
        <w:t>.</w:t>
      </w:r>
    </w:p>
    <w:p w14:paraId="0126EC6E" w14:textId="77777777" w:rsidR="00CA5E9C" w:rsidRPr="004D6002" w:rsidRDefault="00CA5E9C" w:rsidP="00CA5E9C">
      <w:pPr>
        <w:pStyle w:val="Refs0"/>
        <w:rPr>
          <w:rFonts w:ascii="Times New Roman" w:hAnsi="Times New Roman"/>
          <w:sz w:val="18"/>
          <w:szCs w:val="18"/>
          <w:lang w:val="en-US" w:eastAsia="fr-FR"/>
        </w:rPr>
      </w:pPr>
      <w:r w:rsidRPr="004D6002">
        <w:rPr>
          <w:rFonts w:ascii="Times New Roman" w:hAnsi="Times New Roman"/>
          <w:sz w:val="18"/>
          <w:szCs w:val="18"/>
          <w:lang w:eastAsia="tr-TR"/>
        </w:rPr>
        <w:t xml:space="preserve">Kunwar S., Mathews L. P., Stephen M. O., Laura R., Jimmy R. R. 2015. </w:t>
      </w:r>
      <w:r w:rsidRPr="004D6002">
        <w:rPr>
          <w:rFonts w:ascii="Times New Roman" w:hAnsi="Times New Roman"/>
          <w:kern w:val="36"/>
          <w:sz w:val="18"/>
          <w:szCs w:val="18"/>
          <w:lang w:eastAsia="tr-TR"/>
        </w:rPr>
        <w:t xml:space="preserve">Grafting using rootstocks with resistance to </w:t>
      </w:r>
      <w:r w:rsidRPr="004D6002">
        <w:rPr>
          <w:rFonts w:ascii="Times New Roman" w:hAnsi="Times New Roman"/>
          <w:i/>
          <w:iCs/>
          <w:kern w:val="36"/>
          <w:sz w:val="18"/>
          <w:szCs w:val="18"/>
          <w:lang w:eastAsia="tr-TR"/>
        </w:rPr>
        <w:t xml:space="preserve">Ralstonia solanacearum </w:t>
      </w:r>
      <w:r w:rsidRPr="004D6002">
        <w:rPr>
          <w:rFonts w:ascii="Times New Roman" w:hAnsi="Times New Roman"/>
          <w:kern w:val="36"/>
          <w:sz w:val="18"/>
          <w:szCs w:val="18"/>
          <w:lang w:eastAsia="tr-TR"/>
        </w:rPr>
        <w:t xml:space="preserve">against </w:t>
      </w:r>
      <w:r w:rsidRPr="004D6002">
        <w:rPr>
          <w:rFonts w:ascii="Times New Roman" w:hAnsi="Times New Roman"/>
          <w:i/>
          <w:iCs/>
          <w:kern w:val="36"/>
          <w:sz w:val="18"/>
          <w:szCs w:val="18"/>
          <w:lang w:eastAsia="tr-TR"/>
        </w:rPr>
        <w:t>Meloidogyne incognita</w:t>
      </w:r>
      <w:r w:rsidRPr="004D6002">
        <w:rPr>
          <w:rFonts w:ascii="Times New Roman" w:hAnsi="Times New Roman"/>
          <w:kern w:val="36"/>
          <w:sz w:val="18"/>
          <w:szCs w:val="18"/>
          <w:lang w:eastAsia="tr-TR"/>
        </w:rPr>
        <w:t xml:space="preserve"> in tomato production. </w:t>
      </w:r>
      <w:r w:rsidRPr="004D6002">
        <w:rPr>
          <w:rFonts w:ascii="Times New Roman" w:hAnsi="Times New Roman"/>
          <w:sz w:val="18"/>
          <w:szCs w:val="18"/>
          <w:lang w:eastAsia="tr-TR"/>
        </w:rPr>
        <w:t>Plant Disease 99, 119-124.</w:t>
      </w:r>
    </w:p>
    <w:p w14:paraId="4D48E61E" w14:textId="77777777" w:rsidR="00CA5E9C" w:rsidRPr="004D6002" w:rsidRDefault="00CA5E9C" w:rsidP="00CA5E9C">
      <w:pPr>
        <w:pStyle w:val="Refs0"/>
        <w:rPr>
          <w:rFonts w:ascii="Times New Roman" w:hAnsi="Times New Roman"/>
          <w:sz w:val="18"/>
          <w:szCs w:val="18"/>
          <w:lang w:val="en-US"/>
        </w:rPr>
      </w:pPr>
      <w:r w:rsidRPr="004D6002">
        <w:rPr>
          <w:rFonts w:ascii="Times New Roman" w:hAnsi="Times New Roman"/>
          <w:sz w:val="18"/>
          <w:szCs w:val="18"/>
          <w:lang w:val="en-US"/>
        </w:rPr>
        <w:t xml:space="preserve">Loganathan M., Garg R., Venkataravanappa V., Saha S.,  Rai A.B., 2014. </w:t>
      </w:r>
      <w:r w:rsidRPr="004D6002">
        <w:rPr>
          <w:rFonts w:ascii="Times New Roman" w:hAnsi="Times New Roman"/>
          <w:sz w:val="18"/>
          <w:szCs w:val="18"/>
        </w:rPr>
        <w:t xml:space="preserve">Plant growth promoting rhizobacteria (PGPR) induces resistance against Fusarium wilt and improves lycopene content and texture in tomato. </w:t>
      </w:r>
      <w:r w:rsidRPr="004D6002">
        <w:rPr>
          <w:rFonts w:ascii="Times New Roman" w:hAnsi="Times New Roman"/>
          <w:sz w:val="18"/>
          <w:szCs w:val="18"/>
          <w:lang w:val="en-US"/>
        </w:rPr>
        <w:t>Afr. J. Microbiol. Res., 8 (11), 1105–1111.</w:t>
      </w:r>
    </w:p>
    <w:p w14:paraId="00B0E28C" w14:textId="77777777" w:rsidR="00CA5E9C" w:rsidRPr="004D6002" w:rsidRDefault="00CA5E9C" w:rsidP="00CA5E9C">
      <w:pPr>
        <w:pStyle w:val="Refs0"/>
        <w:rPr>
          <w:rFonts w:ascii="Times New Roman" w:eastAsia="Arial" w:hAnsi="Times New Roman"/>
          <w:sz w:val="18"/>
          <w:szCs w:val="18"/>
          <w:lang w:eastAsia="fr-FR"/>
        </w:rPr>
      </w:pPr>
      <w:r w:rsidRPr="004D6002">
        <w:rPr>
          <w:rFonts w:ascii="Times New Roman" w:hAnsi="Times New Roman"/>
          <w:sz w:val="18"/>
          <w:szCs w:val="18"/>
          <w:lang w:val="en-US" w:eastAsia="fr-FR"/>
        </w:rPr>
        <w:t xml:space="preserve">Loganathan M., S. Prabakar S, K. Alagusundaram 2015.Determination of temperature-time combination for the control of </w:t>
      </w:r>
      <w:r w:rsidRPr="004D6002">
        <w:rPr>
          <w:rFonts w:ascii="Times New Roman" w:hAnsi="Times New Roman"/>
          <w:i/>
          <w:sz w:val="18"/>
          <w:szCs w:val="18"/>
          <w:lang w:val="en-US" w:eastAsia="fr-FR"/>
        </w:rPr>
        <w:t>Callosobruchus maculatus</w:t>
      </w:r>
      <w:r w:rsidRPr="004D6002">
        <w:rPr>
          <w:rFonts w:ascii="Times New Roman" w:hAnsi="Times New Roman"/>
          <w:sz w:val="18"/>
          <w:szCs w:val="18"/>
          <w:lang w:val="en-US" w:eastAsia="fr-FR"/>
        </w:rPr>
        <w:t xml:space="preserve"> in pigeonpea.</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 eds, 56.</w:t>
      </w:r>
    </w:p>
    <w:p w14:paraId="1CEFC50A"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US" w:eastAsia="en-US"/>
        </w:rPr>
        <w:t xml:space="preserve">Mahmudi I.R. 2014. Controlled atmosphere In: Anonymous 2014, Proceedings of the </w:t>
      </w:r>
      <w:r w:rsidRPr="004D6002">
        <w:rPr>
          <w:rFonts w:ascii="Times New Roman" w:hAnsi="Times New Roman"/>
          <w:sz w:val="18"/>
          <w:szCs w:val="18"/>
        </w:rPr>
        <w:t>Methyl Bromide Alternatives Conference in Surabaya, Indonesia, 2014, 10.</w:t>
      </w:r>
    </w:p>
    <w:p w14:paraId="3566E29B" w14:textId="77777777" w:rsidR="00CA5E9C" w:rsidRPr="004D6002" w:rsidRDefault="00CA5E9C" w:rsidP="00CA5E9C">
      <w:pPr>
        <w:pStyle w:val="Refs0"/>
        <w:rPr>
          <w:rFonts w:ascii="Times New Roman" w:hAnsi="Times New Roman"/>
          <w:sz w:val="18"/>
          <w:szCs w:val="18"/>
          <w:lang w:val="en-US" w:eastAsia="fr-FR"/>
        </w:rPr>
      </w:pPr>
      <w:r w:rsidRPr="004D6002">
        <w:rPr>
          <w:rFonts w:ascii="Times New Roman" w:hAnsi="Times New Roman"/>
          <w:sz w:val="18"/>
          <w:szCs w:val="18"/>
          <w:lang w:val="en-US" w:eastAsia="fr-FR"/>
        </w:rPr>
        <w:t xml:space="preserve">MBTOC 2015. Methyl Bromide Technical Option Committee. 2014 Assessment Report, UNEP, Nairobi, 278 pp, </w:t>
      </w:r>
      <w:hyperlink r:id="rId25" w:history="1">
        <w:r w:rsidRPr="004D6002">
          <w:rPr>
            <w:rStyle w:val="Hyperlink"/>
            <w:rFonts w:ascii="Times New Roman" w:hAnsi="Times New Roman"/>
            <w:sz w:val="18"/>
            <w:szCs w:val="18"/>
          </w:rPr>
          <w:t>www.unep.org/ozone</w:t>
        </w:r>
      </w:hyperlink>
      <w:r w:rsidRPr="004D6002">
        <w:rPr>
          <w:rFonts w:ascii="Times New Roman" w:hAnsi="Times New Roman"/>
          <w:sz w:val="18"/>
          <w:szCs w:val="18"/>
        </w:rPr>
        <w:t xml:space="preserve"> </w:t>
      </w:r>
      <w:r w:rsidRPr="004D6002">
        <w:rPr>
          <w:rStyle w:val="Hyperlink"/>
          <w:rFonts w:ascii="Times New Roman" w:hAnsi="Times New Roman"/>
          <w:sz w:val="18"/>
          <w:szCs w:val="18"/>
        </w:rPr>
        <w:t xml:space="preserve">. </w:t>
      </w:r>
    </w:p>
    <w:p w14:paraId="47102EB6"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 xml:space="preserve">Mendez A., Ryder S. 2015. Using risk zones in museums as part of an IPM program.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122.</w:t>
      </w:r>
    </w:p>
    <w:p w14:paraId="52DCC88B" w14:textId="77777777" w:rsidR="00CA5E9C" w:rsidRPr="004D6002" w:rsidRDefault="00CA5E9C" w:rsidP="00CA5E9C">
      <w:pPr>
        <w:pStyle w:val="Refs0"/>
        <w:rPr>
          <w:rFonts w:ascii="Times New Roman" w:eastAsia="Arial" w:hAnsi="Times New Roman"/>
          <w:sz w:val="18"/>
          <w:szCs w:val="18"/>
          <w:lang w:val="en-US" w:eastAsia="fr-FR"/>
        </w:rPr>
      </w:pPr>
      <w:r w:rsidRPr="004D6002">
        <w:rPr>
          <w:rFonts w:ascii="Times New Roman" w:hAnsi="Times New Roman"/>
          <w:sz w:val="18"/>
          <w:szCs w:val="18"/>
          <w:lang w:val="en-US" w:eastAsia="fr-FR"/>
        </w:rPr>
        <w:t>Meszka B., Malus E. 2014. Effects of soil disinfection on health status, growth and yield of strawberry stock plants . C</w:t>
      </w:r>
      <w:r w:rsidRPr="004D6002">
        <w:rPr>
          <w:rFonts w:ascii="Times New Roman" w:eastAsia="Arial" w:hAnsi="Times New Roman"/>
          <w:sz w:val="18"/>
          <w:szCs w:val="18"/>
          <w:lang w:val="en-US" w:eastAsia="fr-FR"/>
        </w:rPr>
        <w:t>rop Protection 63,113-119.</w:t>
      </w:r>
    </w:p>
    <w:p w14:paraId="7B0660D2"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Momma N., Kobara Y. 2014.   Development of a new soil disinfestation which works under low temperature.  In: Obenauf G. ed, Proceedings of the Annual International Research Conference on Methyl Bromide Alternatives and Emissions Reductions, 4-6 November   in Orlando, Fl., USA, 54-1, 54-4.</w:t>
      </w:r>
    </w:p>
    <w:p w14:paraId="3EBD60CF" w14:textId="77777777" w:rsidR="00CA5E9C" w:rsidRPr="004D6002" w:rsidRDefault="00CA5E9C" w:rsidP="00CA5E9C">
      <w:pPr>
        <w:pStyle w:val="Refs0"/>
        <w:rPr>
          <w:rFonts w:ascii="Times New Roman" w:eastAsia="Arial" w:hAnsi="Times New Roman"/>
          <w:sz w:val="18"/>
          <w:szCs w:val="18"/>
          <w:lang w:eastAsia="fr-FR"/>
        </w:rPr>
      </w:pPr>
      <w:r w:rsidRPr="004D6002">
        <w:rPr>
          <w:rFonts w:ascii="Times New Roman" w:hAnsi="Times New Roman"/>
          <w:sz w:val="18"/>
          <w:szCs w:val="18"/>
          <w:lang w:val="en-US" w:eastAsia="fr-FR"/>
        </w:rPr>
        <w:t>Mueller D., Swords P., Vanryckeghem A. 2015. The FAST system new technology for fumigant disposal and scrubbing of fumigants.</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2015, 89.</w:t>
      </w:r>
    </w:p>
    <w:p w14:paraId="0237BD3E" w14:textId="77777777" w:rsidR="00CA5E9C" w:rsidRPr="004D6002" w:rsidRDefault="00CA5E9C" w:rsidP="00CA5E9C">
      <w:pPr>
        <w:pStyle w:val="Refs0"/>
        <w:rPr>
          <w:rFonts w:ascii="Times New Roman" w:eastAsia="Arial" w:hAnsi="Times New Roman"/>
          <w:sz w:val="18"/>
          <w:szCs w:val="18"/>
          <w:lang w:eastAsia="fr-FR"/>
        </w:rPr>
      </w:pPr>
      <w:r w:rsidRPr="004D6002">
        <w:rPr>
          <w:rFonts w:ascii="Times New Roman" w:hAnsi="Times New Roman"/>
          <w:sz w:val="18"/>
          <w:szCs w:val="18"/>
        </w:rPr>
        <w:t xml:space="preserve">Murdock L. L. 2015. Purdue Improved Crop Storage (PICS) – A simple accessible, low-cost, locally manufactured hermetic storage technology for low-resource people .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79.</w:t>
      </w:r>
    </w:p>
    <w:p w14:paraId="2F63B769" w14:textId="77777777" w:rsidR="00CA5E9C" w:rsidRPr="004D6002" w:rsidRDefault="00CA5E9C" w:rsidP="00CA5E9C">
      <w:pPr>
        <w:pStyle w:val="Refs0"/>
        <w:rPr>
          <w:rFonts w:ascii="Times New Roman" w:eastAsia="Arial" w:hAnsi="Times New Roman"/>
          <w:sz w:val="18"/>
          <w:szCs w:val="18"/>
          <w:lang w:val="en-US" w:eastAsia="fr-FR"/>
        </w:rPr>
      </w:pPr>
      <w:r w:rsidRPr="004D6002">
        <w:rPr>
          <w:rFonts w:ascii="Times New Roman" w:hAnsi="Times New Roman"/>
          <w:color w:val="000000"/>
          <w:sz w:val="18"/>
          <w:szCs w:val="18"/>
          <w:lang w:val="en-GB"/>
        </w:rPr>
        <w:lastRenderedPageBreak/>
        <w:t xml:space="preserve">Myers S. W. and Ghimire M.N. 2014. Evaluation of sulfuryl fluoride fumigation as a quarantine treatment for khapra beetle, </w:t>
      </w:r>
      <w:r w:rsidRPr="004D6002">
        <w:rPr>
          <w:rFonts w:ascii="Times New Roman" w:hAnsi="Times New Roman"/>
          <w:i/>
          <w:color w:val="000000"/>
          <w:sz w:val="18"/>
          <w:szCs w:val="18"/>
          <w:lang w:val="en-GB"/>
        </w:rPr>
        <w:t>Trogoderma granarium</w:t>
      </w:r>
      <w:r w:rsidRPr="004D6002">
        <w:rPr>
          <w:rFonts w:ascii="Times New Roman" w:hAnsi="Times New Roman"/>
          <w:color w:val="000000"/>
          <w:sz w:val="18"/>
          <w:szCs w:val="18"/>
          <w:lang w:val="en-GB"/>
        </w:rPr>
        <w:t xml:space="preserve">. In: Arthur </w:t>
      </w:r>
      <w:r w:rsidRPr="004D6002">
        <w:rPr>
          <w:rFonts w:ascii="Times New Roman" w:hAnsi="Times New Roman"/>
          <w:i/>
          <w:iCs/>
          <w:color w:val="000000"/>
          <w:sz w:val="18"/>
          <w:szCs w:val="18"/>
          <w:lang w:val="en-GB"/>
        </w:rPr>
        <w:t>et al</w:t>
      </w:r>
      <w:r w:rsidRPr="004D6002">
        <w:rPr>
          <w:rFonts w:ascii="Times New Roman" w:hAnsi="Times New Roman"/>
          <w:color w:val="000000"/>
          <w:sz w:val="18"/>
          <w:szCs w:val="18"/>
          <w:lang w:val="en-GB"/>
        </w:rPr>
        <w:t>. eds, p.162.</w:t>
      </w:r>
    </w:p>
    <w:p w14:paraId="1F80005B"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 xml:space="preserve">Navarro S. 2015 The biological and physical aspects of hermetic storage.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 eds, 81.</w:t>
      </w:r>
    </w:p>
    <w:p w14:paraId="0C9A58EF" w14:textId="77777777" w:rsidR="00CA5E9C" w:rsidRPr="004D6002" w:rsidRDefault="00CA5E9C" w:rsidP="00CA5E9C">
      <w:pPr>
        <w:pStyle w:val="Refs0"/>
        <w:rPr>
          <w:rFonts w:ascii="Times New Roman" w:hAnsi="Times New Roman"/>
          <w:sz w:val="18"/>
          <w:szCs w:val="18"/>
          <w:lang w:val="en-US"/>
        </w:rPr>
      </w:pPr>
      <w:r w:rsidRPr="004D6002">
        <w:rPr>
          <w:rFonts w:ascii="Times New Roman" w:hAnsi="Times New Roman"/>
          <w:sz w:val="18"/>
          <w:szCs w:val="18"/>
          <w:lang w:val="en-GB"/>
        </w:rPr>
        <w:t>Nessie D. L., Rama D. N.</w:t>
      </w:r>
      <w:r w:rsidRPr="004D6002">
        <w:rPr>
          <w:rFonts w:ascii="Times New Roman" w:hAnsi="Times New Roman"/>
          <w:sz w:val="18"/>
          <w:szCs w:val="18"/>
        </w:rPr>
        <w:t xml:space="preserve">, Waceke J. W., John W. K., Brian R. K., 2015. Integrated management of root-knot nematodes in a tomato-maize crop system using the biocontrol fungus </w:t>
      </w:r>
      <w:r w:rsidRPr="004D6002">
        <w:rPr>
          <w:rFonts w:ascii="Times New Roman" w:hAnsi="Times New Roman"/>
          <w:i/>
          <w:iCs/>
          <w:sz w:val="18"/>
          <w:szCs w:val="18"/>
        </w:rPr>
        <w:t>Pochonia clamydosporia.</w:t>
      </w:r>
      <w:r w:rsidRPr="004D6002">
        <w:rPr>
          <w:rFonts w:ascii="Times New Roman" w:hAnsi="Times New Roman"/>
          <w:iCs/>
          <w:snapToGrid w:val="0"/>
          <w:sz w:val="18"/>
          <w:szCs w:val="18"/>
          <w:lang w:val="en-US"/>
        </w:rPr>
        <w:t>Crop Protection71, 45-50.</w:t>
      </w:r>
    </w:p>
    <w:p w14:paraId="1852934E"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US" w:eastAsia="en-US"/>
        </w:rPr>
        <w:t>Nordiko, 2014.</w:t>
      </w:r>
      <w:r w:rsidRPr="004D6002">
        <w:rPr>
          <w:rFonts w:ascii="Times New Roman" w:hAnsi="Times New Roman"/>
          <w:sz w:val="18"/>
          <w:szCs w:val="18"/>
        </w:rPr>
        <w:t>Fumigation recapture technology.In: Anonymous 2014, Proceedings of the Methyl Bromide Alternatives Conference in Surabaya, Indonesia, 2014, 19.</w:t>
      </w:r>
    </w:p>
    <w:p w14:paraId="32E9DFF1" w14:textId="77777777" w:rsidR="00CA5E9C" w:rsidRPr="004D6002" w:rsidRDefault="00CA5E9C" w:rsidP="00CA5E9C">
      <w:pPr>
        <w:pStyle w:val="Refs0"/>
        <w:rPr>
          <w:rFonts w:ascii="Times New Roman" w:hAnsi="Times New Roman"/>
          <w:sz w:val="18"/>
          <w:szCs w:val="18"/>
          <w:lang w:val="fr-FR"/>
        </w:rPr>
      </w:pPr>
      <w:r w:rsidRPr="004D6002">
        <w:rPr>
          <w:rFonts w:ascii="Times New Roman" w:hAnsi="Times New Roman"/>
          <w:sz w:val="18"/>
          <w:szCs w:val="18"/>
          <w:lang w:val="fr-FR"/>
        </w:rPr>
        <w:t xml:space="preserve">ONSSA 2015. Homologation des Intrants Chimiques, </w:t>
      </w:r>
      <w:hyperlink r:id="rId26" w:history="1">
        <w:r w:rsidRPr="004D6002">
          <w:rPr>
            <w:rStyle w:val="Hyperlink"/>
            <w:rFonts w:ascii="Times New Roman" w:hAnsi="Times New Roman"/>
            <w:sz w:val="18"/>
            <w:szCs w:val="18"/>
            <w:lang w:val="fr-FR"/>
          </w:rPr>
          <w:t>http://eservice.onssa.gov.ma/CPUA.aspx</w:t>
        </w:r>
      </w:hyperlink>
      <w:r w:rsidRPr="004D6002">
        <w:rPr>
          <w:rFonts w:ascii="Times New Roman" w:hAnsi="Times New Roman"/>
          <w:sz w:val="18"/>
          <w:szCs w:val="18"/>
          <w:lang w:val="fr-FR"/>
        </w:rPr>
        <w:t>.</w:t>
      </w:r>
    </w:p>
    <w:p w14:paraId="5140FAC4"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US" w:eastAsia="fr-FR"/>
        </w:rPr>
        <w:t xml:space="preserve">Paret M. L., Cabos R., Kratky B. A.,  Alvarez A. M. 2010.Effect of plant essential oils on </w:t>
      </w:r>
      <w:r w:rsidRPr="004D6002">
        <w:rPr>
          <w:rFonts w:ascii="Times New Roman" w:hAnsi="Times New Roman"/>
          <w:i/>
          <w:iCs/>
          <w:sz w:val="18"/>
          <w:szCs w:val="18"/>
          <w:lang w:val="en-US" w:eastAsia="fr-FR"/>
        </w:rPr>
        <w:t xml:space="preserve">Ralstonia solanacearum </w:t>
      </w:r>
      <w:r w:rsidRPr="004D6002">
        <w:rPr>
          <w:rFonts w:ascii="Times New Roman" w:hAnsi="Times New Roman"/>
          <w:sz w:val="18"/>
          <w:szCs w:val="18"/>
          <w:lang w:val="en-US" w:eastAsia="fr-FR"/>
        </w:rPr>
        <w:t>race 4 and bacterial wilt of edible ginger. Plant Dis. 94,521-527.</w:t>
      </w:r>
      <w:r w:rsidRPr="004D6002">
        <w:rPr>
          <w:rFonts w:ascii="Times New Roman" w:hAnsi="Times New Roman"/>
          <w:sz w:val="18"/>
          <w:szCs w:val="18"/>
        </w:rPr>
        <w:t xml:space="preserve"> </w:t>
      </w:r>
    </w:p>
    <w:p w14:paraId="44E0FF5A" w14:textId="77777777" w:rsidR="00CA5E9C" w:rsidRPr="004D6002" w:rsidRDefault="00CA5E9C" w:rsidP="00CA5E9C">
      <w:pPr>
        <w:pStyle w:val="Refs0"/>
        <w:rPr>
          <w:rFonts w:ascii="Times New Roman" w:hAnsi="Times New Roman"/>
          <w:b/>
          <w:bCs/>
          <w:sz w:val="18"/>
          <w:szCs w:val="18"/>
          <w:lang w:val="en-US"/>
        </w:rPr>
      </w:pPr>
      <w:r w:rsidRPr="004D6002">
        <w:rPr>
          <w:rFonts w:ascii="Times New Roman" w:hAnsi="Times New Roman"/>
          <w:sz w:val="18"/>
          <w:szCs w:val="18"/>
        </w:rPr>
        <w:t>Penella, C., Nebauer, S.G., Qui˜nonesa, A., Bautista,  A.S., López-Galarza, S. ve Calatayud, A. 2015. Some rootstocks improve pepper tolerance to mild salinity through ionic regulation Plant Science 230 (2015) 12–22</w:t>
      </w:r>
    </w:p>
    <w:p w14:paraId="06B10AD9" w14:textId="77777777" w:rsidR="00CA5E9C" w:rsidRPr="004D6002" w:rsidRDefault="00CA5E9C" w:rsidP="00CA5E9C">
      <w:pPr>
        <w:pStyle w:val="Refs0"/>
        <w:rPr>
          <w:rFonts w:ascii="Times New Roman" w:eastAsia="Arial" w:hAnsi="Times New Roman"/>
          <w:sz w:val="18"/>
          <w:szCs w:val="18"/>
          <w:lang w:eastAsia="fr-FR"/>
        </w:rPr>
      </w:pPr>
      <w:r w:rsidRPr="004D6002">
        <w:rPr>
          <w:rFonts w:ascii="Times New Roman" w:hAnsi="Times New Roman"/>
          <w:sz w:val="18"/>
          <w:szCs w:val="18"/>
        </w:rPr>
        <w:t xml:space="preserve">Phillips T.W., Abbar S., Amoah B. 2015.Research toward developing IPM systems for the ham mite, </w:t>
      </w:r>
      <w:r w:rsidRPr="004D6002">
        <w:rPr>
          <w:rFonts w:ascii="Times New Roman" w:hAnsi="Times New Roman"/>
          <w:i/>
          <w:sz w:val="18"/>
          <w:szCs w:val="18"/>
        </w:rPr>
        <w:t>Tyrophagus putrescentiae</w:t>
      </w:r>
      <w:r w:rsidRPr="004D6002">
        <w:rPr>
          <w:rFonts w:ascii="Times New Roman" w:hAnsi="Times New Roman"/>
          <w:sz w:val="18"/>
          <w:szCs w:val="18"/>
        </w:rPr>
        <w:t xml:space="preserve">, following the phase-out of methyl bromide.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41.</w:t>
      </w:r>
    </w:p>
    <w:p w14:paraId="50F9D091" w14:textId="77777777" w:rsidR="00CA5E9C" w:rsidRPr="004D6002" w:rsidRDefault="00CA5E9C" w:rsidP="00CA5E9C">
      <w:pPr>
        <w:pStyle w:val="Refs0"/>
        <w:rPr>
          <w:rFonts w:ascii="Times New Roman" w:hAnsi="Times New Roman"/>
          <w:sz w:val="18"/>
          <w:szCs w:val="18"/>
          <w:lang w:val="tr-TR" w:eastAsia="fr-FR"/>
        </w:rPr>
      </w:pPr>
      <w:r w:rsidRPr="004D6002">
        <w:rPr>
          <w:rFonts w:ascii="Times New Roman" w:hAnsi="Times New Roman"/>
          <w:sz w:val="18"/>
          <w:szCs w:val="18"/>
          <w:lang w:val="en-US" w:eastAsia="fr-FR"/>
        </w:rPr>
        <w:t xml:space="preserve">Pizano M. 2014. </w:t>
      </w:r>
      <w:r w:rsidRPr="004D6002">
        <w:rPr>
          <w:rFonts w:ascii="Times New Roman" w:hAnsi="Times New Roman"/>
          <w:sz w:val="18"/>
          <w:szCs w:val="18"/>
          <w:lang w:val="tr-TR" w:eastAsia="fr-FR"/>
        </w:rPr>
        <w:t>Phasing-out Methyl Bromide in Developing Countries. A Success Story and its Challenges. UNEP, 54 pp.</w:t>
      </w:r>
    </w:p>
    <w:p w14:paraId="1AC32B30"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de-DE"/>
        </w:rPr>
        <w:t xml:space="preserve">Prasantha B. D., R., Prasadi V. P. N., Wimalasiri K. M. S. 2015. </w:t>
      </w:r>
      <w:r w:rsidRPr="004D6002">
        <w:rPr>
          <w:rFonts w:ascii="Times New Roman" w:hAnsi="Times New Roman"/>
          <w:sz w:val="18"/>
          <w:szCs w:val="18"/>
        </w:rPr>
        <w:t xml:space="preserve">Effect of hermetic storage end-use quality of mung bean.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85.</w:t>
      </w:r>
    </w:p>
    <w:p w14:paraId="4C5C821D"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US" w:eastAsia="fr-FR"/>
        </w:rPr>
        <w:t>Ren Y. L., Agarwal M., Lee B. H., Thalavaisundaram S. 2015. Comparison of toxicity between ethanedinitrile (EDN) and methyl bromide (MB) to five species of stored product insects.</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87.</w:t>
      </w:r>
    </w:p>
    <w:p w14:paraId="13F87CC9" w14:textId="77777777" w:rsidR="00CA5E9C" w:rsidRPr="004D6002" w:rsidRDefault="00CA5E9C" w:rsidP="00CA5E9C">
      <w:pPr>
        <w:pStyle w:val="Refs0"/>
        <w:rPr>
          <w:rFonts w:ascii="Times New Roman" w:hAnsi="Times New Roman"/>
          <w:color w:val="403838"/>
          <w:sz w:val="18"/>
          <w:szCs w:val="18"/>
          <w:u w:val="single"/>
          <w:lang w:eastAsia="tr-TR"/>
        </w:rPr>
      </w:pPr>
      <w:r w:rsidRPr="004D6002">
        <w:rPr>
          <w:rFonts w:ascii="Times New Roman" w:eastAsia="Arial" w:hAnsi="Times New Roman"/>
          <w:sz w:val="18"/>
          <w:szCs w:val="18"/>
          <w:lang w:eastAsia="fr-FR"/>
        </w:rPr>
        <w:t xml:space="preserve">Rogers M, Horn F., Horn P., Horn T. 2015.Fumigation of non gas-tight buildings and horizontal structures using continuous phosphine injection. 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 xml:space="preserve"> eds, 92.</w:t>
      </w:r>
      <w:r w:rsidRPr="004D6002">
        <w:rPr>
          <w:rFonts w:ascii="Times New Roman" w:hAnsi="Times New Roman"/>
          <w:color w:val="403838"/>
          <w:sz w:val="18"/>
          <w:szCs w:val="18"/>
          <w:u w:val="single"/>
          <w:lang w:eastAsia="tr-TR"/>
        </w:rPr>
        <w:t xml:space="preserve"> </w:t>
      </w:r>
    </w:p>
    <w:p w14:paraId="3ED7F43A" w14:textId="77777777" w:rsidR="00CA5E9C" w:rsidRPr="004D6002" w:rsidRDefault="00393F63" w:rsidP="00CA5E9C">
      <w:pPr>
        <w:pStyle w:val="Refs0"/>
        <w:rPr>
          <w:rFonts w:ascii="Times New Roman" w:hAnsi="Times New Roman"/>
          <w:bCs/>
          <w:color w:val="403838"/>
          <w:kern w:val="36"/>
          <w:sz w:val="18"/>
          <w:szCs w:val="18"/>
          <w:lang w:eastAsia="tr-TR"/>
        </w:rPr>
      </w:pPr>
      <w:hyperlink r:id="rId27" w:history="1">
        <w:r w:rsidR="00CA5E9C" w:rsidRPr="004D6002">
          <w:rPr>
            <w:rFonts w:ascii="Times New Roman" w:hAnsi="Times New Roman"/>
            <w:sz w:val="18"/>
            <w:szCs w:val="18"/>
            <w:lang w:eastAsia="tr-TR"/>
          </w:rPr>
          <w:t>Rysin</w:t>
        </w:r>
      </w:hyperlink>
      <w:r w:rsidR="00CA5E9C" w:rsidRPr="004D6002">
        <w:rPr>
          <w:rFonts w:ascii="Times New Roman" w:hAnsi="Times New Roman"/>
          <w:sz w:val="18"/>
          <w:szCs w:val="18"/>
          <w:lang w:eastAsia="tr-TR"/>
        </w:rPr>
        <w:t xml:space="preserve"> O, and </w:t>
      </w:r>
      <w:hyperlink r:id="rId28" w:history="1">
        <w:r w:rsidR="00CA5E9C" w:rsidRPr="004D6002">
          <w:rPr>
            <w:rFonts w:ascii="Times New Roman" w:hAnsi="Times New Roman"/>
            <w:sz w:val="18"/>
            <w:szCs w:val="18"/>
            <w:lang w:eastAsia="tr-TR"/>
          </w:rPr>
          <w:t xml:space="preserve"> Louws</w:t>
        </w:r>
      </w:hyperlink>
      <w:r w:rsidR="00CA5E9C" w:rsidRPr="004D6002">
        <w:rPr>
          <w:rFonts w:ascii="Times New Roman" w:hAnsi="Times New Roman"/>
          <w:sz w:val="18"/>
          <w:szCs w:val="18"/>
        </w:rPr>
        <w:t>, J K</w:t>
      </w:r>
      <w:r w:rsidR="00CA5E9C" w:rsidRPr="004D6002">
        <w:rPr>
          <w:rFonts w:ascii="Times New Roman" w:hAnsi="Times New Roman"/>
          <w:color w:val="403838"/>
          <w:sz w:val="18"/>
          <w:szCs w:val="18"/>
          <w:lang w:eastAsia="tr-TR"/>
        </w:rPr>
        <w:t xml:space="preserve">. 2015. </w:t>
      </w:r>
      <w:r w:rsidR="00CA5E9C" w:rsidRPr="004D6002">
        <w:rPr>
          <w:rFonts w:ascii="Times New Roman" w:hAnsi="Times New Roman"/>
          <w:bCs/>
          <w:color w:val="403838"/>
          <w:kern w:val="36"/>
          <w:sz w:val="18"/>
          <w:szCs w:val="18"/>
          <w:lang w:eastAsia="tr-TR"/>
        </w:rPr>
        <w:t xml:space="preserve">Decision Tool for Growers to Evaluate Economic Impact of Grafting Technology Adoption: An Application to Open-field Conventional Tomato Production. </w:t>
      </w:r>
      <w:r w:rsidR="00CA5E9C" w:rsidRPr="004D6002">
        <w:rPr>
          <w:rStyle w:val="HTMLCite"/>
          <w:rFonts w:ascii="Times New Roman" w:hAnsi="Times New Roman"/>
          <w:color w:val="403838"/>
          <w:sz w:val="18"/>
          <w:szCs w:val="18"/>
        </w:rPr>
        <w:t>HortTechnology</w:t>
      </w:r>
      <w:r w:rsidR="00CA5E9C" w:rsidRPr="004D6002">
        <w:rPr>
          <w:rStyle w:val="slug-pub-date3"/>
          <w:rFonts w:ascii="Times New Roman" w:hAnsi="Times New Roman"/>
          <w:i/>
          <w:iCs/>
          <w:color w:val="403838"/>
          <w:sz w:val="18"/>
          <w:szCs w:val="18"/>
        </w:rPr>
        <w:t xml:space="preserve"> </w:t>
      </w:r>
      <w:r w:rsidR="00CA5E9C" w:rsidRPr="004D6002">
        <w:rPr>
          <w:rStyle w:val="slug-vol"/>
          <w:rFonts w:ascii="Times New Roman" w:hAnsi="Times New Roman"/>
          <w:iCs/>
          <w:color w:val="403838"/>
          <w:sz w:val="18"/>
          <w:szCs w:val="18"/>
        </w:rPr>
        <w:t>25</w:t>
      </w:r>
      <w:r w:rsidR="004D6002">
        <w:rPr>
          <w:rStyle w:val="slug-issue"/>
          <w:rFonts w:ascii="Times New Roman" w:hAnsi="Times New Roman"/>
          <w:iCs/>
          <w:color w:val="403838"/>
          <w:sz w:val="18"/>
          <w:szCs w:val="18"/>
        </w:rPr>
        <w:t>(</w:t>
      </w:r>
      <w:r w:rsidR="00CA5E9C" w:rsidRPr="004D6002">
        <w:rPr>
          <w:rStyle w:val="slug-issue"/>
          <w:rFonts w:ascii="Times New Roman" w:hAnsi="Times New Roman"/>
          <w:iCs/>
          <w:color w:val="403838"/>
          <w:sz w:val="18"/>
          <w:szCs w:val="18"/>
        </w:rPr>
        <w:t>1</w:t>
      </w:r>
      <w:r w:rsidR="004D6002">
        <w:rPr>
          <w:rStyle w:val="slug-issue"/>
          <w:rFonts w:ascii="Times New Roman" w:hAnsi="Times New Roman"/>
          <w:iCs/>
          <w:color w:val="403838"/>
          <w:sz w:val="18"/>
          <w:szCs w:val="18"/>
        </w:rPr>
        <w:t>):</w:t>
      </w:r>
      <w:r w:rsidR="00CA5E9C" w:rsidRPr="004D6002">
        <w:rPr>
          <w:rStyle w:val="slug-issue"/>
          <w:rFonts w:ascii="Times New Roman" w:hAnsi="Times New Roman"/>
          <w:iCs/>
          <w:color w:val="403838"/>
          <w:sz w:val="18"/>
          <w:szCs w:val="18"/>
        </w:rPr>
        <w:t xml:space="preserve"> </w:t>
      </w:r>
      <w:r w:rsidR="00CA5E9C" w:rsidRPr="004D6002">
        <w:rPr>
          <w:rStyle w:val="slug-pages3"/>
          <w:rFonts w:ascii="Times New Roman" w:hAnsi="Times New Roman"/>
          <w:iCs/>
          <w:color w:val="403838"/>
          <w:sz w:val="18"/>
          <w:szCs w:val="18"/>
        </w:rPr>
        <w:t>132-138</w:t>
      </w:r>
    </w:p>
    <w:p w14:paraId="7DC11A4D"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US" w:eastAsia="en-US"/>
        </w:rPr>
        <w:t>Salazar G. 2014.</w:t>
      </w:r>
      <w:r w:rsidRPr="004D6002">
        <w:rPr>
          <w:rFonts w:ascii="Times New Roman" w:hAnsi="Times New Roman"/>
          <w:sz w:val="18"/>
          <w:szCs w:val="18"/>
          <w:lang w:val="en-US"/>
        </w:rPr>
        <w:t>ECO</w:t>
      </w:r>
      <w:r w:rsidRPr="004D6002">
        <w:rPr>
          <w:rFonts w:ascii="Times New Roman" w:hAnsi="Times New Roman"/>
          <w:sz w:val="18"/>
          <w:szCs w:val="18"/>
          <w:vertAlign w:val="subscript"/>
          <w:lang w:val="en-US"/>
        </w:rPr>
        <w:t>2</w:t>
      </w:r>
      <w:r w:rsidRPr="004D6002">
        <w:rPr>
          <w:rFonts w:ascii="Times New Roman" w:hAnsi="Times New Roman"/>
          <w:sz w:val="18"/>
          <w:szCs w:val="18"/>
          <w:lang w:val="en-US"/>
        </w:rPr>
        <w:t>FUME</w:t>
      </w:r>
      <w:r w:rsidRPr="004D6002">
        <w:rPr>
          <w:rFonts w:ascii="Times New Roman" w:hAnsi="Times New Roman"/>
          <w:sz w:val="18"/>
          <w:szCs w:val="18"/>
          <w:vertAlign w:val="superscript"/>
          <w:lang w:val="en-US" w:eastAsia="en-US"/>
        </w:rPr>
        <w:t>®</w:t>
      </w:r>
      <w:r w:rsidRPr="004D6002">
        <w:rPr>
          <w:rFonts w:ascii="Times New Roman" w:hAnsi="Times New Roman"/>
          <w:sz w:val="18"/>
          <w:szCs w:val="18"/>
          <w:lang w:val="en-US" w:eastAsia="en-US"/>
        </w:rPr>
        <w:t xml:space="preserve"> phosphine fumigant as a primary alternative to methyl bromide for QPS applications. In: Anonymous 2014, Proc</w:t>
      </w:r>
      <w:r w:rsidR="004D6002">
        <w:rPr>
          <w:rFonts w:ascii="Times New Roman" w:hAnsi="Times New Roman"/>
          <w:sz w:val="18"/>
          <w:szCs w:val="18"/>
          <w:lang w:val="en-US" w:eastAsia="en-US"/>
        </w:rPr>
        <w:t>.</w:t>
      </w:r>
      <w:r w:rsidRPr="004D6002">
        <w:rPr>
          <w:rFonts w:ascii="Times New Roman" w:hAnsi="Times New Roman"/>
          <w:sz w:val="18"/>
          <w:szCs w:val="18"/>
          <w:lang w:val="en-US" w:eastAsia="en-US"/>
        </w:rPr>
        <w:t xml:space="preserve"> of the </w:t>
      </w:r>
      <w:r w:rsidRPr="004D6002">
        <w:rPr>
          <w:rFonts w:ascii="Times New Roman" w:hAnsi="Times New Roman"/>
          <w:sz w:val="18"/>
          <w:szCs w:val="18"/>
        </w:rPr>
        <w:t>Methyl Bromide Alts</w:t>
      </w:r>
      <w:r w:rsidR="004D6002">
        <w:rPr>
          <w:rFonts w:ascii="Times New Roman" w:hAnsi="Times New Roman"/>
          <w:sz w:val="18"/>
          <w:szCs w:val="18"/>
        </w:rPr>
        <w:t>.</w:t>
      </w:r>
      <w:r w:rsidRPr="004D6002">
        <w:rPr>
          <w:rFonts w:ascii="Times New Roman" w:hAnsi="Times New Roman"/>
          <w:sz w:val="18"/>
          <w:szCs w:val="18"/>
        </w:rPr>
        <w:t xml:space="preserve"> Conf</w:t>
      </w:r>
      <w:r w:rsidR="004D6002">
        <w:rPr>
          <w:rFonts w:ascii="Times New Roman" w:hAnsi="Times New Roman"/>
          <w:sz w:val="18"/>
          <w:szCs w:val="18"/>
        </w:rPr>
        <w:t>.</w:t>
      </w:r>
      <w:r w:rsidRPr="004D6002">
        <w:rPr>
          <w:rFonts w:ascii="Times New Roman" w:hAnsi="Times New Roman"/>
          <w:sz w:val="18"/>
          <w:szCs w:val="18"/>
        </w:rPr>
        <w:t xml:space="preserve"> in Surabaya, Indonesia, 2014, 21.</w:t>
      </w:r>
    </w:p>
    <w:p w14:paraId="741AF5E1" w14:textId="77777777" w:rsidR="00CA5E9C" w:rsidRPr="004D6002" w:rsidRDefault="00CA5E9C" w:rsidP="00CA5E9C">
      <w:pPr>
        <w:pStyle w:val="Refs0"/>
        <w:rPr>
          <w:rFonts w:ascii="Times New Roman" w:eastAsia="Arial" w:hAnsi="Times New Roman"/>
          <w:sz w:val="18"/>
          <w:szCs w:val="18"/>
          <w:lang w:eastAsia="fr-FR"/>
        </w:rPr>
      </w:pPr>
      <w:r w:rsidRPr="004D6002">
        <w:rPr>
          <w:rFonts w:ascii="Times New Roman" w:hAnsi="Times New Roman"/>
          <w:sz w:val="18"/>
          <w:szCs w:val="18"/>
          <w:lang w:val="de-DE" w:eastAsia="fr-FR"/>
        </w:rPr>
        <w:t xml:space="preserve">Sansur T., Istek S., Ferizli A. G. 2015. </w:t>
      </w:r>
      <w:r w:rsidRPr="004D6002">
        <w:rPr>
          <w:rFonts w:ascii="Times New Roman" w:hAnsi="Times New Roman"/>
          <w:sz w:val="18"/>
          <w:szCs w:val="18"/>
          <w:lang w:val="en-US" w:eastAsia="fr-FR"/>
        </w:rPr>
        <w:t xml:space="preserve">Effectiveness of layer treated wheat with deltamethrin against the lesser grain borer and the granary weevil.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133.</w:t>
      </w:r>
    </w:p>
    <w:p w14:paraId="4957A6F5" w14:textId="77777777" w:rsidR="00CA5E9C" w:rsidRPr="004D6002" w:rsidRDefault="00393F63" w:rsidP="00CA5E9C">
      <w:pPr>
        <w:pStyle w:val="Refs0"/>
        <w:rPr>
          <w:rFonts w:ascii="Times New Roman" w:hAnsi="Times New Roman"/>
          <w:sz w:val="18"/>
          <w:szCs w:val="18"/>
        </w:rPr>
      </w:pPr>
      <w:hyperlink r:id="rId29" w:history="1">
        <w:r w:rsidR="00CA5E9C" w:rsidRPr="004D6002">
          <w:rPr>
            <w:rStyle w:val="Hyperlink"/>
            <w:rFonts w:ascii="Times New Roman" w:hAnsi="Times New Roman"/>
            <w:bCs/>
            <w:sz w:val="18"/>
            <w:szCs w:val="18"/>
          </w:rPr>
          <w:t>Schilling W. 2014. Development of food grade coatings</w:t>
        </w:r>
      </w:hyperlink>
      <w:r w:rsidR="00CA5E9C" w:rsidRPr="004D6002">
        <w:rPr>
          <w:rFonts w:ascii="Times New Roman" w:hAnsi="Times New Roman"/>
          <w:sz w:val="18"/>
          <w:szCs w:val="18"/>
        </w:rPr>
        <w:t xml:space="preserve"> </w:t>
      </w:r>
      <w:hyperlink r:id="rId30" w:history="1">
        <w:r w:rsidR="00CA5E9C" w:rsidRPr="004D6002">
          <w:rPr>
            <w:rStyle w:val="Hyperlink"/>
            <w:rFonts w:ascii="Times New Roman" w:hAnsi="Times New Roman"/>
            <w:bCs/>
            <w:sz w:val="18"/>
            <w:szCs w:val="18"/>
          </w:rPr>
          <w:t>to prevent mite infestation on dry cured ham</w:t>
        </w:r>
      </w:hyperlink>
      <w:r w:rsidR="00CA5E9C" w:rsidRPr="004D6002">
        <w:rPr>
          <w:rStyle w:val="Hyperlink"/>
          <w:rFonts w:ascii="Times New Roman" w:hAnsi="Times New Roman"/>
          <w:bCs/>
          <w:sz w:val="18"/>
          <w:szCs w:val="18"/>
        </w:rPr>
        <w:t>.</w:t>
      </w:r>
      <w:r w:rsidR="00CA5E9C" w:rsidRPr="004D6002">
        <w:rPr>
          <w:rFonts w:ascii="Times New Roman" w:hAnsi="Times New Roman"/>
          <w:sz w:val="18"/>
          <w:szCs w:val="18"/>
        </w:rPr>
        <w:t xml:space="preserve"> In: Obenauf  G., ed, Proceedings of the </w:t>
      </w:r>
      <w:r w:rsidR="00CA5E9C" w:rsidRPr="004D6002">
        <w:rPr>
          <w:rStyle w:val="Strong"/>
          <w:rFonts w:ascii="Times New Roman" w:hAnsi="Times New Roman"/>
          <w:b w:val="0"/>
          <w:sz w:val="18"/>
          <w:szCs w:val="18"/>
        </w:rPr>
        <w:t>Annual International Research Conference on Methyl Bromide Alternatives and Emissions Reductions, 4-6 November 2014 in Orlando, Fl., USA</w:t>
      </w:r>
      <w:r w:rsidR="00CA5E9C" w:rsidRPr="004D6002">
        <w:rPr>
          <w:rStyle w:val="Strong"/>
          <w:rFonts w:ascii="Times New Roman" w:hAnsi="Times New Roman"/>
          <w:b w:val="0"/>
          <w:bCs/>
          <w:sz w:val="18"/>
          <w:szCs w:val="18"/>
        </w:rPr>
        <w:t xml:space="preserve">, </w:t>
      </w:r>
      <w:r w:rsidR="00CA5E9C" w:rsidRPr="004D6002">
        <w:rPr>
          <w:rFonts w:ascii="Times New Roman" w:hAnsi="Times New Roman"/>
          <w:sz w:val="18"/>
          <w:szCs w:val="18"/>
        </w:rPr>
        <w:t>34.</w:t>
      </w:r>
    </w:p>
    <w:p w14:paraId="42ACE656" w14:textId="77777777" w:rsidR="00CA5E9C" w:rsidRPr="004D6002" w:rsidRDefault="00CA5E9C" w:rsidP="00CA5E9C">
      <w:pPr>
        <w:pStyle w:val="Refs0"/>
        <w:rPr>
          <w:rFonts w:ascii="Times New Roman" w:hAnsi="Times New Roman"/>
          <w:sz w:val="18"/>
          <w:szCs w:val="18"/>
          <w:lang w:val="en-US"/>
        </w:rPr>
      </w:pPr>
      <w:r w:rsidRPr="004D6002">
        <w:rPr>
          <w:rFonts w:ascii="Times New Roman" w:hAnsi="Times New Roman"/>
          <w:sz w:val="18"/>
          <w:szCs w:val="18"/>
          <w:lang w:val="en-US"/>
        </w:rPr>
        <w:t>Shennan C., Muramoto J., Zavatta M. 2014.Non-Fumigant approaches for controlling Fusarium wilt and charcoal rot of strawberry.</w:t>
      </w:r>
      <w:r w:rsidRPr="004D6002">
        <w:rPr>
          <w:rFonts w:ascii="Times New Roman" w:hAnsi="Times New Roman"/>
          <w:sz w:val="18"/>
          <w:szCs w:val="18"/>
        </w:rPr>
        <w:t xml:space="preserve">In: Obenauf  G., ed, Proceedings of the </w:t>
      </w:r>
      <w:r w:rsidRPr="004D6002">
        <w:rPr>
          <w:rFonts w:ascii="Times New Roman" w:hAnsi="Times New Roman"/>
          <w:sz w:val="18"/>
          <w:szCs w:val="18"/>
          <w:lang w:val="en-US"/>
        </w:rPr>
        <w:t>Annual International Research Conference on Methyl Bromide Alternatives and Emissions Reductions, 4-6 November  2014 in Orlando, Fl., USA, 11-1 - 11-4.</w:t>
      </w:r>
    </w:p>
    <w:p w14:paraId="7E0D4934"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en-GB"/>
        </w:rPr>
        <w:t xml:space="preserve">Shrestha U., Bruce A., Bonnie H., David O, Butler M., 2014. </w:t>
      </w:r>
      <w:r w:rsidRPr="004D6002">
        <w:rPr>
          <w:rFonts w:ascii="Times New Roman" w:hAnsi="Times New Roman"/>
          <w:sz w:val="18"/>
          <w:szCs w:val="18"/>
        </w:rPr>
        <w:t xml:space="preserve">Optimizing amendment C:N ratio for </w:t>
      </w:r>
      <w:r w:rsidRPr="004D6002">
        <w:rPr>
          <w:rFonts w:ascii="Times New Roman" w:hAnsi="Times New Roman"/>
          <w:i/>
          <w:iCs/>
          <w:sz w:val="18"/>
          <w:szCs w:val="18"/>
        </w:rPr>
        <w:t xml:space="preserve">Fusarium oxysporum </w:t>
      </w:r>
      <w:r w:rsidRPr="004D6002">
        <w:rPr>
          <w:rFonts w:ascii="Times New Roman" w:hAnsi="Times New Roman"/>
          <w:sz w:val="18"/>
          <w:szCs w:val="18"/>
        </w:rPr>
        <w:t xml:space="preserve">f. sp. </w:t>
      </w:r>
      <w:r w:rsidRPr="004D6002">
        <w:rPr>
          <w:rFonts w:ascii="Times New Roman" w:hAnsi="Times New Roman"/>
          <w:i/>
          <w:iCs/>
          <w:sz w:val="18"/>
          <w:szCs w:val="18"/>
        </w:rPr>
        <w:t xml:space="preserve">Lycopersici </w:t>
      </w:r>
      <w:r w:rsidRPr="004D6002">
        <w:rPr>
          <w:rFonts w:ascii="Times New Roman" w:hAnsi="Times New Roman"/>
          <w:sz w:val="18"/>
          <w:szCs w:val="18"/>
        </w:rPr>
        <w:t>suppression under anaerobic soil disinfestations. In: Obenauf G., ed, Proc. Ann. Int. Res. Conf. on Methyl Bromide Alternatives and Emission Reductions,</w:t>
      </w:r>
      <w:r w:rsidRPr="004D6002">
        <w:rPr>
          <w:rFonts w:ascii="Times New Roman" w:eastAsiaTheme="minorEastAsia" w:hAnsi="Times New Roman"/>
          <w:sz w:val="18"/>
          <w:szCs w:val="18"/>
          <w:lang w:eastAsia="ja-JP"/>
        </w:rPr>
        <w:t xml:space="preserve">4-4 November in Orlando, Fl., USA, </w:t>
      </w:r>
      <w:r w:rsidRPr="004D6002">
        <w:rPr>
          <w:rFonts w:ascii="Times New Roman" w:hAnsi="Times New Roman"/>
          <w:sz w:val="18"/>
          <w:szCs w:val="18"/>
        </w:rPr>
        <w:t>53-1 - 53-3.</w:t>
      </w:r>
    </w:p>
    <w:p w14:paraId="5EBE5988"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lang w:val="de-DE"/>
        </w:rPr>
        <w:t xml:space="preserve">Silverman E., James G. D., Kressin J., Louws F. J., Panthee D. 2014.  </w:t>
      </w:r>
      <w:r w:rsidRPr="004D6002">
        <w:rPr>
          <w:rFonts w:ascii="Times New Roman" w:hAnsi="Times New Roman"/>
          <w:sz w:val="18"/>
          <w:szCs w:val="18"/>
        </w:rPr>
        <w:t>Managing bacterial wilt of tomato with grafting in North Carolina . In: Obenauf G., ed, Proceedings of the Annual International Research Conference on Methyl Bromide Alternatives and Emissions Reductions, 4-6 November 2014 in  Orlando, Fl., USA, 50-1 - 50-5.</w:t>
      </w:r>
    </w:p>
    <w:p w14:paraId="477DAA2C"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 xml:space="preserve">Stejskal V., Kocourek V., Aulicky R., Hajslova J. 2015. Insecticide aerosols in a storage IPM: Biological efficacy and residues in air and food.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153.</w:t>
      </w:r>
    </w:p>
    <w:p w14:paraId="3AF625D0" w14:textId="77777777" w:rsidR="00CA5E9C" w:rsidRPr="004D6002" w:rsidRDefault="00CA5E9C" w:rsidP="00CA5E9C">
      <w:pPr>
        <w:pStyle w:val="Refs0"/>
        <w:rPr>
          <w:rFonts w:ascii="Times New Roman" w:hAnsi="Times New Roman"/>
          <w:sz w:val="18"/>
          <w:szCs w:val="18"/>
        </w:rPr>
      </w:pPr>
      <w:r w:rsidRPr="004D6002">
        <w:rPr>
          <w:rFonts w:ascii="Times New Roman" w:hAnsi="Times New Roman"/>
          <w:sz w:val="18"/>
          <w:szCs w:val="18"/>
        </w:rPr>
        <w:t xml:space="preserve">Strang T. 2015.The use of thermal control against insect pests of cultural property.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119.</w:t>
      </w:r>
    </w:p>
    <w:p w14:paraId="10156F83" w14:textId="77777777" w:rsidR="00CA5E9C" w:rsidRPr="004D6002" w:rsidRDefault="00CA5E9C" w:rsidP="00CA5E9C">
      <w:pPr>
        <w:pStyle w:val="Refs0"/>
        <w:rPr>
          <w:rFonts w:ascii="Times New Roman" w:hAnsi="Times New Roman"/>
          <w:sz w:val="18"/>
          <w:szCs w:val="18"/>
          <w:lang w:eastAsia="de-DE"/>
        </w:rPr>
      </w:pPr>
      <w:r w:rsidRPr="004D6002">
        <w:rPr>
          <w:rFonts w:ascii="Times New Roman" w:hAnsi="Times New Roman"/>
          <w:sz w:val="18"/>
          <w:szCs w:val="18"/>
          <w:lang w:val="de-DE" w:eastAsia="de-DE"/>
        </w:rPr>
        <w:lastRenderedPageBreak/>
        <w:t xml:space="preserve">Subramanyam B., Lu J., Sehgal B. 2015. </w:t>
      </w:r>
      <w:r w:rsidRPr="004D6002">
        <w:rPr>
          <w:rFonts w:ascii="Times New Roman" w:hAnsi="Times New Roman"/>
          <w:sz w:val="18"/>
          <w:szCs w:val="18"/>
          <w:lang w:eastAsia="de-DE"/>
        </w:rPr>
        <w:t xml:space="preserve">Laboratory evaluation of a synthetic zeolite against seven stored-grain insect species . </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152.</w:t>
      </w:r>
    </w:p>
    <w:p w14:paraId="2163AAFD" w14:textId="77777777" w:rsidR="00CA5E9C" w:rsidRPr="004D6002" w:rsidRDefault="00CA5E9C" w:rsidP="00CA5E9C">
      <w:pPr>
        <w:pStyle w:val="Refs0"/>
        <w:rPr>
          <w:rFonts w:ascii="Times New Roman" w:eastAsia="Arial" w:hAnsi="Times New Roman"/>
          <w:sz w:val="18"/>
          <w:szCs w:val="18"/>
          <w:lang w:eastAsia="fr-FR"/>
        </w:rPr>
      </w:pPr>
      <w:r w:rsidRPr="004D6002">
        <w:rPr>
          <w:rFonts w:ascii="Times New Roman" w:hAnsi="Times New Roman"/>
          <w:sz w:val="18"/>
          <w:szCs w:val="18"/>
          <w:lang w:val="en-US" w:eastAsia="fr-FR"/>
        </w:rPr>
        <w:t xml:space="preserve">Thakur D. R., Renuka 2015. Biology and biointensive management of </w:t>
      </w:r>
      <w:r w:rsidRPr="004D6002">
        <w:rPr>
          <w:rFonts w:ascii="Times New Roman" w:hAnsi="Times New Roman"/>
          <w:i/>
          <w:sz w:val="18"/>
          <w:szCs w:val="18"/>
          <w:lang w:val="en-US" w:eastAsia="fr-FR"/>
        </w:rPr>
        <w:t>Acanthoscelides obtectus</w:t>
      </w:r>
      <w:r w:rsidRPr="004D6002">
        <w:rPr>
          <w:rFonts w:ascii="Times New Roman" w:hAnsi="Times New Roman"/>
          <w:sz w:val="18"/>
          <w:szCs w:val="18"/>
          <w:lang w:val="en-US" w:eastAsia="fr-FR"/>
        </w:rPr>
        <w:t xml:space="preserve"> (Say) (Coleoptera: Chrysomelidae) – a pest of kidney beans worldwide.</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55.</w:t>
      </w:r>
    </w:p>
    <w:p w14:paraId="07A380CF" w14:textId="77777777" w:rsidR="00CA5E9C" w:rsidRPr="004D6002" w:rsidRDefault="00CA5E9C" w:rsidP="00CA5E9C">
      <w:pPr>
        <w:pStyle w:val="Refs0"/>
        <w:rPr>
          <w:rFonts w:ascii="Times New Roman" w:hAnsi="Times New Roman"/>
          <w:sz w:val="18"/>
          <w:szCs w:val="18"/>
          <w:lang w:val="es-ES_tradnl"/>
        </w:rPr>
      </w:pPr>
      <w:r w:rsidRPr="004D6002">
        <w:rPr>
          <w:rFonts w:ascii="Times New Roman" w:hAnsi="Times New Roman"/>
          <w:sz w:val="18"/>
          <w:szCs w:val="18"/>
          <w:lang w:val="es-ES_tradnl"/>
        </w:rPr>
        <w:t>Tumambing J., Dikin A. 2013. ECO</w:t>
      </w:r>
      <w:r w:rsidRPr="004D6002">
        <w:rPr>
          <w:rFonts w:ascii="Times New Roman" w:hAnsi="Times New Roman"/>
          <w:sz w:val="18"/>
          <w:szCs w:val="18"/>
          <w:vertAlign w:val="subscript"/>
          <w:lang w:val="es-ES_tradnl"/>
        </w:rPr>
        <w:t>2</w:t>
      </w:r>
      <w:r w:rsidRPr="004D6002">
        <w:rPr>
          <w:rFonts w:ascii="Times New Roman" w:hAnsi="Times New Roman"/>
          <w:sz w:val="18"/>
          <w:szCs w:val="18"/>
          <w:lang w:val="es-ES_tradnl"/>
        </w:rPr>
        <w:t xml:space="preserve">FUME phosphine fumigant as a primary alternative  to methyl bromide for QPS application in Indonesia. </w:t>
      </w:r>
      <w:r w:rsidRPr="004D6002">
        <w:rPr>
          <w:rFonts w:ascii="Times New Roman" w:hAnsi="Times New Roman"/>
          <w:sz w:val="18"/>
          <w:szCs w:val="18"/>
        </w:rPr>
        <w:t xml:space="preserve">In: Obenauf G., ed, Proceedings of the </w:t>
      </w:r>
      <w:r w:rsidRPr="004D6002">
        <w:rPr>
          <w:rFonts w:ascii="Times New Roman" w:hAnsi="Times New Roman"/>
          <w:sz w:val="18"/>
          <w:szCs w:val="18"/>
          <w:lang w:val="en-US"/>
        </w:rPr>
        <w:t>Annual International Research Conference on Methyl Bromide Alternatives and Emissions Reductions, 4-6 November 2013 in San Diego, CA,USA,, 2013, San Diego, 30-1.</w:t>
      </w:r>
    </w:p>
    <w:p w14:paraId="269130F6" w14:textId="77777777" w:rsidR="00CA5E9C" w:rsidRPr="004D6002" w:rsidRDefault="00CA5E9C" w:rsidP="00CA5E9C">
      <w:pPr>
        <w:pStyle w:val="Refs0"/>
        <w:rPr>
          <w:rFonts w:ascii="Times New Roman" w:eastAsia="Arial" w:hAnsi="Times New Roman"/>
          <w:sz w:val="18"/>
          <w:szCs w:val="18"/>
          <w:lang w:eastAsia="fr-FR"/>
        </w:rPr>
      </w:pPr>
      <w:r w:rsidRPr="004D6002">
        <w:rPr>
          <w:rFonts w:ascii="Times New Roman" w:hAnsi="Times New Roman"/>
          <w:sz w:val="18"/>
          <w:szCs w:val="18"/>
          <w:lang w:val="en-US" w:eastAsia="fr-FR"/>
        </w:rPr>
        <w:t xml:space="preserve">Wijayaratne L. K. W. 2015.Effect of spinosad on heat tolerance and cold tolerance of </w:t>
      </w:r>
      <w:r w:rsidRPr="004D6002">
        <w:rPr>
          <w:rFonts w:ascii="Times New Roman" w:hAnsi="Times New Roman"/>
          <w:i/>
          <w:sz w:val="18"/>
          <w:szCs w:val="18"/>
          <w:lang w:val="en-US" w:eastAsia="fr-FR"/>
        </w:rPr>
        <w:t>Sitophilus oryzae</w:t>
      </w:r>
      <w:r w:rsidRPr="004D6002">
        <w:rPr>
          <w:rFonts w:ascii="Times New Roman" w:hAnsi="Times New Roman"/>
          <w:sz w:val="18"/>
          <w:szCs w:val="18"/>
          <w:lang w:val="en-US" w:eastAsia="fr-FR"/>
        </w:rPr>
        <w:t xml:space="preserve"> (Coleoptera: Curculionidae).</w:t>
      </w:r>
      <w:r w:rsidRPr="004D6002">
        <w:rPr>
          <w:rFonts w:ascii="Times New Roman" w:eastAsia="Arial" w:hAnsi="Times New Roman"/>
          <w:sz w:val="18"/>
          <w:szCs w:val="18"/>
          <w:lang w:eastAsia="fr-FR"/>
        </w:rPr>
        <w:t xml:space="preserve">In: Arthur </w:t>
      </w:r>
      <w:r w:rsidRPr="004D6002">
        <w:rPr>
          <w:rFonts w:ascii="Times New Roman" w:eastAsia="Arial" w:hAnsi="Times New Roman"/>
          <w:i/>
          <w:sz w:val="18"/>
          <w:szCs w:val="18"/>
          <w:lang w:eastAsia="fr-FR"/>
        </w:rPr>
        <w:t>et al</w:t>
      </w:r>
      <w:r w:rsidRPr="004D6002">
        <w:rPr>
          <w:rFonts w:ascii="Times New Roman" w:eastAsia="Arial" w:hAnsi="Times New Roman"/>
          <w:sz w:val="18"/>
          <w:szCs w:val="18"/>
          <w:lang w:eastAsia="fr-FR"/>
        </w:rPr>
        <w:t>.eds, 131.</w:t>
      </w:r>
    </w:p>
    <w:p w14:paraId="2B1003D7" w14:textId="77777777" w:rsidR="00CA5E9C" w:rsidRPr="004D6002" w:rsidRDefault="00CA5E9C" w:rsidP="00CA5E9C">
      <w:pPr>
        <w:pStyle w:val="Refs0"/>
        <w:rPr>
          <w:rFonts w:ascii="Times New Roman" w:hAnsi="Times New Roman"/>
          <w:sz w:val="18"/>
          <w:szCs w:val="18"/>
          <w:lang w:eastAsia="fr-FR"/>
        </w:rPr>
      </w:pPr>
      <w:r w:rsidRPr="004D6002">
        <w:rPr>
          <w:rFonts w:ascii="Times New Roman" w:hAnsi="Times New Roman"/>
          <w:sz w:val="18"/>
          <w:szCs w:val="18"/>
          <w:lang w:val="en-US" w:eastAsia="fr-FR"/>
        </w:rPr>
        <w:t xml:space="preserve">Wu F., Guan Z., Whidden A., 2012. Strawberry Industry Overview and Outlook.  Univ. Florida, Gainesville, pp. 112. </w:t>
      </w:r>
      <w:hyperlink r:id="rId31" w:history="1">
        <w:r w:rsidRPr="004D6002">
          <w:rPr>
            <w:rStyle w:val="Hyperlink"/>
            <w:rFonts w:ascii="Times New Roman" w:hAnsi="Times New Roman"/>
            <w:sz w:val="18"/>
            <w:szCs w:val="18"/>
            <w:lang w:eastAsia="fr-FR"/>
          </w:rPr>
          <w:t>http://www.fred.ifas.ufl</w:t>
        </w:r>
      </w:hyperlink>
      <w:r w:rsidRPr="004D6002">
        <w:rPr>
          <w:rFonts w:ascii="Times New Roman" w:hAnsi="Times New Roman"/>
          <w:sz w:val="18"/>
          <w:szCs w:val="18"/>
          <w:lang w:eastAsia="fr-FR"/>
        </w:rPr>
        <w:t>.edu/pdf/webinar/Strawberry.pdf.</w:t>
      </w:r>
    </w:p>
    <w:p w14:paraId="20702AF8" w14:textId="77777777" w:rsidR="00CA5E9C" w:rsidRPr="0041574E" w:rsidRDefault="00CA5E9C" w:rsidP="00CA5E9C">
      <w:pPr>
        <w:pStyle w:val="Refs0"/>
        <w:rPr>
          <w:rFonts w:cs="Arial"/>
          <w:sz w:val="18"/>
          <w:szCs w:val="18"/>
          <w:lang w:eastAsia="fr-FR"/>
        </w:rPr>
      </w:pPr>
    </w:p>
    <w:p w14:paraId="0A2D3A19" w14:textId="77777777" w:rsidR="00AD4B2A" w:rsidRDefault="00AD4B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p>
    <w:p w14:paraId="041A87EF" w14:textId="77777777" w:rsidR="002D15FF" w:rsidRDefault="00591AA8" w:rsidP="0030141E">
      <w:pPr>
        <w:pStyle w:val="Heading1"/>
      </w:pPr>
      <w:r>
        <w:br w:type="page"/>
      </w:r>
      <w:bookmarkStart w:id="89" w:name="_Toc295406130"/>
      <w:bookmarkStart w:id="90" w:name="_Toc388648365"/>
      <w:r w:rsidR="002D15FF">
        <w:lastRenderedPageBreak/>
        <w:t>6</w:t>
      </w:r>
      <w:r w:rsidR="002D15FF">
        <w:tab/>
        <w:t>Medical Technical Options Committee Progress Report (MTOC)</w:t>
      </w:r>
      <w:bookmarkEnd w:id="89"/>
    </w:p>
    <w:p w14:paraId="08DD8DCE" w14:textId="478AE08F" w:rsidR="00882312" w:rsidRDefault="00D14238" w:rsidP="00882312">
      <w:pPr>
        <w:rPr>
          <w:lang w:val="en-US"/>
        </w:rPr>
      </w:pPr>
      <w:bookmarkStart w:id="91" w:name="_Toc196801897"/>
      <w:bookmarkStart w:id="92" w:name="_Toc258516671"/>
      <w:bookmarkStart w:id="93" w:name="_Toc262900160"/>
      <w:r w:rsidRPr="005340A8">
        <w:rPr>
          <w:lang w:val="en-US"/>
        </w:rPr>
        <w:t xml:space="preserve">The </w:t>
      </w:r>
      <w:r>
        <w:rPr>
          <w:lang w:val="en-US"/>
        </w:rPr>
        <w:t>M</w:t>
      </w:r>
      <w:r w:rsidRPr="005340A8">
        <w:rPr>
          <w:lang w:val="en-US"/>
        </w:rPr>
        <w:t>TOC 2014 Assessment Report has been published and is accessible at the Ozone Secretariat website: http://ozone.unep.org/Assessment_Panels/TEAP/Reports/</w:t>
      </w:r>
      <w:r>
        <w:rPr>
          <w:lang w:val="en-US"/>
        </w:rPr>
        <w:t>M</w:t>
      </w:r>
      <w:r w:rsidRPr="005340A8">
        <w:rPr>
          <w:lang w:val="en-US"/>
        </w:rPr>
        <w:t>TOC/</w:t>
      </w:r>
      <w:r>
        <w:rPr>
          <w:lang w:val="en-US"/>
        </w:rPr>
        <w:t>M</w:t>
      </w:r>
      <w:r w:rsidRPr="005340A8">
        <w:rPr>
          <w:lang w:val="en-US"/>
        </w:rPr>
        <w:t xml:space="preserve">TOC-Assessment-Report-2014.pdf. The assessment </w:t>
      </w:r>
      <w:r>
        <w:rPr>
          <w:lang w:val="en-US"/>
        </w:rPr>
        <w:t>presents r</w:t>
      </w:r>
      <w:r w:rsidR="00882312">
        <w:rPr>
          <w:lang w:val="en-US"/>
        </w:rPr>
        <w:t>ecent progress in the phase-out of ODS used in medical uses such as MDIs, medical aerosols and sterilants, and the technical and economic assessment of alternatives.</w:t>
      </w:r>
    </w:p>
    <w:p w14:paraId="3695D13B" w14:textId="631984F4" w:rsidR="00882312" w:rsidRDefault="00882312" w:rsidP="00882312">
      <w:pPr>
        <w:rPr>
          <w:lang w:val="en-US"/>
        </w:rPr>
      </w:pPr>
      <w:r w:rsidRPr="00F16786">
        <w:rPr>
          <w:lang w:val="en-US"/>
        </w:rPr>
        <w:t xml:space="preserve">The </w:t>
      </w:r>
      <w:r>
        <w:rPr>
          <w:lang w:val="en-US"/>
        </w:rPr>
        <w:t xml:space="preserve">global </w:t>
      </w:r>
      <w:r w:rsidRPr="00F16786">
        <w:rPr>
          <w:lang w:val="en-US"/>
        </w:rPr>
        <w:t>phase-out of CFCs in the manu</w:t>
      </w:r>
      <w:r>
        <w:rPr>
          <w:lang w:val="en-US"/>
        </w:rPr>
        <w:t xml:space="preserve">facture of MDIs is imminent </w:t>
      </w:r>
      <w:r w:rsidRPr="00F16786">
        <w:rPr>
          <w:lang w:val="en-US"/>
        </w:rPr>
        <w:t xml:space="preserve">with only one essential use </w:t>
      </w:r>
      <w:r>
        <w:rPr>
          <w:lang w:val="en-US"/>
        </w:rPr>
        <w:t>exemption authorized by Parties, for China f</w:t>
      </w:r>
      <w:r w:rsidRPr="00F16786">
        <w:rPr>
          <w:lang w:val="en-US"/>
        </w:rPr>
        <w:t>or 217 tonnes</w:t>
      </w:r>
      <w:r>
        <w:rPr>
          <w:lang w:val="en-US"/>
        </w:rPr>
        <w:t xml:space="preserve"> CFCs in 2015</w:t>
      </w:r>
      <w:r w:rsidRPr="00F16786">
        <w:rPr>
          <w:lang w:val="en-US"/>
        </w:rPr>
        <w:t xml:space="preserve">. This </w:t>
      </w:r>
      <w:r>
        <w:rPr>
          <w:lang w:val="en-US"/>
        </w:rPr>
        <w:t>exempted</w:t>
      </w:r>
      <w:r w:rsidRPr="00F16786">
        <w:rPr>
          <w:lang w:val="en-US"/>
        </w:rPr>
        <w:t xml:space="preserve"> quantity represents less than 3 percent of the annual maximum of CFCs used in MDIs under essential use exemptions, which was nearly 9,000 tonnes in 1997. </w:t>
      </w:r>
      <w:r>
        <w:rPr>
          <w:lang w:val="en-US"/>
        </w:rPr>
        <w:t xml:space="preserve">No nominations were received for 2016, and it appears likely that 2015 will be the final year of essential use exemptions for CFCs for MDIs. The transition away from CFC MDIs to CFC-free alternatives is illustrated in the following </w:t>
      </w:r>
      <w:r w:rsidRPr="00640263">
        <w:rPr>
          <w:lang w:val="en-US"/>
        </w:rPr>
        <w:t xml:space="preserve">Figure </w:t>
      </w:r>
      <w:r w:rsidR="00640263" w:rsidRPr="00640263">
        <w:rPr>
          <w:lang w:val="en-US"/>
        </w:rPr>
        <w:t>6</w:t>
      </w:r>
      <w:r w:rsidRPr="00640263">
        <w:rPr>
          <w:lang w:val="en-US"/>
        </w:rPr>
        <w:t>-1</w:t>
      </w:r>
      <w:r>
        <w:rPr>
          <w:lang w:val="en-US"/>
        </w:rPr>
        <w:t>, which charts the trajectory of inhaled medicine from before the marketing approval of the first salbutamol HFC MDI in September 1996 until now.</w:t>
      </w:r>
    </w:p>
    <w:p w14:paraId="2C88A385" w14:textId="77777777" w:rsidR="00882312" w:rsidRDefault="00882312" w:rsidP="00882312">
      <w:pPr>
        <w:spacing w:after="120"/>
        <w:rPr>
          <w:rFonts w:ascii="Helvetica" w:hAnsi="Helvetica" w:cs="Helvetica"/>
          <w:color w:val="auto"/>
          <w:sz w:val="24"/>
          <w:szCs w:val="24"/>
          <w:lang w:val="en-US" w:eastAsia="en-US"/>
        </w:rPr>
      </w:pPr>
      <w:r>
        <w:rPr>
          <w:rFonts w:ascii="Helvetica" w:hAnsi="Helvetica" w:cs="Helvetica"/>
          <w:noProof/>
          <w:color w:val="auto"/>
          <w:sz w:val="24"/>
          <w:szCs w:val="24"/>
          <w:lang w:val="en-US" w:eastAsia="en-US"/>
        </w:rPr>
        <w:drawing>
          <wp:inline distT="0" distB="0" distL="0" distR="0" wp14:anchorId="2EAF7ADD" wp14:editId="1D092B68">
            <wp:extent cx="4876800" cy="292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76800" cy="2921000"/>
                    </a:xfrm>
                    <a:prstGeom prst="rect">
                      <a:avLst/>
                    </a:prstGeom>
                    <a:noFill/>
                    <a:ln>
                      <a:noFill/>
                    </a:ln>
                  </pic:spPr>
                </pic:pic>
              </a:graphicData>
            </a:graphic>
          </wp:inline>
        </w:drawing>
      </w:r>
    </w:p>
    <w:p w14:paraId="10F5EC0D" w14:textId="43DBB2FA" w:rsidR="00882312" w:rsidRPr="00014F73" w:rsidRDefault="00882312" w:rsidP="00882312">
      <w:pPr>
        <w:rPr>
          <w:b/>
          <w:i/>
          <w:lang w:val="en-US"/>
        </w:rPr>
      </w:pPr>
      <w:r w:rsidRPr="00640263">
        <w:rPr>
          <w:b/>
          <w:i/>
          <w:lang w:val="en-US"/>
        </w:rPr>
        <w:t xml:space="preserve">Figure </w:t>
      </w:r>
      <w:r w:rsidR="00640263" w:rsidRPr="00640263">
        <w:rPr>
          <w:b/>
          <w:i/>
          <w:lang w:val="en-US"/>
        </w:rPr>
        <w:t>6</w:t>
      </w:r>
      <w:r w:rsidRPr="00640263">
        <w:rPr>
          <w:b/>
          <w:i/>
          <w:lang w:val="en-US"/>
        </w:rPr>
        <w:t>-1</w:t>
      </w:r>
      <w:r w:rsidR="00640263">
        <w:rPr>
          <w:b/>
          <w:i/>
          <w:lang w:val="en-US"/>
        </w:rPr>
        <w:t>.</w:t>
      </w:r>
      <w:r w:rsidRPr="00014F73">
        <w:rPr>
          <w:b/>
          <w:i/>
          <w:lang w:val="en-US"/>
        </w:rPr>
        <w:t xml:space="preserve"> Transition from CFC MDIs to CFC-free alternatives </w:t>
      </w:r>
      <w:r>
        <w:rPr>
          <w:b/>
          <w:i/>
          <w:lang w:val="en-US"/>
        </w:rPr>
        <w:t xml:space="preserve">according to the estimated number of doses of inhaled medicines, </w:t>
      </w:r>
      <w:r w:rsidRPr="00014F73">
        <w:rPr>
          <w:b/>
          <w:i/>
          <w:lang w:val="en-US"/>
        </w:rPr>
        <w:t>1995-2015</w:t>
      </w:r>
      <w:r w:rsidR="00640263">
        <w:rPr>
          <w:rStyle w:val="FootnoteReference"/>
          <w:b/>
          <w:i/>
          <w:lang w:val="en-US"/>
        </w:rPr>
        <w:footnoteReference w:id="1"/>
      </w:r>
    </w:p>
    <w:p w14:paraId="456D742E" w14:textId="77777777" w:rsidR="00882312" w:rsidRDefault="00F12A62" w:rsidP="002B7818">
      <w:pPr>
        <w:pStyle w:val="Heading2"/>
      </w:pPr>
      <w:bookmarkStart w:id="94" w:name="_Toc295406131"/>
      <w:r>
        <w:t>6.1.</w:t>
      </w:r>
      <w:r>
        <w:tab/>
      </w:r>
      <w:r w:rsidR="00882312">
        <w:t>Reporting Accounting Frameworks for Essential Use Exemptions</w:t>
      </w:r>
      <w:bookmarkEnd w:id="91"/>
      <w:bookmarkEnd w:id="92"/>
      <w:bookmarkEnd w:id="93"/>
      <w:bookmarkEnd w:id="94"/>
    </w:p>
    <w:p w14:paraId="130EF12A" w14:textId="77777777" w:rsidR="00882312" w:rsidRPr="00F16786" w:rsidRDefault="00882312" w:rsidP="00882312">
      <w:pPr>
        <w:rPr>
          <w:lang w:val="en-US"/>
        </w:rPr>
      </w:pPr>
      <w:r w:rsidRPr="00F16786">
        <w:rPr>
          <w:lang w:val="en-US"/>
        </w:rPr>
        <w:t>MTOC has reviewed reporting accounting frameworks</w:t>
      </w:r>
      <w:r>
        <w:rPr>
          <w:lang w:val="en-US"/>
        </w:rPr>
        <w:t xml:space="preserve"> submitted by Parties</w:t>
      </w:r>
      <w:r w:rsidRPr="00F16786">
        <w:rPr>
          <w:lang w:val="en-US"/>
        </w:rPr>
        <w:t xml:space="preserve"> for essential use exemptions of CFCs for the manufacture o</w:t>
      </w:r>
      <w:r>
        <w:rPr>
          <w:lang w:val="en-US"/>
        </w:rPr>
        <w:t>f metered dose inhalers (MDIs).</w:t>
      </w:r>
    </w:p>
    <w:p w14:paraId="3F4693AD" w14:textId="77777777" w:rsidR="00882312" w:rsidRDefault="00882312" w:rsidP="00882312">
      <w:r>
        <w:lastRenderedPageBreak/>
        <w:t>Relevant to reporting accounting frameworks for essential use exemptions is Decision VIII/9(9), which states, "</w:t>
      </w:r>
      <w:r w:rsidRPr="00014F73">
        <w:rPr>
          <w:i/>
          <w:lang w:val="en-US"/>
        </w:rPr>
        <w:t xml:space="preserve">To approve the format for reporting quantities and uses of ozone-depleting substances produced and consumed for essential uses as set out in annex IV to the report of the Eighth Meeting of the Parties and beginning in 1998 </w:t>
      </w:r>
      <w:r>
        <w:rPr>
          <w:i/>
        </w:rPr>
        <w:t>to request each of the Parties that have had essential-use exemptions granted for previous years, to submit their report in the approved format by 31 January of each year</w:t>
      </w:r>
      <w:r>
        <w:t xml:space="preserve">". </w:t>
      </w:r>
    </w:p>
    <w:p w14:paraId="119C2F43" w14:textId="77777777" w:rsidR="00882312" w:rsidRDefault="00882312" w:rsidP="00882312">
      <w:pPr>
        <w:rPr>
          <w:lang w:val="en-US"/>
        </w:rPr>
      </w:pPr>
      <w:r>
        <w:t xml:space="preserve">MTOC understood this decision to mean that, from 1998 onwards, in each year by 31 January, Parties that had essential use exemptions granted in previous years would submit an accounting framework. When CFCs produced/imported and accumulated under essential use exemptions were consumed and reached zero, annual submission of reporting accounting frameworks would no longer be necessary. </w:t>
      </w:r>
      <w:r>
        <w:rPr>
          <w:lang w:val="en-US"/>
        </w:rPr>
        <w:t xml:space="preserve">Each year, the Ozone Secretariat has made requests of Parties with essential use exemptions to report accounting frameworks pursuant to Decision VIII/9(9) and have forwarded such reports to MTOC to enable a review and reporting of this information to Parties in TEAP’s Progress Report. </w:t>
      </w:r>
    </w:p>
    <w:p w14:paraId="2FCDE7E5" w14:textId="77777777" w:rsidR="00882312" w:rsidRDefault="00882312" w:rsidP="00882312">
      <w:r>
        <w:t xml:space="preserve">In practice, some Parties with essential use exemptions and on-going MDI manufacture have not submitted accounting frameworks on January 31 each year. This has made it increasingly difficult for MTOC to report to Parties on the status of CFCs authorised by Parties for production under the Montreal Protocol’s essential use exemptions. CFCs produced under authorised essential use exemptions have the potential to be used in end-uses for which CFC production was neither authorised nor considered essential under the Montreal Protocol and were subjected generally to the control measures that phased out CFC production in 1996. </w:t>
      </w:r>
    </w:p>
    <w:p w14:paraId="09460BC5" w14:textId="77777777" w:rsidR="00882312" w:rsidRDefault="00882312" w:rsidP="00882312">
      <w:pPr>
        <w:rPr>
          <w:lang w:val="en-US"/>
        </w:rPr>
      </w:pPr>
      <w:r>
        <w:t>The Ozone Secretariat has informed MTOC that t</w:t>
      </w:r>
      <w:r w:rsidRPr="00014F73">
        <w:rPr>
          <w:lang w:val="en-US"/>
        </w:rPr>
        <w:t xml:space="preserve">he way </w:t>
      </w:r>
      <w:r>
        <w:rPr>
          <w:lang w:val="en-US"/>
        </w:rPr>
        <w:t xml:space="preserve">in which </w:t>
      </w:r>
      <w:r w:rsidRPr="00014F73">
        <w:rPr>
          <w:lang w:val="en-US"/>
        </w:rPr>
        <w:t>the Implementation Committee under the Non-Compliance Procedure had been dealing with accounting frameworks was that Parties with essential use exemptions would submit accounting frameworks by 31 January for the preceding year for which they had an exemption approved. Thus, even if a Party reported that there was an amount left over at the end of the year, if that Party was no longer nominating for exemptions, it was considered that the accounting framewo</w:t>
      </w:r>
      <w:r>
        <w:rPr>
          <w:lang w:val="en-US"/>
        </w:rPr>
        <w:t xml:space="preserve">rk was not "legally" required. </w:t>
      </w:r>
      <w:r w:rsidRPr="00014F73">
        <w:rPr>
          <w:lang w:val="en-US"/>
        </w:rPr>
        <w:t>The Secretariat has there</w:t>
      </w:r>
      <w:r>
        <w:rPr>
          <w:lang w:val="en-US"/>
        </w:rPr>
        <w:t>fore only been requesting such P</w:t>
      </w:r>
      <w:r w:rsidRPr="00014F73">
        <w:rPr>
          <w:lang w:val="en-US"/>
        </w:rPr>
        <w:t>arties to report</w:t>
      </w:r>
      <w:r>
        <w:rPr>
          <w:lang w:val="en-US"/>
        </w:rPr>
        <w:t>,</w:t>
      </w:r>
      <w:r w:rsidRPr="00014F73">
        <w:rPr>
          <w:lang w:val="en-US"/>
        </w:rPr>
        <w:t xml:space="preserve"> without </w:t>
      </w:r>
      <w:r>
        <w:rPr>
          <w:lang w:val="en-US"/>
        </w:rPr>
        <w:t>b</w:t>
      </w:r>
      <w:r w:rsidRPr="00014F73">
        <w:rPr>
          <w:lang w:val="en-US"/>
        </w:rPr>
        <w:t>eing able to quote a legal basis</w:t>
      </w:r>
      <w:r>
        <w:rPr>
          <w:lang w:val="en-US"/>
        </w:rPr>
        <w:t xml:space="preserve"> for doing so</w:t>
      </w:r>
      <w:r w:rsidRPr="00014F73">
        <w:rPr>
          <w:lang w:val="en-US"/>
        </w:rPr>
        <w:t xml:space="preserve">. </w:t>
      </w:r>
    </w:p>
    <w:p w14:paraId="5F3E344B" w14:textId="77777777" w:rsidR="00882312" w:rsidRDefault="00882312" w:rsidP="00882312">
      <w:r>
        <w:t xml:space="preserve">Having information on stockpiles, accumulated under CFC essential use exemptions granted by Parties for previous years, allows Parties to track the management and deployment of CFCs produced under authorised essential use exemptions until exhausted. Information on stockpiles is particularly important in the last stages of global CFC MDI phase-out and can be valuable in avoiding new production. </w:t>
      </w:r>
    </w:p>
    <w:p w14:paraId="70691622" w14:textId="77777777" w:rsidR="00882312" w:rsidRDefault="00882312" w:rsidP="00882312">
      <w:r>
        <w:t xml:space="preserve">The following section describes the information provided in those reporting accounting frameworks submitted by Parties relevant to authorised essential use exemptions for 2014. This section also provides updates on Parties with authorised essential use exemptions in previous years that have or have not reported accounting frameworks. </w:t>
      </w:r>
    </w:p>
    <w:p w14:paraId="0A82FDFB" w14:textId="77777777" w:rsidR="00882312" w:rsidRDefault="00F12A62" w:rsidP="002B7818">
      <w:pPr>
        <w:pStyle w:val="Heading3"/>
      </w:pPr>
      <w:bookmarkStart w:id="95" w:name="_Toc262900161"/>
      <w:bookmarkStart w:id="96" w:name="_Toc295081600"/>
      <w:bookmarkStart w:id="97" w:name="_Toc295406132"/>
      <w:r>
        <w:t>6.1.1.</w:t>
      </w:r>
      <w:r>
        <w:tab/>
      </w:r>
      <w:r w:rsidR="00882312">
        <w:t>Argentina</w:t>
      </w:r>
      <w:bookmarkEnd w:id="95"/>
      <w:bookmarkEnd w:id="96"/>
      <w:bookmarkEnd w:id="97"/>
    </w:p>
    <w:p w14:paraId="5E5641C0" w14:textId="77777777" w:rsidR="00882312" w:rsidRDefault="00882312" w:rsidP="00882312">
      <w:pPr>
        <w:pStyle w:val="BodyText10"/>
      </w:pPr>
      <w:r>
        <w:t>Argentina originally expected to nominate essential CFC uses until 2014. However, the transition proceeded faster than expected, with the result that Parties last authorised an essential use exemption in 2011; Argentina has not made any essential use nominations since. Argentina’s accounting framework for 2012 showed CFC stocks on hand at the end of 2012 of about 5 tonnes. Argentina has not submitted an accounting framework</w:t>
      </w:r>
      <w:r w:rsidRPr="00B259A4">
        <w:t xml:space="preserve"> </w:t>
      </w:r>
      <w:r>
        <w:t>in subsequent years.</w:t>
      </w:r>
    </w:p>
    <w:p w14:paraId="2E254C1A" w14:textId="77777777" w:rsidR="00882312" w:rsidRDefault="00882312" w:rsidP="00882312">
      <w:pPr>
        <w:pStyle w:val="BodyText10"/>
      </w:pPr>
      <w:r>
        <w:lastRenderedPageBreak/>
        <w:t>All the companies except one in Argentina opted for technologies using HFC-134a as the excipient. Laboratorio Pablo Cassará initially converted its salbutamol MDI production to HFCs, but is implementing an MLF project to use iso-butane as the propellant. MTOC understands that Laboratorio Pablo Cassará plans to launch a salbutamol iso-butane MDI in 2016.</w:t>
      </w:r>
    </w:p>
    <w:p w14:paraId="67E543C1" w14:textId="77777777" w:rsidR="00882312" w:rsidRDefault="00F12A62" w:rsidP="002B7818">
      <w:pPr>
        <w:pStyle w:val="Heading3"/>
      </w:pPr>
      <w:bookmarkStart w:id="98" w:name="_Toc295081601"/>
      <w:bookmarkStart w:id="99" w:name="_Toc295406133"/>
      <w:r>
        <w:t>6.1.2.</w:t>
      </w:r>
      <w:r>
        <w:tab/>
      </w:r>
      <w:r w:rsidR="00882312">
        <w:t>China</w:t>
      </w:r>
      <w:bookmarkEnd w:id="98"/>
      <w:bookmarkEnd w:id="99"/>
    </w:p>
    <w:p w14:paraId="616539CC" w14:textId="77777777" w:rsidR="00882312" w:rsidRDefault="00882312" w:rsidP="00882312">
      <w:pPr>
        <w:pStyle w:val="BodyText10"/>
      </w:pPr>
      <w:r>
        <w:t xml:space="preserve">Parties authorised an essential use exemption of 235.05 tonnes of CFCs for the manufacture of MDIs in China for 2014. An accounting framework for 2014 was received from China in late May 2015. At the end of 2013, China reported a stockpile of 476.60 tonnes of CFCs, a year in which it produced no CFCs, and sourced its CFCs for MDI manufacture (with a total use of 165.16 tonnes CFCs) out of its existing stockpile. In 2014, China produced 176.67 tonnes CFCs, of which 106 tonnes was originally produced and intended for export to the Russian Federation under its essential use exemption but were not exported owing to administrative issues with the Russian importer. China used only 137.37 tonnes CFCs for domestic MDI manufacture, which was less than the tonnage of CFCs used in 2013 for MDI manufacture in China. At the end of 2014, China’s CFCs on hand had increased to 515.9 tonnes (including 106 tonnes CFCs intended for the Russian Federation), compared with the total of 476.6 tonnes of CFCs on hand at the start of 2014. Given consumption trends, the CFCs on hand at the end of 2014 reported by China are equivalent to 4 years strategic reserve (2015-2018). </w:t>
      </w:r>
    </w:p>
    <w:p w14:paraId="03673C87" w14:textId="77777777" w:rsidR="00882312" w:rsidRPr="00B06CF4" w:rsidRDefault="00882312" w:rsidP="00882312">
      <w:pPr>
        <w:pStyle w:val="BodyText10"/>
        <w:rPr>
          <w:lang w:val="en-US"/>
        </w:rPr>
      </w:pPr>
      <w:r>
        <w:t>The actual consumption trend differs from China’s projections when nominating CFCs for MDI manufacture for 2015, when this nomination stated that “</w:t>
      </w:r>
      <w:r w:rsidRPr="00E803A1">
        <w:rPr>
          <w:i/>
          <w:lang w:val="en-US"/>
        </w:rPr>
        <w:t>Demand is expected to grow for CFC MDIs in 2014 and 2015 due to an increased emphasis on inhaled therapy</w:t>
      </w:r>
      <w:r>
        <w:rPr>
          <w:lang w:val="en-US"/>
        </w:rPr>
        <w:t>”</w:t>
      </w:r>
      <w:r w:rsidRPr="00B06CF4">
        <w:rPr>
          <w:lang w:val="en-US"/>
        </w:rPr>
        <w:t xml:space="preserve">. </w:t>
      </w:r>
      <w:r>
        <w:rPr>
          <w:lang w:val="en-US"/>
        </w:rPr>
        <w:t>Demand in 2014 declined, and was less than the CFC quantity authorized by Parties for China for 2015 (182.62 tonnes), and continuing a previous downward trend.</w:t>
      </w:r>
    </w:p>
    <w:p w14:paraId="2A89AC5C" w14:textId="77777777" w:rsidR="00882312" w:rsidRDefault="00882312" w:rsidP="00882312">
      <w:pPr>
        <w:pStyle w:val="BodyText10"/>
      </w:pPr>
      <w:r w:rsidRPr="00B06CF4">
        <w:rPr>
          <w:lang w:val="en-US"/>
        </w:rPr>
        <w:t xml:space="preserve">China has stated that 2015 will be the last year </w:t>
      </w:r>
      <w:r>
        <w:rPr>
          <w:lang w:val="en-US"/>
        </w:rPr>
        <w:t>in which there will be</w:t>
      </w:r>
      <w:r w:rsidRPr="00B06CF4">
        <w:rPr>
          <w:lang w:val="en-US"/>
        </w:rPr>
        <w:t xml:space="preserve"> manufactur</w:t>
      </w:r>
      <w:r>
        <w:rPr>
          <w:lang w:val="en-US"/>
        </w:rPr>
        <w:t>ing of</w:t>
      </w:r>
      <w:r w:rsidRPr="00B06CF4">
        <w:rPr>
          <w:lang w:val="en-US"/>
        </w:rPr>
        <w:t xml:space="preserve"> salbutamol CFC MDIs, </w:t>
      </w:r>
      <w:r>
        <w:rPr>
          <w:lang w:val="en-US"/>
        </w:rPr>
        <w:t>with the intent of</w:t>
      </w:r>
      <w:r w:rsidRPr="00B06CF4">
        <w:rPr>
          <w:lang w:val="en-US"/>
        </w:rPr>
        <w:t xml:space="preserve"> providing sufficient product to allow salbutamol HFC and CFC MDIs to co-exist over a subsequent transition period of one year</w:t>
      </w:r>
      <w:r>
        <w:rPr>
          <w:lang w:val="en-US"/>
        </w:rPr>
        <w:t>, and</w:t>
      </w:r>
      <w:r w:rsidRPr="00B06CF4">
        <w:rPr>
          <w:lang w:val="en-US"/>
        </w:rPr>
        <w:t xml:space="preserve"> a complete phase-out of salbutamol CFC MDIs by December 31, 2</w:t>
      </w:r>
      <w:r>
        <w:rPr>
          <w:lang w:val="en-US"/>
        </w:rPr>
        <w:t>016</w:t>
      </w:r>
      <w:r w:rsidRPr="00B06CF4">
        <w:rPr>
          <w:lang w:val="en-US"/>
        </w:rPr>
        <w:t>.</w:t>
      </w:r>
      <w:r>
        <w:rPr>
          <w:lang w:val="en-US"/>
        </w:rPr>
        <w:t xml:space="preserve"> Salbutamol CFC MDIs make up the large majority of CFC demand in China (about 85 per cent of the 2015 nomination). Beclomethasone and other active ingredients make up the remainder of CFC demand for MDI manufacture. </w:t>
      </w:r>
      <w:r w:rsidRPr="00B06CF4">
        <w:rPr>
          <w:lang w:val="en-US"/>
        </w:rPr>
        <w:t>For beclomethasone</w:t>
      </w:r>
      <w:r>
        <w:rPr>
          <w:lang w:val="en-US"/>
        </w:rPr>
        <w:t xml:space="preserve"> and other active ingredients</w:t>
      </w:r>
      <w:r w:rsidRPr="00B06CF4">
        <w:rPr>
          <w:lang w:val="en-US"/>
        </w:rPr>
        <w:t>, China has stated that 2016 will be the last year to manufacture CFC MDIs, with complete phase-out by December 31, 2017.</w:t>
      </w:r>
      <w:r>
        <w:rPr>
          <w:lang w:val="en-US"/>
        </w:rPr>
        <w:t xml:space="preserve"> After 2015, CFC demand for MDI manufacture will decline rapidly in China. Given reported and projected trends in CFC manufacturing, the stockpile of 515.9 tonnes appears to exceed significantly the overall essential use requirements in 2015 through to the completed phase-out. This arises in part because CFCs were produced in China for export to the Russian Federation that will now not be exported.</w:t>
      </w:r>
    </w:p>
    <w:p w14:paraId="7EA60A6D" w14:textId="77777777" w:rsidR="00882312" w:rsidRDefault="00882312" w:rsidP="00882312">
      <w:pPr>
        <w:pStyle w:val="BodyText10"/>
        <w:rPr>
          <w:lang w:val="en-US"/>
        </w:rPr>
      </w:pPr>
      <w:r>
        <w:rPr>
          <w:lang w:val="en-US"/>
        </w:rPr>
        <w:t>MTOC stated in the 2014 TEAP Progress Report, “</w:t>
      </w:r>
      <w:r w:rsidRPr="00E803A1">
        <w:rPr>
          <w:i/>
          <w:lang w:val="en-US"/>
        </w:rPr>
        <w:t>It is possible that China may be able to manage its phase-out from CFC stockpiles, although this is not yet clear. Despite reported stockpiles, MTOC is recommending an essential use exemption for CFC production and consumption for 2015 in the expectation that China would supply its requirements from accumulated stockpile, with new CFCs produced only if absolutely necessary.</w:t>
      </w:r>
      <w:r>
        <w:rPr>
          <w:lang w:val="en-US"/>
        </w:rPr>
        <w:t xml:space="preserve">” </w:t>
      </w:r>
    </w:p>
    <w:p w14:paraId="42EB02F7" w14:textId="77777777" w:rsidR="00882312" w:rsidRDefault="00882312" w:rsidP="00882312">
      <w:pPr>
        <w:pStyle w:val="BodyText10"/>
      </w:pPr>
      <w:r>
        <w:rPr>
          <w:lang w:val="en-US"/>
        </w:rPr>
        <w:t>In 2014, China produced more CFCs than were used in that year for MDI manufacture and therefore added to a substantial stockpile.</w:t>
      </w:r>
      <w:r w:rsidRPr="00ED2AED">
        <w:rPr>
          <w:lang w:val="en-US"/>
        </w:rPr>
        <w:t xml:space="preserve"> </w:t>
      </w:r>
      <w:r>
        <w:rPr>
          <w:lang w:val="en-US"/>
        </w:rPr>
        <w:t xml:space="preserve">Given that the CFC stockpile reportedly on hand at the end of 2014 is nearly enough for four years when only two more years of CFC MDI manufacture is planned under China’s own phase-out strategy, new CFC production under China’s authorized </w:t>
      </w:r>
      <w:r>
        <w:rPr>
          <w:lang w:val="en-US"/>
        </w:rPr>
        <w:lastRenderedPageBreak/>
        <w:t>essential use exemption appears unnecessary</w:t>
      </w:r>
      <w:r w:rsidRPr="008C5EE3">
        <w:rPr>
          <w:lang w:val="en-US"/>
        </w:rPr>
        <w:t xml:space="preserve"> </w:t>
      </w:r>
      <w:r>
        <w:rPr>
          <w:lang w:val="en-US"/>
        </w:rPr>
        <w:t>in 2015. The quantity of CFCs in the current stockpile may lead to</w:t>
      </w:r>
      <w:r>
        <w:t>:</w:t>
      </w:r>
    </w:p>
    <w:p w14:paraId="4CDD91E0" w14:textId="77777777" w:rsidR="00882312" w:rsidRDefault="00882312" w:rsidP="00E15FE9">
      <w:pPr>
        <w:pStyle w:val="BodyText10"/>
        <w:numPr>
          <w:ilvl w:val="0"/>
          <w:numId w:val="57"/>
        </w:numPr>
        <w:spacing w:after="120"/>
        <w:ind w:left="714" w:hanging="357"/>
      </w:pPr>
      <w:r>
        <w:t>CFC MDIs being manufactured and supplied for longer than is projected by China’s agreed phase-out strategy or in quantities that might disrupt smooth transition; and/or</w:t>
      </w:r>
    </w:p>
    <w:p w14:paraId="6B32178A" w14:textId="77777777" w:rsidR="00882312" w:rsidRDefault="00882312" w:rsidP="00E15FE9">
      <w:pPr>
        <w:pStyle w:val="BodyText10"/>
        <w:numPr>
          <w:ilvl w:val="0"/>
          <w:numId w:val="57"/>
        </w:numPr>
      </w:pPr>
      <w:r>
        <w:t>The need for destruction of CFCs.</w:t>
      </w:r>
    </w:p>
    <w:p w14:paraId="7BBDE8D0" w14:textId="77777777" w:rsidR="00882312" w:rsidRDefault="00882312" w:rsidP="00882312">
      <w:pPr>
        <w:pStyle w:val="BodyText10"/>
      </w:pPr>
      <w:r>
        <w:t>China has stated that its CFC manufacturer has made a commitment that all CFCs produced under the quota issued by the authorities will be used for MDI purposes only, and any remaining substances, if not used in MDI applications will be treated in an environmentally harmless way.</w:t>
      </w:r>
    </w:p>
    <w:p w14:paraId="3F99721E" w14:textId="77777777" w:rsidR="00882312" w:rsidRDefault="00F12A62" w:rsidP="002B7818">
      <w:pPr>
        <w:pStyle w:val="Heading3"/>
      </w:pPr>
      <w:bookmarkStart w:id="100" w:name="_Toc262900162"/>
      <w:bookmarkStart w:id="101" w:name="_Toc295081602"/>
      <w:bookmarkStart w:id="102" w:name="_Toc295406134"/>
      <w:r>
        <w:t>6.1.3.</w:t>
      </w:r>
      <w:r>
        <w:tab/>
      </w:r>
      <w:r w:rsidR="00882312">
        <w:t>Egypt</w:t>
      </w:r>
      <w:bookmarkEnd w:id="100"/>
      <w:bookmarkEnd w:id="101"/>
      <w:bookmarkEnd w:id="102"/>
    </w:p>
    <w:p w14:paraId="7CBBBACB" w14:textId="77777777" w:rsidR="00882312" w:rsidRDefault="00882312" w:rsidP="00882312">
      <w:pPr>
        <w:rPr>
          <w:lang w:eastAsia="en-US"/>
        </w:rPr>
      </w:pPr>
      <w:r>
        <w:rPr>
          <w:lang w:eastAsia="en-US"/>
        </w:rPr>
        <w:t>Parties authorised an essential use exemption of 227.4 tonnes of CFCs for the manufacture of MDIs in Egypt for 2010. Egypt has not made any essential use nomination since 2010. </w:t>
      </w:r>
      <w:r w:rsidRPr="00014F73">
        <w:rPr>
          <w:lang w:eastAsia="en-US"/>
        </w:rPr>
        <w:t>No accounting framework was reported for authorised essential uses in 2010.</w:t>
      </w:r>
      <w:r>
        <w:rPr>
          <w:lang w:eastAsia="en-US"/>
        </w:rPr>
        <w:t xml:space="preserve">  However, in Egypt’s Country Programme Report for 2010, Egypt reported that it imported and used 172.49 tonnes CFCs for MDI manufacture. MTOC understands that Egypt had been manufacturing CFC MDIs until third quarter 2011 using the existing CFC stockpile, and that the CFC MDI manufacturing conversion to CFC-free alternatives was completed by the end of 2011. </w:t>
      </w:r>
      <w:r w:rsidRPr="00DD59DD">
        <w:rPr>
          <w:lang w:eastAsia="en-US"/>
        </w:rPr>
        <w:t>MTOC understands that CFC stockpiles have been depleted.</w:t>
      </w:r>
    </w:p>
    <w:p w14:paraId="48F9EC0A" w14:textId="77777777" w:rsidR="00882312" w:rsidRDefault="00F12A62" w:rsidP="002B7818">
      <w:pPr>
        <w:pStyle w:val="Heading3"/>
      </w:pPr>
      <w:bookmarkStart w:id="103" w:name="_Toc196801901"/>
      <w:bookmarkStart w:id="104" w:name="_Toc258516674"/>
      <w:bookmarkStart w:id="105" w:name="_Toc262900163"/>
      <w:bookmarkStart w:id="106" w:name="_Toc295081603"/>
      <w:bookmarkStart w:id="107" w:name="_Toc295406135"/>
      <w:r>
        <w:t>6.1.4.</w:t>
      </w:r>
      <w:r>
        <w:tab/>
      </w:r>
      <w:r w:rsidR="00882312">
        <w:t>European Union</w:t>
      </w:r>
      <w:bookmarkEnd w:id="103"/>
      <w:bookmarkEnd w:id="104"/>
      <w:bookmarkEnd w:id="105"/>
      <w:bookmarkEnd w:id="106"/>
      <w:bookmarkEnd w:id="107"/>
    </w:p>
    <w:p w14:paraId="36E123DC" w14:textId="77777777" w:rsidR="00882312" w:rsidRDefault="00882312" w:rsidP="00882312">
      <w:pPr>
        <w:pStyle w:val="BodyText10"/>
      </w:pPr>
      <w:r>
        <w:t>The European Union has not had any authorised essential use exemptions since 2009. An accounting framework was received from the European Union in 2014 showing that it had completely depleted its CFC stockpile</w:t>
      </w:r>
      <w:r w:rsidRPr="00B259A4">
        <w:t xml:space="preserve"> </w:t>
      </w:r>
      <w:r>
        <w:t xml:space="preserve">at the end of 2013. During 2013, Italy ceased using CFCs to manufacture a combination inhaler containing salbutamol sulphate and ipratropium bromide sold into that market. CFCs used by an Italian company in the manufacturing process for valves supplied to CFC MDI manufacturers also ceased during 2013. This indicated that those countries historically receiving MDI valves from the Italian manufacturer (Egypt, Pakistan, Russian Federation and Syria) would no longer be supplied with those valves. </w:t>
      </w:r>
    </w:p>
    <w:p w14:paraId="76297BCC" w14:textId="77777777" w:rsidR="00882312" w:rsidRDefault="00F12A62" w:rsidP="002B7818">
      <w:pPr>
        <w:pStyle w:val="Heading3"/>
      </w:pPr>
      <w:bookmarkStart w:id="108" w:name="_Toc196801902"/>
      <w:bookmarkStart w:id="109" w:name="_Toc258516675"/>
      <w:bookmarkStart w:id="110" w:name="_Toc262900164"/>
      <w:bookmarkStart w:id="111" w:name="_Toc295081604"/>
      <w:bookmarkStart w:id="112" w:name="_Toc295406136"/>
      <w:r>
        <w:t>6.1.5.</w:t>
      </w:r>
      <w:r>
        <w:tab/>
      </w:r>
      <w:r w:rsidR="00882312">
        <w:t>India</w:t>
      </w:r>
      <w:bookmarkEnd w:id="108"/>
      <w:bookmarkEnd w:id="109"/>
      <w:bookmarkEnd w:id="110"/>
      <w:bookmarkEnd w:id="111"/>
      <w:bookmarkEnd w:id="112"/>
    </w:p>
    <w:p w14:paraId="307F28E3" w14:textId="77777777" w:rsidR="00882312" w:rsidRDefault="00882312" w:rsidP="00882312">
      <w:pPr>
        <w:pStyle w:val="BodyText10"/>
      </w:pPr>
      <w:r>
        <w:t>Accounting frameworks on available stockpiles have not been received from India since 2011. In 2011, India reported CFC stocks of 226.295 tonnes, including 24.402 tonnes of non-pharmaceutical grade CFCs manufactured during start-up of CFC manufacturing. It is understood that India has converted its MDI manufacturing to be CFC-free. There is no information available on remaining CFC stockpiles in India.</w:t>
      </w:r>
      <w:r w:rsidRPr="00B259A4">
        <w:t xml:space="preserve"> </w:t>
      </w:r>
      <w:r>
        <w:t>India has a wide range of CFC-free inhalers, including dry powder in a variety of devices.</w:t>
      </w:r>
    </w:p>
    <w:p w14:paraId="195055F9" w14:textId="77777777" w:rsidR="00882312" w:rsidRDefault="00F12A62" w:rsidP="002B7818">
      <w:pPr>
        <w:pStyle w:val="Heading3"/>
      </w:pPr>
      <w:bookmarkStart w:id="113" w:name="_Toc258516676"/>
      <w:bookmarkStart w:id="114" w:name="_Toc262900165"/>
      <w:bookmarkStart w:id="115" w:name="_Toc295081605"/>
      <w:bookmarkStart w:id="116" w:name="_Toc295406137"/>
      <w:bookmarkStart w:id="117" w:name="_Toc196801904"/>
      <w:r>
        <w:t>6.1.6.</w:t>
      </w:r>
      <w:r>
        <w:tab/>
      </w:r>
      <w:r w:rsidR="00882312">
        <w:t>Mexico</w:t>
      </w:r>
      <w:bookmarkEnd w:id="113"/>
      <w:bookmarkEnd w:id="114"/>
      <w:bookmarkEnd w:id="115"/>
      <w:bookmarkEnd w:id="116"/>
    </w:p>
    <w:p w14:paraId="39FEEC34" w14:textId="77777777" w:rsidR="00882312" w:rsidRDefault="00882312" w:rsidP="00882312">
      <w:pPr>
        <w:pStyle w:val="BodyText10"/>
      </w:pPr>
      <w:r>
        <w:t xml:space="preserve">Parties authorised an emergency essential use of 6 tonnes CFCs for the manufacture of MDIs in Mexico in 2011 under an arrangement where Mexico agreed to destroy an equivalent ODP weighted amount of ODS. Mexico originally planned to destroy CFC-11 to compensate the emergency essential use acquired by import. Mexico has now completed conversion of CFC MDI manufacturing to CFC-free MDIs. </w:t>
      </w:r>
      <w:r w:rsidRPr="00014F73">
        <w:t xml:space="preserve">Last year, MTOC reported that 18 tonnes of remaining stocks of mixed CFC-11, -12, and -114 would be destroyed or deployed for essential use. A local producer, Laboratorios Salus, had about 15 tonnes of out of specification CFC stockpile </w:t>
      </w:r>
      <w:r w:rsidRPr="00014F73">
        <w:lastRenderedPageBreak/>
        <w:t xml:space="preserve">remaining, which was intended for destruction, and a small additional amount that might have been suitable for MDI production but was to be destroyed if necessary. </w:t>
      </w:r>
    </w:p>
    <w:p w14:paraId="03B849F5" w14:textId="77777777" w:rsidR="00882312" w:rsidRDefault="00F12A62" w:rsidP="002B7818">
      <w:pPr>
        <w:pStyle w:val="Heading3"/>
      </w:pPr>
      <w:bookmarkStart w:id="118" w:name="_Toc258516677"/>
      <w:bookmarkStart w:id="119" w:name="_Toc262900166"/>
      <w:bookmarkStart w:id="120" w:name="_Toc295081606"/>
      <w:bookmarkStart w:id="121" w:name="_Toc295406138"/>
      <w:r>
        <w:t>6.1.7.</w:t>
      </w:r>
      <w:r>
        <w:tab/>
      </w:r>
      <w:r w:rsidR="00882312">
        <w:t>Pakistan</w:t>
      </w:r>
      <w:bookmarkEnd w:id="117"/>
      <w:bookmarkEnd w:id="118"/>
      <w:bookmarkEnd w:id="119"/>
      <w:bookmarkEnd w:id="120"/>
      <w:bookmarkEnd w:id="121"/>
    </w:p>
    <w:p w14:paraId="4FF9DEEB" w14:textId="77777777" w:rsidR="00882312" w:rsidRDefault="00882312" w:rsidP="00882312">
      <w:pPr>
        <w:pStyle w:val="BodyText10"/>
      </w:pPr>
      <w:r>
        <w:t>Parties authorised an essential use exemption of 24.1 tonnes of CFCs for the manufacture of MDIs in Pakistan for 2012. In its accounting framework for 2012, Pakistan reported 12 tonnes of CFCs in stockpile at the end of the year. No further accounting frameworks have been received from Pakistan.</w:t>
      </w:r>
    </w:p>
    <w:p w14:paraId="3FE9CFF0" w14:textId="77777777" w:rsidR="00882312" w:rsidRPr="00235C12" w:rsidRDefault="00882312" w:rsidP="00882312">
      <w:pPr>
        <w:pStyle w:val="BodyText10"/>
        <w:rPr>
          <w:lang w:val="en-US"/>
        </w:rPr>
      </w:pPr>
      <w:r>
        <w:rPr>
          <w:lang w:val="en-US"/>
        </w:rPr>
        <w:t>One company, Mactor, is producing HFC</w:t>
      </w:r>
      <w:r w:rsidRPr="00235C12">
        <w:rPr>
          <w:lang w:val="en-US"/>
        </w:rPr>
        <w:t xml:space="preserve"> MDIs locally in Pakistan.</w:t>
      </w:r>
      <w:r>
        <w:rPr>
          <w:lang w:val="en-US"/>
        </w:rPr>
        <w:t xml:space="preserve"> </w:t>
      </w:r>
      <w:r w:rsidRPr="00235C12">
        <w:rPr>
          <w:lang w:val="en-US"/>
        </w:rPr>
        <w:t xml:space="preserve">GSK </w:t>
      </w:r>
      <w:r>
        <w:rPr>
          <w:lang w:val="en-US"/>
        </w:rPr>
        <w:t>Pakistan</w:t>
      </w:r>
      <w:r w:rsidRPr="00235C12">
        <w:rPr>
          <w:lang w:val="en-US"/>
        </w:rPr>
        <w:t xml:space="preserve"> is in </w:t>
      </w:r>
      <w:r>
        <w:rPr>
          <w:lang w:val="en-US"/>
        </w:rPr>
        <w:t xml:space="preserve">the </w:t>
      </w:r>
      <w:r w:rsidRPr="00235C12">
        <w:rPr>
          <w:lang w:val="en-US"/>
        </w:rPr>
        <w:t xml:space="preserve">testing phase </w:t>
      </w:r>
      <w:r>
        <w:rPr>
          <w:lang w:val="en-US"/>
        </w:rPr>
        <w:t>for a locally produced salbutamol HFC MDI;</w:t>
      </w:r>
      <w:r w:rsidRPr="00235C12">
        <w:rPr>
          <w:lang w:val="en-US"/>
        </w:rPr>
        <w:t xml:space="preserve"> </w:t>
      </w:r>
      <w:r>
        <w:rPr>
          <w:lang w:val="en-US"/>
        </w:rPr>
        <w:t>it currently imports a more expensive salbutamol HFC</w:t>
      </w:r>
      <w:r w:rsidRPr="00235C12">
        <w:rPr>
          <w:lang w:val="en-US"/>
        </w:rPr>
        <w:t xml:space="preserve"> </w:t>
      </w:r>
      <w:r>
        <w:rPr>
          <w:lang w:val="en-US"/>
        </w:rPr>
        <w:t>MDI</w:t>
      </w:r>
      <w:r w:rsidRPr="00235C12">
        <w:rPr>
          <w:lang w:val="en-US"/>
        </w:rPr>
        <w:t xml:space="preserve"> from </w:t>
      </w:r>
      <w:r>
        <w:rPr>
          <w:lang w:val="en-US"/>
        </w:rPr>
        <w:t>GSK Austral</w:t>
      </w:r>
      <w:r w:rsidRPr="00235C12">
        <w:rPr>
          <w:lang w:val="en-US"/>
        </w:rPr>
        <w:t xml:space="preserve">ia. </w:t>
      </w:r>
      <w:r>
        <w:t>Zafa, despite having successfully applied to receive funding, is not proceeding with plant conversion.</w:t>
      </w:r>
    </w:p>
    <w:p w14:paraId="07DAF99E" w14:textId="77777777" w:rsidR="00882312" w:rsidRDefault="00882312" w:rsidP="00882312">
      <w:pPr>
        <w:pStyle w:val="BodyText10"/>
      </w:pPr>
      <w:r>
        <w:rPr>
          <w:color w:val="auto"/>
        </w:rPr>
        <w:t>U</w:t>
      </w:r>
      <w:r w:rsidRPr="0039236D">
        <w:rPr>
          <w:color w:val="auto"/>
        </w:rPr>
        <w:t>ntil the end of 2013, Pakistan was also receiving imported CFC MDIs manufactured in China, which made up to 70 per cent of unit sales.</w:t>
      </w:r>
      <w:r>
        <w:rPr>
          <w:color w:val="auto"/>
        </w:rPr>
        <w:t xml:space="preserve"> R</w:t>
      </w:r>
      <w:r>
        <w:t xml:space="preserve">egulatory authorities banned the import of CFC MDIs, as of December 2012. </w:t>
      </w:r>
      <w:r>
        <w:rPr>
          <w:lang w:val="en-US"/>
        </w:rPr>
        <w:t>Highnoon Laboratories is importing HFC MDIs from Cipla India,</w:t>
      </w:r>
      <w:r w:rsidRPr="00235C12">
        <w:rPr>
          <w:lang w:val="en-US"/>
        </w:rPr>
        <w:t xml:space="preserve"> and GETZ pharma </w:t>
      </w:r>
      <w:r>
        <w:rPr>
          <w:lang w:val="en-US"/>
        </w:rPr>
        <w:t xml:space="preserve">is importing HFC MDIs </w:t>
      </w:r>
      <w:r w:rsidRPr="00235C12">
        <w:rPr>
          <w:lang w:val="en-US"/>
        </w:rPr>
        <w:t xml:space="preserve">from </w:t>
      </w:r>
      <w:r>
        <w:rPr>
          <w:lang w:val="en-US"/>
        </w:rPr>
        <w:t>China</w:t>
      </w:r>
      <w:r w:rsidRPr="00235C12">
        <w:rPr>
          <w:lang w:val="en-US"/>
        </w:rPr>
        <w:t>.</w:t>
      </w:r>
      <w:r>
        <w:rPr>
          <w:lang w:val="en-US"/>
        </w:rPr>
        <w:t xml:space="preserve"> </w:t>
      </w:r>
      <w:r>
        <w:t>Chiesi also imports HFC MDIs from Europe, which are priced higher than locally manufactured or Chinese imported HFC MDI brands.</w:t>
      </w:r>
    </w:p>
    <w:p w14:paraId="76A6C430" w14:textId="77777777" w:rsidR="00882312" w:rsidRDefault="00882312" w:rsidP="00882312">
      <w:pPr>
        <w:pStyle w:val="BodyText10"/>
      </w:pPr>
      <w:r>
        <w:t>Imported DPIs are currently used by about 20 per cent of asthma and COPD patients, having been only 9 per cent one year previously. Single-dose DPIs imported by Highnoon Laboratories from Cipla India are more immediately affordable for patients because they contain fewer doses than pressurised MDIs. Macter has also launched a DPI for tiotropium.</w:t>
      </w:r>
    </w:p>
    <w:p w14:paraId="76C16291" w14:textId="77777777" w:rsidR="00882312" w:rsidRDefault="00F12A62" w:rsidP="002B7818">
      <w:pPr>
        <w:pStyle w:val="Heading3"/>
      </w:pPr>
      <w:bookmarkStart w:id="122" w:name="_Toc258516678"/>
      <w:bookmarkStart w:id="123" w:name="_Toc262900167"/>
      <w:bookmarkStart w:id="124" w:name="_Toc295081607"/>
      <w:bookmarkStart w:id="125" w:name="_Toc295406139"/>
      <w:bookmarkStart w:id="126" w:name="_Toc196801906"/>
      <w:r>
        <w:t>6.1.8.</w:t>
      </w:r>
      <w:r>
        <w:tab/>
      </w:r>
      <w:r w:rsidR="00882312">
        <w:t>Russian Federation</w:t>
      </w:r>
      <w:bookmarkEnd w:id="122"/>
      <w:bookmarkEnd w:id="123"/>
      <w:bookmarkEnd w:id="124"/>
      <w:bookmarkEnd w:id="125"/>
    </w:p>
    <w:p w14:paraId="73EF3BB3" w14:textId="77777777" w:rsidR="00882312" w:rsidRDefault="00882312" w:rsidP="00882312">
      <w:pPr>
        <w:pStyle w:val="BodyText10"/>
      </w:pPr>
      <w:r>
        <w:t xml:space="preserve">The Russian Federation has not submitted any nominations since 2013, in line with its announcement that its nomination for 2014 would be its last. The Russian Federation provided an accounting framework for 2014. The Russian Federation imported 106 tonnes CFCs from China in 2014, out of a total of 212 tonnes authorised by Parties under its essential use exemption. It reported 69.2 tonnes stockpile of CFCs at the end of 2013. With no CFCs used to manufacture CFC MDIs in 2014, the available CFC stockpile at the end of 2014 was 175.2 tonnes. This follows the earlier decrease in CFCs used for MDI production in 2013, when only 142.80 tonnes were used. The reason given was late delivery of imported CFCs, which arrived in the second half of 2013. As a result, the CFC inventory increased at the end of that year. </w:t>
      </w:r>
    </w:p>
    <w:p w14:paraId="3BD238F0" w14:textId="77777777" w:rsidR="00882312" w:rsidRDefault="00882312" w:rsidP="00882312">
      <w:pPr>
        <w:pStyle w:val="BodyText10"/>
      </w:pPr>
      <w:r>
        <w:rPr>
          <w:color w:val="auto"/>
        </w:rPr>
        <w:t xml:space="preserve">Russia is in the final stages of manufacturing conversion to HFC MDIs, with </w:t>
      </w:r>
      <w:r>
        <w:rPr>
          <w:color w:val="auto"/>
          <w:lang w:val="en-US"/>
        </w:rPr>
        <w:t xml:space="preserve">completion likely in 2015. </w:t>
      </w:r>
      <w:r>
        <w:t xml:space="preserve">The filling equipment to produce HFC MDIs under the project sponsored by GEF, and implemented by UNIDO, was planned for delivery in November 2014. </w:t>
      </w:r>
      <w:r w:rsidRPr="000C3B8A">
        <w:t xml:space="preserve">A full range of affordable imported CFC-free inhalers is available </w:t>
      </w:r>
      <w:r>
        <w:t>to</w:t>
      </w:r>
      <w:r w:rsidRPr="000C3B8A">
        <w:t xml:space="preserve"> Russian patients</w:t>
      </w:r>
      <w:r>
        <w:t>. With the possible completion of CFC MDI manufacturing in the Russian Federation, remaining CFC stockpiles will need to be destroyed.</w:t>
      </w:r>
    </w:p>
    <w:p w14:paraId="0ADF3338" w14:textId="77777777" w:rsidR="00882312" w:rsidRDefault="00F12A62" w:rsidP="002B7818">
      <w:pPr>
        <w:pStyle w:val="Heading3"/>
      </w:pPr>
      <w:bookmarkStart w:id="127" w:name="_Toc258516679"/>
      <w:bookmarkStart w:id="128" w:name="_Toc262900168"/>
      <w:bookmarkStart w:id="129" w:name="_Toc295081608"/>
      <w:bookmarkStart w:id="130" w:name="_Toc295406140"/>
      <w:r>
        <w:t>6.1.9.</w:t>
      </w:r>
      <w:r>
        <w:tab/>
      </w:r>
      <w:r w:rsidR="00882312">
        <w:t>Syria</w:t>
      </w:r>
      <w:bookmarkEnd w:id="127"/>
      <w:bookmarkEnd w:id="128"/>
      <w:bookmarkEnd w:id="129"/>
      <w:bookmarkEnd w:id="130"/>
    </w:p>
    <w:p w14:paraId="2FBCB1A1" w14:textId="77777777" w:rsidR="00882312" w:rsidRDefault="00882312" w:rsidP="00882312">
      <w:r>
        <w:t xml:space="preserve">Parties authorised an essential use exemption of 44.68 tonnes of CFCs for the manufacture of MDIs in Syria for 2010. However, no accounting framework was reported for authorised essential uses in 2010 or subsequently. Syria has not made any essential use nomination since 2010. Local manufacturers were investing in HFC MDI manufacturing facilities since 2011. MTOC </w:t>
      </w:r>
      <w:r>
        <w:lastRenderedPageBreak/>
        <w:t xml:space="preserve">understands that Syria had been importing valves to manufacture CFC MDIs. The Italian valve manufacturer ceased production during 2013. </w:t>
      </w:r>
    </w:p>
    <w:p w14:paraId="74F72F7F" w14:textId="77777777" w:rsidR="00882312" w:rsidRDefault="00F12A62" w:rsidP="002B7818">
      <w:pPr>
        <w:pStyle w:val="Heading3"/>
      </w:pPr>
      <w:bookmarkStart w:id="131" w:name="_Toc258516680"/>
      <w:bookmarkStart w:id="132" w:name="_Toc262900169"/>
      <w:bookmarkStart w:id="133" w:name="_Toc295081609"/>
      <w:bookmarkStart w:id="134" w:name="_Toc295406141"/>
      <w:r>
        <w:t>6.1.10.</w:t>
      </w:r>
      <w:r>
        <w:tab/>
      </w:r>
      <w:r w:rsidR="00882312">
        <w:t>United States</w:t>
      </w:r>
      <w:bookmarkEnd w:id="126"/>
      <w:bookmarkEnd w:id="131"/>
      <w:bookmarkEnd w:id="132"/>
      <w:bookmarkEnd w:id="133"/>
      <w:bookmarkEnd w:id="134"/>
    </w:p>
    <w:p w14:paraId="49E61C50" w14:textId="77777777" w:rsidR="00882312" w:rsidRDefault="00882312" w:rsidP="00882312">
      <w:pPr>
        <w:pStyle w:val="BodyText10"/>
      </w:pPr>
      <w:r>
        <w:t>The United States has phased out CFC MDIs, with a wide range of CFC-free alternatives on the market. Under a US FDA rulemaking, the last CFC MDIs became non-essential on December 31, 2013. Primatene Mist, an over-the-counter CFC MDI for epinephrine, was withdrawn from sale in August 2013. On safety grounds, an epinephrine HFC MDI was not recommended for over-the-counter marketing by an FDA advisory committee in February 2014, and FDA has not approved epinephrine HFC MDI for prescription or over-the-counter marketing.</w:t>
      </w:r>
    </w:p>
    <w:p w14:paraId="1BD90899" w14:textId="77777777" w:rsidR="00882312" w:rsidRDefault="00882312" w:rsidP="00882312">
      <w:pPr>
        <w:pStyle w:val="BodyText10"/>
      </w:pPr>
      <w:r>
        <w:t xml:space="preserve">There were two separate types of CFC stockpile in the United States, one held by the MDI manufacturers, and one by the CFC manufacturer Honeywell on behalf of Boehringer Ingelheim. Some of the CFC surplus was manufactured pre-1996. For the MDI manufacturers, the United States previously reported a stockpile of 169 tonnes at the end of 2010, which was being run down in order to manufacture CFC MDIs. In 2013, the United States reported a stockpile of 280 tonnes of pharmaceutical-grade CFCs (owned by Boehringer Ingelheim and Honeywell). This </w:t>
      </w:r>
      <w:r w:rsidRPr="00014F73">
        <w:t>was initially made available for export to Parties with approved essential-use exemptions, but this did not occur.</w:t>
      </w:r>
      <w:r>
        <w:t xml:space="preserve"> MTOC understands from industry sources that about 160 tonnes of the CFC stockpile has been transferred for ultimate destruction.</w:t>
      </w:r>
    </w:p>
    <w:p w14:paraId="702B9FC2" w14:textId="77777777" w:rsidR="002D15FF" w:rsidRDefault="002D15FF">
      <w:pPr>
        <w:spacing w:after="0"/>
      </w:pPr>
      <w:r>
        <w:br w:type="page"/>
      </w:r>
    </w:p>
    <w:p w14:paraId="549CCEEF" w14:textId="77777777" w:rsidR="002D15FF" w:rsidRPr="002D15FF" w:rsidRDefault="002D15FF" w:rsidP="002D15FF"/>
    <w:p w14:paraId="1EBB9199" w14:textId="77777777" w:rsidR="00AD4B2A" w:rsidRDefault="002D15FF" w:rsidP="0030141E">
      <w:pPr>
        <w:pStyle w:val="Heading1"/>
      </w:pPr>
      <w:bookmarkStart w:id="135" w:name="_Toc295406142"/>
      <w:r>
        <w:t>7</w:t>
      </w:r>
      <w:r>
        <w:tab/>
      </w:r>
      <w:r w:rsidR="00591AA8">
        <w:t>Refrigeration, Air Conditioning and Heat Pumps TOC (RTOC)</w:t>
      </w:r>
      <w:bookmarkEnd w:id="90"/>
      <w:bookmarkEnd w:id="135"/>
      <w:r w:rsidR="00591AA8">
        <w:t xml:space="preserve"> </w:t>
      </w:r>
    </w:p>
    <w:p w14:paraId="748BC73A" w14:textId="20477C25" w:rsidR="00255612" w:rsidRPr="003F799E" w:rsidRDefault="00255612" w:rsidP="00255612">
      <w:pPr>
        <w:rPr>
          <w:szCs w:val="22"/>
          <w:lang w:val="en-US"/>
        </w:rPr>
      </w:pPr>
      <w:r w:rsidRPr="003F799E">
        <w:rPr>
          <w:szCs w:val="22"/>
          <w:lang w:val="en-US"/>
        </w:rPr>
        <w:t xml:space="preserve">Since the publication of the XXV/5 </w:t>
      </w:r>
      <w:r w:rsidR="00537A3B">
        <w:rPr>
          <w:szCs w:val="22"/>
          <w:lang w:val="en-US"/>
        </w:rPr>
        <w:t xml:space="preserve">TEAP </w:t>
      </w:r>
      <w:r w:rsidRPr="003F799E">
        <w:rPr>
          <w:szCs w:val="22"/>
          <w:lang w:val="en-US"/>
        </w:rPr>
        <w:t xml:space="preserve">Task Force report in October 2014 and particularly the 2014 RTOC Assessment report in February </w:t>
      </w:r>
      <w:r w:rsidRPr="00050238">
        <w:rPr>
          <w:szCs w:val="22"/>
          <w:lang w:val="en-US"/>
        </w:rPr>
        <w:t>2015</w:t>
      </w:r>
      <w:r w:rsidR="00050238" w:rsidRPr="00050238">
        <w:rPr>
          <w:szCs w:val="22"/>
          <w:lang w:val="en-US"/>
        </w:rPr>
        <w:t xml:space="preserve"> (</w:t>
      </w:r>
      <w:r w:rsidR="00050238" w:rsidRPr="00050238">
        <w:rPr>
          <w:color w:val="0B4CB4"/>
          <w:szCs w:val="22"/>
          <w:u w:val="single" w:color="0B4CB4"/>
          <w:lang w:val="en-US" w:eastAsia="en-US"/>
        </w:rPr>
        <w:t>http://ozone.unep.org/Assessment_Panels/TEAP/Reports/RTOC/RTOC-Assessment-Report-2014.pdf)</w:t>
      </w:r>
      <w:r w:rsidRPr="003F799E">
        <w:rPr>
          <w:szCs w:val="22"/>
          <w:lang w:val="en-US"/>
        </w:rPr>
        <w:t xml:space="preserve"> the options for replacing ODS and high GWP refrigerants have not changed. However, new information related to these options has been obtained through assessments of several additional reports and publications </w:t>
      </w:r>
      <w:r w:rsidRPr="003F799E">
        <w:rPr>
          <w:szCs w:val="22"/>
        </w:rPr>
        <w:t>and the documents from the “2015 Workshop on Management of Hydrofluorocarbons (HFCs)”</w:t>
      </w:r>
      <w:r w:rsidRPr="003F799E">
        <w:rPr>
          <w:rStyle w:val="FootnoteReference"/>
          <w:szCs w:val="22"/>
        </w:rPr>
        <w:footnoteReference w:id="2"/>
      </w:r>
      <w:r w:rsidRPr="003F799E">
        <w:rPr>
          <w:szCs w:val="22"/>
          <w:lang w:val="en-US"/>
        </w:rPr>
        <w:t xml:space="preserve">. This new information is also presented in more detailed form in the XXVI/9 </w:t>
      </w:r>
      <w:r w:rsidR="00537A3B">
        <w:rPr>
          <w:szCs w:val="22"/>
          <w:lang w:val="en-US"/>
        </w:rPr>
        <w:t xml:space="preserve">TEAP </w:t>
      </w:r>
      <w:r w:rsidRPr="003F799E">
        <w:rPr>
          <w:szCs w:val="22"/>
          <w:lang w:val="en-US"/>
        </w:rPr>
        <w:t>Task Force report, published the first part of June 2015.</w:t>
      </w:r>
      <w:r w:rsidR="00537A3B">
        <w:rPr>
          <w:szCs w:val="22"/>
          <w:lang w:val="en-US"/>
        </w:rPr>
        <w:t xml:space="preserve"> New information regarding the main refrigerants applications is presented in Table 7-1 (copied from Table 4-1 in the TEAP XXVI/9 Task Force Report) at the end of this chapter.</w:t>
      </w:r>
    </w:p>
    <w:p w14:paraId="55480E01" w14:textId="77777777" w:rsidR="00255612" w:rsidRPr="003F799E" w:rsidRDefault="00255612" w:rsidP="00255612">
      <w:pPr>
        <w:rPr>
          <w:szCs w:val="22"/>
          <w:lang w:val="en-US"/>
        </w:rPr>
      </w:pPr>
      <w:r w:rsidRPr="003F799E">
        <w:rPr>
          <w:szCs w:val="22"/>
          <w:lang w:val="en-US"/>
        </w:rPr>
        <w:t>In summary, the following can be highlighted for the various R/AC subsectors:</w:t>
      </w:r>
    </w:p>
    <w:p w14:paraId="764C3F58" w14:textId="09A6D666" w:rsidR="00255612" w:rsidRPr="003D7112" w:rsidRDefault="00255612" w:rsidP="002B7818">
      <w:pPr>
        <w:pStyle w:val="Heading2"/>
      </w:pPr>
      <w:bookmarkStart w:id="136" w:name="_Toc416613953"/>
      <w:bookmarkStart w:id="137" w:name="_Toc295406143"/>
      <w:r>
        <w:t>7.1</w:t>
      </w:r>
      <w:r>
        <w:tab/>
      </w:r>
      <w:r w:rsidRPr="003D7112">
        <w:t>Domestic appliances</w:t>
      </w:r>
      <w:bookmarkEnd w:id="136"/>
      <w:bookmarkEnd w:id="137"/>
      <w:r w:rsidRPr="003D7112">
        <w:t xml:space="preserve"> </w:t>
      </w:r>
    </w:p>
    <w:p w14:paraId="662711BF" w14:textId="77777777" w:rsidR="00255612" w:rsidRPr="003F799E" w:rsidRDefault="00255612" w:rsidP="00255612">
      <w:pPr>
        <w:widowControl w:val="0"/>
        <w:autoSpaceDE w:val="0"/>
        <w:autoSpaceDN w:val="0"/>
        <w:adjustRightInd w:val="0"/>
        <w:ind w:right="193"/>
        <w:rPr>
          <w:szCs w:val="22"/>
        </w:rPr>
      </w:pPr>
      <w:bookmarkStart w:id="138" w:name="_Toc275448402"/>
      <w:r w:rsidRPr="003F799E">
        <w:rPr>
          <w:szCs w:val="22"/>
        </w:rPr>
        <w:t xml:space="preserve">Refrigerant migration from HFC-134a to HC-600a is expected to continue, driven either by local or regional regulations on HFCs or by the desire for reduced global warming impact from potential emissions, which is a driver for all the sub-sectors. Excluding any influence from regulatory interventions, it is projected that by 2020 about 75% of new refrigerator production will use HC-600a (possibly with a small share of unsaturated HFC refrigerant – HFOs, the HFC-1234 yf). </w:t>
      </w:r>
    </w:p>
    <w:p w14:paraId="5E443A7F" w14:textId="607BCAA3" w:rsidR="00255612" w:rsidRPr="003D7112" w:rsidRDefault="00255612" w:rsidP="002B7818">
      <w:pPr>
        <w:pStyle w:val="Heading2"/>
      </w:pPr>
      <w:bookmarkStart w:id="139" w:name="_Toc402095352"/>
      <w:bookmarkStart w:id="140" w:name="_Toc412716253"/>
      <w:bookmarkStart w:id="141" w:name="_Toc416613954"/>
      <w:bookmarkStart w:id="142" w:name="_Toc295406144"/>
      <w:bookmarkEnd w:id="138"/>
      <w:r>
        <w:t>7.2</w:t>
      </w:r>
      <w:r>
        <w:tab/>
      </w:r>
      <w:r w:rsidRPr="003D7112">
        <w:t>Commercial refrigeration</w:t>
      </w:r>
      <w:bookmarkEnd w:id="139"/>
      <w:bookmarkEnd w:id="140"/>
      <w:bookmarkEnd w:id="141"/>
      <w:bookmarkEnd w:id="142"/>
    </w:p>
    <w:p w14:paraId="7A85079B" w14:textId="77777777" w:rsidR="00255612" w:rsidRPr="003F799E" w:rsidRDefault="00255612" w:rsidP="00255612">
      <w:pPr>
        <w:rPr>
          <w:szCs w:val="22"/>
        </w:rPr>
      </w:pPr>
      <w:r w:rsidRPr="003F799E">
        <w:rPr>
          <w:szCs w:val="22"/>
        </w:rPr>
        <w:t>The commercial refrigeration sub-sector consists of three groups of equipment that are presented below.</w:t>
      </w:r>
    </w:p>
    <w:p w14:paraId="75EE0D83" w14:textId="4A62B781" w:rsidR="00255612" w:rsidRDefault="00255612" w:rsidP="002B7818">
      <w:pPr>
        <w:pStyle w:val="Heading3"/>
      </w:pPr>
      <w:r>
        <w:tab/>
      </w:r>
      <w:bookmarkStart w:id="143" w:name="_Toc295406145"/>
      <w:r>
        <w:t>7.2.1.</w:t>
      </w:r>
      <w:r>
        <w:tab/>
        <w:t>Stand-alone Equipment</w:t>
      </w:r>
      <w:bookmarkEnd w:id="143"/>
      <w:r w:rsidRPr="003D7112">
        <w:t xml:space="preserve"> </w:t>
      </w:r>
    </w:p>
    <w:p w14:paraId="59E57EA0" w14:textId="77777777" w:rsidR="00255612" w:rsidRPr="003F799E" w:rsidRDefault="00255612" w:rsidP="00255612">
      <w:pPr>
        <w:rPr>
          <w:b/>
          <w:i/>
          <w:szCs w:val="22"/>
          <w:lang w:eastAsia="nl-NL"/>
        </w:rPr>
      </w:pPr>
      <w:r w:rsidRPr="003F799E">
        <w:rPr>
          <w:szCs w:val="22"/>
          <w:lang w:eastAsia="da-DK"/>
        </w:rPr>
        <w:t xml:space="preserve">For this type of equipment, HFC-134a and R-404A can be expected to be phased-out progressively in developed countries. Lower GWP HFC (HFOs) and HFC blends, hydrocarbons such as HC-290, and R-744 are replacing R-404A and HFC-134a in new stand-alone equipment.  Some plug-in units such as bottle coolers and vending machines are using R-744. </w:t>
      </w:r>
    </w:p>
    <w:p w14:paraId="75B577E8" w14:textId="3A9E626B" w:rsidR="00255612" w:rsidRDefault="00255612" w:rsidP="002B7818">
      <w:pPr>
        <w:pStyle w:val="Heading3"/>
      </w:pPr>
      <w:r>
        <w:lastRenderedPageBreak/>
        <w:tab/>
      </w:r>
      <w:bookmarkStart w:id="144" w:name="_Toc295406146"/>
      <w:r>
        <w:t>7.2.2.</w:t>
      </w:r>
      <w:r>
        <w:tab/>
      </w:r>
      <w:r w:rsidRPr="003D7112">
        <w:t>Condensing Units</w:t>
      </w:r>
      <w:bookmarkEnd w:id="144"/>
    </w:p>
    <w:p w14:paraId="3DC2026C" w14:textId="77777777" w:rsidR="00255612" w:rsidRPr="003F799E" w:rsidRDefault="00255612" w:rsidP="00255612">
      <w:pPr>
        <w:rPr>
          <w:szCs w:val="22"/>
        </w:rPr>
      </w:pPr>
      <w:r w:rsidRPr="003F799E">
        <w:rPr>
          <w:szCs w:val="22"/>
        </w:rPr>
        <w:t>For new systems, R-404A is still the leading choice, and intermediate blends such as R-407A or R-407F are proposed as immediate options to replace this refrigerant. Global companies are now offering hydrocarbon based condensing units for smaller capacities. One can also expect lower GWP HFC and HFC blends and R-744</w:t>
      </w:r>
      <w:r w:rsidRPr="003F799E">
        <w:rPr>
          <w:szCs w:val="22"/>
          <w:lang w:eastAsia="da-DK"/>
        </w:rPr>
        <w:t xml:space="preserve"> </w:t>
      </w:r>
      <w:r w:rsidRPr="003F799E">
        <w:rPr>
          <w:szCs w:val="22"/>
        </w:rPr>
        <w:t>to grow in acceptance in this application in the future, where it should be mentioned that capital costs for small condensing units using R-744</w:t>
      </w:r>
      <w:r w:rsidRPr="003F799E">
        <w:rPr>
          <w:szCs w:val="22"/>
          <w:lang w:eastAsia="da-DK"/>
        </w:rPr>
        <w:t xml:space="preserve"> </w:t>
      </w:r>
      <w:r w:rsidRPr="003F799E">
        <w:rPr>
          <w:szCs w:val="22"/>
        </w:rPr>
        <w:t>are currently quite high.</w:t>
      </w:r>
    </w:p>
    <w:p w14:paraId="77E8424A" w14:textId="6FC200D1" w:rsidR="00255612" w:rsidRDefault="00255612" w:rsidP="002B7818">
      <w:pPr>
        <w:pStyle w:val="Heading3"/>
      </w:pPr>
      <w:r>
        <w:tab/>
      </w:r>
      <w:bookmarkStart w:id="145" w:name="_Toc295406147"/>
      <w:r>
        <w:t>7.2.3.</w:t>
      </w:r>
      <w:r>
        <w:tab/>
      </w:r>
      <w:r w:rsidRPr="003D7112">
        <w:t>Supermarket systems</w:t>
      </w:r>
      <w:bookmarkEnd w:id="145"/>
    </w:p>
    <w:p w14:paraId="63449FAB" w14:textId="77777777" w:rsidR="00255612" w:rsidRPr="003F799E" w:rsidRDefault="00255612" w:rsidP="00255612">
      <w:pPr>
        <w:rPr>
          <w:szCs w:val="22"/>
        </w:rPr>
      </w:pPr>
      <w:r w:rsidRPr="003F799E">
        <w:rPr>
          <w:szCs w:val="22"/>
        </w:rPr>
        <w:t>Several thousands of supermarkets are already using R-744 systems, in both transcritical and cascade configurations. For supermarkets at low to medium ambient temperatures, the so-called “booster system” has been designed to use R-744 at the low and medium temperature level. For supermarkets at medium to high ambient temperature level, the cascade system is preferred with R-744 at the low temperature level and R-744 or HFC-134a at the medium temperature level. The efficiency of transcritical systems is very high in cold ambient conditions and new developments allow efficient operation in higher temperature conditions.  In hot ambient conditions a cascade system is still more efficient.  Capital costs were originally higher than those of HFC systems but are now decreasing. R-744 systems still require efficiency enhancements to achieve a competitive seasonal efficiency in hot climates.</w:t>
      </w:r>
    </w:p>
    <w:p w14:paraId="6E536243" w14:textId="77777777" w:rsidR="00255612" w:rsidRPr="003F799E" w:rsidRDefault="00255612" w:rsidP="00255612">
      <w:pPr>
        <w:rPr>
          <w:szCs w:val="22"/>
        </w:rPr>
      </w:pPr>
      <w:r w:rsidRPr="003F799E">
        <w:rPr>
          <w:szCs w:val="22"/>
        </w:rPr>
        <w:t>Considering the amount of refrigerant charge, flammable or toxic refrigerants are not an option for supermarkets, but small plug-in HC-290 units cooled by a water circuit are used in some types of supermarkets. Non-flammable lower GWP HFCs can be an option for centralized systems.</w:t>
      </w:r>
    </w:p>
    <w:p w14:paraId="29D4256C" w14:textId="77777777" w:rsidR="00255612" w:rsidRPr="003F799E" w:rsidRDefault="00255612" w:rsidP="00255612">
      <w:pPr>
        <w:rPr>
          <w:szCs w:val="22"/>
        </w:rPr>
      </w:pPr>
      <w:r w:rsidRPr="003F799E">
        <w:rPr>
          <w:szCs w:val="22"/>
        </w:rPr>
        <w:t>Blends such as R-407A or R-407F as well as lower GWP HFC and HFC blends constitute options for retrofit and/or for new installations, because they offer an immediate possibility for a significantly lower GWP than R-404A and R-507A.  Moderate and low GWP HFCs, HFCs/unsaturated HFCs (HFOs) blends and unsaturated HFCs (HFOs) have been recently introduced, but commercial experience is limited.</w:t>
      </w:r>
    </w:p>
    <w:p w14:paraId="51FFC8AC" w14:textId="00A650A2" w:rsidR="00255612" w:rsidRPr="003D7112" w:rsidRDefault="00255612" w:rsidP="002B7818">
      <w:pPr>
        <w:pStyle w:val="Heading2"/>
      </w:pPr>
      <w:bookmarkStart w:id="146" w:name="_Toc412716254"/>
      <w:bookmarkStart w:id="147" w:name="_Toc416613955"/>
      <w:bookmarkStart w:id="148" w:name="_Toc295406148"/>
      <w:bookmarkStart w:id="149" w:name="_Toc402095354"/>
      <w:bookmarkStart w:id="150" w:name="_Toc275448405"/>
      <w:r>
        <w:t>7.3.</w:t>
      </w:r>
      <w:r>
        <w:tab/>
      </w:r>
      <w:r w:rsidRPr="003D7112">
        <w:t>Industrial systems</w:t>
      </w:r>
      <w:bookmarkEnd w:id="146"/>
      <w:bookmarkEnd w:id="147"/>
      <w:bookmarkEnd w:id="148"/>
    </w:p>
    <w:p w14:paraId="5CC26013" w14:textId="77777777" w:rsidR="00255612" w:rsidRPr="003F799E" w:rsidRDefault="00255612" w:rsidP="00255612">
      <w:pPr>
        <w:rPr>
          <w:szCs w:val="22"/>
        </w:rPr>
      </w:pPr>
      <w:r w:rsidRPr="003F799E">
        <w:rPr>
          <w:szCs w:val="22"/>
        </w:rPr>
        <w:t>The majority of large industrial systems use R-717 as the refrigerant. When R-717 is not acceptable in direct systems in these countries, options include R-744</w:t>
      </w:r>
      <w:r w:rsidRPr="003F799E">
        <w:rPr>
          <w:szCs w:val="22"/>
          <w:lang w:eastAsia="da-DK"/>
        </w:rPr>
        <w:t xml:space="preserve"> </w:t>
      </w:r>
      <w:r w:rsidRPr="003F799E">
        <w:rPr>
          <w:szCs w:val="22"/>
        </w:rPr>
        <w:t xml:space="preserve">or glycol in secondary systems or HCFCs or HFCs in direct systems.  In countries where R-717 has not been the preferred solution, or in market segments with smaller systems, the transition from HCFC-22 has not been straightforward. </w:t>
      </w:r>
    </w:p>
    <w:p w14:paraId="3BE2BC62" w14:textId="07701053" w:rsidR="00255612" w:rsidRPr="003D7112" w:rsidRDefault="00255612" w:rsidP="002B7818">
      <w:pPr>
        <w:pStyle w:val="Heading2"/>
      </w:pPr>
      <w:bookmarkStart w:id="151" w:name="_Toc412716255"/>
      <w:bookmarkStart w:id="152" w:name="_Toc416613956"/>
      <w:bookmarkStart w:id="153" w:name="_Toc295406149"/>
      <w:r>
        <w:t>7.4.</w:t>
      </w:r>
      <w:r>
        <w:tab/>
      </w:r>
      <w:r w:rsidRPr="003D7112">
        <w:t>Transport refrigeration</w:t>
      </w:r>
      <w:bookmarkEnd w:id="149"/>
      <w:bookmarkEnd w:id="151"/>
      <w:bookmarkEnd w:id="152"/>
      <w:bookmarkEnd w:id="153"/>
      <w:r w:rsidRPr="003D7112">
        <w:t xml:space="preserve"> </w:t>
      </w:r>
    </w:p>
    <w:p w14:paraId="4C60B730" w14:textId="72CDFA3A" w:rsidR="00255612" w:rsidRPr="00F46063" w:rsidRDefault="00255612" w:rsidP="00255612">
      <w:pPr>
        <w:pStyle w:val="enclosures"/>
        <w:rPr>
          <w:rFonts w:ascii="Times New Roman" w:hAnsi="Times New Roman"/>
        </w:rPr>
      </w:pPr>
      <w:r w:rsidRPr="003F799E">
        <w:rPr>
          <w:rFonts w:ascii="Times New Roman" w:hAnsi="Times New Roman"/>
          <w:szCs w:val="22"/>
        </w:rPr>
        <w:t>Lower GWP HFC blends are likely to play a role as a replacement to R-404A, and HFC-134a systems: their GWP is significantly lower than R-404A and performances are relatively close. Candidates include but are not limited to R-407A, R-407F, R-448A, R-449A, R-450A, and R-452A.</w:t>
      </w:r>
      <w:r>
        <w:rPr>
          <w:rFonts w:ascii="Times New Roman" w:hAnsi="Times New Roman"/>
          <w:szCs w:val="22"/>
        </w:rPr>
        <w:br/>
      </w:r>
      <w:r>
        <w:rPr>
          <w:rFonts w:ascii="Times New Roman" w:hAnsi="Times New Roman"/>
          <w:szCs w:val="22"/>
        </w:rPr>
        <w:br/>
      </w:r>
      <w:r w:rsidRPr="00F46063">
        <w:rPr>
          <w:rFonts w:ascii="Times New Roman" w:hAnsi="Times New Roman"/>
        </w:rPr>
        <w:t xml:space="preserve">R-744 has been field-tested since 2011. Its non-flammable characteristics make R-744 an attractive option, but the gap in efficiency at high ambient temperatures and the limited component supply base are limiting its market penetration. One also sees “non-conventional” solutions such as open loop systems or eutectic systems. </w:t>
      </w:r>
      <w:r w:rsidR="00F46063">
        <w:rPr>
          <w:rFonts w:ascii="Times New Roman" w:hAnsi="Times New Roman"/>
        </w:rPr>
        <w:br/>
      </w:r>
    </w:p>
    <w:p w14:paraId="511AD9D6" w14:textId="63057C74" w:rsidR="00255612" w:rsidRPr="003D7112" w:rsidRDefault="00F46063" w:rsidP="002B7818">
      <w:pPr>
        <w:pStyle w:val="Heading2"/>
      </w:pPr>
      <w:bookmarkStart w:id="154" w:name="_Toc412716256"/>
      <w:bookmarkStart w:id="155" w:name="_Toc416613957"/>
      <w:bookmarkStart w:id="156" w:name="_Toc295406150"/>
      <w:r>
        <w:t>7.5.</w:t>
      </w:r>
      <w:r>
        <w:tab/>
      </w:r>
      <w:r w:rsidR="00255612" w:rsidRPr="003D7112">
        <w:t>Air-to-air air conditioners and heat pumps</w:t>
      </w:r>
      <w:bookmarkEnd w:id="150"/>
      <w:bookmarkEnd w:id="154"/>
      <w:bookmarkEnd w:id="155"/>
      <w:bookmarkEnd w:id="156"/>
    </w:p>
    <w:p w14:paraId="0E23D68A" w14:textId="77777777" w:rsidR="00255612" w:rsidRPr="003F799E" w:rsidRDefault="00255612" w:rsidP="00255612">
      <w:pPr>
        <w:rPr>
          <w:szCs w:val="22"/>
          <w:lang w:val="en-US"/>
        </w:rPr>
      </w:pPr>
      <w:bookmarkStart w:id="157" w:name="_Toc275448406"/>
      <w:r w:rsidRPr="003F799E">
        <w:rPr>
          <w:szCs w:val="22"/>
          <w:lang w:val="en-US"/>
        </w:rPr>
        <w:t>A wide range of different low GWP alternatives is described in the RTOC 2014 Assessment Report.  Some of these alternatives are already becoming commercially established in certain countries, while others are in an earlier stage of development.  There is currently less availability of lower GWP alternatives in Article 5 countries, although this is likely to change significantly during the next few years as technologies used in non-Article 5 countries will become more widely available.</w:t>
      </w:r>
    </w:p>
    <w:p w14:paraId="23D6F4D4" w14:textId="77777777" w:rsidR="00255612" w:rsidRPr="003F799E" w:rsidRDefault="00255612" w:rsidP="00255612">
      <w:pPr>
        <w:rPr>
          <w:szCs w:val="22"/>
        </w:rPr>
      </w:pPr>
      <w:r w:rsidRPr="003F799E">
        <w:rPr>
          <w:szCs w:val="22"/>
        </w:rPr>
        <w:t>Except for R-744, all of the medium and low GWP alternatives are flammable and should be applied in accordance with appropriate regulations and/or safety standards (that are continuously under development), considering refrigerant charge amount, risk measures and other special construction requirements. Some safety standards limit the quantity of the system of any refrigerant within occupied spaces.</w:t>
      </w:r>
    </w:p>
    <w:p w14:paraId="7936FA74" w14:textId="77777777" w:rsidR="00255612" w:rsidRPr="003F799E" w:rsidRDefault="00255612" w:rsidP="00255612">
      <w:pPr>
        <w:rPr>
          <w:szCs w:val="22"/>
        </w:rPr>
      </w:pPr>
      <w:r w:rsidRPr="003F799E">
        <w:rPr>
          <w:szCs w:val="22"/>
        </w:rPr>
        <w:t>HC-290 and HC-1270 are mainly considered for systems with smaller charge sizes. Split air conditioning systems using HC-290 have been available in Europe and Australia, are in production in India and certain HCFC-22 equipment production capacity is being converted to HC-290 in China (however, with limited output at present). R-744</w:t>
      </w:r>
      <w:r w:rsidRPr="003F799E">
        <w:rPr>
          <w:szCs w:val="22"/>
          <w:lang w:eastAsia="da-DK"/>
        </w:rPr>
        <w:t xml:space="preserve"> </w:t>
      </w:r>
      <w:r w:rsidRPr="003F799E">
        <w:rPr>
          <w:szCs w:val="22"/>
        </w:rPr>
        <w:t xml:space="preserve">is considered to have limited applicability for air conditioning appliances, due to the reduced efficiency when the ambient temperature approaches or exceeds about 30°C. </w:t>
      </w:r>
    </w:p>
    <w:p w14:paraId="41F2D421" w14:textId="77777777" w:rsidR="00255612" w:rsidRPr="003F799E" w:rsidRDefault="00255612" w:rsidP="00255612">
      <w:pPr>
        <w:rPr>
          <w:szCs w:val="22"/>
        </w:rPr>
      </w:pPr>
      <w:r w:rsidRPr="003F799E">
        <w:rPr>
          <w:szCs w:val="22"/>
        </w:rPr>
        <w:t xml:space="preserve">HFC-161 is currently under evaluation for systems with smaller charge sizes due to flammability. The operating pressure and capacity is similar to HCFC-22 and the efficiency is at least as high as HCFC-22, although there is concern over its stability. </w:t>
      </w:r>
    </w:p>
    <w:p w14:paraId="4C6B06C9" w14:textId="77777777" w:rsidR="00255612" w:rsidRPr="003F799E" w:rsidRDefault="00255612" w:rsidP="00255612">
      <w:pPr>
        <w:rPr>
          <w:szCs w:val="22"/>
        </w:rPr>
      </w:pPr>
      <w:r w:rsidRPr="003F799E">
        <w:rPr>
          <w:szCs w:val="22"/>
        </w:rPr>
        <w:t xml:space="preserve">HFC-32 is currently on the market for various types of air conditioners and has recently been applied in split units in several countries and some OEMs are also considering it for other types of systems. Its operating pressure and capacity are similar to R-410A and its efficiency is similar or better than that of R-410A. </w:t>
      </w:r>
    </w:p>
    <w:p w14:paraId="58F86D1E" w14:textId="77777777" w:rsidR="00255612" w:rsidRPr="003F799E" w:rsidRDefault="00255612" w:rsidP="00255612">
      <w:pPr>
        <w:rPr>
          <w:szCs w:val="22"/>
        </w:rPr>
      </w:pPr>
      <w:r w:rsidRPr="003F799E">
        <w:rPr>
          <w:szCs w:val="22"/>
        </w:rPr>
        <w:t xml:space="preserve">There are various proprietary mixtures targeted for air conditioning applications, which comprise, amongst others, HFC-32, HFC-125, HFC-134a, HFC-152a, HFC-161, HFC-1234yf, HFC-1234ze, HC-600a, HC-600, H-1270 and HC-290. Some mixtures have been assigned R-numbers, such as R-444B, R-446A and R-447A, whilst most are still under development. These mixtures tend to have operating pressures and capacities similar to HCFC-22 or R-410A, with GWPs ranging from 150 to around 1000 and flammability class 1 (for higher GWPs) and class 2L (medium GWPs). Currently, most of these mixtures are not commercially available on a broad scale and adequate technical data is not yet in the public domain. </w:t>
      </w:r>
    </w:p>
    <w:p w14:paraId="1BB33E53" w14:textId="648451DE" w:rsidR="00255612" w:rsidRPr="003D7112" w:rsidRDefault="00F46063" w:rsidP="002B7818">
      <w:pPr>
        <w:pStyle w:val="Heading2"/>
      </w:pPr>
      <w:bookmarkStart w:id="158" w:name="_Toc402095356"/>
      <w:bookmarkStart w:id="159" w:name="_Toc412716257"/>
      <w:bookmarkStart w:id="160" w:name="_Toc416613958"/>
      <w:bookmarkStart w:id="161" w:name="_Toc295406151"/>
      <w:bookmarkStart w:id="162" w:name="_Toc275448407"/>
      <w:bookmarkEnd w:id="157"/>
      <w:r>
        <w:t>7.6.</w:t>
      </w:r>
      <w:r>
        <w:tab/>
      </w:r>
      <w:r w:rsidR="00255612" w:rsidRPr="003D7112">
        <w:t>Water heating heat pumps</w:t>
      </w:r>
      <w:bookmarkEnd w:id="158"/>
      <w:bookmarkEnd w:id="159"/>
      <w:bookmarkEnd w:id="160"/>
      <w:bookmarkEnd w:id="161"/>
    </w:p>
    <w:p w14:paraId="466AB132" w14:textId="77777777" w:rsidR="00255612" w:rsidRPr="003F799E" w:rsidRDefault="00255612" w:rsidP="00255612">
      <w:pPr>
        <w:rPr>
          <w:szCs w:val="22"/>
        </w:rPr>
      </w:pPr>
      <w:r w:rsidRPr="003F799E">
        <w:rPr>
          <w:szCs w:val="22"/>
        </w:rPr>
        <w:t xml:space="preserve">HCFC-22 replacements such as HFC-32 and other low-GWP HFC blends are becoming commercially available. </w:t>
      </w:r>
      <w:bookmarkStart w:id="163" w:name="_Toc412716258"/>
    </w:p>
    <w:p w14:paraId="14B6603E" w14:textId="4345A8C9" w:rsidR="00255612" w:rsidRPr="003D7112" w:rsidRDefault="00F46063" w:rsidP="002B7818">
      <w:pPr>
        <w:pStyle w:val="Heading2"/>
      </w:pPr>
      <w:bookmarkStart w:id="164" w:name="_Toc416613959"/>
      <w:bookmarkStart w:id="165" w:name="_Toc295406152"/>
      <w:r>
        <w:t>7.7.</w:t>
      </w:r>
      <w:r>
        <w:tab/>
      </w:r>
      <w:r w:rsidR="00255612" w:rsidRPr="003D7112">
        <w:t>Chillers</w:t>
      </w:r>
      <w:bookmarkEnd w:id="162"/>
      <w:bookmarkEnd w:id="163"/>
      <w:bookmarkEnd w:id="164"/>
      <w:bookmarkEnd w:id="165"/>
    </w:p>
    <w:p w14:paraId="3396F83A" w14:textId="77777777" w:rsidR="00255612" w:rsidRPr="003F799E" w:rsidRDefault="00255612" w:rsidP="00255612">
      <w:pPr>
        <w:rPr>
          <w:szCs w:val="22"/>
        </w:rPr>
      </w:pPr>
      <w:r w:rsidRPr="003F799E">
        <w:rPr>
          <w:szCs w:val="22"/>
        </w:rPr>
        <w:t>Major efforts have been launched to propose and test new, lower GWP refrigerants. A number of candidates have been proposed and are in the early stages of testing as possible replacements for higher-GWP HFCs.</w:t>
      </w:r>
    </w:p>
    <w:p w14:paraId="1F73A09C" w14:textId="77777777" w:rsidR="00255612" w:rsidRPr="003F799E" w:rsidRDefault="00255612" w:rsidP="00255612">
      <w:pPr>
        <w:rPr>
          <w:bCs/>
          <w:szCs w:val="22"/>
          <w:lang w:val="en-US"/>
        </w:rPr>
      </w:pPr>
      <w:r w:rsidRPr="003F799E">
        <w:rPr>
          <w:szCs w:val="22"/>
        </w:rPr>
        <w:t xml:space="preserve">The new candidates generally are unsaturated HFCs or blends, which may contain HFCs, HCs, and/or unsaturated HFCs. </w:t>
      </w:r>
      <w:r w:rsidRPr="003F799E">
        <w:rPr>
          <w:szCs w:val="22"/>
          <w:lang w:val="en-US"/>
        </w:rPr>
        <w:t xml:space="preserve">Options for new equipment include: </w:t>
      </w:r>
      <w:r w:rsidRPr="003F799E">
        <w:rPr>
          <w:bCs/>
          <w:szCs w:val="22"/>
          <w:lang w:val="en-US"/>
        </w:rPr>
        <w:t>R-717, R-744, HC-290, HC-1270, HFC-1234ze(E), HCFC-1233zd(E), HFC</w:t>
      </w:r>
      <w:r w:rsidRPr="003F799E">
        <w:rPr>
          <w:bCs/>
          <w:szCs w:val="22"/>
          <w:lang w:val="en-US"/>
        </w:rPr>
        <w:noBreakHyphen/>
        <w:t>1336mzz(Z), HFC-32, R-444B, R-446A, R-447A, and R-450A.</w:t>
      </w:r>
    </w:p>
    <w:p w14:paraId="31E53892" w14:textId="77777777" w:rsidR="00255612" w:rsidRPr="003F799E" w:rsidRDefault="00255612" w:rsidP="00255612">
      <w:pPr>
        <w:rPr>
          <w:szCs w:val="22"/>
          <w:lang w:val="en-US"/>
        </w:rPr>
      </w:pPr>
    </w:p>
    <w:p w14:paraId="41B7FFD9" w14:textId="77777777" w:rsidR="00255612" w:rsidRPr="003F799E" w:rsidRDefault="00255612" w:rsidP="00255612">
      <w:pPr>
        <w:spacing w:after="120"/>
        <w:rPr>
          <w:szCs w:val="22"/>
          <w:lang w:val="en-US"/>
        </w:rPr>
      </w:pPr>
      <w:r w:rsidRPr="003F799E">
        <w:rPr>
          <w:szCs w:val="22"/>
          <w:lang w:val="en-US"/>
        </w:rPr>
        <w:t>District cooling could provide a high efficiency solution that would avoid the installation of multiple pieces of small equipment.  Whilst it was agreed that such systems might be applicable under certain circumstances (e.g. when a major property development was being planned) it was not likely to be a solution for the majority of small systems.</w:t>
      </w:r>
    </w:p>
    <w:p w14:paraId="664D6C4E" w14:textId="6268F984" w:rsidR="00255612" w:rsidRPr="003D7112" w:rsidRDefault="00F46063" w:rsidP="002B7818">
      <w:pPr>
        <w:pStyle w:val="Heading2"/>
      </w:pPr>
      <w:bookmarkStart w:id="166" w:name="_Toc275448408"/>
      <w:bookmarkStart w:id="167" w:name="_Toc412716259"/>
      <w:bookmarkStart w:id="168" w:name="_Toc416613960"/>
      <w:bookmarkStart w:id="169" w:name="_Toc295406153"/>
      <w:bookmarkStart w:id="170" w:name="_Toc275448409"/>
      <w:r>
        <w:t>7.8.</w:t>
      </w:r>
      <w:r>
        <w:tab/>
      </w:r>
      <w:r w:rsidR="00255612" w:rsidRPr="003D7112">
        <w:t>Vehicle air conditioning</w:t>
      </w:r>
      <w:bookmarkEnd w:id="166"/>
      <w:bookmarkEnd w:id="167"/>
      <w:bookmarkEnd w:id="168"/>
      <w:bookmarkEnd w:id="169"/>
    </w:p>
    <w:p w14:paraId="4340CE7E" w14:textId="77777777" w:rsidR="00255612" w:rsidRPr="003F799E" w:rsidRDefault="00255612" w:rsidP="00255612">
      <w:pPr>
        <w:rPr>
          <w:szCs w:val="22"/>
        </w:rPr>
      </w:pPr>
      <w:r w:rsidRPr="003F799E">
        <w:rPr>
          <w:szCs w:val="22"/>
        </w:rPr>
        <w:t>The increasingly rapid evolution of hybrid electric vehicles and electric vehicles with reversible air conditioning and heat pump cycles, which use semi hermetic electrically driven compressors introduces new challenges for any new alternative refrigerant.</w:t>
      </w:r>
    </w:p>
    <w:p w14:paraId="031A4913" w14:textId="77777777" w:rsidR="00255612" w:rsidRPr="003F799E" w:rsidRDefault="00255612" w:rsidP="00255612">
      <w:pPr>
        <w:rPr>
          <w:szCs w:val="22"/>
        </w:rPr>
      </w:pPr>
      <w:r w:rsidRPr="003F799E">
        <w:rPr>
          <w:szCs w:val="22"/>
        </w:rPr>
        <w:t>It looks likely that more than one refrigerant will be used in the coming years for car and light truck air conditioning: HFC-134a will remain largely adopted worldwide, HFC-1234yf will continue its growth in the near future.  At the end of 2014, three million cars are stated to be on the road using HFC-1234yf.  R-744</w:t>
      </w:r>
      <w:r w:rsidRPr="003F799E">
        <w:rPr>
          <w:szCs w:val="22"/>
          <w:lang w:eastAsia="da-DK"/>
        </w:rPr>
        <w:t xml:space="preserve"> </w:t>
      </w:r>
      <w:r w:rsidRPr="003F799E">
        <w:rPr>
          <w:szCs w:val="22"/>
        </w:rPr>
        <w:t>is expected to be implemented on a commercial scale in certain regions by 2017. For large MAC systems using R-744</w:t>
      </w:r>
      <w:r w:rsidRPr="003F799E">
        <w:rPr>
          <w:szCs w:val="22"/>
          <w:lang w:eastAsia="da-DK"/>
        </w:rPr>
        <w:t xml:space="preserve"> </w:t>
      </w:r>
      <w:r w:rsidRPr="003F799E">
        <w:rPr>
          <w:szCs w:val="22"/>
        </w:rPr>
        <w:t>as an alternate refrigerant, ejector systems should be used to enhance the performance of the system at high ambient temperatures.</w:t>
      </w:r>
    </w:p>
    <w:bookmarkEnd w:id="170"/>
    <w:p w14:paraId="0BCF9667" w14:textId="77777777" w:rsidR="00255612" w:rsidRPr="003F799E" w:rsidRDefault="00255612" w:rsidP="00255612">
      <w:pPr>
        <w:rPr>
          <w:szCs w:val="22"/>
        </w:rPr>
      </w:pPr>
      <w:r w:rsidRPr="003F799E">
        <w:rPr>
          <w:szCs w:val="22"/>
        </w:rPr>
        <w:t>A few OEMs and suppliers have investigated hydrocarbons (HC-290, HC-600a) for direct expansion and HFC-152a in a secondary loop.  These can provide good thermal performance, but car manufacturers are not willing to apply these, due to flammability concerns.</w:t>
      </w:r>
    </w:p>
    <w:p w14:paraId="10FDBC16" w14:textId="77777777" w:rsidR="00255612" w:rsidRPr="003F799E" w:rsidRDefault="00255612" w:rsidP="00255612">
      <w:pPr>
        <w:rPr>
          <w:szCs w:val="22"/>
        </w:rPr>
      </w:pPr>
      <w:r w:rsidRPr="003F799E">
        <w:rPr>
          <w:szCs w:val="22"/>
        </w:rPr>
        <w:t>A few other new refrigerant mixtures for MACs have been developed (e.g. R-445A, GWP=120).  Some OEMs and suppliers have conducted extensive testing with R-445A for performance, material compatibility, flammability and risk assessment. For electric vehicles and hybrid vehicles heat pump systems are needed for passenger heating - both R-744</w:t>
      </w:r>
      <w:r w:rsidRPr="003F799E">
        <w:rPr>
          <w:szCs w:val="22"/>
          <w:lang w:eastAsia="da-DK"/>
        </w:rPr>
        <w:t xml:space="preserve"> </w:t>
      </w:r>
      <w:r w:rsidRPr="003F799E">
        <w:rPr>
          <w:szCs w:val="22"/>
        </w:rPr>
        <w:t xml:space="preserve">and R-445A have shown good performance in heat pump mode.   </w:t>
      </w:r>
    </w:p>
    <w:p w14:paraId="3E6E3089" w14:textId="77777777" w:rsidR="00255612" w:rsidRDefault="00255612" w:rsidP="00255612"/>
    <w:p w14:paraId="4BCAAED9" w14:textId="77777777" w:rsidR="002635F7" w:rsidRDefault="002635F7" w:rsidP="00255612">
      <w:pPr>
        <w:sectPr w:rsidR="002635F7">
          <w:headerReference w:type="even" r:id="rId33"/>
          <w:headerReference w:type="default" r:id="rId34"/>
          <w:footerReference w:type="even" r:id="rId35"/>
          <w:footnotePr>
            <w:numRestart w:val="eachSect"/>
          </w:footnotePr>
          <w:type w:val="nextColumn"/>
          <w:pgSz w:w="12242" w:h="15842" w:code="1"/>
          <w:pgMar w:top="1440" w:right="1797" w:bottom="1525" w:left="1797" w:header="720" w:footer="794" w:gutter="0"/>
          <w:cols w:space="720"/>
        </w:sectPr>
      </w:pPr>
    </w:p>
    <w:p w14:paraId="04695F38" w14:textId="74A1705D" w:rsidR="002635F7" w:rsidRPr="002635F7" w:rsidRDefault="007D7F62" w:rsidP="002635F7">
      <w:pPr>
        <w:rPr>
          <w:b/>
          <w:i/>
        </w:rPr>
      </w:pPr>
      <w:r>
        <w:rPr>
          <w:noProof/>
          <w:lang w:val="en-US" w:eastAsia="en-US"/>
        </w:rPr>
        <w:drawing>
          <wp:inline distT="0" distB="0" distL="0" distR="0" wp14:anchorId="706084DC" wp14:editId="009669AD">
            <wp:extent cx="8175625" cy="5663912"/>
            <wp:effectExtent l="0" t="0" r="3175" b="63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175625" cy="5663912"/>
                    </a:xfrm>
                    <a:prstGeom prst="rect">
                      <a:avLst/>
                    </a:prstGeom>
                    <a:noFill/>
                    <a:ln>
                      <a:noFill/>
                    </a:ln>
                  </pic:spPr>
                </pic:pic>
              </a:graphicData>
            </a:graphic>
          </wp:inline>
        </w:drawing>
      </w:r>
      <w:r>
        <w:rPr>
          <w:noProof/>
          <w:lang w:val="en-US" w:eastAsia="en-US"/>
        </w:rPr>
        <mc:AlternateContent>
          <mc:Choice Requires="wps">
            <w:drawing>
              <wp:anchor distT="0" distB="0" distL="114300" distR="114300" simplePos="0" relativeHeight="251659264" behindDoc="0" locked="0" layoutInCell="1" allowOverlap="1" wp14:anchorId="71EE9B97" wp14:editId="79894785">
                <wp:simplePos x="0" y="0"/>
                <wp:positionH relativeFrom="column">
                  <wp:posOffset>165735</wp:posOffset>
                </wp:positionH>
                <wp:positionV relativeFrom="paragraph">
                  <wp:posOffset>-338455</wp:posOffset>
                </wp:positionV>
                <wp:extent cx="7543800" cy="2286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7543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7651D8" w14:textId="18C73341" w:rsidR="00944592" w:rsidRDefault="00944592">
                            <w:r w:rsidRPr="00395A0D">
                              <w:rPr>
                                <w:b/>
                                <w:i/>
                              </w:rPr>
                              <w:t xml:space="preserve">Table </w:t>
                            </w:r>
                            <w:r>
                              <w:rPr>
                                <w:b/>
                                <w:i/>
                              </w:rPr>
                              <w:t>7-1.</w:t>
                            </w:r>
                            <w:r w:rsidRPr="00395A0D">
                              <w:rPr>
                                <w:b/>
                                <w:i/>
                              </w:rPr>
                              <w:t xml:space="preserve"> Application of ODS alternatives in the refrigeration and air conditioning sub-sectors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13.05pt;margin-top:-26.6pt;width:59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" filled="f" stroked="f">
                <v:textbox>
                  <w:txbxContent>
                    <w:p w14:paraId="3B7651D8" w14:textId="18C73341" w:rsidR="00FD2654" w:rsidRDefault="00FD2654">
                      <w:r w:rsidRPr="00395A0D">
                        <w:rPr>
                          <w:b/>
                          <w:i/>
                        </w:rPr>
                        <w:t xml:space="preserve">Table </w:t>
                      </w:r>
                      <w:r>
                        <w:rPr>
                          <w:b/>
                          <w:i/>
                        </w:rPr>
                        <w:t>7-1.</w:t>
                      </w:r>
                      <w:r w:rsidRPr="00395A0D">
                        <w:rPr>
                          <w:b/>
                          <w:i/>
                        </w:rPr>
                        <w:t xml:space="preserve"> Application of ODS alternatives in the refrigeration and air conditioning sub-sectors</w:t>
                      </w:r>
                    </w:p>
                  </w:txbxContent>
                </v:textbox>
                <w10:wrap type="square"/>
              </v:shape>
            </w:pict>
          </mc:Fallback>
        </mc:AlternateContent>
      </w:r>
    </w:p>
    <w:p w14:paraId="56A26F9F" w14:textId="7B86F490" w:rsidR="007D7F62" w:rsidRDefault="00537A3B" w:rsidP="007D7F62">
      <w:pPr>
        <w:sectPr w:rsidR="007D7F62" w:rsidSect="002635F7">
          <w:footnotePr>
            <w:numRestart w:val="eachSect"/>
          </w:footnotePr>
          <w:pgSz w:w="15840" w:h="12240" w:orient="landscape" w:code="1"/>
          <w:pgMar w:top="1797" w:right="1525" w:bottom="1797" w:left="1440" w:header="720" w:footer="794" w:gutter="0"/>
          <w:cols w:space="720"/>
        </w:sectPr>
      </w:pPr>
      <w:r>
        <w:rPr>
          <w:noProof/>
          <w:lang w:val="en-US" w:eastAsia="en-US"/>
        </w:rPr>
        <mc:AlternateContent>
          <mc:Choice Requires="wps">
            <w:drawing>
              <wp:anchor distT="0" distB="0" distL="114300" distR="114300" simplePos="0" relativeHeight="251660288" behindDoc="0" locked="0" layoutInCell="1" allowOverlap="1" wp14:anchorId="036139DE" wp14:editId="058C4DA9">
                <wp:simplePos x="0" y="0"/>
                <wp:positionH relativeFrom="column">
                  <wp:posOffset>-62865</wp:posOffset>
                </wp:positionH>
                <wp:positionV relativeFrom="paragraph">
                  <wp:posOffset>5490845</wp:posOffset>
                </wp:positionV>
                <wp:extent cx="8175625" cy="4572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8175625"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AA83B8" w14:textId="60A5735A" w:rsidR="00944592" w:rsidRPr="00537A3B" w:rsidRDefault="00944592">
                            <w:pPr>
                              <w:rPr>
                                <w:sz w:val="20"/>
                              </w:rPr>
                            </w:pPr>
                            <w:r>
                              <w:rPr>
                                <w:sz w:val="20"/>
                              </w:rPr>
                              <w:t>C = Current use on a commercial scale. L = Limited use such as for demonstration trials, niche applications etc. F = use is potentially feasible, based on fluid characteristics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7" type="#_x0000_t202" style="position:absolute;margin-left:-4.9pt;margin-top:432.35pt;width:643.75pt;height:36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" filled="f" stroked="f">
                <v:textbox>
                  <w:txbxContent>
                    <w:p w14:paraId="49AA83B8" w14:textId="60A5735A" w:rsidR="00537A3B" w:rsidRPr="00537A3B" w:rsidRDefault="00537A3B">
                      <w:pPr>
                        <w:rPr>
                          <w:sz w:val="20"/>
                        </w:rPr>
                      </w:pPr>
                      <w:r>
                        <w:rPr>
                          <w:sz w:val="20"/>
                        </w:rPr>
                        <w:t>C = Current use on a commercial scale. L = Limited use such as for demonstration trials, niche applications etc. F = use is potentially feasible, based on fluid characteristics</w:t>
                      </w:r>
                    </w:p>
                  </w:txbxContent>
                </v:textbox>
                <w10:wrap type="square"/>
              </v:shape>
            </w:pict>
          </mc:Fallback>
        </mc:AlternateContent>
      </w:r>
      <w:r w:rsidR="002635F7">
        <w:rPr>
          <w:noProof/>
          <w:lang w:val="en-US" w:eastAsia="en-US"/>
        </w:rPr>
        <w:drawing>
          <wp:inline distT="0" distB="0" distL="0" distR="0" wp14:anchorId="6C57EE99" wp14:editId="2709CD8C">
            <wp:extent cx="8251596" cy="5434881"/>
            <wp:effectExtent l="0" t="0" r="3810" b="127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51720" cy="5434963"/>
                    </a:xfrm>
                    <a:prstGeom prst="rect">
                      <a:avLst/>
                    </a:prstGeom>
                    <a:noFill/>
                    <a:ln>
                      <a:noFill/>
                    </a:ln>
                  </pic:spPr>
                </pic:pic>
              </a:graphicData>
            </a:graphic>
          </wp:inline>
        </w:drawing>
      </w:r>
    </w:p>
    <w:p w14:paraId="1CCD6E34" w14:textId="767428C5" w:rsidR="005B1FC8" w:rsidRDefault="00591AA8" w:rsidP="0030141E">
      <w:pPr>
        <w:pStyle w:val="Heading1"/>
      </w:pPr>
      <w:bookmarkStart w:id="171" w:name="_Toc295406154"/>
      <w:bookmarkStart w:id="172" w:name="_Toc388648370"/>
      <w:r>
        <w:t xml:space="preserve">8   </w:t>
      </w:r>
      <w:r w:rsidR="005B1FC8">
        <w:t>Response to Decision XXVI/7</w:t>
      </w:r>
      <w:r w:rsidR="00D14238">
        <w:t>: Availability of recovered, recycled or reclaimed halons</w:t>
      </w:r>
      <w:bookmarkEnd w:id="171"/>
      <w:r>
        <w:tab/>
      </w:r>
    </w:p>
    <w:p w14:paraId="10098FA5" w14:textId="3286CC0B" w:rsidR="005B1FC8" w:rsidRPr="00EC1422" w:rsidRDefault="005B1FC8" w:rsidP="002B7818">
      <w:pPr>
        <w:pStyle w:val="Heading2"/>
      </w:pPr>
      <w:bookmarkStart w:id="173" w:name="_Toc295406155"/>
      <w:bookmarkStart w:id="174" w:name="_Toc262216463"/>
      <w:r w:rsidRPr="00EC1422">
        <w:t>Executive Summary</w:t>
      </w:r>
      <w:bookmarkEnd w:id="173"/>
    </w:p>
    <w:p w14:paraId="59D85CBF" w14:textId="77777777" w:rsidR="005B1FC8" w:rsidRPr="005B1FC8" w:rsidRDefault="005B1FC8" w:rsidP="00E15FE9">
      <w:pPr>
        <w:pStyle w:val="ListParagraph"/>
        <w:keepNext/>
        <w:widowControl/>
        <w:numPr>
          <w:ilvl w:val="0"/>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Even though aviation applications of halon are among the most demanding uses, requiring suppression effectiveness at an acceptable toxicity level, civil aviation has not placed a high level priority on replacing halons.  It is a disappointing fact that alternatives are used only in the lavatory fire extinguishing systems of in-production aircraft.  It is especially disappointing given the research and testing efforts on aviation applications since 1993.</w:t>
      </w:r>
    </w:p>
    <w:p w14:paraId="5C6AE0E1" w14:textId="77777777" w:rsidR="005B1FC8" w:rsidRPr="005B1FC8" w:rsidRDefault="005B1FC8" w:rsidP="00E15FE9">
      <w:pPr>
        <w:pStyle w:val="ListParagraph"/>
        <w:keepNext/>
        <w:widowControl/>
        <w:numPr>
          <w:ilvl w:val="0"/>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The status of the alternatives in the various civil aviation applications of halons is as follows:</w:t>
      </w:r>
    </w:p>
    <w:p w14:paraId="0B41FB3F" w14:textId="77777777" w:rsidR="005B1FC8" w:rsidRPr="005B1FC8" w:rsidRDefault="005B1FC8" w:rsidP="00E15FE9">
      <w:pPr>
        <w:pStyle w:val="ListParagraph"/>
        <w:keepNext/>
        <w:widowControl/>
        <w:numPr>
          <w:ilvl w:val="1"/>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For lavatory trash receptacle systems, there are suitable alternative fire suppression systems (using HFC-227ea or HFC-236fa) available that meet the criteria for space, weight and toxicity, and cost the same or less than the halon 1301 systems being replaced. Reportedly, almost all new production aircraft are now installed with non-halon systems, and some airlines are retrofitting aircraft to these new systems during scheduled maintenance.</w:t>
      </w:r>
    </w:p>
    <w:p w14:paraId="7D505BC0" w14:textId="77777777" w:rsidR="005B1FC8" w:rsidRPr="005B1FC8" w:rsidRDefault="005B1FC8" w:rsidP="00E15FE9">
      <w:pPr>
        <w:pStyle w:val="ListParagraph"/>
        <w:keepNext/>
        <w:widowControl/>
        <w:numPr>
          <w:ilvl w:val="1"/>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HFC-125 has been used successfully as an alternative to halon 1301 for engine nacelle fire protection on U.S. military aircraft developed since the early 1990s, and more recently HFC-125 is currently being developed for use on a U.S. military derivative of a large commercial aircraft. Owing to increased space and weight and its high Global warming Potential (GWP), civil aircraft airframe manufacturers have chosen not to pursue qualification and installation certification for HFC-125 in engines/auxiliary power units (APUs) of civil aircraft.  The civil aviation industry has initiated a joint approach to identify a single agent for this application.</w:t>
      </w:r>
    </w:p>
    <w:p w14:paraId="0EDCD9FA" w14:textId="77777777" w:rsidR="005B1FC8" w:rsidRPr="005B1FC8" w:rsidRDefault="005B1FC8" w:rsidP="00E15FE9">
      <w:pPr>
        <w:pStyle w:val="ListParagraph"/>
        <w:keepNext/>
        <w:widowControl/>
        <w:numPr>
          <w:ilvl w:val="1"/>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 xml:space="preserve">For halon 1301 systems in cargo compartments, testing of halocarbon agents has shown that they are not technically or economically feasible owing to the space and weight requirements of maintaining the necessary high concentrations of these agents. Commercial development of a water mist/nitrogen cargo fire suppression system is in the early stages, and industry has initiated a joint industry approach to finding an alternative for this application.  </w:t>
      </w:r>
    </w:p>
    <w:p w14:paraId="49A2FDCC" w14:textId="77777777" w:rsidR="005B1FC8" w:rsidRPr="005B1FC8" w:rsidRDefault="005B1FC8" w:rsidP="00E15FE9">
      <w:pPr>
        <w:pStyle w:val="ListParagraph"/>
        <w:keepNext/>
        <w:widowControl/>
        <w:numPr>
          <w:ilvl w:val="1"/>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For halon 1211 in handheld extinguishers, three agents have passed the required testing and are commercially available. However, they have increased space and weight characteristics and some environmental concerns, so airframe manufacturers have chosen not to pursue qualification and installation certification for them. A new agent 2-BTP is currently under review with less space, weight and environmental concerns.</w:t>
      </w:r>
    </w:p>
    <w:p w14:paraId="0CEF5ADF" w14:textId="77777777" w:rsidR="005B1FC8" w:rsidRPr="005B1FC8" w:rsidRDefault="005B1FC8" w:rsidP="00E15FE9">
      <w:pPr>
        <w:pStyle w:val="ListParagraph"/>
        <w:keepNext/>
        <w:widowControl/>
        <w:numPr>
          <w:ilvl w:val="1"/>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For halon 1211 used in some Aircraft Rescue and Fire Fighting (ARFF) or Crash Rescue Vehicles on airport ramps, one low-Ozone Depletion Potential (ODP) and low-GWP HCFC blend has proven to be an effective replacement.</w:t>
      </w:r>
    </w:p>
    <w:p w14:paraId="557DD5BB" w14:textId="7862A5D6" w:rsidR="005B1FC8" w:rsidRPr="005B1FC8" w:rsidRDefault="005B1FC8" w:rsidP="00E15FE9">
      <w:pPr>
        <w:pStyle w:val="ListParagraph"/>
        <w:keepNext/>
        <w:widowControl/>
        <w:numPr>
          <w:ilvl w:val="0"/>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 xml:space="preserve">The estimated 2014 global halon 1301 bank is 41,500 metric tonnes while the estimated 2014 halon 1211 bank is 27,500 metric tonnes. However, there is likely to be a significant </w:t>
      </w:r>
      <w:r w:rsidR="006F1F1D">
        <w:rPr>
          <w:rFonts w:ascii="Times New Roman" w:hAnsi="Times New Roman"/>
          <w:sz w:val="22"/>
        </w:rPr>
        <w:t xml:space="preserve">difference </w:t>
      </w:r>
      <w:r w:rsidRPr="005B1FC8">
        <w:rPr>
          <w:rFonts w:ascii="Times New Roman" w:hAnsi="Times New Roman"/>
          <w:sz w:val="22"/>
        </w:rPr>
        <w:t xml:space="preserve">between the </w:t>
      </w:r>
      <w:r w:rsidR="00E73B08">
        <w:rPr>
          <w:rFonts w:ascii="Times New Roman" w:hAnsi="Times New Roman"/>
          <w:sz w:val="22"/>
        </w:rPr>
        <w:t xml:space="preserve">amount of </w:t>
      </w:r>
      <w:r w:rsidRPr="005B1FC8">
        <w:rPr>
          <w:rFonts w:ascii="Times New Roman" w:hAnsi="Times New Roman"/>
          <w:sz w:val="22"/>
        </w:rPr>
        <w:t xml:space="preserve">halon that is </w:t>
      </w:r>
      <w:r w:rsidR="00BA2B00">
        <w:rPr>
          <w:rFonts w:ascii="Times New Roman" w:hAnsi="Times New Roman"/>
          <w:sz w:val="22"/>
        </w:rPr>
        <w:t>estimated</w:t>
      </w:r>
      <w:r w:rsidRPr="005B1FC8">
        <w:rPr>
          <w:rFonts w:ascii="Times New Roman" w:hAnsi="Times New Roman"/>
          <w:sz w:val="22"/>
        </w:rPr>
        <w:t xml:space="preserve"> to exist, and the amount</w:t>
      </w:r>
      <w:r w:rsidR="00E73B08">
        <w:rPr>
          <w:rFonts w:ascii="Times New Roman" w:hAnsi="Times New Roman"/>
          <w:sz w:val="22"/>
        </w:rPr>
        <w:t xml:space="preserve"> </w:t>
      </w:r>
      <w:r w:rsidR="006F1F1D">
        <w:rPr>
          <w:rFonts w:ascii="Times New Roman" w:hAnsi="Times New Roman"/>
          <w:sz w:val="22"/>
        </w:rPr>
        <w:t>that could become available</w:t>
      </w:r>
      <w:r w:rsidR="00E73B08">
        <w:rPr>
          <w:rFonts w:ascii="Times New Roman" w:hAnsi="Times New Roman"/>
          <w:sz w:val="22"/>
        </w:rPr>
        <w:t xml:space="preserve"> for</w:t>
      </w:r>
      <w:r w:rsidRPr="005B1FC8">
        <w:rPr>
          <w:rFonts w:ascii="Times New Roman" w:hAnsi="Times New Roman"/>
          <w:sz w:val="22"/>
        </w:rPr>
        <w:t xml:space="preserve"> civil aviation</w:t>
      </w:r>
      <w:r w:rsidR="006F1F1D">
        <w:rPr>
          <w:rFonts w:ascii="Times New Roman" w:hAnsi="Times New Roman"/>
          <w:sz w:val="22"/>
        </w:rPr>
        <w:t>.</w:t>
      </w:r>
    </w:p>
    <w:p w14:paraId="577D5407" w14:textId="3EB22331" w:rsidR="005B1FC8" w:rsidRPr="005B1FC8" w:rsidRDefault="005B1FC8" w:rsidP="00E15FE9">
      <w:pPr>
        <w:pStyle w:val="ListParagraph"/>
        <w:keepNext/>
        <w:widowControl/>
        <w:numPr>
          <w:ilvl w:val="0"/>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At present, the halon demands of civil aviation a</w:t>
      </w:r>
      <w:r w:rsidR="009B3CF6">
        <w:rPr>
          <w:rFonts w:ascii="Times New Roman" w:hAnsi="Times New Roman"/>
          <w:sz w:val="22"/>
        </w:rPr>
        <w:t xml:space="preserve">re being met by recycling agent </w:t>
      </w:r>
      <w:r w:rsidRPr="005B1FC8">
        <w:rPr>
          <w:rFonts w:ascii="Times New Roman" w:hAnsi="Times New Roman"/>
          <w:sz w:val="22"/>
        </w:rPr>
        <w:t xml:space="preserve">withdrawn from applications in other industries. This source of supply will be dramatically reduced, and may even be exhausted long before the aircraft now being built and fitted with halon systems are retired.  </w:t>
      </w:r>
    </w:p>
    <w:p w14:paraId="7E0D7C5C" w14:textId="77777777" w:rsidR="005B1FC8" w:rsidRPr="005B1FC8" w:rsidRDefault="005B1FC8" w:rsidP="0030141E">
      <w:pPr>
        <w:pStyle w:val="ListParagraph"/>
        <w:keepNext/>
        <w:widowControl/>
        <w:numPr>
          <w:ilvl w:val="0"/>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The total amount of halon 1301 assumed to be available to meet aviation demands would come from commercial aviation stockpiles, computer/telecommunication facilities, and merchant shipping. It is estimated that the total amount of halon 1301 from these sources that could potentially come available to support civil aviation is 15,635 metric tonnes.</w:t>
      </w:r>
    </w:p>
    <w:p w14:paraId="6668E43C" w14:textId="77777777" w:rsidR="005B1FC8" w:rsidRPr="005B1FC8" w:rsidRDefault="005B1FC8" w:rsidP="00E15FE9">
      <w:pPr>
        <w:pStyle w:val="ListParagraph"/>
        <w:keepNext/>
        <w:widowControl/>
        <w:numPr>
          <w:ilvl w:val="0"/>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 xml:space="preserve">Based on the potential amount of halon 1301 from ship breaking, those annual amounts could be sufficient to cover civil aviation needs until that source runs out - between 2023 and 2033.  This assumes that all of the halon 1301 is fully recovered from shipbuilding and that all of it would be dedicated to civil aviation, both of which are likely not true today and, without significant effort, will not be true in the future. </w:t>
      </w:r>
    </w:p>
    <w:p w14:paraId="6108B3BA" w14:textId="76D2E87B" w:rsidR="005B1FC8" w:rsidRPr="005B1FC8" w:rsidRDefault="005B1FC8" w:rsidP="00E15FE9">
      <w:pPr>
        <w:pStyle w:val="ListParagraph"/>
        <w:keepNext/>
        <w:widowControl/>
        <w:numPr>
          <w:ilvl w:val="0"/>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Scenarios modelling that estimate 1) the availability of halon 1301 to service t</w:t>
      </w:r>
      <w:r w:rsidR="00640263">
        <w:rPr>
          <w:rFonts w:ascii="Times New Roman" w:hAnsi="Times New Roman"/>
          <w:sz w:val="22"/>
        </w:rPr>
        <w:t xml:space="preserve">he existing aviation fleet, 2) </w:t>
      </w:r>
      <w:r w:rsidRPr="005B1FC8">
        <w:rPr>
          <w:rFonts w:ascii="Times New Roman" w:hAnsi="Times New Roman"/>
          <w:sz w:val="22"/>
        </w:rPr>
        <w:t>account for aviation growth through 2050, and 3) service existing non-aviation applications, provide that in the worst</w:t>
      </w:r>
      <w:r w:rsidR="00640263">
        <w:rPr>
          <w:rFonts w:ascii="Times New Roman" w:hAnsi="Times New Roman"/>
          <w:sz w:val="22"/>
        </w:rPr>
        <w:t>-</w:t>
      </w:r>
      <w:r w:rsidRPr="005B1FC8">
        <w:rPr>
          <w:rFonts w:ascii="Times New Roman" w:hAnsi="Times New Roman"/>
          <w:sz w:val="22"/>
        </w:rPr>
        <w:t>case scenario, halon 1301 supplies for civil aviation would run out in 2036 and for the best</w:t>
      </w:r>
      <w:r w:rsidR="00640263">
        <w:rPr>
          <w:rFonts w:ascii="Times New Roman" w:hAnsi="Times New Roman"/>
          <w:sz w:val="22"/>
        </w:rPr>
        <w:t>-</w:t>
      </w:r>
      <w:r w:rsidRPr="005B1FC8">
        <w:rPr>
          <w:rFonts w:ascii="Times New Roman" w:hAnsi="Times New Roman"/>
          <w:sz w:val="22"/>
        </w:rPr>
        <w:t xml:space="preserve">case scenario, would run out in 2045. </w:t>
      </w:r>
    </w:p>
    <w:p w14:paraId="25E3CFEC" w14:textId="55954BDE" w:rsidR="005B1FC8" w:rsidRPr="005B1FC8" w:rsidRDefault="005B1FC8" w:rsidP="00E15FE9">
      <w:pPr>
        <w:pStyle w:val="ListParagraph"/>
        <w:keepNext/>
        <w:widowControl/>
        <w:numPr>
          <w:ilvl w:val="0"/>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While this may seem far out into the future, the reality is</w:t>
      </w:r>
      <w:r w:rsidR="00640263">
        <w:rPr>
          <w:rFonts w:ascii="Times New Roman" w:hAnsi="Times New Roman"/>
          <w:sz w:val="22"/>
        </w:rPr>
        <w:t xml:space="preserve"> that civil aircraft have a 30+ </w:t>
      </w:r>
      <w:r w:rsidRPr="005B1FC8">
        <w:rPr>
          <w:rFonts w:ascii="Times New Roman" w:hAnsi="Times New Roman"/>
          <w:sz w:val="22"/>
        </w:rPr>
        <w:t>year lifetime.  Therefore, for aircraft that have been manufactured since 2009 there is not enough halon 1301 projected to be available to support them throughout their economic lifetime in the worst</w:t>
      </w:r>
      <w:r w:rsidR="00640263">
        <w:rPr>
          <w:rFonts w:ascii="Times New Roman" w:hAnsi="Times New Roman"/>
          <w:sz w:val="22"/>
        </w:rPr>
        <w:t>-</w:t>
      </w:r>
      <w:r w:rsidRPr="005B1FC8">
        <w:rPr>
          <w:rFonts w:ascii="Times New Roman" w:hAnsi="Times New Roman"/>
          <w:sz w:val="22"/>
        </w:rPr>
        <w:t>case scenario.  However, even in the best</w:t>
      </w:r>
      <w:r w:rsidR="00640263">
        <w:rPr>
          <w:rFonts w:ascii="Times New Roman" w:hAnsi="Times New Roman"/>
          <w:sz w:val="22"/>
        </w:rPr>
        <w:t>-</w:t>
      </w:r>
      <w:r w:rsidRPr="005B1FC8">
        <w:rPr>
          <w:rFonts w:ascii="Times New Roman" w:hAnsi="Times New Roman"/>
          <w:sz w:val="22"/>
        </w:rPr>
        <w:t xml:space="preserve">case scenario, halon </w:t>
      </w:r>
      <w:r w:rsidR="00640263">
        <w:rPr>
          <w:rFonts w:ascii="Times New Roman" w:hAnsi="Times New Roman"/>
          <w:sz w:val="22"/>
        </w:rPr>
        <w:t>will</w:t>
      </w:r>
      <w:r w:rsidRPr="005B1FC8">
        <w:rPr>
          <w:rFonts w:ascii="Times New Roman" w:hAnsi="Times New Roman"/>
          <w:sz w:val="22"/>
        </w:rPr>
        <w:t xml:space="preserve"> only be available to support aircraft over their entire lifetime that are produced up until this year (i.e., 2015).</w:t>
      </w:r>
    </w:p>
    <w:p w14:paraId="2FAC530C" w14:textId="67E511F8" w:rsidR="005B1FC8" w:rsidRPr="005B1FC8" w:rsidRDefault="005B1FC8" w:rsidP="00E15FE9">
      <w:pPr>
        <w:pStyle w:val="ListParagraph"/>
        <w:keepNext/>
        <w:widowControl/>
        <w:numPr>
          <w:ilvl w:val="0"/>
          <w:numId w:val="61"/>
        </w:numPr>
        <w:tabs>
          <w:tab w:val="left" w:pos="720"/>
        </w:tabs>
        <w:autoSpaceDE w:val="0"/>
        <w:autoSpaceDN w:val="0"/>
        <w:spacing w:before="120" w:after="240"/>
        <w:ind w:firstLineChars="0"/>
        <w:jc w:val="left"/>
        <w:outlineLvl w:val="0"/>
        <w:rPr>
          <w:rFonts w:ascii="Times New Roman" w:hAnsi="Times New Roman"/>
          <w:sz w:val="22"/>
        </w:rPr>
      </w:pPr>
      <w:r w:rsidRPr="005B1FC8">
        <w:rPr>
          <w:rFonts w:ascii="Times New Roman" w:hAnsi="Times New Roman"/>
          <w:sz w:val="22"/>
        </w:rPr>
        <w:t xml:space="preserve">As the supply of halons gets further reduced, the likelihood of a significant disruption in supply increases dramatically.  If civil aviation does not stop producing new aircraft using halon 1301, they are already or soon will be producing aircraft that cannot be sustained over their economic lifetimes </w:t>
      </w:r>
      <w:r w:rsidR="00D15CC2">
        <w:rPr>
          <w:rFonts w:ascii="Times New Roman" w:hAnsi="Times New Roman"/>
          <w:sz w:val="22"/>
        </w:rPr>
        <w:t>from</w:t>
      </w:r>
      <w:r w:rsidRPr="005B1FC8">
        <w:rPr>
          <w:rFonts w:ascii="Times New Roman" w:hAnsi="Times New Roman"/>
          <w:sz w:val="22"/>
        </w:rPr>
        <w:t xml:space="preserve"> existing supplies of recycled halon 1301. </w:t>
      </w:r>
      <w:r w:rsidR="008B329D">
        <w:rPr>
          <w:rFonts w:ascii="Times New Roman" w:hAnsi="Times New Roman"/>
          <w:sz w:val="22"/>
        </w:rPr>
        <w:t>This may already be the case.</w:t>
      </w:r>
      <w:r w:rsidRPr="005B1FC8">
        <w:rPr>
          <w:rFonts w:ascii="Times New Roman" w:hAnsi="Times New Roman"/>
          <w:sz w:val="22"/>
        </w:rPr>
        <w:t xml:space="preserve"> </w:t>
      </w:r>
    </w:p>
    <w:p w14:paraId="00FAC3B0" w14:textId="59EF4191" w:rsidR="005B1FC8" w:rsidRPr="00780C84" w:rsidRDefault="005B1FC8" w:rsidP="00E15FE9">
      <w:pPr>
        <w:pStyle w:val="ListParagraph"/>
        <w:keepNext/>
        <w:widowControl/>
        <w:numPr>
          <w:ilvl w:val="0"/>
          <w:numId w:val="61"/>
        </w:numPr>
        <w:tabs>
          <w:tab w:val="left" w:pos="720"/>
        </w:tabs>
        <w:autoSpaceDE w:val="0"/>
        <w:autoSpaceDN w:val="0"/>
        <w:spacing w:before="120" w:after="240"/>
        <w:ind w:firstLineChars="0"/>
        <w:jc w:val="left"/>
        <w:outlineLvl w:val="0"/>
        <w:rPr>
          <w:rFonts w:ascii="Times New Roman" w:hAnsi="Times New Roman"/>
          <w:sz w:val="24"/>
        </w:rPr>
      </w:pPr>
      <w:r w:rsidRPr="005B1FC8">
        <w:rPr>
          <w:rFonts w:ascii="Times New Roman" w:hAnsi="Times New Roman"/>
          <w:sz w:val="22"/>
        </w:rPr>
        <w:t>Of all the halon use sectors, civil aviation is the least prepared to deal with diminishing halon supplies and, with the ultimate exhaustion of supplies, this sector will most likely be the one to request an Essential Use Nomination</w:t>
      </w:r>
      <w:r w:rsidR="008B329D">
        <w:rPr>
          <w:rFonts w:ascii="Times New Roman" w:hAnsi="Times New Roman"/>
          <w:sz w:val="22"/>
        </w:rPr>
        <w:t xml:space="preserve"> for production of new halon</w:t>
      </w:r>
      <w:r w:rsidRPr="005B1FC8">
        <w:rPr>
          <w:rFonts w:ascii="Times New Roman" w:hAnsi="Times New Roman"/>
          <w:sz w:val="22"/>
        </w:rPr>
        <w:t xml:space="preserve"> in the future</w:t>
      </w:r>
      <w:r w:rsidRPr="00780C84">
        <w:rPr>
          <w:rFonts w:ascii="Times New Roman" w:hAnsi="Times New Roman"/>
          <w:sz w:val="24"/>
        </w:rPr>
        <w:t>.</w:t>
      </w:r>
    </w:p>
    <w:p w14:paraId="2F31DFA0" w14:textId="043D4357" w:rsidR="005B1FC8" w:rsidRPr="0030141E" w:rsidRDefault="002210A2" w:rsidP="002B7818">
      <w:pPr>
        <w:pStyle w:val="Heading2"/>
      </w:pPr>
      <w:bookmarkStart w:id="175" w:name="_Toc295406156"/>
      <w:r w:rsidRPr="0030141E">
        <w:t>8.</w:t>
      </w:r>
      <w:r w:rsidR="00E57ABC" w:rsidRPr="0030141E">
        <w:t>1</w:t>
      </w:r>
      <w:r w:rsidRPr="0030141E">
        <w:t>.</w:t>
      </w:r>
      <w:r w:rsidRPr="0030141E">
        <w:tab/>
      </w:r>
      <w:r w:rsidR="005B1FC8" w:rsidRPr="0030141E">
        <w:t>Mandate and scope of the report</w:t>
      </w:r>
      <w:bookmarkEnd w:id="175"/>
    </w:p>
    <w:p w14:paraId="275CC8CE" w14:textId="77777777" w:rsidR="005B1FC8" w:rsidRPr="00EC1422" w:rsidRDefault="005B1FC8" w:rsidP="005B1FC8">
      <w:pPr>
        <w:keepNext/>
        <w:widowControl w:val="0"/>
        <w:tabs>
          <w:tab w:val="left" w:pos="1440"/>
        </w:tabs>
        <w:autoSpaceDE w:val="0"/>
        <w:autoSpaceDN w:val="0"/>
        <w:adjustRightInd w:val="0"/>
        <w:spacing w:after="120"/>
        <w:ind w:right="29"/>
        <w:outlineLvl w:val="1"/>
      </w:pPr>
      <w:r w:rsidRPr="00EC1422">
        <w:t>Decision XXVI/7 on the availability of recovered, recycled or reclaimed halons requests the Technology and Economic Assessment Panel, through its Halons Technical Options Committee:</w:t>
      </w:r>
    </w:p>
    <w:p w14:paraId="2D905759" w14:textId="77777777" w:rsidR="005B1FC8" w:rsidRPr="00EC1422" w:rsidRDefault="005B1FC8" w:rsidP="005B1FC8">
      <w:pPr>
        <w:keepNext/>
        <w:widowControl w:val="0"/>
        <w:tabs>
          <w:tab w:val="left" w:pos="1260"/>
        </w:tabs>
        <w:autoSpaceDE w:val="0"/>
        <w:autoSpaceDN w:val="0"/>
        <w:adjustRightInd w:val="0"/>
        <w:spacing w:after="120"/>
        <w:ind w:left="720" w:right="29"/>
        <w:outlineLvl w:val="1"/>
      </w:pPr>
      <w:r w:rsidRPr="00EC1422">
        <w:t>(a)</w:t>
      </w:r>
      <w:r w:rsidRPr="00EC1422">
        <w:tab/>
        <w:t xml:space="preserve">To continue to liaise with the International Civil Aviation Organisation to facilitate the transition to halon alternatives, to approach the International Maritime Organisation to estimate the amount and purity of halon 1211 and 1301 available from the breaking of ships and to report information on global stocks of recovered halons to the parties in its 2015 </w:t>
      </w:r>
      <w:r w:rsidR="002210A2">
        <w:t>P</w:t>
      </w:r>
      <w:r w:rsidRPr="00EC1422">
        <w:t xml:space="preserve">rogress </w:t>
      </w:r>
      <w:r w:rsidR="002210A2">
        <w:t>R</w:t>
      </w:r>
      <w:r w:rsidRPr="00EC1422">
        <w:t>eport;</w:t>
      </w:r>
    </w:p>
    <w:p w14:paraId="1573BEA0" w14:textId="77777777" w:rsidR="005B1FC8" w:rsidRPr="00EC1422" w:rsidRDefault="005B1FC8" w:rsidP="005B1FC8">
      <w:pPr>
        <w:keepNext/>
        <w:widowControl w:val="0"/>
        <w:tabs>
          <w:tab w:val="left" w:pos="1260"/>
        </w:tabs>
        <w:autoSpaceDE w:val="0"/>
        <w:autoSpaceDN w:val="0"/>
        <w:adjustRightInd w:val="0"/>
        <w:spacing w:after="120"/>
        <w:ind w:left="720" w:right="29"/>
        <w:outlineLvl w:val="1"/>
      </w:pPr>
      <w:r w:rsidRPr="00EC1422">
        <w:t>(b)</w:t>
      </w:r>
      <w:r w:rsidRPr="00EC1422">
        <w:tab/>
        <w:t>To report on existing and emerging alternatives for halons, including information on their characteristics and their rate of adoption, in particular for aviation uses;</w:t>
      </w:r>
    </w:p>
    <w:p w14:paraId="1464AE52" w14:textId="60153108" w:rsidR="005B1FC8" w:rsidRPr="00EC1422" w:rsidRDefault="005B1FC8" w:rsidP="005B1FC8">
      <w:pPr>
        <w:keepNext/>
        <w:widowControl w:val="0"/>
        <w:autoSpaceDE w:val="0"/>
        <w:autoSpaceDN w:val="0"/>
        <w:adjustRightInd w:val="0"/>
        <w:spacing w:after="120"/>
        <w:ind w:right="29"/>
        <w:outlineLvl w:val="1"/>
      </w:pPr>
      <w:r w:rsidRPr="00EC1422">
        <w:t xml:space="preserve">The full text of the decision is available in </w:t>
      </w:r>
      <w:r w:rsidR="00E57ABC" w:rsidRPr="00EC1422">
        <w:t xml:space="preserve">Annex </w:t>
      </w:r>
      <w:r w:rsidR="0095076E">
        <w:t xml:space="preserve">3 </w:t>
      </w:r>
      <w:r w:rsidR="00E57ABC">
        <w:t xml:space="preserve">of this </w:t>
      </w:r>
      <w:r w:rsidR="0095076E">
        <w:t>Report</w:t>
      </w:r>
      <w:r w:rsidR="00E57ABC" w:rsidRPr="00EC1422">
        <w:t>.</w:t>
      </w:r>
    </w:p>
    <w:bookmarkEnd w:id="174"/>
    <w:p w14:paraId="758045BB" w14:textId="77777777" w:rsidR="005B1FC8" w:rsidRPr="00EC1422" w:rsidRDefault="005B1FC8" w:rsidP="005B1FC8">
      <w:pPr>
        <w:keepNext/>
        <w:widowControl w:val="0"/>
        <w:adjustRightInd w:val="0"/>
        <w:spacing w:after="120"/>
        <w:ind w:right="29"/>
        <w:outlineLvl w:val="1"/>
      </w:pPr>
      <w:r w:rsidRPr="00EC1422">
        <w:t xml:space="preserve">In response to the Decision XXVI/7, the co-chairs of the Halons Technical Options Committee (HTOC) assigned the effort to a working group amongst its members, with the addition of a co-chair of Technology and Economic Panel (TEAP) who previously served as a member of the HTOC.  </w:t>
      </w:r>
    </w:p>
    <w:p w14:paraId="5500197F" w14:textId="77777777" w:rsidR="005B1FC8" w:rsidRPr="00EC1422" w:rsidRDefault="005B1FC8" w:rsidP="005B1FC8">
      <w:pPr>
        <w:keepNext/>
        <w:widowControl w:val="0"/>
        <w:adjustRightInd w:val="0"/>
        <w:spacing w:after="120"/>
        <w:ind w:right="29"/>
        <w:outlineLvl w:val="1"/>
      </w:pPr>
      <w:r w:rsidRPr="00EC1422">
        <w:t>Work was conducted initially by electronic communication, and several members were able to meet face-to-face in Bangkok on the margins of the TEAP and Open-ended Working Group (OEWG)-35 meetings, held 16-19 April, 2015 and 22-24, 2015, respectively, in Bangkok, Thailand.</w:t>
      </w:r>
    </w:p>
    <w:p w14:paraId="7FDEF76C" w14:textId="65C8F71A" w:rsidR="005B1FC8" w:rsidRPr="00EC1422" w:rsidRDefault="005B1FC8" w:rsidP="005B1FC8">
      <w:pPr>
        <w:keepNext/>
        <w:widowControl w:val="0"/>
        <w:adjustRightInd w:val="0"/>
        <w:spacing w:after="120"/>
        <w:ind w:right="29"/>
        <w:outlineLvl w:val="1"/>
      </w:pPr>
      <w:r w:rsidRPr="00EC1422">
        <w:t xml:space="preserve">The rest of this </w:t>
      </w:r>
      <w:r w:rsidR="00B92517">
        <w:t>chapter</w:t>
      </w:r>
      <w:r w:rsidR="00B92517" w:rsidRPr="00EC1422">
        <w:t xml:space="preserve"> </w:t>
      </w:r>
      <w:r w:rsidRPr="00EC1422">
        <w:t>is organised as follows:</w:t>
      </w:r>
    </w:p>
    <w:p w14:paraId="27C6E5B8" w14:textId="69BC866C" w:rsidR="005B1FC8" w:rsidRPr="00EC1422" w:rsidRDefault="00B92517" w:rsidP="005B1FC8">
      <w:pPr>
        <w:keepNext/>
        <w:widowControl w:val="0"/>
        <w:adjustRightInd w:val="0"/>
        <w:spacing w:after="120"/>
        <w:ind w:left="360" w:right="29"/>
        <w:outlineLvl w:val="1"/>
        <w:rPr>
          <w:rFonts w:eastAsia="MS Mincho"/>
          <w:i/>
          <w:snapToGrid w:val="0"/>
          <w:lang w:eastAsia="ja-JP"/>
        </w:rPr>
      </w:pPr>
      <w:r>
        <w:rPr>
          <w:rFonts w:eastAsia="MS Mincho"/>
          <w:i/>
          <w:snapToGrid w:val="0"/>
          <w:lang w:eastAsia="ja-JP"/>
        </w:rPr>
        <w:t>Section 8.</w:t>
      </w:r>
      <w:r w:rsidRPr="00EC1422">
        <w:rPr>
          <w:rFonts w:eastAsia="MS Mincho"/>
          <w:i/>
          <w:snapToGrid w:val="0"/>
          <w:lang w:eastAsia="ja-JP"/>
        </w:rPr>
        <w:t xml:space="preserve"> </w:t>
      </w:r>
      <w:r w:rsidR="005B1FC8" w:rsidRPr="00EC1422">
        <w:rPr>
          <w:rFonts w:eastAsia="MS Mincho"/>
          <w:i/>
          <w:snapToGrid w:val="0"/>
          <w:lang w:eastAsia="ja-JP"/>
        </w:rPr>
        <w:t xml:space="preserve">2 - Background </w:t>
      </w:r>
    </w:p>
    <w:p w14:paraId="14678483" w14:textId="007DBF3F" w:rsidR="005B1FC8" w:rsidRPr="00EC1422" w:rsidRDefault="00B92517" w:rsidP="005B1FC8">
      <w:pPr>
        <w:keepNext/>
        <w:widowControl w:val="0"/>
        <w:adjustRightInd w:val="0"/>
        <w:spacing w:after="120"/>
        <w:ind w:left="360" w:right="29"/>
        <w:outlineLvl w:val="1"/>
        <w:rPr>
          <w:rFonts w:eastAsia="MS Mincho"/>
          <w:i/>
          <w:snapToGrid w:val="0"/>
          <w:lang w:eastAsia="ja-JP"/>
        </w:rPr>
      </w:pPr>
      <w:r>
        <w:rPr>
          <w:rFonts w:eastAsia="MS Mincho"/>
          <w:i/>
          <w:snapToGrid w:val="0"/>
          <w:lang w:eastAsia="ja-JP"/>
        </w:rPr>
        <w:t>Section 8.</w:t>
      </w:r>
      <w:r w:rsidRPr="00EC1422">
        <w:rPr>
          <w:rFonts w:eastAsia="MS Mincho"/>
          <w:i/>
          <w:snapToGrid w:val="0"/>
          <w:lang w:eastAsia="ja-JP"/>
        </w:rPr>
        <w:t xml:space="preserve"> </w:t>
      </w:r>
      <w:r w:rsidR="005B1FC8" w:rsidRPr="00EC1422">
        <w:rPr>
          <w:rFonts w:eastAsia="MS Mincho"/>
          <w:i/>
          <w:snapToGrid w:val="0"/>
          <w:lang w:eastAsia="ja-JP"/>
        </w:rPr>
        <w:t>3 – Status of Currently Available Alternatives to Halons for Civil Aviation</w:t>
      </w:r>
    </w:p>
    <w:p w14:paraId="62533FB3" w14:textId="731E777A" w:rsidR="005B1FC8" w:rsidRPr="00EC1422" w:rsidRDefault="00B92517" w:rsidP="005B1FC8">
      <w:pPr>
        <w:keepNext/>
        <w:widowControl w:val="0"/>
        <w:adjustRightInd w:val="0"/>
        <w:spacing w:after="120"/>
        <w:ind w:left="360" w:right="29"/>
        <w:outlineLvl w:val="1"/>
        <w:rPr>
          <w:rFonts w:eastAsia="MS Mincho"/>
          <w:i/>
          <w:snapToGrid w:val="0"/>
          <w:lang w:eastAsia="ja-JP"/>
        </w:rPr>
      </w:pPr>
      <w:r>
        <w:rPr>
          <w:rFonts w:eastAsia="MS Mincho"/>
          <w:i/>
          <w:snapToGrid w:val="0"/>
          <w:lang w:eastAsia="ja-JP"/>
        </w:rPr>
        <w:t>Section 8.</w:t>
      </w:r>
      <w:r w:rsidR="005B1FC8" w:rsidRPr="00EC1422">
        <w:rPr>
          <w:rFonts w:eastAsia="MS Mincho"/>
          <w:i/>
          <w:snapToGrid w:val="0"/>
          <w:lang w:eastAsia="ja-JP"/>
        </w:rPr>
        <w:t>4 – Estimated Civil Aviation Halon Installed Base</w:t>
      </w:r>
    </w:p>
    <w:p w14:paraId="2EBF9304" w14:textId="72DA67DF" w:rsidR="005B1FC8" w:rsidRPr="00EC1422" w:rsidRDefault="00B92517" w:rsidP="005B1FC8">
      <w:pPr>
        <w:keepNext/>
        <w:widowControl w:val="0"/>
        <w:adjustRightInd w:val="0"/>
        <w:spacing w:after="120"/>
        <w:ind w:left="360" w:right="29"/>
        <w:outlineLvl w:val="1"/>
        <w:rPr>
          <w:rFonts w:eastAsia="MS Mincho"/>
          <w:i/>
          <w:snapToGrid w:val="0"/>
          <w:lang w:eastAsia="ja-JP"/>
        </w:rPr>
      </w:pPr>
      <w:r>
        <w:rPr>
          <w:rFonts w:eastAsia="MS Mincho"/>
          <w:i/>
          <w:snapToGrid w:val="0"/>
          <w:lang w:eastAsia="ja-JP"/>
        </w:rPr>
        <w:t>Section</w:t>
      </w:r>
      <w:r w:rsidRPr="00EC1422">
        <w:rPr>
          <w:rFonts w:eastAsia="MS Mincho"/>
          <w:i/>
          <w:snapToGrid w:val="0"/>
          <w:lang w:eastAsia="ja-JP"/>
        </w:rPr>
        <w:t xml:space="preserve"> </w:t>
      </w:r>
      <w:r>
        <w:rPr>
          <w:rFonts w:eastAsia="MS Mincho"/>
          <w:i/>
          <w:snapToGrid w:val="0"/>
          <w:lang w:eastAsia="ja-JP"/>
        </w:rPr>
        <w:t>8.</w:t>
      </w:r>
      <w:r w:rsidR="005B1FC8" w:rsidRPr="00EC1422">
        <w:rPr>
          <w:rFonts w:eastAsia="MS Mincho"/>
          <w:i/>
          <w:snapToGrid w:val="0"/>
          <w:lang w:eastAsia="ja-JP"/>
        </w:rPr>
        <w:t>5 – Estimates of Global Quantities of Halons</w:t>
      </w:r>
    </w:p>
    <w:p w14:paraId="0677C3E4" w14:textId="3FCFD89D" w:rsidR="005B1FC8" w:rsidRPr="00EC1422" w:rsidRDefault="00B92517" w:rsidP="005B1FC8">
      <w:pPr>
        <w:keepNext/>
        <w:widowControl w:val="0"/>
        <w:adjustRightInd w:val="0"/>
        <w:spacing w:after="120"/>
        <w:ind w:left="360" w:right="29"/>
        <w:outlineLvl w:val="1"/>
        <w:rPr>
          <w:rFonts w:eastAsia="MS Mincho"/>
          <w:i/>
          <w:snapToGrid w:val="0"/>
          <w:lang w:eastAsia="ja-JP"/>
        </w:rPr>
      </w:pPr>
      <w:r>
        <w:rPr>
          <w:rFonts w:eastAsia="MS Mincho"/>
          <w:i/>
          <w:snapToGrid w:val="0"/>
          <w:lang w:eastAsia="ja-JP"/>
        </w:rPr>
        <w:t>Section</w:t>
      </w:r>
      <w:r w:rsidRPr="00EC1422">
        <w:rPr>
          <w:rFonts w:eastAsia="MS Mincho"/>
          <w:i/>
          <w:snapToGrid w:val="0"/>
          <w:lang w:eastAsia="ja-JP"/>
        </w:rPr>
        <w:t xml:space="preserve"> </w:t>
      </w:r>
      <w:r>
        <w:rPr>
          <w:rFonts w:eastAsia="MS Mincho"/>
          <w:i/>
          <w:snapToGrid w:val="0"/>
          <w:lang w:eastAsia="ja-JP"/>
        </w:rPr>
        <w:t>8.</w:t>
      </w:r>
      <w:r w:rsidR="005B1FC8" w:rsidRPr="00EC1422">
        <w:rPr>
          <w:rFonts w:eastAsia="MS Mincho"/>
          <w:i/>
          <w:snapToGrid w:val="0"/>
          <w:lang w:eastAsia="ja-JP"/>
        </w:rPr>
        <w:t>6 - Halon Needs for Civil Aviation</w:t>
      </w:r>
    </w:p>
    <w:p w14:paraId="3BA2C796" w14:textId="23B5C997" w:rsidR="001E6351" w:rsidRDefault="005B1FC8" w:rsidP="005B1FC8">
      <w:pPr>
        <w:keepNext/>
        <w:widowControl w:val="0"/>
        <w:adjustRightInd w:val="0"/>
        <w:spacing w:after="120"/>
        <w:ind w:left="360" w:right="29"/>
        <w:outlineLvl w:val="1"/>
        <w:rPr>
          <w:bCs/>
          <w:i/>
        </w:rPr>
      </w:pPr>
      <w:r w:rsidRPr="00EC1422">
        <w:rPr>
          <w:i/>
        </w:rPr>
        <w:t xml:space="preserve">Annex </w:t>
      </w:r>
      <w:r w:rsidR="00B92517">
        <w:rPr>
          <w:i/>
        </w:rPr>
        <w:t>3</w:t>
      </w:r>
      <w:r w:rsidR="00B92517" w:rsidRPr="00EC1422">
        <w:rPr>
          <w:i/>
        </w:rPr>
        <w:t xml:space="preserve"> </w:t>
      </w:r>
      <w:r w:rsidRPr="00EC1422">
        <w:rPr>
          <w:i/>
        </w:rPr>
        <w:t xml:space="preserve">- </w:t>
      </w:r>
      <w:r w:rsidR="00B92517">
        <w:rPr>
          <w:i/>
        </w:rPr>
        <w:t>Decision</w:t>
      </w:r>
      <w:r w:rsidRPr="00EC1422">
        <w:rPr>
          <w:i/>
        </w:rPr>
        <w:t xml:space="preserve"> </w:t>
      </w:r>
      <w:r w:rsidRPr="00EC1422">
        <w:rPr>
          <w:bCs/>
          <w:i/>
        </w:rPr>
        <w:t>XXVI/7: Availability of recovered, recycled or reclaimed halons</w:t>
      </w:r>
    </w:p>
    <w:p w14:paraId="6ECFA373" w14:textId="77777777" w:rsidR="005B1FC8" w:rsidRPr="00EC1422" w:rsidRDefault="005B1FC8" w:rsidP="005B1FC8">
      <w:pPr>
        <w:keepNext/>
        <w:widowControl w:val="0"/>
        <w:adjustRightInd w:val="0"/>
        <w:spacing w:after="120"/>
        <w:ind w:left="360" w:right="29"/>
        <w:outlineLvl w:val="1"/>
        <w:rPr>
          <w:bCs/>
          <w:i/>
        </w:rPr>
      </w:pPr>
      <w:r w:rsidRPr="00EC1422">
        <w:rPr>
          <w:bCs/>
          <w:i/>
        </w:rPr>
        <w:t xml:space="preserve"> </w:t>
      </w:r>
      <w:bookmarkStart w:id="176" w:name="_Toc400453570"/>
    </w:p>
    <w:p w14:paraId="2EBE6A70" w14:textId="555A6D0E" w:rsidR="005B1FC8" w:rsidRPr="00EC1422" w:rsidRDefault="00E57ABC" w:rsidP="002B7818">
      <w:pPr>
        <w:pStyle w:val="Heading2"/>
      </w:pPr>
      <w:bookmarkStart w:id="177" w:name="_Toc295406157"/>
      <w:r>
        <w:t xml:space="preserve">8.2.  </w:t>
      </w:r>
      <w:r w:rsidR="005B1FC8" w:rsidRPr="00EC1422">
        <w:t>Background</w:t>
      </w:r>
      <w:bookmarkEnd w:id="176"/>
      <w:bookmarkEnd w:id="177"/>
    </w:p>
    <w:p w14:paraId="5A0627AC" w14:textId="2FA82222" w:rsidR="005B1FC8" w:rsidRPr="00EC1422" w:rsidRDefault="002210A2" w:rsidP="002B7818">
      <w:pPr>
        <w:pStyle w:val="Heading3"/>
      </w:pPr>
      <w:bookmarkStart w:id="178" w:name="_Toc400453571"/>
      <w:r>
        <w:rPr>
          <w:rStyle w:val="Heading3Char1"/>
        </w:rPr>
        <w:tab/>
      </w:r>
      <w:bookmarkStart w:id="179" w:name="_Toc295406158"/>
      <w:r w:rsidRPr="002210A2">
        <w:rPr>
          <w:rStyle w:val="Heading3Char1"/>
          <w:b w:val="0"/>
          <w:i/>
          <w:sz w:val="22"/>
        </w:rPr>
        <w:t>8.</w:t>
      </w:r>
      <w:r w:rsidR="00E57ABC">
        <w:rPr>
          <w:rStyle w:val="Heading3Char1"/>
          <w:b w:val="0"/>
          <w:i/>
          <w:sz w:val="22"/>
        </w:rPr>
        <w:t>2</w:t>
      </w:r>
      <w:r w:rsidRPr="002210A2">
        <w:rPr>
          <w:rStyle w:val="Heading3Char1"/>
          <w:b w:val="0"/>
          <w:i/>
          <w:sz w:val="22"/>
        </w:rPr>
        <w:t>.1.</w:t>
      </w:r>
      <w:r w:rsidRPr="002210A2">
        <w:rPr>
          <w:rStyle w:val="Heading3Char1"/>
          <w:b w:val="0"/>
          <w:i/>
          <w:sz w:val="22"/>
        </w:rPr>
        <w:tab/>
      </w:r>
      <w:r w:rsidR="005B1FC8" w:rsidRPr="002210A2">
        <w:rPr>
          <w:rStyle w:val="Heading3Char1"/>
          <w:b w:val="0"/>
          <w:i/>
          <w:sz w:val="22"/>
        </w:rPr>
        <w:t>The</w:t>
      </w:r>
      <w:r w:rsidR="005B1FC8" w:rsidRPr="002210A2">
        <w:t xml:space="preserve"> Montreal Protocol and the Phase-Out of Halons</w:t>
      </w:r>
      <w:bookmarkEnd w:id="178"/>
      <w:bookmarkEnd w:id="179"/>
    </w:p>
    <w:p w14:paraId="392CDB49" w14:textId="77777777" w:rsidR="005B1FC8" w:rsidRPr="00EC1422" w:rsidRDefault="005B1FC8" w:rsidP="002210A2">
      <w:pPr>
        <w:spacing w:after="60"/>
      </w:pPr>
      <w:r w:rsidRPr="00EC1422">
        <w:t>The Montreal Protocol calls for the phase out of production and consumption of nearly 100 chemicals, including halons. In accordance with Protocol adjustments, production of halons in the United States and other developed countries ceased at the end of 1993 and halon production ceased in developing countries at the end of 2009.  Although new production has been phased out globally since 2009, the Protocol allows the Parties to use and trade in previously used halons. To date, global supplies of previously used halons have been sufficient to supply residual important uses, including the use of halons in aviation.</w:t>
      </w:r>
    </w:p>
    <w:p w14:paraId="08E54548" w14:textId="77777777" w:rsidR="005B1FC8" w:rsidRPr="00EC1422" w:rsidRDefault="002210A2" w:rsidP="002210A2">
      <w:r>
        <w:br/>
      </w:r>
      <w:r w:rsidR="005B1FC8" w:rsidRPr="00EC1422">
        <w:t>Over the last two decades, the Halons Technical Options Committee (HTOC) has tracked the efforts that the Parties and their respective users have made in transitioning away from the use of halons. One area of continuing concern, however, has been the continued reliance on halons by the civil aviation community. Halon is used in four major aircraft on-board applications: lavatory trash receptacles, hand-held extinguishers, engine nacelles/auxiliary power units (APUs), and cargo compartments. In addition to on-board aircraft applications, halon is also used in some aircraft rescue and fire fighting (ARFF) or crash rescue vehicles on airport ramps. The Parties through a number of decisions under the Protocol have requested the Ozone Secretariat as well as the HTOC to work with the International Civil Aviation Organisation (ICAO) on the transition to alternatives to halons for aviation uses. Towards that end, the HTOC worked for several years with the ICAO Secretariat and ICAO stakeholders through the ICAO Halons Working Group. After several years of discussion, that group agreed that proposed timelines for halon replacement should be incorporated into ICAO Standards and Recommended Practices (SARPs), and ultimately be adopted by States in their national frameworks.</w:t>
      </w:r>
    </w:p>
    <w:p w14:paraId="5E9F92C0" w14:textId="0916A0FC" w:rsidR="005B1FC8" w:rsidRPr="00EC1422" w:rsidRDefault="00E57ABC" w:rsidP="002B7818">
      <w:pPr>
        <w:pStyle w:val="Heading3"/>
      </w:pPr>
      <w:r>
        <w:tab/>
      </w:r>
      <w:bookmarkStart w:id="180" w:name="_Toc295406159"/>
      <w:r w:rsidR="001E6351">
        <w:t>8.</w:t>
      </w:r>
      <w:r>
        <w:t>2</w:t>
      </w:r>
      <w:r w:rsidR="001E6351">
        <w:t>.2.</w:t>
      </w:r>
      <w:r w:rsidR="001E6351">
        <w:tab/>
      </w:r>
      <w:r w:rsidR="005B1FC8" w:rsidRPr="00EC1422">
        <w:t>ICAO Assembly Resolutions and EU Regulations on Halon Replacement</w:t>
      </w:r>
      <w:bookmarkEnd w:id="180"/>
    </w:p>
    <w:p w14:paraId="2ACDC769" w14:textId="77777777" w:rsidR="005B1FC8" w:rsidRPr="00EC1422" w:rsidRDefault="005B1FC8" w:rsidP="001E6351">
      <w:r w:rsidRPr="00EC1422">
        <w:t>Formed in 1944 with the signing of the Convention on International Civil Aviation (the “Chicago Convention”), ICAO’s mission is to promote the safe and orderly development of all aspects of international civil aeronautics, and provides the forum for issues affecting civil aviation to be discussed. It is headquartered in Montreal, Canada, with seven regional offices throughout the world. At present, the Organisation is comprised of 191 Contracting States.</w:t>
      </w:r>
    </w:p>
    <w:p w14:paraId="3367E40F" w14:textId="77777777" w:rsidR="005B1FC8" w:rsidRPr="00EC1422" w:rsidRDefault="005B1FC8" w:rsidP="001E6351">
      <w:r w:rsidRPr="00EC1422">
        <w:t>In collaboration with Contracting States and industry, ICAO first introduced proposed actions for the international aviation community regarding halon replacement in 2007 at the 36</w:t>
      </w:r>
      <w:r w:rsidRPr="00EC1422">
        <w:rPr>
          <w:vertAlign w:val="superscript"/>
        </w:rPr>
        <w:t>th</w:t>
      </w:r>
      <w:r w:rsidRPr="00EC1422">
        <w:t xml:space="preserve"> ICAO Assembly. This was done with the strong support of the U.S., which presented several formal working papers endorsing collaboration and cooperation throughout the aviation community to affect the transition beyond halon reliance.  This resulted in a series of Assembly Resolutions from the past three ICAO Assemblies directing specific action to the ICAO Council based on the progress of developing and identifying halon replacements and implementing such replacements into aircraft fire suppression systems.</w:t>
      </w:r>
    </w:p>
    <w:p w14:paraId="33A4CFEB" w14:textId="77777777" w:rsidR="005B1FC8" w:rsidRPr="00EC1422" w:rsidRDefault="005B1FC8" w:rsidP="001E6351">
      <w:r w:rsidRPr="00EC1422">
        <w:rPr>
          <w:rFonts w:eastAsia="Tahoma"/>
        </w:rPr>
        <w:t>ICAO Resolution A37-9, adopted at the 37</w:t>
      </w:r>
      <w:r w:rsidRPr="00EC1422">
        <w:rPr>
          <w:rFonts w:eastAsia="Tahoma"/>
          <w:vertAlign w:val="superscript"/>
        </w:rPr>
        <w:t>th</w:t>
      </w:r>
      <w:r w:rsidRPr="00EC1422">
        <w:rPr>
          <w:rFonts w:eastAsia="Tahoma"/>
        </w:rPr>
        <w:t xml:space="preserve"> Assembly in September 2010, mandates halon replacement in ICAO standards in lavatory trash receptacle fire extinguishing systems used in aircraft produced after December 30, 2011; in handheld extinguishers used in aircraft produced after December 30, 2016; and in engine and auxiliary power unit fire extinguishing systems used in aircraft for which application for type certification will be submitted after December 30, 2014.  However, these are not requirements that States must follow. Instead, States including the U.S. can and have filed “differences” indicating that they will not meet these standards and will continue to use halons or allow the use of halons past these dates.</w:t>
      </w:r>
      <w:r w:rsidRPr="00EC1422">
        <w:t xml:space="preserve"> On the basis of this decision, ICAO adopted amendments to the international SARPs in two Annexes of the Chicago Convention. Annex 6 (“Operation of Aircraft”) and Annex 8 (“Airworthiness of Aircraft”) were amended to include the related dates and requirements for halon replacements for lavatory trash receptacle, hand held, and engine and auxiliary fire extinguishing fire suppression systems. None of these requirements calls for the retrofit of any halon systems in the current fleet. A timeline for the replacement of halon in cargo compartments for new design aircraft is expected to be proposed and considered for adoption at the 39</w:t>
      </w:r>
      <w:r w:rsidRPr="00EC1422">
        <w:rPr>
          <w:vertAlign w:val="superscript"/>
        </w:rPr>
        <w:t>th</w:t>
      </w:r>
      <w:r w:rsidRPr="00EC1422">
        <w:t xml:space="preserve"> ICAO Assembly in September 2016.</w:t>
      </w:r>
    </w:p>
    <w:p w14:paraId="54C93440" w14:textId="77777777" w:rsidR="005B1FC8" w:rsidRPr="00EC1422" w:rsidRDefault="005B1FC8" w:rsidP="001E6351">
      <w:r w:rsidRPr="00EC1422">
        <w:rPr>
          <w:rFonts w:eastAsia="Tahoma"/>
        </w:rPr>
        <w:t>Within the European Union, all current on-board uses of halons in aviation are listed as critical uses in the current Annex VI to Regulation (EC) No. 1005/2009. Annex VI was revised in 2010 as per Commission Regulation (EU) No 744/2010 of 18 August 2010 and contains “cut-off dates” for the use of halons in new designs of equipment or facilities and “end dates” when all halon systems or extinguishers in a particular application must be decommissioned. Other States have proposed or are considering regulations.</w:t>
      </w:r>
    </w:p>
    <w:p w14:paraId="45E658D6" w14:textId="77777777" w:rsidR="005B1FC8" w:rsidRPr="00EC1422" w:rsidRDefault="005B1FC8" w:rsidP="001E6351">
      <w:r w:rsidRPr="00EC1422">
        <w:t xml:space="preserve">Table </w:t>
      </w:r>
      <w:r w:rsidR="001E6351">
        <w:t>8-</w:t>
      </w:r>
      <w:r w:rsidRPr="00EC1422">
        <w:t>1 below outlines a listing of international requirements for both new design and new production aircraft. This listing includes cutoff dates and end dates for halon use in civil aviation as directed by the EU and specified dates in the ICAO SARPs.</w:t>
      </w:r>
    </w:p>
    <w:p w14:paraId="30EADE90" w14:textId="77777777" w:rsidR="001E6351" w:rsidRDefault="001E6351" w:rsidP="005B1FC8">
      <w:pPr>
        <w:spacing w:line="276" w:lineRule="auto"/>
        <w:rPr>
          <w:b/>
        </w:rPr>
      </w:pPr>
    </w:p>
    <w:p w14:paraId="3D690577" w14:textId="77777777" w:rsidR="001E6351" w:rsidRDefault="001E6351" w:rsidP="005B1FC8">
      <w:pPr>
        <w:spacing w:line="276" w:lineRule="auto"/>
        <w:rPr>
          <w:b/>
        </w:rPr>
      </w:pPr>
    </w:p>
    <w:p w14:paraId="01038731" w14:textId="77777777" w:rsidR="005B1FC8" w:rsidRPr="008B329D" w:rsidRDefault="005B1FC8" w:rsidP="005B1FC8">
      <w:pPr>
        <w:spacing w:line="276" w:lineRule="auto"/>
        <w:rPr>
          <w:b/>
          <w:i/>
        </w:rPr>
      </w:pPr>
      <w:r w:rsidRPr="008B329D">
        <w:rPr>
          <w:b/>
          <w:i/>
        </w:rPr>
        <w:t xml:space="preserve">Table </w:t>
      </w:r>
      <w:r w:rsidR="001E6351" w:rsidRPr="008B329D">
        <w:rPr>
          <w:b/>
          <w:i/>
        </w:rPr>
        <w:t>8-</w:t>
      </w:r>
      <w:r w:rsidRPr="008B329D">
        <w:rPr>
          <w:b/>
          <w:i/>
        </w:rPr>
        <w:t>1</w:t>
      </w:r>
      <w:r w:rsidR="001E6351" w:rsidRPr="008B329D">
        <w:rPr>
          <w:b/>
          <w:i/>
        </w:rPr>
        <w:t>.</w:t>
      </w:r>
      <w:r w:rsidRPr="008B329D">
        <w:rPr>
          <w:b/>
          <w:i/>
        </w:rPr>
        <w:t xml:space="preserve"> Comparison of EU and ICAO halon Phase-out Requirements </w:t>
      </w:r>
    </w:p>
    <w:tbl>
      <w:tblPr>
        <w:tblW w:w="7536" w:type="dxa"/>
        <w:tblInd w:w="594" w:type="dxa"/>
        <w:tblLayout w:type="fixed"/>
        <w:tblCellMar>
          <w:left w:w="0" w:type="dxa"/>
          <w:right w:w="0" w:type="dxa"/>
        </w:tblCellMar>
        <w:tblLook w:val="04A0" w:firstRow="1" w:lastRow="0" w:firstColumn="1" w:lastColumn="0" w:noHBand="0" w:noVBand="1"/>
      </w:tblPr>
      <w:tblGrid>
        <w:gridCol w:w="1350"/>
        <w:gridCol w:w="1838"/>
        <w:gridCol w:w="1105"/>
        <w:gridCol w:w="1444"/>
        <w:gridCol w:w="922"/>
        <w:gridCol w:w="877"/>
      </w:tblGrid>
      <w:tr w:rsidR="005B1FC8" w:rsidRPr="00EC1422" w14:paraId="4651F767" w14:textId="77777777" w:rsidTr="005B1FC8">
        <w:trPr>
          <w:trHeight w:val="630"/>
        </w:trPr>
        <w:tc>
          <w:tcPr>
            <w:tcW w:w="1350" w:type="dxa"/>
            <w:tcBorders>
              <w:top w:val="single" w:sz="18" w:space="0" w:color="000000"/>
              <w:left w:val="single" w:sz="1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7F6617EC" w14:textId="77777777" w:rsidR="005B1FC8" w:rsidRPr="00EC1422" w:rsidRDefault="005B1FC8" w:rsidP="005B1FC8">
            <w:pPr>
              <w:spacing w:line="276" w:lineRule="auto"/>
            </w:pPr>
          </w:p>
        </w:tc>
        <w:tc>
          <w:tcPr>
            <w:tcW w:w="183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B0B0A0" w14:textId="77777777" w:rsidR="005B1FC8" w:rsidRPr="00EC1422" w:rsidRDefault="005B1FC8" w:rsidP="005B1FC8">
            <w:pPr>
              <w:spacing w:before="100" w:beforeAutospacing="1" w:line="276" w:lineRule="auto"/>
            </w:pPr>
            <w:r w:rsidRPr="00EC1422">
              <w:rPr>
                <w:bCs/>
              </w:rPr>
              <w:t>Requirement</w:t>
            </w:r>
          </w:p>
        </w:tc>
        <w:tc>
          <w:tcPr>
            <w:tcW w:w="1105"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749AC1" w14:textId="77777777" w:rsidR="005B1FC8" w:rsidRPr="00EC1422" w:rsidRDefault="005B1FC8" w:rsidP="005B1FC8">
            <w:pPr>
              <w:spacing w:before="100" w:beforeAutospacing="1" w:line="276" w:lineRule="auto"/>
            </w:pPr>
            <w:r w:rsidRPr="00EC1422">
              <w:rPr>
                <w:bCs/>
              </w:rPr>
              <w:t>Lavatory</w:t>
            </w:r>
          </w:p>
        </w:tc>
        <w:tc>
          <w:tcPr>
            <w:tcW w:w="144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61B389" w14:textId="77777777" w:rsidR="005B1FC8" w:rsidRPr="00EC1422" w:rsidRDefault="005B1FC8" w:rsidP="005B1FC8">
            <w:pPr>
              <w:spacing w:before="100" w:beforeAutospacing="1" w:line="276" w:lineRule="auto"/>
            </w:pPr>
            <w:r w:rsidRPr="00EC1422">
              <w:rPr>
                <w:bCs/>
              </w:rPr>
              <w:t>Handheld Extinguisher</w:t>
            </w:r>
          </w:p>
        </w:tc>
        <w:tc>
          <w:tcPr>
            <w:tcW w:w="922"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3144F2" w14:textId="77777777" w:rsidR="005B1FC8" w:rsidRPr="00EC1422" w:rsidRDefault="005B1FC8" w:rsidP="005B1FC8">
            <w:pPr>
              <w:spacing w:before="100" w:beforeAutospacing="1" w:line="276" w:lineRule="auto"/>
              <w:rPr>
                <w:bCs/>
              </w:rPr>
            </w:pPr>
            <w:r w:rsidRPr="00EC1422">
              <w:rPr>
                <w:bCs/>
              </w:rPr>
              <w:t>Engine / APU</w:t>
            </w:r>
          </w:p>
        </w:tc>
        <w:tc>
          <w:tcPr>
            <w:tcW w:w="877"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272EB7E8" w14:textId="77777777" w:rsidR="005B1FC8" w:rsidRPr="00EC1422" w:rsidRDefault="005B1FC8" w:rsidP="005B1FC8">
            <w:pPr>
              <w:spacing w:before="100" w:beforeAutospacing="1" w:line="276" w:lineRule="auto"/>
            </w:pPr>
            <w:r w:rsidRPr="00EC1422">
              <w:rPr>
                <w:bCs/>
              </w:rPr>
              <w:t>Cargo</w:t>
            </w:r>
          </w:p>
        </w:tc>
      </w:tr>
      <w:tr w:rsidR="005B1FC8" w:rsidRPr="00EC1422" w14:paraId="095ED6A2" w14:textId="77777777" w:rsidTr="005B1FC8">
        <w:trPr>
          <w:trHeight w:val="245"/>
        </w:trPr>
        <w:tc>
          <w:tcPr>
            <w:tcW w:w="1350" w:type="dxa"/>
            <w:vMerge w:val="restart"/>
            <w:tcBorders>
              <w:top w:val="single" w:sz="4" w:space="0" w:color="auto"/>
              <w:left w:val="single" w:sz="18" w:space="0" w:color="000000"/>
              <w:right w:val="single" w:sz="8" w:space="0" w:color="000000"/>
            </w:tcBorders>
            <w:shd w:val="clear" w:color="auto" w:fill="auto"/>
            <w:tcMar>
              <w:top w:w="72" w:type="dxa"/>
              <w:left w:w="144" w:type="dxa"/>
              <w:bottom w:w="72" w:type="dxa"/>
              <w:right w:w="144" w:type="dxa"/>
            </w:tcMar>
            <w:vAlign w:val="center"/>
            <w:hideMark/>
          </w:tcPr>
          <w:p w14:paraId="518D0621" w14:textId="77777777" w:rsidR="005B1FC8" w:rsidRPr="00EC1422" w:rsidRDefault="005B1FC8" w:rsidP="005B1FC8">
            <w:pPr>
              <w:spacing w:line="276" w:lineRule="auto"/>
            </w:pPr>
            <w:r w:rsidRPr="00EC1422">
              <w:rPr>
                <w:bCs/>
              </w:rPr>
              <w:t xml:space="preserve">New </w:t>
            </w:r>
            <w:r w:rsidRPr="00EC1422">
              <w:rPr>
                <w:bCs/>
              </w:rPr>
              <w:br/>
              <w:t>Design Aircraft</w:t>
            </w:r>
          </w:p>
        </w:tc>
        <w:tc>
          <w:tcPr>
            <w:tcW w:w="18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31066B" w14:textId="77777777" w:rsidR="005B1FC8" w:rsidRPr="00EC1422" w:rsidRDefault="005B1FC8" w:rsidP="005B1FC8">
            <w:pPr>
              <w:spacing w:line="276" w:lineRule="auto"/>
              <w:jc w:val="both"/>
            </w:pPr>
            <w:r w:rsidRPr="00EC1422">
              <w:rPr>
                <w:bCs/>
              </w:rPr>
              <w:t xml:space="preserve">EC Cutoff Date </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CFF5F6" w14:textId="77777777" w:rsidR="005B1FC8" w:rsidRPr="00EC1422" w:rsidRDefault="005B1FC8" w:rsidP="005B1FC8">
            <w:pPr>
              <w:spacing w:line="276" w:lineRule="auto"/>
              <w:jc w:val="right"/>
            </w:pPr>
            <w:r w:rsidRPr="00EC1422">
              <w:rPr>
                <w:bCs/>
              </w:rPr>
              <w:t>2011</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1BB5F6" w14:textId="77777777" w:rsidR="005B1FC8" w:rsidRPr="00EC1422" w:rsidRDefault="005B1FC8" w:rsidP="005B1FC8">
            <w:pPr>
              <w:spacing w:line="276" w:lineRule="auto"/>
              <w:jc w:val="right"/>
            </w:pPr>
            <w:r w:rsidRPr="00EC1422">
              <w:rPr>
                <w:bCs/>
              </w:rPr>
              <w:t>2014</w:t>
            </w: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205ECE" w14:textId="77777777" w:rsidR="005B1FC8" w:rsidRPr="00EC1422" w:rsidRDefault="005B1FC8" w:rsidP="005B1FC8">
            <w:pPr>
              <w:spacing w:line="276" w:lineRule="auto"/>
              <w:jc w:val="right"/>
            </w:pPr>
            <w:r w:rsidRPr="00EC1422">
              <w:rPr>
                <w:bCs/>
              </w:rPr>
              <w:t>2014</w:t>
            </w:r>
          </w:p>
        </w:tc>
        <w:tc>
          <w:tcPr>
            <w:tcW w:w="87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24E1E6C5" w14:textId="77777777" w:rsidR="005B1FC8" w:rsidRPr="00EC1422" w:rsidRDefault="005B1FC8" w:rsidP="005B1FC8">
            <w:pPr>
              <w:spacing w:line="276" w:lineRule="auto"/>
              <w:jc w:val="right"/>
            </w:pPr>
            <w:r w:rsidRPr="00EC1422">
              <w:rPr>
                <w:bCs/>
              </w:rPr>
              <w:t>2018</w:t>
            </w:r>
          </w:p>
        </w:tc>
      </w:tr>
      <w:tr w:rsidR="005B1FC8" w:rsidRPr="00EC1422" w14:paraId="235F6651" w14:textId="77777777" w:rsidTr="005B1FC8">
        <w:trPr>
          <w:trHeight w:val="295"/>
        </w:trPr>
        <w:tc>
          <w:tcPr>
            <w:tcW w:w="1350" w:type="dxa"/>
            <w:vMerge/>
            <w:tcBorders>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tcPr>
          <w:p w14:paraId="165CA7C5" w14:textId="77777777" w:rsidR="005B1FC8" w:rsidRPr="00EC1422" w:rsidRDefault="005B1FC8" w:rsidP="005B1FC8">
            <w:pPr>
              <w:spacing w:line="276" w:lineRule="auto"/>
              <w:rPr>
                <w:bCs/>
              </w:rPr>
            </w:pPr>
          </w:p>
        </w:tc>
        <w:tc>
          <w:tcPr>
            <w:tcW w:w="183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tcPr>
          <w:p w14:paraId="7B9CFCC4" w14:textId="77777777" w:rsidR="005B1FC8" w:rsidRPr="00EC1422" w:rsidRDefault="005B1FC8" w:rsidP="005B1FC8">
            <w:pPr>
              <w:spacing w:line="276" w:lineRule="auto"/>
              <w:jc w:val="both"/>
              <w:rPr>
                <w:bCs/>
              </w:rPr>
            </w:pPr>
            <w:r w:rsidRPr="00EC1422">
              <w:rPr>
                <w:bCs/>
              </w:rPr>
              <w:t>ICAO</w:t>
            </w:r>
          </w:p>
        </w:tc>
        <w:tc>
          <w:tcPr>
            <w:tcW w:w="1105"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tcPr>
          <w:p w14:paraId="5099E0FD" w14:textId="77777777" w:rsidR="005B1FC8" w:rsidRPr="00EC1422" w:rsidRDefault="005B1FC8" w:rsidP="005B1FC8">
            <w:pPr>
              <w:spacing w:line="276" w:lineRule="auto"/>
              <w:jc w:val="right"/>
              <w:rPr>
                <w:bCs/>
              </w:rPr>
            </w:pPr>
            <w:r w:rsidRPr="00EC1422">
              <w:rPr>
                <w:bCs/>
              </w:rPr>
              <w:t>2011</w:t>
            </w:r>
          </w:p>
        </w:tc>
        <w:tc>
          <w:tcPr>
            <w:tcW w:w="144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tcPr>
          <w:p w14:paraId="3A59386E" w14:textId="77777777" w:rsidR="005B1FC8" w:rsidRPr="00EC1422" w:rsidRDefault="005B1FC8" w:rsidP="005B1FC8">
            <w:pPr>
              <w:spacing w:line="276" w:lineRule="auto"/>
              <w:jc w:val="right"/>
              <w:rPr>
                <w:bCs/>
              </w:rPr>
            </w:pPr>
            <w:r w:rsidRPr="00EC1422">
              <w:rPr>
                <w:bCs/>
              </w:rPr>
              <w:t>2016</w:t>
            </w:r>
          </w:p>
        </w:tc>
        <w:tc>
          <w:tcPr>
            <w:tcW w:w="922"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tcPr>
          <w:p w14:paraId="0BD6AABB" w14:textId="77777777" w:rsidR="005B1FC8" w:rsidRPr="00EC1422" w:rsidRDefault="005B1FC8" w:rsidP="005B1FC8">
            <w:pPr>
              <w:spacing w:line="276" w:lineRule="auto"/>
              <w:jc w:val="right"/>
              <w:rPr>
                <w:bCs/>
              </w:rPr>
            </w:pPr>
            <w:r w:rsidRPr="00EC1422">
              <w:rPr>
                <w:bCs/>
              </w:rPr>
              <w:t>2014</w:t>
            </w:r>
          </w:p>
        </w:tc>
        <w:tc>
          <w:tcPr>
            <w:tcW w:w="877"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tcPr>
          <w:p w14:paraId="45608872" w14:textId="77777777" w:rsidR="005B1FC8" w:rsidRPr="00EC1422" w:rsidRDefault="005B1FC8" w:rsidP="005B1FC8">
            <w:pPr>
              <w:spacing w:line="276" w:lineRule="auto"/>
              <w:jc w:val="right"/>
              <w:rPr>
                <w:bCs/>
              </w:rPr>
            </w:pPr>
            <w:r w:rsidRPr="00EC1422">
              <w:rPr>
                <w:bCs/>
              </w:rPr>
              <w:t>NA</w:t>
            </w:r>
          </w:p>
        </w:tc>
      </w:tr>
      <w:tr w:rsidR="005B1FC8" w:rsidRPr="00EC1422" w14:paraId="7AC9C108" w14:textId="77777777" w:rsidTr="005B1FC8">
        <w:trPr>
          <w:trHeight w:val="610"/>
        </w:trPr>
        <w:tc>
          <w:tcPr>
            <w:tcW w:w="1350" w:type="dxa"/>
            <w:vMerge w:val="restart"/>
            <w:tcBorders>
              <w:top w:val="single" w:sz="8" w:space="0" w:color="000000"/>
              <w:left w:val="single" w:sz="18" w:space="0" w:color="000000"/>
              <w:right w:val="single" w:sz="8" w:space="0" w:color="000000"/>
            </w:tcBorders>
            <w:shd w:val="clear" w:color="auto" w:fill="auto"/>
            <w:tcMar>
              <w:top w:w="72" w:type="dxa"/>
              <w:left w:w="144" w:type="dxa"/>
              <w:bottom w:w="72" w:type="dxa"/>
              <w:right w:w="144" w:type="dxa"/>
            </w:tcMar>
            <w:vAlign w:val="center"/>
            <w:hideMark/>
          </w:tcPr>
          <w:p w14:paraId="1DE4F04B" w14:textId="77777777" w:rsidR="005B1FC8" w:rsidRPr="00EC1422" w:rsidRDefault="005B1FC8" w:rsidP="005B1FC8">
            <w:pPr>
              <w:spacing w:line="276" w:lineRule="auto"/>
              <w:rPr>
                <w:bCs/>
              </w:rPr>
            </w:pPr>
            <w:r w:rsidRPr="00EC1422">
              <w:rPr>
                <w:bCs/>
              </w:rPr>
              <w:t xml:space="preserve">Current </w:t>
            </w:r>
            <w:r w:rsidRPr="00EC1422">
              <w:rPr>
                <w:bCs/>
              </w:rPr>
              <w:br/>
              <w:t>Production Aircraft</w:t>
            </w:r>
          </w:p>
        </w:tc>
        <w:tc>
          <w:tcPr>
            <w:tcW w:w="18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E32FEE" w14:textId="77777777" w:rsidR="005B1FC8" w:rsidRPr="00EC1422" w:rsidRDefault="005B1FC8" w:rsidP="005B1FC8">
            <w:pPr>
              <w:spacing w:line="276" w:lineRule="auto"/>
              <w:jc w:val="both"/>
              <w:rPr>
                <w:bCs/>
              </w:rPr>
            </w:pPr>
            <w:r w:rsidRPr="00EC1422">
              <w:rPr>
                <w:bCs/>
              </w:rPr>
              <w:t xml:space="preserve">EC End Date </w:t>
            </w:r>
          </w:p>
          <w:p w14:paraId="10B2B0A1" w14:textId="77777777" w:rsidR="005B1FC8" w:rsidRPr="00EC1422" w:rsidRDefault="005B1FC8" w:rsidP="005B1FC8">
            <w:pPr>
              <w:spacing w:line="276" w:lineRule="auto"/>
              <w:jc w:val="both"/>
            </w:pPr>
            <w:r w:rsidRPr="00EC1422">
              <w:rPr>
                <w:bCs/>
              </w:rPr>
              <w:t>(includes retrofit)</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2ECB02" w14:textId="77777777" w:rsidR="005B1FC8" w:rsidRPr="00EC1422" w:rsidRDefault="005B1FC8" w:rsidP="005B1FC8">
            <w:pPr>
              <w:spacing w:line="276" w:lineRule="auto"/>
              <w:jc w:val="right"/>
            </w:pPr>
            <w:r w:rsidRPr="00EC1422">
              <w:rPr>
                <w:bCs/>
              </w:rPr>
              <w:t>2020</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2EE03F" w14:textId="77777777" w:rsidR="005B1FC8" w:rsidRPr="00EC1422" w:rsidRDefault="005B1FC8" w:rsidP="005B1FC8">
            <w:pPr>
              <w:spacing w:line="276" w:lineRule="auto"/>
              <w:jc w:val="right"/>
            </w:pPr>
            <w:r w:rsidRPr="00EC1422">
              <w:rPr>
                <w:bCs/>
              </w:rPr>
              <w:t>2025</w:t>
            </w:r>
          </w:p>
        </w:tc>
        <w:tc>
          <w:tcPr>
            <w:tcW w:w="9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5DA688" w14:textId="77777777" w:rsidR="005B1FC8" w:rsidRPr="00EC1422" w:rsidRDefault="005B1FC8" w:rsidP="005B1FC8">
            <w:pPr>
              <w:spacing w:line="276" w:lineRule="auto"/>
              <w:jc w:val="right"/>
            </w:pPr>
            <w:r w:rsidRPr="00EC1422">
              <w:rPr>
                <w:bCs/>
              </w:rPr>
              <w:t>2040</w:t>
            </w:r>
          </w:p>
        </w:tc>
        <w:tc>
          <w:tcPr>
            <w:tcW w:w="87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28CA7A7C" w14:textId="77777777" w:rsidR="005B1FC8" w:rsidRPr="00EC1422" w:rsidRDefault="005B1FC8" w:rsidP="005B1FC8">
            <w:pPr>
              <w:spacing w:line="276" w:lineRule="auto"/>
              <w:jc w:val="right"/>
            </w:pPr>
            <w:r w:rsidRPr="00EC1422">
              <w:rPr>
                <w:bCs/>
              </w:rPr>
              <w:t>2040</w:t>
            </w:r>
          </w:p>
        </w:tc>
      </w:tr>
      <w:tr w:rsidR="005B1FC8" w:rsidRPr="00EC1422" w14:paraId="135D12F6" w14:textId="77777777" w:rsidTr="005B1FC8">
        <w:trPr>
          <w:trHeight w:val="57"/>
        </w:trPr>
        <w:tc>
          <w:tcPr>
            <w:tcW w:w="1350" w:type="dxa"/>
            <w:vMerge/>
            <w:tcBorders>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tcPr>
          <w:p w14:paraId="28FF55E1" w14:textId="77777777" w:rsidR="005B1FC8" w:rsidRPr="00EC1422" w:rsidRDefault="005B1FC8" w:rsidP="005B1FC8">
            <w:pPr>
              <w:spacing w:line="276" w:lineRule="auto"/>
              <w:rPr>
                <w:bCs/>
              </w:rPr>
            </w:pPr>
          </w:p>
        </w:tc>
        <w:tc>
          <w:tcPr>
            <w:tcW w:w="183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tcPr>
          <w:p w14:paraId="668E69E2" w14:textId="77777777" w:rsidR="005B1FC8" w:rsidRPr="00EC1422" w:rsidRDefault="005B1FC8" w:rsidP="005B1FC8">
            <w:pPr>
              <w:spacing w:line="276" w:lineRule="auto"/>
              <w:jc w:val="both"/>
            </w:pPr>
            <w:r w:rsidRPr="00EC1422">
              <w:rPr>
                <w:bCs/>
              </w:rPr>
              <w:t>ICAO</w:t>
            </w:r>
          </w:p>
        </w:tc>
        <w:tc>
          <w:tcPr>
            <w:tcW w:w="1105"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tcPr>
          <w:p w14:paraId="0080F872" w14:textId="77777777" w:rsidR="005B1FC8" w:rsidRPr="00EC1422" w:rsidRDefault="005B1FC8" w:rsidP="005B1FC8">
            <w:pPr>
              <w:spacing w:line="276" w:lineRule="auto"/>
              <w:jc w:val="right"/>
            </w:pPr>
            <w:r w:rsidRPr="00EC1422">
              <w:rPr>
                <w:bCs/>
              </w:rPr>
              <w:t>2011</w:t>
            </w:r>
          </w:p>
        </w:tc>
        <w:tc>
          <w:tcPr>
            <w:tcW w:w="144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tcPr>
          <w:p w14:paraId="6EC7CBC2" w14:textId="77777777" w:rsidR="005B1FC8" w:rsidRPr="00EC1422" w:rsidRDefault="005B1FC8" w:rsidP="005B1FC8">
            <w:pPr>
              <w:spacing w:line="276" w:lineRule="auto"/>
              <w:jc w:val="right"/>
            </w:pPr>
            <w:r w:rsidRPr="00EC1422">
              <w:rPr>
                <w:bCs/>
              </w:rPr>
              <w:t>2016</w:t>
            </w:r>
          </w:p>
        </w:tc>
        <w:tc>
          <w:tcPr>
            <w:tcW w:w="922"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tcPr>
          <w:p w14:paraId="01E0C0FA" w14:textId="77777777" w:rsidR="005B1FC8" w:rsidRPr="00EC1422" w:rsidRDefault="005B1FC8" w:rsidP="005B1FC8">
            <w:pPr>
              <w:spacing w:line="276" w:lineRule="auto"/>
              <w:jc w:val="right"/>
            </w:pPr>
            <w:r w:rsidRPr="00EC1422">
              <w:rPr>
                <w:bCs/>
              </w:rPr>
              <w:t>NA</w:t>
            </w:r>
          </w:p>
        </w:tc>
        <w:tc>
          <w:tcPr>
            <w:tcW w:w="877"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tcPr>
          <w:p w14:paraId="2657DA43" w14:textId="77777777" w:rsidR="005B1FC8" w:rsidRPr="00EC1422" w:rsidRDefault="005B1FC8" w:rsidP="005B1FC8">
            <w:pPr>
              <w:spacing w:line="276" w:lineRule="auto"/>
              <w:jc w:val="right"/>
            </w:pPr>
            <w:r w:rsidRPr="00EC1422">
              <w:rPr>
                <w:bCs/>
              </w:rPr>
              <w:t>NA</w:t>
            </w:r>
          </w:p>
        </w:tc>
      </w:tr>
    </w:tbl>
    <w:p w14:paraId="74AD30F2" w14:textId="77777777" w:rsidR="005B1FC8" w:rsidRPr="00EC1422" w:rsidRDefault="005B1FC8" w:rsidP="005B1FC8">
      <w:pPr>
        <w:spacing w:line="276" w:lineRule="auto"/>
      </w:pPr>
    </w:p>
    <w:p w14:paraId="333B9BFE" w14:textId="63447C1E" w:rsidR="005B1FC8" w:rsidRPr="00EC1422" w:rsidRDefault="001E6351" w:rsidP="002B7818">
      <w:pPr>
        <w:pStyle w:val="Heading2"/>
      </w:pPr>
      <w:bookmarkStart w:id="181" w:name="_Toc295406160"/>
      <w:r>
        <w:t>8.3.</w:t>
      </w:r>
      <w:r>
        <w:tab/>
      </w:r>
      <w:r w:rsidR="005B1FC8" w:rsidRPr="00EC1422">
        <w:t>Status of Currently Available Alternatives to Halons for Civil Aviation</w:t>
      </w:r>
      <w:bookmarkEnd w:id="181"/>
    </w:p>
    <w:p w14:paraId="10DC1E4B" w14:textId="77777777" w:rsidR="005B1FC8" w:rsidRPr="001E6351" w:rsidRDefault="005B1FC8" w:rsidP="001E6351">
      <w:pPr>
        <w:pStyle w:val="Default"/>
        <w:rPr>
          <w:sz w:val="22"/>
          <w:szCs w:val="22"/>
        </w:rPr>
      </w:pPr>
      <w:r w:rsidRPr="001E6351">
        <w:rPr>
          <w:sz w:val="22"/>
          <w:szCs w:val="22"/>
        </w:rPr>
        <w:t xml:space="preserve">Aviation applications of halon are among the most demanding uses of the agents, requiring fire suppression effectiveness at an acceptable toxicity level. For these reasons, it would be expected that civil aviation would place a high level of need on replacing halons for aviation uses. However, that is not evidenced in their efforts to date. The fact that alternatives are used only in the lavatory trash receptacle fire extinguishing systems of in-production aircraft is a remarkably disappointing result given the research and testing efforts on aviation applications since 1993.  </w:t>
      </w:r>
    </w:p>
    <w:p w14:paraId="6782CD81" w14:textId="77777777" w:rsidR="005B1FC8" w:rsidRPr="001E6351" w:rsidRDefault="005B1FC8" w:rsidP="001E6351">
      <w:pPr>
        <w:pStyle w:val="Default"/>
        <w:rPr>
          <w:sz w:val="22"/>
          <w:szCs w:val="22"/>
        </w:rPr>
      </w:pPr>
    </w:p>
    <w:p w14:paraId="2012B8CA" w14:textId="77777777" w:rsidR="005B1FC8" w:rsidRPr="001E6351" w:rsidRDefault="005B1FC8" w:rsidP="001E6351">
      <w:pPr>
        <w:pStyle w:val="BodyTextLeft"/>
        <w:spacing w:after="60"/>
        <w:rPr>
          <w:sz w:val="22"/>
          <w:szCs w:val="22"/>
        </w:rPr>
      </w:pPr>
      <w:r w:rsidRPr="001E6351">
        <w:rPr>
          <w:sz w:val="22"/>
          <w:szCs w:val="22"/>
        </w:rPr>
        <w:t>Below is a summary of the status of the available alternatives for the four on-board and one flightline halon uses:</w:t>
      </w:r>
    </w:p>
    <w:p w14:paraId="0947D894" w14:textId="77777777" w:rsidR="005B1FC8" w:rsidRPr="001E6351" w:rsidRDefault="005B1FC8" w:rsidP="00E15FE9">
      <w:pPr>
        <w:pStyle w:val="ListParagraph"/>
        <w:widowControl/>
        <w:numPr>
          <w:ilvl w:val="0"/>
          <w:numId w:val="58"/>
        </w:numPr>
        <w:tabs>
          <w:tab w:val="left" w:pos="720"/>
        </w:tabs>
        <w:autoSpaceDE w:val="0"/>
        <w:autoSpaceDN w:val="0"/>
        <w:ind w:firstLineChars="0"/>
        <w:jc w:val="left"/>
        <w:rPr>
          <w:rFonts w:ascii="Times New Roman" w:hAnsi="Times New Roman"/>
          <w:sz w:val="22"/>
        </w:rPr>
      </w:pPr>
      <w:r w:rsidRPr="001E6351">
        <w:rPr>
          <w:rFonts w:ascii="Times New Roman" w:hAnsi="Times New Roman"/>
          <w:sz w:val="22"/>
        </w:rPr>
        <w:t>Halon 1301 in lavatory trash receptacle extinguishing systems;</w:t>
      </w:r>
    </w:p>
    <w:p w14:paraId="244C6C46" w14:textId="77777777" w:rsidR="005B1FC8" w:rsidRPr="001E6351" w:rsidRDefault="005B1FC8" w:rsidP="00E15FE9">
      <w:pPr>
        <w:pStyle w:val="ListParagraph"/>
        <w:widowControl/>
        <w:numPr>
          <w:ilvl w:val="0"/>
          <w:numId w:val="58"/>
        </w:numPr>
        <w:tabs>
          <w:tab w:val="left" w:pos="720"/>
        </w:tabs>
        <w:autoSpaceDE w:val="0"/>
        <w:autoSpaceDN w:val="0"/>
        <w:ind w:firstLineChars="0"/>
        <w:jc w:val="left"/>
        <w:rPr>
          <w:rFonts w:ascii="Times New Roman" w:hAnsi="Times New Roman"/>
          <w:sz w:val="22"/>
        </w:rPr>
      </w:pPr>
      <w:r w:rsidRPr="001E6351">
        <w:rPr>
          <w:rFonts w:ascii="Times New Roman" w:hAnsi="Times New Roman"/>
          <w:sz w:val="22"/>
        </w:rPr>
        <w:t>Halon 1301 in engine nacelle/auxiliary power unit (APU) protection systems;</w:t>
      </w:r>
    </w:p>
    <w:p w14:paraId="22E29059" w14:textId="77777777" w:rsidR="005B1FC8" w:rsidRPr="001E6351" w:rsidRDefault="005B1FC8" w:rsidP="00E15FE9">
      <w:pPr>
        <w:pStyle w:val="ListParagraph"/>
        <w:widowControl/>
        <w:numPr>
          <w:ilvl w:val="0"/>
          <w:numId w:val="58"/>
        </w:numPr>
        <w:tabs>
          <w:tab w:val="left" w:pos="720"/>
        </w:tabs>
        <w:autoSpaceDE w:val="0"/>
        <w:autoSpaceDN w:val="0"/>
        <w:ind w:firstLineChars="0"/>
        <w:jc w:val="left"/>
        <w:rPr>
          <w:rFonts w:ascii="Times New Roman" w:hAnsi="Times New Roman"/>
          <w:sz w:val="22"/>
        </w:rPr>
      </w:pPr>
      <w:r w:rsidRPr="001E6351">
        <w:rPr>
          <w:rFonts w:ascii="Times New Roman" w:hAnsi="Times New Roman"/>
          <w:sz w:val="22"/>
        </w:rPr>
        <w:t xml:space="preserve">Halon 1301 in cargo compartment extinguishing systems; </w:t>
      </w:r>
    </w:p>
    <w:p w14:paraId="68C874C8" w14:textId="77777777" w:rsidR="005B1FC8" w:rsidRPr="001E6351" w:rsidRDefault="005B1FC8" w:rsidP="00E15FE9">
      <w:pPr>
        <w:pStyle w:val="ListParagraph"/>
        <w:widowControl/>
        <w:numPr>
          <w:ilvl w:val="0"/>
          <w:numId w:val="58"/>
        </w:numPr>
        <w:tabs>
          <w:tab w:val="left" w:pos="720"/>
        </w:tabs>
        <w:autoSpaceDE w:val="0"/>
        <w:autoSpaceDN w:val="0"/>
        <w:ind w:firstLineChars="0"/>
        <w:jc w:val="left"/>
        <w:rPr>
          <w:rFonts w:ascii="Times New Roman" w:hAnsi="Times New Roman"/>
          <w:sz w:val="22"/>
        </w:rPr>
      </w:pPr>
      <w:r w:rsidRPr="001E6351">
        <w:rPr>
          <w:rFonts w:ascii="Times New Roman" w:hAnsi="Times New Roman"/>
          <w:sz w:val="22"/>
        </w:rPr>
        <w:t xml:space="preserve">Halon 1211 handheld extinguishers; and </w:t>
      </w:r>
    </w:p>
    <w:p w14:paraId="6D34FD50" w14:textId="77777777" w:rsidR="005B1FC8" w:rsidRPr="001E6351" w:rsidRDefault="005B1FC8" w:rsidP="00E15FE9">
      <w:pPr>
        <w:pStyle w:val="Default"/>
        <w:numPr>
          <w:ilvl w:val="0"/>
          <w:numId w:val="58"/>
        </w:numPr>
        <w:spacing w:after="60"/>
        <w:rPr>
          <w:sz w:val="22"/>
          <w:szCs w:val="22"/>
        </w:rPr>
      </w:pPr>
      <w:r w:rsidRPr="001E6351">
        <w:rPr>
          <w:sz w:val="22"/>
          <w:szCs w:val="22"/>
        </w:rPr>
        <w:t>Halon 1211 in c</w:t>
      </w:r>
      <w:r w:rsidRPr="001E6351">
        <w:rPr>
          <w:bCs/>
          <w:sz w:val="22"/>
          <w:szCs w:val="22"/>
        </w:rPr>
        <w:t xml:space="preserve">rash rescue vehicles. </w:t>
      </w:r>
    </w:p>
    <w:p w14:paraId="24E6CC0B" w14:textId="77777777" w:rsidR="001E6351" w:rsidRPr="001E6351" w:rsidRDefault="001E6351" w:rsidP="00B92517">
      <w:pPr>
        <w:pStyle w:val="Default"/>
        <w:spacing w:after="60"/>
        <w:ind w:left="1080"/>
        <w:rPr>
          <w:sz w:val="22"/>
          <w:szCs w:val="22"/>
        </w:rPr>
      </w:pPr>
    </w:p>
    <w:p w14:paraId="452E7DB7" w14:textId="442A906E" w:rsidR="005B1FC8" w:rsidRPr="001E6351" w:rsidRDefault="00E57ABC" w:rsidP="002B7818">
      <w:pPr>
        <w:pStyle w:val="Heading3"/>
      </w:pPr>
      <w:r>
        <w:tab/>
      </w:r>
      <w:bookmarkStart w:id="182" w:name="_Toc295406161"/>
      <w:r>
        <w:t>8.3.1.</w:t>
      </w:r>
      <w:r>
        <w:tab/>
      </w:r>
      <w:r w:rsidR="005B1FC8" w:rsidRPr="001E6351">
        <w:t>Lavatory Trash Receptacle</w:t>
      </w:r>
      <w:bookmarkEnd w:id="182"/>
    </w:p>
    <w:p w14:paraId="2399A668" w14:textId="77777777" w:rsidR="005B1FC8" w:rsidRPr="001E6351" w:rsidRDefault="005B1FC8" w:rsidP="001E6351">
      <w:pPr>
        <w:pStyle w:val="BodyTextLeft"/>
        <w:spacing w:after="0"/>
        <w:rPr>
          <w:sz w:val="22"/>
          <w:szCs w:val="22"/>
        </w:rPr>
      </w:pPr>
      <w:r w:rsidRPr="001E6351">
        <w:rPr>
          <w:sz w:val="22"/>
          <w:szCs w:val="22"/>
        </w:rPr>
        <w:t xml:space="preserve">Research and testing has shown that there are suitable alternative suppression systems (using HFC-227ea or HFC-236fa) available for lavatory trash receptacle applications that meet the criteria for space, weight and toxicity, and cost the same or less than the halon systems being replaced. Both have Ozone Depletion Potentials (ODPs) of zero but have high Global Warming Potentials (GWPs); HFC-227ea has a 100-year GWP of 3140 and HFC-236fa has a 100-year GWP of 8060.  Data from one lavatory extinguisher manufacturer shows that the vast majority of new production aircraft are now installed with non-halon systems. In addition, some airlines are replacing existing halon 1301 in this application with systems using these halon-free alternatives during scheduled maintenance operations and have previously reported that they are cheaper than the halon 1301 system.  </w:t>
      </w:r>
    </w:p>
    <w:p w14:paraId="58919DD9" w14:textId="77777777" w:rsidR="005B1FC8" w:rsidRPr="00EC1422" w:rsidRDefault="005B1FC8" w:rsidP="005B1FC8">
      <w:pPr>
        <w:pStyle w:val="BodyTextLeft"/>
        <w:spacing w:after="0" w:line="276" w:lineRule="auto"/>
      </w:pPr>
    </w:p>
    <w:p w14:paraId="65618544" w14:textId="2FF39E3C" w:rsidR="005B1FC8" w:rsidRPr="00EC1422" w:rsidRDefault="00E57ABC" w:rsidP="002B7818">
      <w:pPr>
        <w:pStyle w:val="Heading3"/>
      </w:pPr>
      <w:r>
        <w:tab/>
      </w:r>
      <w:bookmarkStart w:id="183" w:name="_Toc295406162"/>
      <w:r>
        <w:t>8.3.2.</w:t>
      </w:r>
      <w:r>
        <w:tab/>
      </w:r>
      <w:r w:rsidR="005B1FC8" w:rsidRPr="00EC1422">
        <w:t>Engine Nacelle and APU</w:t>
      </w:r>
      <w:bookmarkEnd w:id="183"/>
      <w:r w:rsidR="005B1FC8" w:rsidRPr="00EC1422">
        <w:t xml:space="preserve"> </w:t>
      </w:r>
    </w:p>
    <w:p w14:paraId="69427012" w14:textId="77777777" w:rsidR="005B1FC8" w:rsidRPr="001E6351" w:rsidRDefault="005B1FC8" w:rsidP="001E6351">
      <w:pPr>
        <w:pStyle w:val="BodyTextLeft"/>
        <w:rPr>
          <w:color w:val="000000"/>
          <w:sz w:val="22"/>
          <w:szCs w:val="22"/>
        </w:rPr>
      </w:pPr>
      <w:r w:rsidRPr="001E6351">
        <w:rPr>
          <w:color w:val="000000"/>
          <w:sz w:val="22"/>
          <w:szCs w:val="22"/>
        </w:rPr>
        <w:t>HFC-125 has been used successfully as an alternative to halon 1301 for engine nacelle fire protection on U.S. military aircraft developed since the early 1990s. In addition, HFC-125 is currently being developed for use on a military derivative of a large commercial aircraft (Boeing 767; military derivative KC-46).</w:t>
      </w:r>
    </w:p>
    <w:p w14:paraId="34D251BC" w14:textId="77777777" w:rsidR="005B1FC8" w:rsidRPr="001E6351" w:rsidRDefault="005B1FC8" w:rsidP="001E6351">
      <w:pPr>
        <w:pStyle w:val="BodyTextLeft"/>
        <w:rPr>
          <w:color w:val="000000"/>
          <w:sz w:val="22"/>
          <w:szCs w:val="22"/>
        </w:rPr>
      </w:pPr>
      <w:r w:rsidRPr="001E6351">
        <w:rPr>
          <w:color w:val="000000"/>
          <w:sz w:val="22"/>
          <w:szCs w:val="22"/>
        </w:rPr>
        <w:t xml:space="preserve">HFC-125 has increased space and weight characteristics as compared to halon 1301 that present installation concerns to civil aviation airframe manufacturers. HFC-125 has a zero ODP but has a 100-year GWP of 3450.  Based on these facts, civil aviation airframe manufacturers have chosen not to pursue qualification and installation certification for HFC-125 in engine nacelles/APUs of civil aircraft.  </w:t>
      </w:r>
    </w:p>
    <w:p w14:paraId="0396620E" w14:textId="77777777" w:rsidR="005B1FC8" w:rsidRPr="001E6351" w:rsidRDefault="005B1FC8" w:rsidP="001E6351">
      <w:pPr>
        <w:pStyle w:val="Default"/>
        <w:rPr>
          <w:sz w:val="22"/>
          <w:szCs w:val="22"/>
        </w:rPr>
      </w:pPr>
      <w:r w:rsidRPr="001E6351">
        <w:rPr>
          <w:sz w:val="22"/>
          <w:szCs w:val="22"/>
        </w:rPr>
        <w:t>Both of the low/zero-GWP fire-fighting agents that have been tested by approval authorities for engine nacelle and APU applications have failed required fire suppression tests.  One failed the low-temperature, live-fire test and the other failed the large-scale, live-fire test.  The civil aviation industry has now come to the conclusion that they need to take a different approach to finding a halon 1301 replacement for engine nacelle and APUs. They have pooled their resources to develop a single agent/approach and formed the Halon Alternatives for Aircraft Propulsion Systems (HAAPS) consortium in 2015.  The HAAPS consortium is an international collaboration among aircraft manufacturers, fire extinguishing system suppliers, engine/auxiliary power unit/nacelle companies, and other key stakeholders that aims to identify a common environmentally acceptable non-halon fire extinguishing solution(s) for use in engine and APU fire zones. They recently selected the Ohio Aerospace Institute (OAI) in Cleveland, Ohio to manage the activities of the consortium.</w:t>
      </w:r>
    </w:p>
    <w:p w14:paraId="3B3C74E0" w14:textId="77777777" w:rsidR="005B1FC8" w:rsidRPr="00EC1422" w:rsidRDefault="005B1FC8" w:rsidP="005B1FC8">
      <w:pPr>
        <w:pStyle w:val="Default"/>
        <w:spacing w:line="276" w:lineRule="auto"/>
      </w:pPr>
    </w:p>
    <w:p w14:paraId="195C7B49" w14:textId="089F2DCC" w:rsidR="005B1FC8" w:rsidRPr="00EC1422" w:rsidRDefault="00E57ABC" w:rsidP="002B7818">
      <w:pPr>
        <w:pStyle w:val="Heading3"/>
      </w:pPr>
      <w:r>
        <w:tab/>
      </w:r>
      <w:bookmarkStart w:id="184" w:name="_Toc295406163"/>
      <w:r w:rsidR="001E6351">
        <w:t>8.</w:t>
      </w:r>
      <w:r>
        <w:t>3</w:t>
      </w:r>
      <w:r w:rsidR="001E6351">
        <w:t>.</w:t>
      </w:r>
      <w:r>
        <w:t>3.</w:t>
      </w:r>
      <w:r w:rsidR="001E6351">
        <w:tab/>
      </w:r>
      <w:r w:rsidR="005B1FC8" w:rsidRPr="00EC1422">
        <w:t>Cargo Compartments</w:t>
      </w:r>
      <w:bookmarkEnd w:id="184"/>
    </w:p>
    <w:p w14:paraId="0BF2650E" w14:textId="77777777" w:rsidR="005B1FC8" w:rsidRPr="00E15FE9" w:rsidRDefault="005B1FC8" w:rsidP="00E15FE9">
      <w:pPr>
        <w:pStyle w:val="BodyTextLeft"/>
        <w:rPr>
          <w:sz w:val="22"/>
          <w:szCs w:val="22"/>
        </w:rPr>
      </w:pPr>
      <w:r w:rsidRPr="00E15FE9">
        <w:rPr>
          <w:sz w:val="22"/>
          <w:szCs w:val="22"/>
        </w:rPr>
        <w:t xml:space="preserve">In passenger aircraft, the cargo compartments are typically located below the passenger cabin, or occupy both the main and lower deck on freighter aircraft. In the latter, fire control on the main deck is effected by depressurising the main deck cargo compartment, reaching the landing site, and landing as quickly as possible before the fire re-establishes itself. In the case of a fire in the lower deck cargo compartment or below the passenger compartment, a rapid discharge of halon 1301 is deployed into the protected space to suppress the fire, which is followed by a discharge that is released slowly to maintain a concentration of halon 1301 to prevent re-ignition. The slow discharge is maintained until the plane has landed to protect against any reduction in the concentration of halon 1301 caused by ventilation or leakage. </w:t>
      </w:r>
    </w:p>
    <w:p w14:paraId="6D1B9323" w14:textId="77777777" w:rsidR="005B1FC8" w:rsidRPr="00E15FE9" w:rsidRDefault="005B1FC8" w:rsidP="00E15FE9">
      <w:pPr>
        <w:pStyle w:val="BodyTextLeft"/>
        <w:rPr>
          <w:sz w:val="22"/>
          <w:szCs w:val="22"/>
        </w:rPr>
      </w:pPr>
      <w:r w:rsidRPr="00E15FE9">
        <w:rPr>
          <w:sz w:val="22"/>
          <w:szCs w:val="22"/>
        </w:rPr>
        <w:t xml:space="preserve">Cargo compartment fire suppression systems must be able to meet the requirements of four fire tests:  1) the system must be able to suppress a Class A (ordinary combustibles) deep-seated fire for at least 30 minutes, 2) suppress a Class A fire inside a cargo container for at least 30 minutes, 3) extinguish a Class B fire (Jet-A fuel) within 5 minutes, and 4) prevent the explosion of a hydrocarbon mixture, such as found in aerosol cans. In addition, the system must have sufficient agent/suppression capability to be able to provide continued safe flight and landing from the time a fire warning occurs, which could be in excess of 350 minutes, depending on the aircraft type and flight route planned.  </w:t>
      </w:r>
    </w:p>
    <w:p w14:paraId="55E8A9BD" w14:textId="77777777" w:rsidR="005B1FC8" w:rsidRPr="00E15FE9" w:rsidRDefault="005B1FC8" w:rsidP="00E15FE9">
      <w:pPr>
        <w:pStyle w:val="BodyTextLeft"/>
        <w:rPr>
          <w:sz w:val="22"/>
          <w:szCs w:val="22"/>
        </w:rPr>
      </w:pPr>
      <w:r w:rsidRPr="00E15FE9">
        <w:rPr>
          <w:sz w:val="22"/>
          <w:szCs w:val="22"/>
        </w:rPr>
        <w:t>To date, there have been no cases of halon 1301 replacement with an alternative agent in cargo compartments of civil aircraft. Testing of halocarbon agents has shown that they are not technically or economically feasible due to the space and weight requirements of maintaining the necessary high concentrations of these agents. A combination of water mist and nitrogen has been tested to and shown to meet the current performance requirements. Commercial development of a water mist/nitrogen cargo fire suppression system is in the early stages.</w:t>
      </w:r>
    </w:p>
    <w:p w14:paraId="59C49399" w14:textId="77777777" w:rsidR="005B1FC8" w:rsidRPr="00E15FE9" w:rsidRDefault="005B1FC8" w:rsidP="00E15FE9">
      <w:pPr>
        <w:pStyle w:val="BodyTextLeft"/>
        <w:rPr>
          <w:sz w:val="22"/>
          <w:szCs w:val="22"/>
        </w:rPr>
      </w:pPr>
      <w:r w:rsidRPr="00E15FE9">
        <w:rPr>
          <w:sz w:val="22"/>
          <w:szCs w:val="22"/>
        </w:rPr>
        <w:t>The International Coordinating Council of Aerospace Industries Associations (ICCAIA) formed the Cargo Compartment Halon Replacement Working Group (CCHRWG) in 2014 to provide a recommendation to ICAO on a date for requiring the use of a halon replacement in the cargo compartments of newly designed aircraft. The CCHRWG has documented the requirements for a cargo compartment fire suppression system, created a technology development and implementation timeline, and is developing a generic scenario for a non-halon cargo compartment system. The CCHRWG is also exploring potential mechanisms for further technology development such as a consortium or joint research agreement.</w:t>
      </w:r>
    </w:p>
    <w:p w14:paraId="655F298C" w14:textId="1767D0FE" w:rsidR="005B1FC8" w:rsidRPr="00EC1422" w:rsidRDefault="005B1FC8" w:rsidP="002B7818">
      <w:pPr>
        <w:pStyle w:val="Heading3"/>
      </w:pPr>
      <w:r w:rsidRPr="00EC1422">
        <w:t xml:space="preserve"> </w:t>
      </w:r>
      <w:r w:rsidR="00E15FE9">
        <w:tab/>
      </w:r>
      <w:bookmarkStart w:id="185" w:name="_Toc295406164"/>
      <w:r w:rsidR="00E15FE9">
        <w:t>8.</w:t>
      </w:r>
      <w:r w:rsidR="00E57ABC">
        <w:t>3</w:t>
      </w:r>
      <w:r w:rsidR="00E15FE9">
        <w:t>.</w:t>
      </w:r>
      <w:r w:rsidR="00E57ABC">
        <w:t>4.</w:t>
      </w:r>
      <w:r w:rsidR="00E15FE9">
        <w:tab/>
      </w:r>
      <w:r w:rsidRPr="00EC1422">
        <w:t>Handheld Extinguishers</w:t>
      </w:r>
      <w:bookmarkEnd w:id="185"/>
    </w:p>
    <w:p w14:paraId="0EC9DF51" w14:textId="77777777" w:rsidR="005B1FC8" w:rsidRPr="00E15FE9" w:rsidRDefault="005B1FC8" w:rsidP="00E15FE9">
      <w:pPr>
        <w:pStyle w:val="BodyTextLeft"/>
        <w:rPr>
          <w:sz w:val="22"/>
          <w:szCs w:val="22"/>
        </w:rPr>
      </w:pPr>
      <w:r w:rsidRPr="00E15FE9">
        <w:rPr>
          <w:sz w:val="22"/>
          <w:szCs w:val="22"/>
        </w:rPr>
        <w:t>Two non-ODS alternatives, HFC-227ea and HFC</w:t>
      </w:r>
      <w:r w:rsidRPr="00E15FE9">
        <w:rPr>
          <w:sz w:val="22"/>
          <w:szCs w:val="22"/>
        </w:rPr>
        <w:noBreakHyphen/>
        <w:t>236fa, and one ODS - HCFC Blend B (&gt;</w:t>
      </w:r>
      <w:r w:rsidRPr="00E15FE9">
        <w:rPr>
          <w:sz w:val="22"/>
          <w:szCs w:val="22"/>
          <w:lang w:val="en-US"/>
        </w:rPr>
        <w:t>96% HCFC-123, &lt;4% Ar and &lt;2% CF</w:t>
      </w:r>
      <w:r w:rsidRPr="00E15FE9">
        <w:rPr>
          <w:sz w:val="22"/>
          <w:szCs w:val="22"/>
          <w:vertAlign w:val="subscript"/>
          <w:lang w:val="en-US"/>
        </w:rPr>
        <w:t>4</w:t>
      </w:r>
      <w:r w:rsidRPr="00E15FE9">
        <w:rPr>
          <w:sz w:val="22"/>
          <w:szCs w:val="22"/>
          <w:lang w:val="en-US"/>
        </w:rPr>
        <w:t>)</w:t>
      </w:r>
      <w:r w:rsidRPr="00E15FE9">
        <w:rPr>
          <w:sz w:val="22"/>
          <w:szCs w:val="22"/>
        </w:rPr>
        <w:t xml:space="preserve"> have successfully completed all of the required Underwriters Laboratories (UL) and MPS handheld tests and are commercially available.  As shown in Table </w:t>
      </w:r>
      <w:r w:rsidR="00E15FE9">
        <w:rPr>
          <w:sz w:val="22"/>
          <w:szCs w:val="22"/>
        </w:rPr>
        <w:t>8-</w:t>
      </w:r>
      <w:r w:rsidRPr="00E15FE9">
        <w:rPr>
          <w:sz w:val="22"/>
          <w:szCs w:val="22"/>
        </w:rPr>
        <w:t>2, t</w:t>
      </w:r>
      <w:r w:rsidRPr="00E15FE9">
        <w:rPr>
          <w:color w:val="000000"/>
          <w:sz w:val="22"/>
          <w:szCs w:val="22"/>
        </w:rPr>
        <w:t>hese alternatives have increased space and weight characteristics compared to the use of halon 1211 extinguishers and, in some cases, environmental concerns</w:t>
      </w:r>
      <w:r w:rsidRPr="00E15FE9">
        <w:rPr>
          <w:sz w:val="22"/>
          <w:szCs w:val="22"/>
        </w:rPr>
        <w:t xml:space="preserve">.  </w:t>
      </w:r>
      <w:r w:rsidRPr="00E15FE9">
        <w:rPr>
          <w:color w:val="000000"/>
          <w:sz w:val="22"/>
          <w:szCs w:val="22"/>
        </w:rPr>
        <w:t>Based on these issues, airframe manufacturers have chosen not to pursue qualification and installation certification for these particular alternatives, a necessary requirement prior to airline use.</w:t>
      </w:r>
      <w:r w:rsidRPr="00E15FE9">
        <w:rPr>
          <w:sz w:val="22"/>
          <w:szCs w:val="22"/>
        </w:rPr>
        <w:t xml:space="preserve"> </w:t>
      </w:r>
    </w:p>
    <w:p w14:paraId="7188D8C6" w14:textId="77777777" w:rsidR="005B1FC8" w:rsidRPr="008B329D" w:rsidRDefault="005B1FC8" w:rsidP="005B1FC8">
      <w:pPr>
        <w:pStyle w:val="BodyTextLeft"/>
        <w:rPr>
          <w:i/>
          <w:color w:val="000000"/>
          <w:sz w:val="22"/>
          <w:szCs w:val="22"/>
        </w:rPr>
      </w:pPr>
      <w:r w:rsidRPr="008B329D">
        <w:rPr>
          <w:b/>
          <w:i/>
          <w:color w:val="000000"/>
          <w:sz w:val="22"/>
          <w:szCs w:val="22"/>
          <w:lang w:val="en-US"/>
        </w:rPr>
        <w:t xml:space="preserve">Table </w:t>
      </w:r>
      <w:r w:rsidR="00E15FE9" w:rsidRPr="008B329D">
        <w:rPr>
          <w:b/>
          <w:i/>
          <w:color w:val="000000"/>
          <w:sz w:val="22"/>
          <w:szCs w:val="22"/>
          <w:lang w:val="en-US"/>
        </w:rPr>
        <w:t>8-2.</w:t>
      </w:r>
      <w:r w:rsidRPr="008B329D">
        <w:rPr>
          <w:b/>
          <w:i/>
          <w:color w:val="000000"/>
          <w:sz w:val="22"/>
          <w:szCs w:val="22"/>
          <w:lang w:val="en-US"/>
        </w:rPr>
        <w:t xml:space="preserve">  Potential Portable Extinguishers for Civil Aviation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769"/>
        <w:gridCol w:w="1831"/>
        <w:gridCol w:w="1429"/>
        <w:gridCol w:w="1276"/>
        <w:gridCol w:w="1134"/>
      </w:tblGrid>
      <w:tr w:rsidR="005B1FC8" w:rsidRPr="00E15FE9" w14:paraId="4BD51F6B" w14:textId="77777777" w:rsidTr="00E15FE9">
        <w:tc>
          <w:tcPr>
            <w:tcW w:w="1350" w:type="dxa"/>
          </w:tcPr>
          <w:p w14:paraId="29F12688" w14:textId="77777777" w:rsidR="005B1FC8" w:rsidRPr="000A35BA" w:rsidRDefault="005B1FC8" w:rsidP="005B1FC8">
            <w:pPr>
              <w:ind w:hanging="18"/>
              <w:rPr>
                <w:b/>
                <w:sz w:val="20"/>
              </w:rPr>
            </w:pPr>
            <w:r w:rsidRPr="000A35BA">
              <w:rPr>
                <w:b/>
                <w:sz w:val="20"/>
              </w:rPr>
              <w:t>Type</w:t>
            </w:r>
          </w:p>
        </w:tc>
        <w:tc>
          <w:tcPr>
            <w:tcW w:w="1769" w:type="dxa"/>
          </w:tcPr>
          <w:p w14:paraId="235FF9F6" w14:textId="77777777" w:rsidR="005B1FC8" w:rsidRPr="000A35BA" w:rsidRDefault="005B1FC8" w:rsidP="005B1FC8">
            <w:pPr>
              <w:ind w:hanging="18"/>
              <w:jc w:val="center"/>
              <w:rPr>
                <w:b/>
                <w:sz w:val="20"/>
              </w:rPr>
            </w:pPr>
            <w:r w:rsidRPr="000A35BA">
              <w:rPr>
                <w:b/>
                <w:sz w:val="20"/>
              </w:rPr>
              <w:t>Agent Charge</w:t>
            </w:r>
          </w:p>
        </w:tc>
        <w:tc>
          <w:tcPr>
            <w:tcW w:w="1831" w:type="dxa"/>
          </w:tcPr>
          <w:p w14:paraId="340521F1" w14:textId="77777777" w:rsidR="005B1FC8" w:rsidRPr="000A35BA" w:rsidRDefault="005B1FC8" w:rsidP="005B1FC8">
            <w:pPr>
              <w:ind w:hanging="18"/>
              <w:jc w:val="center"/>
              <w:rPr>
                <w:b/>
                <w:sz w:val="20"/>
              </w:rPr>
            </w:pPr>
            <w:r w:rsidRPr="000A35BA">
              <w:rPr>
                <w:b/>
                <w:sz w:val="20"/>
              </w:rPr>
              <w:t>Total Weight</w:t>
            </w:r>
          </w:p>
          <w:p w14:paraId="43F3F0A5" w14:textId="77777777" w:rsidR="005B1FC8" w:rsidRPr="000A35BA" w:rsidRDefault="005B1FC8" w:rsidP="005B1FC8">
            <w:pPr>
              <w:ind w:hanging="18"/>
              <w:jc w:val="center"/>
              <w:rPr>
                <w:sz w:val="20"/>
              </w:rPr>
            </w:pPr>
          </w:p>
        </w:tc>
        <w:tc>
          <w:tcPr>
            <w:tcW w:w="1429" w:type="dxa"/>
          </w:tcPr>
          <w:p w14:paraId="0063B878" w14:textId="77777777" w:rsidR="005B1FC8" w:rsidRPr="000A35BA" w:rsidRDefault="005B1FC8" w:rsidP="005B1FC8">
            <w:pPr>
              <w:ind w:hanging="18"/>
              <w:jc w:val="center"/>
              <w:rPr>
                <w:b/>
                <w:sz w:val="20"/>
              </w:rPr>
            </w:pPr>
            <w:r w:rsidRPr="000A35BA">
              <w:rPr>
                <w:b/>
                <w:sz w:val="20"/>
              </w:rPr>
              <w:t>Atmospheric Lifetime</w:t>
            </w:r>
          </w:p>
        </w:tc>
        <w:tc>
          <w:tcPr>
            <w:tcW w:w="1276" w:type="dxa"/>
          </w:tcPr>
          <w:p w14:paraId="0CA894DC" w14:textId="77777777" w:rsidR="005B1FC8" w:rsidRPr="000A35BA" w:rsidRDefault="005B1FC8" w:rsidP="005B1FC8">
            <w:pPr>
              <w:ind w:hanging="18"/>
              <w:jc w:val="center"/>
              <w:rPr>
                <w:b/>
                <w:sz w:val="20"/>
              </w:rPr>
            </w:pPr>
            <w:r w:rsidRPr="000A35BA">
              <w:rPr>
                <w:b/>
                <w:sz w:val="20"/>
              </w:rPr>
              <w:t>ODP</w:t>
            </w:r>
          </w:p>
          <w:p w14:paraId="3A63776B" w14:textId="77777777" w:rsidR="005B1FC8" w:rsidRPr="000A35BA" w:rsidRDefault="005B1FC8" w:rsidP="005B1FC8">
            <w:pPr>
              <w:ind w:hanging="18"/>
              <w:rPr>
                <w:b/>
                <w:sz w:val="20"/>
              </w:rPr>
            </w:pPr>
          </w:p>
        </w:tc>
        <w:tc>
          <w:tcPr>
            <w:tcW w:w="1134" w:type="dxa"/>
          </w:tcPr>
          <w:p w14:paraId="14E90E45" w14:textId="77777777" w:rsidR="005B1FC8" w:rsidRPr="000A35BA" w:rsidRDefault="005B1FC8" w:rsidP="005B1FC8">
            <w:pPr>
              <w:ind w:hanging="18"/>
              <w:jc w:val="center"/>
              <w:rPr>
                <w:b/>
                <w:sz w:val="20"/>
              </w:rPr>
            </w:pPr>
            <w:r w:rsidRPr="000A35BA">
              <w:rPr>
                <w:b/>
                <w:sz w:val="20"/>
              </w:rPr>
              <w:t>GWP</w:t>
            </w:r>
          </w:p>
        </w:tc>
      </w:tr>
      <w:tr w:rsidR="005B1FC8" w:rsidRPr="00E15FE9" w14:paraId="7A0B9BF5" w14:textId="77777777" w:rsidTr="00E15FE9">
        <w:tc>
          <w:tcPr>
            <w:tcW w:w="1350" w:type="dxa"/>
          </w:tcPr>
          <w:p w14:paraId="4A23281C" w14:textId="77777777" w:rsidR="005B1FC8" w:rsidRPr="000A35BA" w:rsidRDefault="005B1FC8" w:rsidP="005B1FC8">
            <w:pPr>
              <w:ind w:hanging="18"/>
              <w:rPr>
                <w:sz w:val="20"/>
              </w:rPr>
            </w:pPr>
            <w:r w:rsidRPr="000A35BA">
              <w:rPr>
                <w:sz w:val="20"/>
              </w:rPr>
              <w:t>Halon 1211</w:t>
            </w:r>
          </w:p>
        </w:tc>
        <w:tc>
          <w:tcPr>
            <w:tcW w:w="1769" w:type="dxa"/>
          </w:tcPr>
          <w:p w14:paraId="41C684A7" w14:textId="77777777" w:rsidR="005B1FC8" w:rsidRPr="000A35BA" w:rsidRDefault="005B1FC8" w:rsidP="005B1FC8">
            <w:pPr>
              <w:ind w:hanging="18"/>
              <w:jc w:val="right"/>
              <w:rPr>
                <w:sz w:val="20"/>
              </w:rPr>
            </w:pPr>
            <w:r w:rsidRPr="000A35BA">
              <w:rPr>
                <w:sz w:val="20"/>
              </w:rPr>
              <w:t>1.14 kg</w:t>
            </w:r>
          </w:p>
        </w:tc>
        <w:tc>
          <w:tcPr>
            <w:tcW w:w="1831" w:type="dxa"/>
          </w:tcPr>
          <w:p w14:paraId="77DBC345" w14:textId="77777777" w:rsidR="005B1FC8" w:rsidRPr="000A35BA" w:rsidRDefault="005B1FC8" w:rsidP="005B1FC8">
            <w:pPr>
              <w:tabs>
                <w:tab w:val="left" w:pos="945"/>
              </w:tabs>
              <w:jc w:val="right"/>
              <w:rPr>
                <w:sz w:val="20"/>
              </w:rPr>
            </w:pPr>
            <w:r w:rsidRPr="000A35BA">
              <w:rPr>
                <w:sz w:val="20"/>
              </w:rPr>
              <w:t>1.79 kg</w:t>
            </w:r>
          </w:p>
        </w:tc>
        <w:tc>
          <w:tcPr>
            <w:tcW w:w="1429" w:type="dxa"/>
          </w:tcPr>
          <w:p w14:paraId="44DF2EA5" w14:textId="77777777" w:rsidR="005B1FC8" w:rsidRPr="000A35BA" w:rsidRDefault="005B1FC8" w:rsidP="005B1FC8">
            <w:pPr>
              <w:tabs>
                <w:tab w:val="left" w:pos="945"/>
              </w:tabs>
              <w:jc w:val="right"/>
              <w:rPr>
                <w:sz w:val="20"/>
                <w:vertAlign w:val="superscript"/>
              </w:rPr>
            </w:pPr>
            <w:r w:rsidRPr="000A35BA">
              <w:rPr>
                <w:sz w:val="20"/>
              </w:rPr>
              <w:t>161</w:t>
            </w:r>
            <w:r w:rsidRPr="000A35BA">
              <w:rPr>
                <w:sz w:val="20"/>
                <w:vertAlign w:val="superscript"/>
              </w:rPr>
              <w:t>1</w:t>
            </w:r>
          </w:p>
        </w:tc>
        <w:tc>
          <w:tcPr>
            <w:tcW w:w="1276" w:type="dxa"/>
          </w:tcPr>
          <w:p w14:paraId="410D3E18" w14:textId="77777777" w:rsidR="005B1FC8" w:rsidRPr="000A35BA" w:rsidRDefault="005B1FC8" w:rsidP="005B1FC8">
            <w:pPr>
              <w:tabs>
                <w:tab w:val="left" w:pos="945"/>
              </w:tabs>
              <w:jc w:val="right"/>
              <w:rPr>
                <w:sz w:val="20"/>
                <w:vertAlign w:val="superscript"/>
              </w:rPr>
            </w:pPr>
            <w:r w:rsidRPr="000A35BA">
              <w:rPr>
                <w:sz w:val="20"/>
              </w:rPr>
              <w:t>6.9</w:t>
            </w:r>
            <w:r w:rsidRPr="000A35BA">
              <w:rPr>
                <w:sz w:val="20"/>
                <w:vertAlign w:val="superscript"/>
              </w:rPr>
              <w:t>1</w:t>
            </w:r>
            <w:r w:rsidRPr="000A35BA">
              <w:rPr>
                <w:sz w:val="20"/>
              </w:rPr>
              <w:t xml:space="preserve"> (3)</w:t>
            </w:r>
            <w:r w:rsidRPr="000A35BA">
              <w:rPr>
                <w:sz w:val="20"/>
                <w:vertAlign w:val="superscript"/>
              </w:rPr>
              <w:t>2</w:t>
            </w:r>
          </w:p>
        </w:tc>
        <w:tc>
          <w:tcPr>
            <w:tcW w:w="1134" w:type="dxa"/>
          </w:tcPr>
          <w:p w14:paraId="3413E381" w14:textId="77777777" w:rsidR="005B1FC8" w:rsidRPr="000A35BA" w:rsidRDefault="005B1FC8" w:rsidP="005B1FC8">
            <w:pPr>
              <w:ind w:hanging="18"/>
              <w:jc w:val="right"/>
              <w:rPr>
                <w:sz w:val="20"/>
                <w:vertAlign w:val="superscript"/>
              </w:rPr>
            </w:pPr>
            <w:r w:rsidRPr="000A35BA">
              <w:rPr>
                <w:sz w:val="20"/>
              </w:rPr>
              <w:t>1750</w:t>
            </w:r>
            <w:r w:rsidRPr="000A35BA">
              <w:rPr>
                <w:sz w:val="20"/>
                <w:vertAlign w:val="superscript"/>
              </w:rPr>
              <w:t>1</w:t>
            </w:r>
          </w:p>
        </w:tc>
      </w:tr>
      <w:tr w:rsidR="005B1FC8" w:rsidRPr="00E15FE9" w14:paraId="3512B827" w14:textId="77777777" w:rsidTr="00D46945">
        <w:trPr>
          <w:trHeight w:val="2589"/>
        </w:trPr>
        <w:tc>
          <w:tcPr>
            <w:tcW w:w="1350" w:type="dxa"/>
          </w:tcPr>
          <w:p w14:paraId="2A6B0CE0" w14:textId="77777777" w:rsidR="005B1FC8" w:rsidRPr="000A35BA" w:rsidRDefault="005B1FC8" w:rsidP="005B1FC8">
            <w:pPr>
              <w:ind w:hanging="18"/>
              <w:rPr>
                <w:sz w:val="20"/>
              </w:rPr>
            </w:pPr>
          </w:p>
          <w:p w14:paraId="67D9C56A" w14:textId="77777777" w:rsidR="005B1FC8" w:rsidRPr="000A35BA" w:rsidRDefault="005B1FC8" w:rsidP="005B1FC8">
            <w:pPr>
              <w:ind w:hanging="18"/>
              <w:rPr>
                <w:sz w:val="20"/>
              </w:rPr>
            </w:pPr>
          </w:p>
          <w:p w14:paraId="28775DC2" w14:textId="77777777" w:rsidR="005B1FC8" w:rsidRPr="000A35BA" w:rsidRDefault="005B1FC8" w:rsidP="005B1FC8">
            <w:pPr>
              <w:ind w:hanging="18"/>
              <w:rPr>
                <w:sz w:val="20"/>
              </w:rPr>
            </w:pPr>
            <w:r w:rsidRPr="000A35BA">
              <w:rPr>
                <w:sz w:val="20"/>
              </w:rPr>
              <w:t xml:space="preserve">HCFC </w:t>
            </w:r>
          </w:p>
          <w:p w14:paraId="0654A4AF" w14:textId="77777777" w:rsidR="005B1FC8" w:rsidRPr="000A35BA" w:rsidRDefault="005B1FC8" w:rsidP="005B1FC8">
            <w:pPr>
              <w:ind w:hanging="18"/>
              <w:rPr>
                <w:sz w:val="20"/>
              </w:rPr>
            </w:pPr>
            <w:r w:rsidRPr="000A35BA">
              <w:rPr>
                <w:sz w:val="20"/>
              </w:rPr>
              <w:t>Blend B</w:t>
            </w:r>
          </w:p>
        </w:tc>
        <w:tc>
          <w:tcPr>
            <w:tcW w:w="1769" w:type="dxa"/>
          </w:tcPr>
          <w:p w14:paraId="783E92CE" w14:textId="77777777" w:rsidR="005B1FC8" w:rsidRPr="000A35BA" w:rsidRDefault="005B1FC8" w:rsidP="005B1FC8">
            <w:pPr>
              <w:ind w:hanging="18"/>
              <w:jc w:val="right"/>
              <w:rPr>
                <w:sz w:val="20"/>
              </w:rPr>
            </w:pPr>
            <w:r w:rsidRPr="000A35BA">
              <w:rPr>
                <w:sz w:val="20"/>
              </w:rPr>
              <w:t>2.50 kg</w:t>
            </w:r>
          </w:p>
          <w:p w14:paraId="1392E2BF" w14:textId="77777777" w:rsidR="005B1FC8" w:rsidRPr="000A35BA" w:rsidRDefault="005B1FC8" w:rsidP="005B1FC8">
            <w:pPr>
              <w:ind w:hanging="18"/>
              <w:jc w:val="right"/>
              <w:rPr>
                <w:sz w:val="20"/>
              </w:rPr>
            </w:pPr>
          </w:p>
          <w:p w14:paraId="0511813F" w14:textId="77777777" w:rsidR="005B1FC8" w:rsidRPr="000A35BA" w:rsidRDefault="005B1FC8" w:rsidP="005B1FC8">
            <w:pPr>
              <w:rPr>
                <w:sz w:val="20"/>
              </w:rPr>
            </w:pPr>
            <w:r w:rsidRPr="000A35BA">
              <w:rPr>
                <w:sz w:val="20"/>
              </w:rPr>
              <w:t>&gt;96% HCFC-123</w:t>
            </w:r>
          </w:p>
          <w:p w14:paraId="0B9808C9" w14:textId="77777777" w:rsidR="005B1FC8" w:rsidRPr="000A35BA" w:rsidRDefault="005B1FC8" w:rsidP="005B1FC8">
            <w:pPr>
              <w:rPr>
                <w:sz w:val="20"/>
              </w:rPr>
            </w:pPr>
            <w:r w:rsidRPr="000A35BA">
              <w:rPr>
                <w:sz w:val="20"/>
              </w:rPr>
              <w:t>&lt;4%   Ar</w:t>
            </w:r>
          </w:p>
          <w:p w14:paraId="6295B1A7" w14:textId="77777777" w:rsidR="005B1FC8" w:rsidRPr="000A35BA" w:rsidRDefault="005B1FC8" w:rsidP="005B1FC8">
            <w:pPr>
              <w:rPr>
                <w:sz w:val="20"/>
              </w:rPr>
            </w:pPr>
            <w:r w:rsidRPr="000A35BA">
              <w:rPr>
                <w:sz w:val="20"/>
              </w:rPr>
              <w:t>&lt;2%   CF</w:t>
            </w:r>
            <w:r w:rsidRPr="000A35BA">
              <w:rPr>
                <w:sz w:val="20"/>
                <w:vertAlign w:val="subscript"/>
              </w:rPr>
              <w:t>4</w:t>
            </w:r>
          </w:p>
          <w:p w14:paraId="23CD3B12" w14:textId="77777777" w:rsidR="005B1FC8" w:rsidRPr="000A35BA" w:rsidRDefault="005B1FC8" w:rsidP="005B1FC8">
            <w:pPr>
              <w:ind w:hanging="18"/>
              <w:jc w:val="right"/>
              <w:rPr>
                <w:sz w:val="20"/>
              </w:rPr>
            </w:pPr>
          </w:p>
        </w:tc>
        <w:tc>
          <w:tcPr>
            <w:tcW w:w="1831" w:type="dxa"/>
          </w:tcPr>
          <w:p w14:paraId="135FEE7E" w14:textId="77777777" w:rsidR="005B1FC8" w:rsidRPr="000A35BA" w:rsidRDefault="005B1FC8" w:rsidP="005B1FC8">
            <w:pPr>
              <w:ind w:hanging="18"/>
              <w:jc w:val="right"/>
              <w:rPr>
                <w:sz w:val="20"/>
              </w:rPr>
            </w:pPr>
            <w:r w:rsidRPr="000A35BA">
              <w:rPr>
                <w:sz w:val="20"/>
              </w:rPr>
              <w:t>4.23 kg</w:t>
            </w:r>
          </w:p>
          <w:p w14:paraId="624D2027" w14:textId="77777777" w:rsidR="005B1FC8" w:rsidRPr="000A35BA" w:rsidRDefault="005B1FC8" w:rsidP="005B1FC8">
            <w:pPr>
              <w:ind w:hanging="18"/>
              <w:jc w:val="right"/>
              <w:rPr>
                <w:sz w:val="20"/>
              </w:rPr>
            </w:pPr>
          </w:p>
        </w:tc>
        <w:tc>
          <w:tcPr>
            <w:tcW w:w="1429" w:type="dxa"/>
          </w:tcPr>
          <w:p w14:paraId="43D763D7" w14:textId="77777777" w:rsidR="005B1FC8" w:rsidRPr="000A35BA" w:rsidRDefault="005B1FC8" w:rsidP="005B1FC8">
            <w:pPr>
              <w:ind w:hanging="18"/>
              <w:jc w:val="right"/>
              <w:rPr>
                <w:sz w:val="20"/>
              </w:rPr>
            </w:pPr>
          </w:p>
          <w:p w14:paraId="391E099F" w14:textId="77777777" w:rsidR="005B1FC8" w:rsidRPr="000A35BA" w:rsidRDefault="005B1FC8" w:rsidP="005B1FC8">
            <w:pPr>
              <w:ind w:hanging="18"/>
              <w:jc w:val="right"/>
              <w:rPr>
                <w:sz w:val="20"/>
              </w:rPr>
            </w:pPr>
          </w:p>
          <w:p w14:paraId="5063DC6C" w14:textId="77777777" w:rsidR="005B1FC8" w:rsidRPr="000A35BA" w:rsidRDefault="005B1FC8" w:rsidP="005B1FC8">
            <w:pPr>
              <w:ind w:hanging="18"/>
              <w:jc w:val="right"/>
              <w:rPr>
                <w:sz w:val="20"/>
                <w:vertAlign w:val="superscript"/>
              </w:rPr>
            </w:pPr>
            <w:r w:rsidRPr="000A35BA">
              <w:rPr>
                <w:sz w:val="20"/>
              </w:rPr>
              <w:t>1.3</w:t>
            </w:r>
            <w:r w:rsidRPr="000A35BA">
              <w:rPr>
                <w:sz w:val="20"/>
                <w:vertAlign w:val="superscript"/>
              </w:rPr>
              <w:t>3</w:t>
            </w:r>
          </w:p>
          <w:p w14:paraId="220BF5E6" w14:textId="77777777" w:rsidR="005B1FC8" w:rsidRPr="000A35BA" w:rsidRDefault="005B1FC8" w:rsidP="005B1FC8">
            <w:pPr>
              <w:ind w:hanging="18"/>
              <w:jc w:val="right"/>
              <w:rPr>
                <w:sz w:val="20"/>
              </w:rPr>
            </w:pPr>
            <w:r w:rsidRPr="000A35BA">
              <w:rPr>
                <w:sz w:val="20"/>
              </w:rPr>
              <w:t>n/a</w:t>
            </w:r>
          </w:p>
          <w:p w14:paraId="3FE54A27" w14:textId="77777777" w:rsidR="005B1FC8" w:rsidRPr="000A35BA" w:rsidRDefault="005B1FC8" w:rsidP="005B1FC8">
            <w:pPr>
              <w:ind w:hanging="18"/>
              <w:jc w:val="right"/>
              <w:rPr>
                <w:sz w:val="20"/>
                <w:vertAlign w:val="superscript"/>
              </w:rPr>
            </w:pPr>
            <w:r w:rsidRPr="000A35BA">
              <w:rPr>
                <w:sz w:val="20"/>
              </w:rPr>
              <w:t>50,000</w:t>
            </w:r>
            <w:r w:rsidRPr="000A35BA">
              <w:rPr>
                <w:sz w:val="20"/>
                <w:vertAlign w:val="superscript"/>
              </w:rPr>
              <w:t>3</w:t>
            </w:r>
          </w:p>
        </w:tc>
        <w:tc>
          <w:tcPr>
            <w:tcW w:w="1276" w:type="dxa"/>
          </w:tcPr>
          <w:p w14:paraId="5A5A8C96" w14:textId="77777777" w:rsidR="005B1FC8" w:rsidRPr="000A35BA" w:rsidRDefault="005B1FC8" w:rsidP="005B1FC8">
            <w:pPr>
              <w:ind w:hanging="18"/>
              <w:jc w:val="right"/>
              <w:rPr>
                <w:sz w:val="20"/>
              </w:rPr>
            </w:pPr>
          </w:p>
          <w:p w14:paraId="5ED04F33" w14:textId="77777777" w:rsidR="005B1FC8" w:rsidRPr="000A35BA" w:rsidRDefault="005B1FC8" w:rsidP="005B1FC8">
            <w:pPr>
              <w:ind w:hanging="18"/>
              <w:jc w:val="right"/>
              <w:rPr>
                <w:sz w:val="20"/>
              </w:rPr>
            </w:pPr>
          </w:p>
          <w:p w14:paraId="787B4944" w14:textId="77777777" w:rsidR="005B1FC8" w:rsidRPr="000A35BA" w:rsidRDefault="005B1FC8" w:rsidP="005B1FC8">
            <w:pPr>
              <w:ind w:hanging="18"/>
              <w:jc w:val="right"/>
              <w:rPr>
                <w:sz w:val="20"/>
              </w:rPr>
            </w:pPr>
            <w:r w:rsidRPr="000A35BA">
              <w:rPr>
                <w:sz w:val="20"/>
              </w:rPr>
              <w:t>0.01</w:t>
            </w:r>
            <w:r w:rsidRPr="000A35BA">
              <w:rPr>
                <w:sz w:val="20"/>
                <w:vertAlign w:val="superscript"/>
              </w:rPr>
              <w:t>3</w:t>
            </w:r>
            <w:r w:rsidRPr="000A35BA">
              <w:rPr>
                <w:sz w:val="20"/>
              </w:rPr>
              <w:t xml:space="preserve"> (.02)</w:t>
            </w:r>
            <w:r w:rsidRPr="000A35BA">
              <w:rPr>
                <w:sz w:val="20"/>
                <w:vertAlign w:val="superscript"/>
              </w:rPr>
              <w:t>2</w:t>
            </w:r>
          </w:p>
          <w:p w14:paraId="2CB6AB91" w14:textId="77777777" w:rsidR="005B1FC8" w:rsidRPr="000A35BA" w:rsidRDefault="005B1FC8" w:rsidP="005B1FC8">
            <w:pPr>
              <w:ind w:hanging="18"/>
              <w:jc w:val="right"/>
              <w:rPr>
                <w:sz w:val="20"/>
              </w:rPr>
            </w:pPr>
            <w:r w:rsidRPr="000A35BA">
              <w:rPr>
                <w:sz w:val="20"/>
              </w:rPr>
              <w:t>0</w:t>
            </w:r>
          </w:p>
          <w:p w14:paraId="76E0A8DF" w14:textId="77777777" w:rsidR="005B1FC8" w:rsidRPr="000A35BA" w:rsidRDefault="005B1FC8" w:rsidP="005B1FC8">
            <w:pPr>
              <w:ind w:hanging="18"/>
              <w:jc w:val="right"/>
              <w:rPr>
                <w:sz w:val="20"/>
              </w:rPr>
            </w:pPr>
            <w:r w:rsidRPr="000A35BA">
              <w:rPr>
                <w:sz w:val="20"/>
              </w:rPr>
              <w:t>0</w:t>
            </w:r>
          </w:p>
        </w:tc>
        <w:tc>
          <w:tcPr>
            <w:tcW w:w="1134" w:type="dxa"/>
          </w:tcPr>
          <w:p w14:paraId="23BB72FE" w14:textId="77777777" w:rsidR="005B1FC8" w:rsidRPr="000A35BA" w:rsidRDefault="005B1FC8" w:rsidP="005B1FC8">
            <w:pPr>
              <w:ind w:hanging="18"/>
              <w:jc w:val="right"/>
              <w:rPr>
                <w:sz w:val="20"/>
              </w:rPr>
            </w:pPr>
          </w:p>
          <w:p w14:paraId="6937370A" w14:textId="77777777" w:rsidR="005B1FC8" w:rsidRPr="000A35BA" w:rsidRDefault="005B1FC8" w:rsidP="005B1FC8">
            <w:pPr>
              <w:ind w:hanging="18"/>
              <w:jc w:val="right"/>
              <w:rPr>
                <w:sz w:val="20"/>
              </w:rPr>
            </w:pPr>
          </w:p>
          <w:p w14:paraId="06476064" w14:textId="77777777" w:rsidR="005B1FC8" w:rsidRPr="000A35BA" w:rsidRDefault="005B1FC8" w:rsidP="005B1FC8">
            <w:pPr>
              <w:ind w:hanging="18"/>
              <w:jc w:val="right"/>
              <w:rPr>
                <w:sz w:val="20"/>
                <w:vertAlign w:val="superscript"/>
              </w:rPr>
            </w:pPr>
            <w:r w:rsidRPr="000A35BA">
              <w:rPr>
                <w:sz w:val="20"/>
              </w:rPr>
              <w:t>79</w:t>
            </w:r>
            <w:r w:rsidRPr="000A35BA">
              <w:rPr>
                <w:sz w:val="20"/>
                <w:vertAlign w:val="superscript"/>
              </w:rPr>
              <w:t>3</w:t>
            </w:r>
          </w:p>
          <w:p w14:paraId="7B498310" w14:textId="77777777" w:rsidR="005B1FC8" w:rsidRPr="000A35BA" w:rsidRDefault="005B1FC8" w:rsidP="005B1FC8">
            <w:pPr>
              <w:ind w:hanging="18"/>
              <w:jc w:val="right"/>
              <w:rPr>
                <w:sz w:val="20"/>
              </w:rPr>
            </w:pPr>
            <w:r w:rsidRPr="000A35BA">
              <w:rPr>
                <w:sz w:val="20"/>
              </w:rPr>
              <w:t>0</w:t>
            </w:r>
          </w:p>
          <w:p w14:paraId="4E35F97E" w14:textId="77777777" w:rsidR="005B1FC8" w:rsidRPr="000A35BA" w:rsidRDefault="005B1FC8" w:rsidP="005B1FC8">
            <w:pPr>
              <w:ind w:hanging="18"/>
              <w:jc w:val="right"/>
              <w:rPr>
                <w:sz w:val="20"/>
                <w:vertAlign w:val="superscript"/>
              </w:rPr>
            </w:pPr>
            <w:r w:rsidRPr="000A35BA">
              <w:rPr>
                <w:sz w:val="20"/>
              </w:rPr>
              <w:t>6630</w:t>
            </w:r>
            <w:r w:rsidRPr="000A35BA">
              <w:rPr>
                <w:sz w:val="20"/>
                <w:vertAlign w:val="superscript"/>
              </w:rPr>
              <w:t>3</w:t>
            </w:r>
          </w:p>
          <w:p w14:paraId="07B13A35" w14:textId="77777777" w:rsidR="005B1FC8" w:rsidRPr="000A35BA" w:rsidRDefault="005B1FC8" w:rsidP="005B1FC8">
            <w:pPr>
              <w:ind w:hanging="18"/>
              <w:jc w:val="right"/>
              <w:rPr>
                <w:sz w:val="20"/>
              </w:rPr>
            </w:pPr>
          </w:p>
        </w:tc>
      </w:tr>
      <w:tr w:rsidR="005B1FC8" w:rsidRPr="00E15FE9" w14:paraId="60D3057C" w14:textId="77777777" w:rsidTr="00E15FE9">
        <w:tc>
          <w:tcPr>
            <w:tcW w:w="1350" w:type="dxa"/>
          </w:tcPr>
          <w:p w14:paraId="2A2F9326" w14:textId="77777777" w:rsidR="005B1FC8" w:rsidRPr="000A35BA" w:rsidRDefault="005B1FC8" w:rsidP="005B1FC8">
            <w:pPr>
              <w:ind w:hanging="18"/>
              <w:rPr>
                <w:sz w:val="20"/>
              </w:rPr>
            </w:pPr>
            <w:r w:rsidRPr="000A35BA">
              <w:rPr>
                <w:sz w:val="20"/>
              </w:rPr>
              <w:t>HFC-227ea</w:t>
            </w:r>
          </w:p>
        </w:tc>
        <w:tc>
          <w:tcPr>
            <w:tcW w:w="1769" w:type="dxa"/>
          </w:tcPr>
          <w:p w14:paraId="7E2CF09E" w14:textId="77777777" w:rsidR="005B1FC8" w:rsidRPr="000A35BA" w:rsidRDefault="005B1FC8" w:rsidP="005B1FC8">
            <w:pPr>
              <w:ind w:hanging="18"/>
              <w:jc w:val="right"/>
              <w:rPr>
                <w:sz w:val="20"/>
              </w:rPr>
            </w:pPr>
            <w:r w:rsidRPr="000A35BA">
              <w:rPr>
                <w:sz w:val="20"/>
              </w:rPr>
              <w:t>2.61 kg</w:t>
            </w:r>
          </w:p>
        </w:tc>
        <w:tc>
          <w:tcPr>
            <w:tcW w:w="1831" w:type="dxa"/>
          </w:tcPr>
          <w:p w14:paraId="1D17D91C" w14:textId="77777777" w:rsidR="005B1FC8" w:rsidRPr="000A35BA" w:rsidRDefault="005B1FC8" w:rsidP="005B1FC8">
            <w:pPr>
              <w:ind w:hanging="18"/>
              <w:jc w:val="right"/>
              <w:rPr>
                <w:sz w:val="20"/>
              </w:rPr>
            </w:pPr>
            <w:r w:rsidRPr="000A35BA">
              <w:rPr>
                <w:sz w:val="20"/>
              </w:rPr>
              <w:t>4.45 kg</w:t>
            </w:r>
          </w:p>
        </w:tc>
        <w:tc>
          <w:tcPr>
            <w:tcW w:w="1429" w:type="dxa"/>
          </w:tcPr>
          <w:p w14:paraId="36F0B674" w14:textId="77777777" w:rsidR="005B1FC8" w:rsidRPr="000A35BA" w:rsidRDefault="005B1FC8" w:rsidP="005B1FC8">
            <w:pPr>
              <w:ind w:hanging="18"/>
              <w:jc w:val="right"/>
              <w:rPr>
                <w:sz w:val="20"/>
                <w:vertAlign w:val="superscript"/>
              </w:rPr>
            </w:pPr>
            <w:r w:rsidRPr="000A35BA">
              <w:rPr>
                <w:sz w:val="20"/>
              </w:rPr>
              <w:t>36</w:t>
            </w:r>
            <w:r w:rsidRPr="000A35BA">
              <w:rPr>
                <w:sz w:val="20"/>
                <w:vertAlign w:val="superscript"/>
              </w:rPr>
              <w:t>1</w:t>
            </w:r>
          </w:p>
        </w:tc>
        <w:tc>
          <w:tcPr>
            <w:tcW w:w="1276" w:type="dxa"/>
          </w:tcPr>
          <w:p w14:paraId="4B944B38" w14:textId="77777777" w:rsidR="005B1FC8" w:rsidRPr="000A35BA" w:rsidRDefault="005B1FC8" w:rsidP="005B1FC8">
            <w:pPr>
              <w:ind w:hanging="18"/>
              <w:jc w:val="right"/>
              <w:rPr>
                <w:sz w:val="20"/>
              </w:rPr>
            </w:pPr>
            <w:r w:rsidRPr="000A35BA">
              <w:rPr>
                <w:sz w:val="20"/>
              </w:rPr>
              <w:t>0</w:t>
            </w:r>
          </w:p>
        </w:tc>
        <w:tc>
          <w:tcPr>
            <w:tcW w:w="1134" w:type="dxa"/>
          </w:tcPr>
          <w:p w14:paraId="13167D56" w14:textId="77777777" w:rsidR="005B1FC8" w:rsidRPr="000A35BA" w:rsidRDefault="005B1FC8" w:rsidP="005B1FC8">
            <w:pPr>
              <w:ind w:hanging="18"/>
              <w:jc w:val="right"/>
              <w:rPr>
                <w:sz w:val="20"/>
                <w:vertAlign w:val="superscript"/>
              </w:rPr>
            </w:pPr>
            <w:r w:rsidRPr="000A35BA">
              <w:rPr>
                <w:sz w:val="20"/>
              </w:rPr>
              <w:t>3140</w:t>
            </w:r>
            <w:r w:rsidRPr="000A35BA">
              <w:rPr>
                <w:sz w:val="20"/>
                <w:vertAlign w:val="superscript"/>
              </w:rPr>
              <w:t>1</w:t>
            </w:r>
          </w:p>
        </w:tc>
      </w:tr>
      <w:tr w:rsidR="005B1FC8" w:rsidRPr="00E15FE9" w14:paraId="4FDFF294" w14:textId="77777777" w:rsidTr="00E15FE9">
        <w:tc>
          <w:tcPr>
            <w:tcW w:w="1350" w:type="dxa"/>
          </w:tcPr>
          <w:p w14:paraId="1A865D8F" w14:textId="77777777" w:rsidR="005B1FC8" w:rsidRPr="000A35BA" w:rsidRDefault="005B1FC8" w:rsidP="005B1FC8">
            <w:pPr>
              <w:ind w:hanging="18"/>
              <w:rPr>
                <w:sz w:val="20"/>
              </w:rPr>
            </w:pPr>
            <w:r w:rsidRPr="000A35BA">
              <w:rPr>
                <w:sz w:val="20"/>
              </w:rPr>
              <w:t>HFC-236fa</w:t>
            </w:r>
          </w:p>
        </w:tc>
        <w:tc>
          <w:tcPr>
            <w:tcW w:w="1769" w:type="dxa"/>
          </w:tcPr>
          <w:p w14:paraId="2FC005ED" w14:textId="77777777" w:rsidR="005B1FC8" w:rsidRPr="000A35BA" w:rsidRDefault="005B1FC8" w:rsidP="005B1FC8">
            <w:pPr>
              <w:ind w:hanging="18"/>
              <w:jc w:val="right"/>
              <w:rPr>
                <w:sz w:val="20"/>
              </w:rPr>
            </w:pPr>
            <w:r w:rsidRPr="000A35BA">
              <w:rPr>
                <w:sz w:val="20"/>
              </w:rPr>
              <w:t>2.16 kg</w:t>
            </w:r>
          </w:p>
        </w:tc>
        <w:tc>
          <w:tcPr>
            <w:tcW w:w="1831" w:type="dxa"/>
          </w:tcPr>
          <w:p w14:paraId="74B019CE" w14:textId="77777777" w:rsidR="005B1FC8" w:rsidRPr="000A35BA" w:rsidRDefault="005B1FC8" w:rsidP="005B1FC8">
            <w:pPr>
              <w:ind w:hanging="18"/>
              <w:jc w:val="right"/>
              <w:rPr>
                <w:sz w:val="20"/>
              </w:rPr>
            </w:pPr>
            <w:r w:rsidRPr="000A35BA">
              <w:rPr>
                <w:sz w:val="20"/>
              </w:rPr>
              <w:t>4.32 kg</w:t>
            </w:r>
          </w:p>
        </w:tc>
        <w:tc>
          <w:tcPr>
            <w:tcW w:w="1429" w:type="dxa"/>
          </w:tcPr>
          <w:p w14:paraId="22DAE355" w14:textId="77777777" w:rsidR="005B1FC8" w:rsidRPr="000A35BA" w:rsidRDefault="005B1FC8" w:rsidP="005B1FC8">
            <w:pPr>
              <w:ind w:hanging="18"/>
              <w:jc w:val="right"/>
              <w:rPr>
                <w:sz w:val="20"/>
                <w:vertAlign w:val="superscript"/>
              </w:rPr>
            </w:pPr>
            <w:r w:rsidRPr="000A35BA">
              <w:rPr>
                <w:sz w:val="20"/>
              </w:rPr>
              <w:t>242</w:t>
            </w:r>
            <w:r w:rsidRPr="000A35BA">
              <w:rPr>
                <w:sz w:val="20"/>
                <w:vertAlign w:val="superscript"/>
              </w:rPr>
              <w:t>3</w:t>
            </w:r>
          </w:p>
        </w:tc>
        <w:tc>
          <w:tcPr>
            <w:tcW w:w="1276" w:type="dxa"/>
          </w:tcPr>
          <w:p w14:paraId="424FF225" w14:textId="77777777" w:rsidR="005B1FC8" w:rsidRPr="000A35BA" w:rsidRDefault="005B1FC8" w:rsidP="005B1FC8">
            <w:pPr>
              <w:ind w:hanging="18"/>
              <w:jc w:val="right"/>
              <w:rPr>
                <w:sz w:val="20"/>
              </w:rPr>
            </w:pPr>
            <w:r w:rsidRPr="000A35BA">
              <w:rPr>
                <w:sz w:val="20"/>
              </w:rPr>
              <w:t>0</w:t>
            </w:r>
          </w:p>
        </w:tc>
        <w:tc>
          <w:tcPr>
            <w:tcW w:w="1134" w:type="dxa"/>
          </w:tcPr>
          <w:p w14:paraId="10094D1C" w14:textId="77777777" w:rsidR="005B1FC8" w:rsidRPr="000A35BA" w:rsidRDefault="005B1FC8" w:rsidP="005B1FC8">
            <w:pPr>
              <w:ind w:hanging="18"/>
              <w:jc w:val="right"/>
              <w:rPr>
                <w:sz w:val="20"/>
                <w:vertAlign w:val="superscript"/>
              </w:rPr>
            </w:pPr>
            <w:r w:rsidRPr="000A35BA">
              <w:rPr>
                <w:sz w:val="20"/>
              </w:rPr>
              <w:t>8060</w:t>
            </w:r>
            <w:r w:rsidRPr="000A35BA">
              <w:rPr>
                <w:sz w:val="20"/>
                <w:vertAlign w:val="superscript"/>
              </w:rPr>
              <w:t>3</w:t>
            </w:r>
          </w:p>
        </w:tc>
      </w:tr>
      <w:tr w:rsidR="005B1FC8" w:rsidRPr="00E15FE9" w14:paraId="644C58A4" w14:textId="77777777" w:rsidTr="00E15FE9">
        <w:tc>
          <w:tcPr>
            <w:tcW w:w="1350" w:type="dxa"/>
          </w:tcPr>
          <w:p w14:paraId="5D69F593" w14:textId="77777777" w:rsidR="005B1FC8" w:rsidRPr="000A35BA" w:rsidRDefault="005B1FC8" w:rsidP="005B1FC8">
            <w:pPr>
              <w:ind w:hanging="18"/>
              <w:rPr>
                <w:sz w:val="20"/>
              </w:rPr>
            </w:pPr>
            <w:r w:rsidRPr="000A35BA">
              <w:rPr>
                <w:sz w:val="20"/>
              </w:rPr>
              <w:t>2-BTP</w:t>
            </w:r>
          </w:p>
        </w:tc>
        <w:tc>
          <w:tcPr>
            <w:tcW w:w="1769" w:type="dxa"/>
          </w:tcPr>
          <w:p w14:paraId="44FEF220" w14:textId="77777777" w:rsidR="005B1FC8" w:rsidRPr="000A35BA" w:rsidRDefault="005B1FC8" w:rsidP="005B1FC8">
            <w:pPr>
              <w:jc w:val="right"/>
              <w:rPr>
                <w:sz w:val="20"/>
              </w:rPr>
            </w:pPr>
            <w:r w:rsidRPr="000A35BA">
              <w:rPr>
                <w:sz w:val="20"/>
              </w:rPr>
              <w:t>1.70 kg</w:t>
            </w:r>
          </w:p>
        </w:tc>
        <w:tc>
          <w:tcPr>
            <w:tcW w:w="1831" w:type="dxa"/>
          </w:tcPr>
          <w:p w14:paraId="039B9AC8" w14:textId="77777777" w:rsidR="005B1FC8" w:rsidRPr="000A35BA" w:rsidRDefault="005B1FC8" w:rsidP="005B1FC8">
            <w:pPr>
              <w:tabs>
                <w:tab w:val="center" w:pos="693"/>
                <w:tab w:val="right" w:pos="1404"/>
              </w:tabs>
              <w:ind w:hanging="18"/>
              <w:jc w:val="right"/>
              <w:rPr>
                <w:sz w:val="20"/>
              </w:rPr>
            </w:pPr>
            <w:r w:rsidRPr="000A35BA">
              <w:rPr>
                <w:sz w:val="20"/>
              </w:rPr>
              <w:tab/>
            </w:r>
            <w:r w:rsidRPr="000A35BA">
              <w:rPr>
                <w:sz w:val="20"/>
              </w:rPr>
              <w:tab/>
              <w:t>2.55 kg</w:t>
            </w:r>
          </w:p>
        </w:tc>
        <w:tc>
          <w:tcPr>
            <w:tcW w:w="1429" w:type="dxa"/>
          </w:tcPr>
          <w:p w14:paraId="038DA661" w14:textId="77777777" w:rsidR="005B1FC8" w:rsidRPr="000A35BA" w:rsidRDefault="005B1FC8" w:rsidP="005B1FC8">
            <w:pPr>
              <w:ind w:hanging="18"/>
              <w:jc w:val="right"/>
              <w:rPr>
                <w:sz w:val="20"/>
                <w:vertAlign w:val="superscript"/>
              </w:rPr>
            </w:pPr>
            <w:r w:rsidRPr="000A35BA">
              <w:rPr>
                <w:sz w:val="20"/>
              </w:rPr>
              <w:t>.02 (7 days)</w:t>
            </w:r>
            <w:r w:rsidRPr="000A35BA">
              <w:rPr>
                <w:sz w:val="20"/>
                <w:vertAlign w:val="superscript"/>
              </w:rPr>
              <w:t>2</w:t>
            </w:r>
          </w:p>
        </w:tc>
        <w:tc>
          <w:tcPr>
            <w:tcW w:w="1276" w:type="dxa"/>
          </w:tcPr>
          <w:p w14:paraId="6C3481CC" w14:textId="77777777" w:rsidR="005B1FC8" w:rsidRPr="000A35BA" w:rsidRDefault="005B1FC8" w:rsidP="005B1FC8">
            <w:pPr>
              <w:ind w:hanging="18"/>
              <w:jc w:val="right"/>
              <w:rPr>
                <w:sz w:val="20"/>
                <w:vertAlign w:val="superscript"/>
              </w:rPr>
            </w:pPr>
            <w:r w:rsidRPr="000A35BA">
              <w:rPr>
                <w:sz w:val="20"/>
              </w:rPr>
              <w:t>.0028</w:t>
            </w:r>
            <w:r w:rsidRPr="000A35BA">
              <w:rPr>
                <w:sz w:val="20"/>
                <w:vertAlign w:val="superscript"/>
              </w:rPr>
              <w:t>2</w:t>
            </w:r>
          </w:p>
        </w:tc>
        <w:tc>
          <w:tcPr>
            <w:tcW w:w="1134" w:type="dxa"/>
          </w:tcPr>
          <w:p w14:paraId="35644F8B" w14:textId="77777777" w:rsidR="005B1FC8" w:rsidRPr="000A35BA" w:rsidRDefault="005B1FC8" w:rsidP="005B1FC8">
            <w:pPr>
              <w:ind w:hanging="18"/>
              <w:jc w:val="right"/>
              <w:rPr>
                <w:sz w:val="20"/>
                <w:vertAlign w:val="superscript"/>
              </w:rPr>
            </w:pPr>
            <w:r w:rsidRPr="000A35BA">
              <w:rPr>
                <w:sz w:val="20"/>
              </w:rPr>
              <w:t>0.26</w:t>
            </w:r>
            <w:r w:rsidRPr="000A35BA">
              <w:rPr>
                <w:sz w:val="20"/>
                <w:vertAlign w:val="superscript"/>
              </w:rPr>
              <w:t>4</w:t>
            </w:r>
          </w:p>
        </w:tc>
      </w:tr>
    </w:tbl>
    <w:p w14:paraId="5FF180EA" w14:textId="1A9D23C7" w:rsidR="005B1FC8" w:rsidRPr="00E15FE9" w:rsidRDefault="005B1FC8" w:rsidP="005B1FC8">
      <w:pPr>
        <w:pStyle w:val="BodyTextLeft"/>
        <w:spacing w:after="0" w:line="276" w:lineRule="auto"/>
        <w:rPr>
          <w:sz w:val="20"/>
        </w:rPr>
      </w:pPr>
      <w:r w:rsidRPr="00E15FE9">
        <w:rPr>
          <w:sz w:val="20"/>
        </w:rPr>
        <w:t>1</w:t>
      </w:r>
      <w:r w:rsidR="00D46945">
        <w:rPr>
          <w:sz w:val="20"/>
          <w:lang w:val="en-US"/>
        </w:rPr>
        <w:t>.</w:t>
      </w:r>
      <w:r w:rsidRPr="00E15FE9">
        <w:rPr>
          <w:sz w:val="20"/>
          <w:lang w:val="en-US"/>
        </w:rPr>
        <w:t xml:space="preserve"> WMO</w:t>
      </w:r>
      <w:r w:rsidRPr="00E15FE9">
        <w:rPr>
          <w:sz w:val="20"/>
        </w:rPr>
        <w:t xml:space="preserve">, </w:t>
      </w:r>
      <w:r w:rsidR="00D46945">
        <w:rPr>
          <w:sz w:val="20"/>
          <w:lang w:val="en-US"/>
        </w:rPr>
        <w:t>2014</w:t>
      </w:r>
      <w:r w:rsidRPr="00E15FE9">
        <w:rPr>
          <w:sz w:val="20"/>
          <w:lang w:val="en-US"/>
        </w:rPr>
        <w:t xml:space="preserve"> </w:t>
      </w:r>
      <w:r w:rsidRPr="00E15FE9">
        <w:rPr>
          <w:sz w:val="20"/>
        </w:rPr>
        <w:t>2</w:t>
      </w:r>
      <w:r w:rsidR="00D46945">
        <w:rPr>
          <w:sz w:val="20"/>
          <w:lang w:val="en-US"/>
        </w:rPr>
        <w:t>.</w:t>
      </w:r>
      <w:r w:rsidRPr="00E15FE9">
        <w:rPr>
          <w:sz w:val="20"/>
          <w:lang w:val="en-US"/>
        </w:rPr>
        <w:t xml:space="preserve"> Official values used by the Montreal Protocol </w:t>
      </w:r>
      <w:r w:rsidRPr="00E15FE9">
        <w:rPr>
          <w:sz w:val="20"/>
        </w:rPr>
        <w:t>3</w:t>
      </w:r>
      <w:r w:rsidR="00D46945">
        <w:rPr>
          <w:sz w:val="20"/>
        </w:rPr>
        <w:t>.</w:t>
      </w:r>
      <w:r w:rsidRPr="00E15FE9">
        <w:rPr>
          <w:sz w:val="20"/>
        </w:rPr>
        <w:t xml:space="preserve"> IPCC, 2013 and 4</w:t>
      </w:r>
      <w:r w:rsidR="00D46945">
        <w:rPr>
          <w:sz w:val="20"/>
        </w:rPr>
        <w:t>.</w:t>
      </w:r>
      <w:r w:rsidRPr="00E15FE9">
        <w:rPr>
          <w:sz w:val="20"/>
        </w:rPr>
        <w:t xml:space="preserve"> Patten, et al., 2012</w:t>
      </w:r>
    </w:p>
    <w:p w14:paraId="4EEB7C14" w14:textId="77777777" w:rsidR="005B1FC8" w:rsidRPr="00EC1422" w:rsidRDefault="005B1FC8" w:rsidP="005B1FC8">
      <w:pPr>
        <w:pStyle w:val="Default"/>
        <w:spacing w:line="276" w:lineRule="auto"/>
      </w:pPr>
    </w:p>
    <w:p w14:paraId="3B03FAC2" w14:textId="77777777" w:rsidR="005B1FC8" w:rsidRPr="00E15FE9" w:rsidRDefault="005B1FC8" w:rsidP="00E15FE9">
      <w:pPr>
        <w:pStyle w:val="Default"/>
        <w:rPr>
          <w:color w:val="auto"/>
          <w:sz w:val="22"/>
          <w:szCs w:val="22"/>
        </w:rPr>
      </w:pPr>
      <w:r w:rsidRPr="00E15FE9">
        <w:rPr>
          <w:sz w:val="22"/>
          <w:szCs w:val="22"/>
        </w:rPr>
        <w:t>ICAO, in working paper A37-WP/67, reported that the airframe manufacturers and the International Air Transport Association (IATA) requested additional time (until 2016) to thoroughly test and validate a potential halon replacement agent for hand-held fire extinguishers, which was reported to be neither a greenhouse gas nor a regulated ODS. Testing of this low GWP, unsaturated HBFC, known as 3,3,3-trifluoro-2-bromo-prop-1-ene or 2</w:t>
      </w:r>
      <w:r w:rsidRPr="00E15FE9">
        <w:rPr>
          <w:sz w:val="22"/>
          <w:szCs w:val="22"/>
        </w:rPr>
        <w:noBreakHyphen/>
        <w:t xml:space="preserve">BTP that has the potential of lower space and weight impact compared to other alternatives, has been completed.  In early 2014, the agent manufacturer made a submission under the U.S. Significant New Alternatives Policy program and a Pre-manufacturing Notice under the Toxic Substances Control Act, both of which are required before commercialisation can begin within the U.S.  As of March 2014, the agent is registered via the European Chemicals Agency under the European Union Regulation Registration, Evaluation, Authorisation and Restriction of Chemicals in the 10 – 100 metric tonnes per annum range.  If approved in the U.S., this agent could be commercialised in the next few years to meet aviation needs for a handheld extinguisher replacement for in production aircraft after December 31, 2016, and may be a possible candidate for evaluation in engine nacelles/APUs as well.  ICCAIA and IATA also indicated that should 2-BTP not be available by 2016, the aircraft manufacturers have </w:t>
      </w:r>
      <w:r w:rsidRPr="00E15FE9">
        <w:rPr>
          <w:color w:val="auto"/>
          <w:sz w:val="22"/>
          <w:szCs w:val="22"/>
        </w:rPr>
        <w:t>agreed to put into service one of the current, approved hand-held halon fire extinguishing agents in order to meet the 2016 timeframe. In working paper A37-WP/197, ICCAIA agreed with the dates presented by ICAO in working paper A37-WP/67.</w:t>
      </w:r>
    </w:p>
    <w:p w14:paraId="22B7C91B" w14:textId="77777777" w:rsidR="005B1FC8" w:rsidRPr="00EC1422" w:rsidRDefault="005B1FC8" w:rsidP="005B1FC8">
      <w:pPr>
        <w:pStyle w:val="Default"/>
        <w:spacing w:line="276" w:lineRule="auto"/>
      </w:pPr>
      <w:r w:rsidRPr="00EC1422">
        <w:rPr>
          <w:color w:val="auto"/>
        </w:rPr>
        <w:t xml:space="preserve"> </w:t>
      </w:r>
    </w:p>
    <w:p w14:paraId="7FAAE879" w14:textId="04C958C6" w:rsidR="005B1FC8" w:rsidRPr="00EC1422" w:rsidRDefault="00E57ABC" w:rsidP="00F95F7D">
      <w:pPr>
        <w:pStyle w:val="Heading4"/>
        <w:numPr>
          <w:ilvl w:val="0"/>
          <w:numId w:val="0"/>
        </w:numPr>
        <w:ind w:left="1440"/>
      </w:pPr>
      <w:bookmarkStart w:id="186" w:name="_Toc295406165"/>
      <w:r>
        <w:t>8.3.4.1.</w:t>
      </w:r>
      <w:r>
        <w:tab/>
      </w:r>
      <w:r w:rsidR="005B1FC8" w:rsidRPr="00EC1422">
        <w:t>Use of HCFC-123 in fire protection</w:t>
      </w:r>
      <w:bookmarkEnd w:id="186"/>
    </w:p>
    <w:p w14:paraId="5AA557BA" w14:textId="77777777" w:rsidR="005B1FC8" w:rsidRPr="00E15FE9" w:rsidRDefault="005B1FC8" w:rsidP="00E15FE9">
      <w:pPr>
        <w:rPr>
          <w:szCs w:val="22"/>
        </w:rPr>
      </w:pPr>
      <w:r w:rsidRPr="00E15FE9">
        <w:rPr>
          <w:szCs w:val="22"/>
        </w:rPr>
        <w:t xml:space="preserve">HCFC-123 is a unique case within civil aviation fire protection because while it is an ODS, it is also a low-GWP alternative to halon 1211 when formulated with other chemicals. As such, it deserves special discussion. It is important to note that while the primary component of HCFC clean agents commercialised for use in streaming applications is HCFC-123, e.g., HCFC Blend B (96% HCFC-123) and HCFC Blend E (90% HCFC-123), it is only HCFC Blend B that has gained appropriate approvals for civil aviation use.  </w:t>
      </w:r>
    </w:p>
    <w:p w14:paraId="14235875" w14:textId="77777777" w:rsidR="005B1FC8" w:rsidRPr="00E15FE9" w:rsidRDefault="005B1FC8" w:rsidP="00E15FE9">
      <w:pPr>
        <w:rPr>
          <w:szCs w:val="22"/>
        </w:rPr>
      </w:pPr>
      <w:r w:rsidRPr="00E15FE9">
        <w:rPr>
          <w:szCs w:val="22"/>
        </w:rPr>
        <w:t>When considering options to replace halon 1211 for handheld use on civil aircraft, one must compare the overall environmental impacts of the agents. Of concern are the typical ODP, GWP, and Atmospheric Lifetime but also for aircraft applications the total extra weight that aircraft will need to carry.  The ODP of HFC-227ea and HFC-236fa is 0 and that of HCFC-123 is now considered to be 0.01. According to Wuebbles, 2009, the 2006 worldwide installed bank for HCFC Blend B and HCFC-123 for fire extinguishing is estimated as 1800 metric tonnes. Further, Wuebbles, 2009 opined that “given the short atmospheric lifetime of HCFC-123, in a realistic situation, the emissions are expected to remain small enough that the equivalent chlorine would never get anywhere close to a level of concern relative to other forcings on ozone.”</w:t>
      </w:r>
    </w:p>
    <w:p w14:paraId="2B054AD6" w14:textId="05397085" w:rsidR="005B1FC8" w:rsidRPr="00EC1422" w:rsidRDefault="005B1FC8" w:rsidP="00F95F7D">
      <w:pPr>
        <w:pStyle w:val="Heading4"/>
        <w:numPr>
          <w:ilvl w:val="3"/>
          <w:numId w:val="71"/>
        </w:numPr>
      </w:pPr>
      <w:bookmarkStart w:id="187" w:name="_Toc295406166"/>
      <w:r w:rsidRPr="00EC1422">
        <w:t>Impact of the Use of HCFC-123 in fire protection</w:t>
      </w:r>
      <w:bookmarkEnd w:id="187"/>
    </w:p>
    <w:p w14:paraId="0514AE6A" w14:textId="77777777" w:rsidR="005B1FC8" w:rsidRPr="00EC1422" w:rsidRDefault="005B1FC8" w:rsidP="00E15FE9">
      <w:r w:rsidRPr="00EC1422">
        <w:t>HCFC-123 has a 100-year integrated GWP of 79. This value is much less than the value of 3140 for HFC-227ea and 8,060 for HFC-236fa. However, the HCFC Blend B formulation contains a small percentage of CF</w:t>
      </w:r>
      <w:r w:rsidRPr="00EC1422">
        <w:rPr>
          <w:vertAlign w:val="subscript"/>
        </w:rPr>
        <w:t>4</w:t>
      </w:r>
      <w:r w:rsidRPr="00EC1422">
        <w:t>, a high GWP gas with a very long atmospheric lifetime. According to Wuebbles, 2009, accounting for the CF</w:t>
      </w:r>
      <w:r w:rsidRPr="00EC1422">
        <w:rPr>
          <w:vertAlign w:val="subscript"/>
        </w:rPr>
        <w:t>4</w:t>
      </w:r>
      <w:r w:rsidRPr="00EC1422">
        <w:t xml:space="preserve"> content, however, one could emit over 40 times the amount of HCFC Blend B before having the same impact on climate as using HFC-236fa, using the latest GWPs at the time of that publication.  Using similar logic with the GWPs listed in Table 2, one could emit more than 15 times of HCFC-Blend B than HFC-227ea and more than 38 times of HCFC Blend B than HFC-236fa before having the same impact on climate.  However, CF</w:t>
      </w:r>
      <w:r w:rsidRPr="00EC1422">
        <w:rPr>
          <w:vertAlign w:val="subscript"/>
        </w:rPr>
        <w:t>4</w:t>
      </w:r>
      <w:r w:rsidRPr="00EC1422">
        <w:t xml:space="preserve"> lasts in the atmosphere for many thousands of years, so its effects on climate would continue for a very long time. The amount of CF</w:t>
      </w:r>
      <w:r w:rsidRPr="00EC1422">
        <w:rPr>
          <w:vertAlign w:val="subscript"/>
        </w:rPr>
        <w:t>4</w:t>
      </w:r>
      <w:r w:rsidRPr="00EC1422">
        <w:t xml:space="preserve"> emissions worldwide from HCFC Blend B was estimated in 2009 to be less than 1 metric tonne annually, but its long atmospheric lifetime and strength as a greenhouse gas make it a concern.  </w:t>
      </w:r>
    </w:p>
    <w:p w14:paraId="0573D49B" w14:textId="77777777" w:rsidR="005B1FC8" w:rsidRPr="00EC1422" w:rsidRDefault="005B1FC8" w:rsidP="00E15FE9">
      <w:r w:rsidRPr="00EC1422">
        <w:t>F</w:t>
      </w:r>
      <w:r>
        <w:t xml:space="preserve">rom a weight standpoint, all </w:t>
      </w:r>
      <w:r w:rsidRPr="00EC1422">
        <w:t xml:space="preserve">the alternative extinguishers weigh more than an equivalent halon 1211 extinguisher at 1.8 kg.  2-BTP has the lowest weight increase of about 0.75 kg. All three of the existing alternatives have </w:t>
      </w:r>
      <w:r>
        <w:t xml:space="preserve">similar </w:t>
      </w:r>
      <w:r w:rsidRPr="00EC1422">
        <w:t>weight increases</w:t>
      </w:r>
      <w:r>
        <w:t xml:space="preserve">, </w:t>
      </w:r>
      <w:r w:rsidRPr="00EC1422">
        <w:t xml:space="preserve">with HFC-227ea </w:t>
      </w:r>
      <w:r>
        <w:t xml:space="preserve">as </w:t>
      </w:r>
      <w:r w:rsidRPr="00EC1422">
        <w:t xml:space="preserve">the highest at nearly 2.5 kg.  Should HCFC Blend B become of interest for use on board aircraft, the manufacturer has indicated that they have a reduced weight aluminum cylinder version that could be made available.  The aluminum extinguisher contains 2.27 kg of agent and weighs 3.32 kg.   </w:t>
      </w:r>
    </w:p>
    <w:p w14:paraId="47AFE559" w14:textId="77777777" w:rsidR="005B1FC8" w:rsidRPr="00EC1422" w:rsidRDefault="005B1FC8" w:rsidP="00E15FE9">
      <w:r w:rsidRPr="00EC1422">
        <w:t xml:space="preserve">The extra weight from non-halon 1211 extinguishers would also cause increased fuel consumption during flight.  For every 1 kg increase in weight of a typical commercial aircraft, it is estimated that fuel consumption is increased by an average of 0.15 liters per hour, with a potential average cost impact of less than $100 per aircraft per year (assuming jet fuel costs $3.25 per gallon and an average of 1300 flights per year averaging 2 hours per flight).  Per extinguisher replaced, this would equate to an annual increased cost due to additional fuel consumption of $60 per year for 2-BTP, $115 per year for HCFC Blend B in the lower weight aluminum cylinder, and about $200 per year for HFC-236fa and HFC-227ea.  Should 2-BTP receive final approvals, it would be an effective substitute for halon 1211, although it would be more expensive.  Should 2-BTP not prove acceptable, the next best choice when considering all environmental and cost implications for aviation portable fire extinguishers is HCFC Blend B.  In addition, HCFC Blend B is available in larger portable systems and is approved for use in ARFF vehicles by the U.S. (see next section).  </w:t>
      </w:r>
    </w:p>
    <w:p w14:paraId="41FE5329" w14:textId="291EF2C8" w:rsidR="005B1FC8" w:rsidRPr="00EC1422" w:rsidRDefault="00E57ABC" w:rsidP="00F95F7D">
      <w:pPr>
        <w:pStyle w:val="Heading4"/>
        <w:numPr>
          <w:ilvl w:val="0"/>
          <w:numId w:val="0"/>
        </w:numPr>
        <w:ind w:left="1440"/>
      </w:pPr>
      <w:bookmarkStart w:id="188" w:name="_Toc295406167"/>
      <w:r>
        <w:t>8.3.4.3.</w:t>
      </w:r>
      <w:r w:rsidR="009C72E2">
        <w:tab/>
      </w:r>
      <w:r w:rsidR="005B1FC8" w:rsidRPr="00EC1422">
        <w:t>Crash Rescue Vehicles</w:t>
      </w:r>
      <w:bookmarkEnd w:id="188"/>
      <w:r w:rsidR="005B1FC8" w:rsidRPr="00EC1422">
        <w:t xml:space="preserve"> </w:t>
      </w:r>
    </w:p>
    <w:p w14:paraId="54C91ED7" w14:textId="77777777" w:rsidR="005B1FC8" w:rsidRPr="00EC1422" w:rsidRDefault="005B1FC8" w:rsidP="009B498E">
      <w:r w:rsidRPr="00EC1422">
        <w:t>In addition to onboard civil aircraft applications, halon 1211 is used in some Aircraft Rescue and Fire Fighting (ARFF) or Crash Rescue Vehicles on airport ramps. U.S. Federal Aviation Administration (FAA) CERT Alert 95-03 approved HCFC Blend B as a halon 1211 replacement for this application in the U.S.  Since 1995, more than 100 U.S. airports and some airports outside of the U.S. have installed such systems. These systems have between 208 and 227 kg net charge weight.  There are multiple manufacturers who sell ARFF vehicles with HCFC Blend B systems.  Since 1997, the documented aviation related fires extinguished with HCFC Blend B include several engine fires on commercial passenger aircraft, APUs, and in one instance a hydraulic fluid fire on a helicopter.  HCFC Blend B has been shown to be effective in knocking down and controlling lithium ion battery type fires.  However, because HCFC Blend B is an ODS, national regulations may limit its use for the ARFF application in other countries.</w:t>
      </w:r>
    </w:p>
    <w:p w14:paraId="42B0FADE" w14:textId="28CB84F7" w:rsidR="005B1FC8" w:rsidRPr="00EC1422" w:rsidRDefault="005B1FC8" w:rsidP="00F95F7D">
      <w:pPr>
        <w:pStyle w:val="Heading2"/>
        <w:numPr>
          <w:ilvl w:val="1"/>
          <w:numId w:val="71"/>
        </w:numPr>
      </w:pPr>
      <w:bookmarkStart w:id="189" w:name="_Toc295406168"/>
      <w:r w:rsidRPr="00EC1422">
        <w:t>Estimated Civil Aviation Halon Installed Base</w:t>
      </w:r>
      <w:bookmarkEnd w:id="189"/>
      <w:r w:rsidRPr="00EC1422">
        <w:t xml:space="preserve"> </w:t>
      </w:r>
    </w:p>
    <w:p w14:paraId="1A94EB8B" w14:textId="77777777" w:rsidR="005B1FC8" w:rsidRPr="009B498E" w:rsidRDefault="005B1FC8" w:rsidP="009B498E">
      <w:pPr>
        <w:pStyle w:val="BodyTextLeft"/>
        <w:spacing w:after="0"/>
        <w:rPr>
          <w:sz w:val="22"/>
          <w:szCs w:val="22"/>
        </w:rPr>
      </w:pPr>
      <w:r w:rsidRPr="009B498E">
        <w:rPr>
          <w:sz w:val="22"/>
          <w:szCs w:val="22"/>
          <w:lang w:val="en-US"/>
        </w:rPr>
        <w:t>With the minor exception of the use of PBr</w:t>
      </w:r>
      <w:r w:rsidRPr="009B498E">
        <w:rPr>
          <w:sz w:val="22"/>
          <w:szCs w:val="22"/>
          <w:vertAlign w:val="subscript"/>
          <w:lang w:val="en-US"/>
        </w:rPr>
        <w:t>3</w:t>
      </w:r>
      <w:r w:rsidRPr="009B498E">
        <w:rPr>
          <w:sz w:val="22"/>
          <w:szCs w:val="22"/>
          <w:lang w:val="en-US"/>
        </w:rPr>
        <w:t xml:space="preserve"> in one business jet</w:t>
      </w:r>
      <w:r w:rsidRPr="009B498E">
        <w:rPr>
          <w:sz w:val="22"/>
          <w:szCs w:val="22"/>
          <w:vertAlign w:val="subscript"/>
          <w:lang w:val="en-US"/>
        </w:rPr>
        <w:t xml:space="preserve">, </w:t>
      </w:r>
      <w:r w:rsidRPr="009B498E">
        <w:rPr>
          <w:sz w:val="22"/>
          <w:szCs w:val="22"/>
        </w:rPr>
        <w:t>all new installations of fire extinguishing systems for engines and cargo compartments continue to use halon 1301, and all new installations of handheld extinguishers continue to use halon 1211. With the exception of lavatory trash receptacles, there has been no retrofit of halon systems or portable extinguishers with available alternatives.</w:t>
      </w:r>
    </w:p>
    <w:p w14:paraId="5E1D059E" w14:textId="77777777" w:rsidR="005B1FC8" w:rsidRPr="00EC1422" w:rsidRDefault="005B1FC8" w:rsidP="005B1FC8">
      <w:pPr>
        <w:pStyle w:val="Default"/>
        <w:spacing w:line="276" w:lineRule="auto"/>
        <w:rPr>
          <w:sz w:val="28"/>
          <w:szCs w:val="23"/>
        </w:rPr>
      </w:pPr>
    </w:p>
    <w:p w14:paraId="1A6D5B3D" w14:textId="56D40710" w:rsidR="005B1FC8" w:rsidRPr="00EC1422" w:rsidRDefault="00E57ABC" w:rsidP="002B7818">
      <w:pPr>
        <w:pStyle w:val="Heading3"/>
      </w:pPr>
      <w:r>
        <w:tab/>
      </w:r>
      <w:bookmarkStart w:id="190" w:name="_Toc295406169"/>
      <w:r>
        <w:t>8.4.1.</w:t>
      </w:r>
      <w:r>
        <w:tab/>
      </w:r>
      <w:r w:rsidR="005B1FC8" w:rsidRPr="00EC1422">
        <w:t>Civil Aviation Fleet Estimates</w:t>
      </w:r>
      <w:bookmarkEnd w:id="190"/>
    </w:p>
    <w:p w14:paraId="7051E8A8" w14:textId="77777777" w:rsidR="005B1FC8" w:rsidRPr="009B498E" w:rsidRDefault="005B1FC8" w:rsidP="009B498E">
      <w:pPr>
        <w:pStyle w:val="Default"/>
        <w:rPr>
          <w:sz w:val="22"/>
          <w:szCs w:val="22"/>
        </w:rPr>
      </w:pPr>
      <w:r w:rsidRPr="009B498E">
        <w:rPr>
          <w:sz w:val="22"/>
          <w:szCs w:val="22"/>
        </w:rPr>
        <w:t xml:space="preserve">The halon 1301 and halon 1211 installed base estimates for mainline and regional aircraft were developed using activity data for each use and assumptions on the growing size of the global fleet.  Estimates of the current and projected fleet were made based on information contained in Airbus’ and Boeing’s Global Market Outlook reports and adjusted based on feedback provided from Airbus and Boeing representatives.   Fleet estimates from Bombardier’s global forecast and Flight International’s business aircraft census were used to estimate the business jets and turboprop fleets.  It was assumed that the remaining portion of the estimated 2014 fleet consists of regional aircraft. The market breakdown of the mainline versus regional fleet after 2014 is assumed to be proportionate to the number of mainline versus regional deliveries in 2013.  Table </w:t>
      </w:r>
      <w:r w:rsidR="009B498E">
        <w:rPr>
          <w:sz w:val="22"/>
          <w:szCs w:val="22"/>
        </w:rPr>
        <w:t>8-</w:t>
      </w:r>
      <w:r w:rsidRPr="009B498E">
        <w:rPr>
          <w:sz w:val="22"/>
          <w:szCs w:val="22"/>
        </w:rPr>
        <w:t xml:space="preserve">3 below outlines the current and projected worldwide fleet. </w:t>
      </w:r>
    </w:p>
    <w:p w14:paraId="11576966" w14:textId="77777777" w:rsidR="005B1FC8" w:rsidRPr="00EC1422" w:rsidRDefault="005B1FC8" w:rsidP="005B1FC8">
      <w:pPr>
        <w:pStyle w:val="Default"/>
        <w:spacing w:line="276" w:lineRule="auto"/>
        <w:rPr>
          <w:szCs w:val="23"/>
        </w:rPr>
      </w:pPr>
    </w:p>
    <w:p w14:paraId="617324FA" w14:textId="77777777" w:rsidR="005B1FC8" w:rsidRPr="008B329D" w:rsidRDefault="005B1FC8" w:rsidP="005B1FC8">
      <w:pPr>
        <w:pStyle w:val="Default"/>
        <w:spacing w:line="360" w:lineRule="auto"/>
        <w:rPr>
          <w:b/>
          <w:bCs/>
          <w:i/>
          <w:sz w:val="22"/>
          <w:szCs w:val="22"/>
        </w:rPr>
      </w:pPr>
      <w:r w:rsidRPr="008B329D">
        <w:rPr>
          <w:b/>
          <w:bCs/>
          <w:i/>
          <w:sz w:val="22"/>
          <w:szCs w:val="22"/>
        </w:rPr>
        <w:t xml:space="preserve">Table </w:t>
      </w:r>
      <w:r w:rsidR="009B498E" w:rsidRPr="008B329D">
        <w:rPr>
          <w:b/>
          <w:bCs/>
          <w:i/>
          <w:sz w:val="22"/>
          <w:szCs w:val="22"/>
        </w:rPr>
        <w:t>8-</w:t>
      </w:r>
      <w:r w:rsidRPr="008B329D">
        <w:rPr>
          <w:b/>
          <w:bCs/>
          <w:i/>
          <w:sz w:val="22"/>
          <w:szCs w:val="22"/>
        </w:rPr>
        <w:t>3</w:t>
      </w:r>
      <w:r w:rsidR="009B498E" w:rsidRPr="008B329D">
        <w:rPr>
          <w:b/>
          <w:bCs/>
          <w:i/>
          <w:sz w:val="22"/>
          <w:szCs w:val="22"/>
        </w:rPr>
        <w:t>.</w:t>
      </w:r>
      <w:r w:rsidRPr="008B329D">
        <w:rPr>
          <w:b/>
          <w:bCs/>
          <w:i/>
          <w:sz w:val="22"/>
          <w:szCs w:val="22"/>
        </w:rPr>
        <w:t xml:space="preserve"> Civil Aviation Fleet Estimates </w:t>
      </w:r>
    </w:p>
    <w:tbl>
      <w:tblPr>
        <w:tblW w:w="6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876"/>
        <w:gridCol w:w="986"/>
        <w:gridCol w:w="990"/>
        <w:gridCol w:w="876"/>
      </w:tblGrid>
      <w:tr w:rsidR="005B1FC8" w:rsidRPr="009B498E" w14:paraId="24B255A2" w14:textId="77777777" w:rsidTr="005B1FC8">
        <w:trPr>
          <w:trHeight w:val="20"/>
          <w:jc w:val="center"/>
        </w:trPr>
        <w:tc>
          <w:tcPr>
            <w:tcW w:w="2716" w:type="dxa"/>
            <w:shd w:val="clear" w:color="auto" w:fill="auto"/>
            <w:noWrap/>
            <w:vAlign w:val="center"/>
            <w:hideMark/>
          </w:tcPr>
          <w:p w14:paraId="195E6A22" w14:textId="77777777" w:rsidR="005B1FC8" w:rsidRPr="009B498E" w:rsidRDefault="005B1FC8" w:rsidP="005B1FC8">
            <w:pPr>
              <w:spacing w:after="60" w:line="23" w:lineRule="atLeast"/>
              <w:jc w:val="center"/>
              <w:rPr>
                <w:b/>
                <w:bCs/>
                <w:color w:val="auto"/>
                <w:szCs w:val="22"/>
              </w:rPr>
            </w:pPr>
            <w:bookmarkStart w:id="191" w:name="_Ref398214443"/>
            <w:r w:rsidRPr="009B498E">
              <w:rPr>
                <w:b/>
                <w:bCs/>
                <w:color w:val="auto"/>
                <w:szCs w:val="22"/>
              </w:rPr>
              <w:t>Year</w:t>
            </w:r>
          </w:p>
        </w:tc>
        <w:tc>
          <w:tcPr>
            <w:tcW w:w="876" w:type="dxa"/>
            <w:shd w:val="clear" w:color="auto" w:fill="auto"/>
            <w:noWrap/>
            <w:vAlign w:val="center"/>
            <w:hideMark/>
          </w:tcPr>
          <w:p w14:paraId="561A4FA0" w14:textId="77777777" w:rsidR="005B1FC8" w:rsidRPr="009B498E" w:rsidRDefault="005B1FC8" w:rsidP="005B1FC8">
            <w:pPr>
              <w:spacing w:after="60" w:line="23" w:lineRule="atLeast"/>
              <w:jc w:val="center"/>
              <w:rPr>
                <w:b/>
                <w:bCs/>
                <w:color w:val="auto"/>
                <w:szCs w:val="22"/>
              </w:rPr>
            </w:pPr>
            <w:r w:rsidRPr="009B498E">
              <w:rPr>
                <w:b/>
                <w:bCs/>
                <w:color w:val="auto"/>
                <w:szCs w:val="22"/>
              </w:rPr>
              <w:t>2014</w:t>
            </w:r>
          </w:p>
        </w:tc>
        <w:tc>
          <w:tcPr>
            <w:tcW w:w="986" w:type="dxa"/>
            <w:shd w:val="clear" w:color="auto" w:fill="auto"/>
            <w:noWrap/>
            <w:vAlign w:val="center"/>
            <w:hideMark/>
          </w:tcPr>
          <w:p w14:paraId="4A6D8C95" w14:textId="77777777" w:rsidR="005B1FC8" w:rsidRPr="009B498E" w:rsidRDefault="005B1FC8" w:rsidP="005B1FC8">
            <w:pPr>
              <w:spacing w:after="60" w:line="23" w:lineRule="atLeast"/>
              <w:jc w:val="center"/>
              <w:rPr>
                <w:b/>
                <w:bCs/>
                <w:color w:val="auto"/>
                <w:szCs w:val="22"/>
              </w:rPr>
            </w:pPr>
            <w:r w:rsidRPr="009B498E">
              <w:rPr>
                <w:b/>
                <w:bCs/>
                <w:color w:val="auto"/>
                <w:szCs w:val="22"/>
              </w:rPr>
              <w:t>2020</w:t>
            </w:r>
          </w:p>
        </w:tc>
        <w:tc>
          <w:tcPr>
            <w:tcW w:w="990" w:type="dxa"/>
            <w:shd w:val="clear" w:color="auto" w:fill="auto"/>
            <w:noWrap/>
            <w:vAlign w:val="center"/>
            <w:hideMark/>
          </w:tcPr>
          <w:p w14:paraId="67B719B3" w14:textId="77777777" w:rsidR="005B1FC8" w:rsidRPr="009B498E" w:rsidRDefault="005B1FC8" w:rsidP="005B1FC8">
            <w:pPr>
              <w:spacing w:after="60" w:line="23" w:lineRule="atLeast"/>
              <w:jc w:val="center"/>
              <w:rPr>
                <w:b/>
                <w:bCs/>
                <w:color w:val="auto"/>
                <w:szCs w:val="22"/>
              </w:rPr>
            </w:pPr>
            <w:r w:rsidRPr="009B498E">
              <w:rPr>
                <w:b/>
                <w:bCs/>
                <w:color w:val="auto"/>
                <w:szCs w:val="22"/>
              </w:rPr>
              <w:t>2025</w:t>
            </w:r>
          </w:p>
        </w:tc>
        <w:tc>
          <w:tcPr>
            <w:tcW w:w="876" w:type="dxa"/>
            <w:shd w:val="clear" w:color="auto" w:fill="auto"/>
            <w:noWrap/>
            <w:vAlign w:val="center"/>
            <w:hideMark/>
          </w:tcPr>
          <w:p w14:paraId="7661E59B" w14:textId="77777777" w:rsidR="005B1FC8" w:rsidRPr="009B498E" w:rsidRDefault="005B1FC8" w:rsidP="005B1FC8">
            <w:pPr>
              <w:spacing w:after="60" w:line="23" w:lineRule="atLeast"/>
              <w:jc w:val="center"/>
              <w:rPr>
                <w:b/>
                <w:bCs/>
                <w:color w:val="auto"/>
                <w:szCs w:val="22"/>
              </w:rPr>
            </w:pPr>
            <w:r w:rsidRPr="009B498E">
              <w:rPr>
                <w:b/>
                <w:bCs/>
                <w:color w:val="auto"/>
                <w:szCs w:val="22"/>
              </w:rPr>
              <w:t>2030</w:t>
            </w:r>
          </w:p>
        </w:tc>
      </w:tr>
      <w:tr w:rsidR="005B1FC8" w:rsidRPr="009B498E" w14:paraId="5C640DD8" w14:textId="77777777" w:rsidTr="005B1FC8">
        <w:trPr>
          <w:trHeight w:val="332"/>
          <w:jc w:val="center"/>
        </w:trPr>
        <w:tc>
          <w:tcPr>
            <w:tcW w:w="2716" w:type="dxa"/>
            <w:shd w:val="clear" w:color="auto" w:fill="auto"/>
            <w:noWrap/>
            <w:vAlign w:val="center"/>
            <w:hideMark/>
          </w:tcPr>
          <w:p w14:paraId="688BF819" w14:textId="77777777" w:rsidR="005B1FC8" w:rsidRPr="009B498E" w:rsidRDefault="005B1FC8" w:rsidP="005B1FC8">
            <w:pPr>
              <w:spacing w:after="60" w:line="23" w:lineRule="atLeast"/>
              <w:rPr>
                <w:bCs/>
                <w:szCs w:val="22"/>
              </w:rPr>
            </w:pPr>
            <w:r w:rsidRPr="009B498E">
              <w:rPr>
                <w:bCs/>
                <w:szCs w:val="22"/>
              </w:rPr>
              <w:t>Total Mainline Fleet</w:t>
            </w:r>
          </w:p>
        </w:tc>
        <w:tc>
          <w:tcPr>
            <w:tcW w:w="876" w:type="dxa"/>
            <w:shd w:val="clear" w:color="auto" w:fill="auto"/>
            <w:noWrap/>
            <w:vAlign w:val="center"/>
            <w:hideMark/>
          </w:tcPr>
          <w:p w14:paraId="5CB9C586" w14:textId="77777777" w:rsidR="005B1FC8" w:rsidRPr="009B498E" w:rsidRDefault="005B1FC8" w:rsidP="005B1FC8">
            <w:pPr>
              <w:spacing w:after="60" w:line="23" w:lineRule="atLeast"/>
              <w:jc w:val="right"/>
              <w:rPr>
                <w:szCs w:val="22"/>
              </w:rPr>
            </w:pPr>
            <w:r w:rsidRPr="009B498E">
              <w:rPr>
                <w:szCs w:val="22"/>
              </w:rPr>
              <w:t>18,313</w:t>
            </w:r>
          </w:p>
        </w:tc>
        <w:tc>
          <w:tcPr>
            <w:tcW w:w="986" w:type="dxa"/>
            <w:shd w:val="clear" w:color="auto" w:fill="auto"/>
            <w:noWrap/>
            <w:vAlign w:val="center"/>
            <w:hideMark/>
          </w:tcPr>
          <w:p w14:paraId="5DDB9BD7" w14:textId="77777777" w:rsidR="005B1FC8" w:rsidRPr="009B498E" w:rsidRDefault="005B1FC8" w:rsidP="005B1FC8">
            <w:pPr>
              <w:spacing w:after="60" w:line="23" w:lineRule="atLeast"/>
              <w:jc w:val="right"/>
              <w:rPr>
                <w:szCs w:val="22"/>
              </w:rPr>
            </w:pPr>
            <w:r w:rsidRPr="009B498E">
              <w:rPr>
                <w:szCs w:val="22"/>
              </w:rPr>
              <w:t>23,509</w:t>
            </w:r>
          </w:p>
        </w:tc>
        <w:tc>
          <w:tcPr>
            <w:tcW w:w="990" w:type="dxa"/>
            <w:shd w:val="clear" w:color="auto" w:fill="auto"/>
            <w:noWrap/>
            <w:vAlign w:val="center"/>
            <w:hideMark/>
          </w:tcPr>
          <w:p w14:paraId="4CF6721A" w14:textId="77777777" w:rsidR="005B1FC8" w:rsidRPr="009B498E" w:rsidRDefault="005B1FC8" w:rsidP="005B1FC8">
            <w:pPr>
              <w:spacing w:after="60" w:line="23" w:lineRule="atLeast"/>
              <w:jc w:val="right"/>
              <w:rPr>
                <w:szCs w:val="22"/>
              </w:rPr>
            </w:pPr>
            <w:r w:rsidRPr="009B498E">
              <w:rPr>
                <w:szCs w:val="22"/>
              </w:rPr>
              <w:t>27,839</w:t>
            </w:r>
          </w:p>
        </w:tc>
        <w:tc>
          <w:tcPr>
            <w:tcW w:w="876" w:type="dxa"/>
            <w:shd w:val="clear" w:color="auto" w:fill="auto"/>
            <w:noWrap/>
            <w:vAlign w:val="center"/>
            <w:hideMark/>
          </w:tcPr>
          <w:p w14:paraId="258437F9" w14:textId="77777777" w:rsidR="005B1FC8" w:rsidRPr="009B498E" w:rsidRDefault="005B1FC8" w:rsidP="005B1FC8">
            <w:pPr>
              <w:spacing w:after="60" w:line="23" w:lineRule="atLeast"/>
              <w:jc w:val="right"/>
              <w:rPr>
                <w:szCs w:val="22"/>
              </w:rPr>
            </w:pPr>
            <w:r w:rsidRPr="009B498E">
              <w:rPr>
                <w:szCs w:val="22"/>
              </w:rPr>
              <w:t>32,170</w:t>
            </w:r>
          </w:p>
        </w:tc>
      </w:tr>
      <w:tr w:rsidR="005B1FC8" w:rsidRPr="009B498E" w14:paraId="04057C54" w14:textId="77777777" w:rsidTr="005B1FC8">
        <w:trPr>
          <w:trHeight w:val="20"/>
          <w:jc w:val="center"/>
        </w:trPr>
        <w:tc>
          <w:tcPr>
            <w:tcW w:w="2716" w:type="dxa"/>
            <w:shd w:val="clear" w:color="auto" w:fill="auto"/>
            <w:noWrap/>
            <w:vAlign w:val="center"/>
            <w:hideMark/>
          </w:tcPr>
          <w:p w14:paraId="0573EEC4" w14:textId="77777777" w:rsidR="005B1FC8" w:rsidRPr="009B498E" w:rsidRDefault="005B1FC8" w:rsidP="005B1FC8">
            <w:pPr>
              <w:spacing w:after="60" w:line="23" w:lineRule="atLeast"/>
              <w:rPr>
                <w:bCs/>
                <w:szCs w:val="22"/>
              </w:rPr>
            </w:pPr>
            <w:r w:rsidRPr="009B498E">
              <w:rPr>
                <w:bCs/>
                <w:szCs w:val="22"/>
              </w:rPr>
              <w:t>Total Regional Fleet</w:t>
            </w:r>
          </w:p>
        </w:tc>
        <w:tc>
          <w:tcPr>
            <w:tcW w:w="876" w:type="dxa"/>
            <w:shd w:val="clear" w:color="auto" w:fill="auto"/>
            <w:noWrap/>
            <w:vAlign w:val="center"/>
            <w:hideMark/>
          </w:tcPr>
          <w:p w14:paraId="4B9B79C5" w14:textId="77777777" w:rsidR="005B1FC8" w:rsidRPr="009B498E" w:rsidRDefault="005B1FC8" w:rsidP="005B1FC8">
            <w:pPr>
              <w:spacing w:after="60" w:line="23" w:lineRule="atLeast"/>
              <w:jc w:val="right"/>
              <w:rPr>
                <w:szCs w:val="22"/>
              </w:rPr>
            </w:pPr>
            <w:r w:rsidRPr="009B498E">
              <w:rPr>
                <w:szCs w:val="22"/>
              </w:rPr>
              <w:t>2,699</w:t>
            </w:r>
          </w:p>
        </w:tc>
        <w:tc>
          <w:tcPr>
            <w:tcW w:w="986" w:type="dxa"/>
            <w:shd w:val="clear" w:color="auto" w:fill="auto"/>
            <w:noWrap/>
            <w:vAlign w:val="center"/>
            <w:hideMark/>
          </w:tcPr>
          <w:p w14:paraId="269B469F" w14:textId="77777777" w:rsidR="005B1FC8" w:rsidRPr="009B498E" w:rsidRDefault="005B1FC8" w:rsidP="005B1FC8">
            <w:pPr>
              <w:spacing w:after="60" w:line="23" w:lineRule="atLeast"/>
              <w:jc w:val="right"/>
              <w:rPr>
                <w:szCs w:val="22"/>
              </w:rPr>
            </w:pPr>
            <w:r w:rsidRPr="009B498E">
              <w:rPr>
                <w:szCs w:val="22"/>
              </w:rPr>
              <w:t>3,465</w:t>
            </w:r>
          </w:p>
        </w:tc>
        <w:tc>
          <w:tcPr>
            <w:tcW w:w="990" w:type="dxa"/>
            <w:shd w:val="clear" w:color="auto" w:fill="auto"/>
            <w:noWrap/>
            <w:vAlign w:val="center"/>
            <w:hideMark/>
          </w:tcPr>
          <w:p w14:paraId="2DF10340" w14:textId="77777777" w:rsidR="005B1FC8" w:rsidRPr="009B498E" w:rsidRDefault="005B1FC8" w:rsidP="005B1FC8">
            <w:pPr>
              <w:spacing w:after="60" w:line="23" w:lineRule="atLeast"/>
              <w:jc w:val="right"/>
              <w:rPr>
                <w:szCs w:val="22"/>
              </w:rPr>
            </w:pPr>
            <w:r w:rsidRPr="009B498E">
              <w:rPr>
                <w:szCs w:val="22"/>
              </w:rPr>
              <w:t>4,103</w:t>
            </w:r>
          </w:p>
        </w:tc>
        <w:tc>
          <w:tcPr>
            <w:tcW w:w="876" w:type="dxa"/>
            <w:shd w:val="clear" w:color="auto" w:fill="auto"/>
            <w:noWrap/>
            <w:vAlign w:val="center"/>
            <w:hideMark/>
          </w:tcPr>
          <w:p w14:paraId="12167EA7" w14:textId="77777777" w:rsidR="005B1FC8" w:rsidRPr="009B498E" w:rsidRDefault="005B1FC8" w:rsidP="005B1FC8">
            <w:pPr>
              <w:spacing w:after="60" w:line="23" w:lineRule="atLeast"/>
              <w:jc w:val="right"/>
              <w:rPr>
                <w:szCs w:val="22"/>
              </w:rPr>
            </w:pPr>
            <w:r w:rsidRPr="009B498E">
              <w:rPr>
                <w:szCs w:val="22"/>
              </w:rPr>
              <w:t>4,741</w:t>
            </w:r>
          </w:p>
        </w:tc>
      </w:tr>
      <w:tr w:rsidR="005B1FC8" w:rsidRPr="009B498E" w14:paraId="129153FC" w14:textId="77777777" w:rsidTr="005B1FC8">
        <w:trPr>
          <w:trHeight w:val="20"/>
          <w:jc w:val="center"/>
        </w:trPr>
        <w:tc>
          <w:tcPr>
            <w:tcW w:w="2716" w:type="dxa"/>
            <w:shd w:val="clear" w:color="auto" w:fill="auto"/>
            <w:noWrap/>
            <w:vAlign w:val="center"/>
          </w:tcPr>
          <w:p w14:paraId="617F43B5" w14:textId="77777777" w:rsidR="005B1FC8" w:rsidRPr="009B498E" w:rsidRDefault="005B1FC8" w:rsidP="005B1FC8">
            <w:pPr>
              <w:spacing w:after="60" w:line="23" w:lineRule="atLeast"/>
              <w:rPr>
                <w:bCs/>
                <w:szCs w:val="22"/>
              </w:rPr>
            </w:pPr>
            <w:r w:rsidRPr="009B498E">
              <w:rPr>
                <w:bCs/>
                <w:szCs w:val="22"/>
              </w:rPr>
              <w:t>Total Business Jets Fleet</w:t>
            </w:r>
          </w:p>
        </w:tc>
        <w:tc>
          <w:tcPr>
            <w:tcW w:w="876" w:type="dxa"/>
            <w:shd w:val="clear" w:color="auto" w:fill="auto"/>
            <w:noWrap/>
            <w:vAlign w:val="center"/>
          </w:tcPr>
          <w:p w14:paraId="6A556280" w14:textId="77777777" w:rsidR="005B1FC8" w:rsidRPr="009B498E" w:rsidRDefault="005B1FC8" w:rsidP="005B1FC8">
            <w:pPr>
              <w:spacing w:after="60" w:line="23" w:lineRule="atLeast"/>
              <w:jc w:val="right"/>
              <w:rPr>
                <w:szCs w:val="22"/>
              </w:rPr>
            </w:pPr>
            <w:r w:rsidRPr="009B498E">
              <w:rPr>
                <w:szCs w:val="22"/>
              </w:rPr>
              <w:t>15,680</w:t>
            </w:r>
          </w:p>
        </w:tc>
        <w:tc>
          <w:tcPr>
            <w:tcW w:w="986" w:type="dxa"/>
            <w:shd w:val="clear" w:color="auto" w:fill="auto"/>
            <w:noWrap/>
            <w:vAlign w:val="center"/>
          </w:tcPr>
          <w:p w14:paraId="68B0A9FB" w14:textId="77777777" w:rsidR="005B1FC8" w:rsidRPr="009B498E" w:rsidRDefault="005B1FC8" w:rsidP="005B1FC8">
            <w:pPr>
              <w:spacing w:after="60" w:line="23" w:lineRule="atLeast"/>
              <w:jc w:val="right"/>
              <w:rPr>
                <w:szCs w:val="22"/>
              </w:rPr>
            </w:pPr>
            <w:r w:rsidRPr="009B498E">
              <w:rPr>
                <w:szCs w:val="22"/>
              </w:rPr>
              <w:t>20,510</w:t>
            </w:r>
          </w:p>
        </w:tc>
        <w:tc>
          <w:tcPr>
            <w:tcW w:w="990" w:type="dxa"/>
            <w:shd w:val="clear" w:color="auto" w:fill="auto"/>
            <w:noWrap/>
            <w:vAlign w:val="center"/>
          </w:tcPr>
          <w:p w14:paraId="5C75E816" w14:textId="77777777" w:rsidR="005B1FC8" w:rsidRPr="009B498E" w:rsidRDefault="005B1FC8" w:rsidP="005B1FC8">
            <w:pPr>
              <w:spacing w:after="60" w:line="23" w:lineRule="atLeast"/>
              <w:jc w:val="right"/>
              <w:rPr>
                <w:szCs w:val="22"/>
              </w:rPr>
            </w:pPr>
            <w:r w:rsidRPr="009B498E">
              <w:rPr>
                <w:szCs w:val="22"/>
              </w:rPr>
              <w:t>24,535</w:t>
            </w:r>
          </w:p>
        </w:tc>
        <w:tc>
          <w:tcPr>
            <w:tcW w:w="876" w:type="dxa"/>
            <w:shd w:val="clear" w:color="auto" w:fill="auto"/>
            <w:noWrap/>
            <w:vAlign w:val="center"/>
          </w:tcPr>
          <w:p w14:paraId="32556F08" w14:textId="77777777" w:rsidR="005B1FC8" w:rsidRPr="009B498E" w:rsidRDefault="005B1FC8" w:rsidP="005B1FC8">
            <w:pPr>
              <w:spacing w:after="60" w:line="23" w:lineRule="atLeast"/>
              <w:jc w:val="right"/>
              <w:rPr>
                <w:szCs w:val="22"/>
              </w:rPr>
            </w:pPr>
            <w:r w:rsidRPr="009B498E">
              <w:rPr>
                <w:szCs w:val="22"/>
              </w:rPr>
              <w:t>28,560</w:t>
            </w:r>
          </w:p>
        </w:tc>
      </w:tr>
      <w:tr w:rsidR="005B1FC8" w:rsidRPr="009B498E" w14:paraId="1051B9BA" w14:textId="77777777" w:rsidTr="005B1FC8">
        <w:trPr>
          <w:trHeight w:val="20"/>
          <w:jc w:val="center"/>
        </w:trPr>
        <w:tc>
          <w:tcPr>
            <w:tcW w:w="2716" w:type="dxa"/>
            <w:shd w:val="clear" w:color="auto" w:fill="auto"/>
            <w:noWrap/>
            <w:vAlign w:val="center"/>
          </w:tcPr>
          <w:p w14:paraId="6C4FA85C" w14:textId="77777777" w:rsidR="005B1FC8" w:rsidRPr="009B498E" w:rsidRDefault="005B1FC8" w:rsidP="005B1FC8">
            <w:pPr>
              <w:spacing w:after="60" w:line="23" w:lineRule="atLeast"/>
              <w:rPr>
                <w:bCs/>
                <w:szCs w:val="22"/>
              </w:rPr>
            </w:pPr>
            <w:r w:rsidRPr="009B498E">
              <w:rPr>
                <w:bCs/>
                <w:szCs w:val="22"/>
              </w:rPr>
              <w:t>Total Turboprops Fleet</w:t>
            </w:r>
          </w:p>
        </w:tc>
        <w:tc>
          <w:tcPr>
            <w:tcW w:w="876" w:type="dxa"/>
            <w:shd w:val="clear" w:color="auto" w:fill="auto"/>
            <w:noWrap/>
            <w:vAlign w:val="center"/>
          </w:tcPr>
          <w:p w14:paraId="46FACC01" w14:textId="77777777" w:rsidR="005B1FC8" w:rsidRPr="009B498E" w:rsidRDefault="005B1FC8" w:rsidP="005B1FC8">
            <w:pPr>
              <w:spacing w:after="60" w:line="23" w:lineRule="atLeast"/>
              <w:jc w:val="right"/>
              <w:rPr>
                <w:szCs w:val="22"/>
              </w:rPr>
            </w:pPr>
            <w:r w:rsidRPr="009B498E">
              <w:rPr>
                <w:szCs w:val="22"/>
              </w:rPr>
              <w:t>10,520</w:t>
            </w:r>
          </w:p>
        </w:tc>
        <w:tc>
          <w:tcPr>
            <w:tcW w:w="986" w:type="dxa"/>
            <w:shd w:val="clear" w:color="auto" w:fill="auto"/>
            <w:noWrap/>
            <w:vAlign w:val="center"/>
          </w:tcPr>
          <w:p w14:paraId="1E712280" w14:textId="77777777" w:rsidR="005B1FC8" w:rsidRPr="009B498E" w:rsidRDefault="005B1FC8" w:rsidP="005B1FC8">
            <w:pPr>
              <w:spacing w:after="60" w:line="23" w:lineRule="atLeast"/>
              <w:jc w:val="right"/>
              <w:rPr>
                <w:szCs w:val="22"/>
              </w:rPr>
            </w:pPr>
            <w:r w:rsidRPr="009B498E">
              <w:rPr>
                <w:szCs w:val="22"/>
              </w:rPr>
              <w:t>8,777</w:t>
            </w:r>
          </w:p>
        </w:tc>
        <w:tc>
          <w:tcPr>
            <w:tcW w:w="990" w:type="dxa"/>
            <w:shd w:val="clear" w:color="auto" w:fill="auto"/>
            <w:noWrap/>
            <w:vAlign w:val="center"/>
          </w:tcPr>
          <w:p w14:paraId="75453DB2" w14:textId="77777777" w:rsidR="005B1FC8" w:rsidRPr="009B498E" w:rsidRDefault="005B1FC8" w:rsidP="005B1FC8">
            <w:pPr>
              <w:spacing w:after="60" w:line="23" w:lineRule="atLeast"/>
              <w:jc w:val="right"/>
              <w:rPr>
                <w:szCs w:val="22"/>
              </w:rPr>
            </w:pPr>
            <w:r w:rsidRPr="009B498E">
              <w:rPr>
                <w:szCs w:val="22"/>
              </w:rPr>
              <w:t>7,324</w:t>
            </w:r>
          </w:p>
        </w:tc>
        <w:tc>
          <w:tcPr>
            <w:tcW w:w="876" w:type="dxa"/>
            <w:shd w:val="clear" w:color="auto" w:fill="auto"/>
            <w:noWrap/>
            <w:vAlign w:val="center"/>
          </w:tcPr>
          <w:p w14:paraId="7C5CD484" w14:textId="77777777" w:rsidR="005B1FC8" w:rsidRPr="009B498E" w:rsidRDefault="005B1FC8" w:rsidP="005B1FC8">
            <w:pPr>
              <w:spacing w:after="60" w:line="23" w:lineRule="atLeast"/>
              <w:jc w:val="right"/>
              <w:rPr>
                <w:szCs w:val="22"/>
              </w:rPr>
            </w:pPr>
            <w:r w:rsidRPr="009B498E">
              <w:rPr>
                <w:szCs w:val="22"/>
              </w:rPr>
              <w:t>5,872</w:t>
            </w:r>
          </w:p>
        </w:tc>
      </w:tr>
      <w:bookmarkEnd w:id="191"/>
    </w:tbl>
    <w:p w14:paraId="2A4ECC18" w14:textId="77777777" w:rsidR="005B1FC8" w:rsidRPr="00EC1422" w:rsidRDefault="005B1FC8" w:rsidP="005B1FC8">
      <w:pPr>
        <w:pStyle w:val="Default"/>
        <w:spacing w:after="60" w:line="276" w:lineRule="auto"/>
        <w:rPr>
          <w:b/>
        </w:rPr>
      </w:pPr>
    </w:p>
    <w:p w14:paraId="2BF87F0D" w14:textId="3B0612F0" w:rsidR="005B1FC8" w:rsidRPr="00E57ABC" w:rsidRDefault="00E57ABC" w:rsidP="002B7818">
      <w:pPr>
        <w:pStyle w:val="Heading3"/>
      </w:pPr>
      <w:r>
        <w:tab/>
      </w:r>
      <w:bookmarkStart w:id="192" w:name="_Toc295406170"/>
      <w:r w:rsidR="009B498E" w:rsidRPr="00E57ABC">
        <w:t>8.</w:t>
      </w:r>
      <w:r>
        <w:t>4</w:t>
      </w:r>
      <w:r w:rsidR="009B498E" w:rsidRPr="00E57ABC">
        <w:t>.</w:t>
      </w:r>
      <w:r>
        <w:t>2.</w:t>
      </w:r>
      <w:r w:rsidR="009B498E" w:rsidRPr="00E57ABC">
        <w:tab/>
      </w:r>
      <w:r w:rsidR="005B1FC8" w:rsidRPr="00E57ABC">
        <w:t>Estimate of Halon 1301 Installed</w:t>
      </w:r>
      <w:bookmarkEnd w:id="192"/>
      <w:r w:rsidR="005B1FC8" w:rsidRPr="00E57ABC">
        <w:t xml:space="preserve"> </w:t>
      </w:r>
    </w:p>
    <w:p w14:paraId="772ED063" w14:textId="77777777" w:rsidR="005B1FC8" w:rsidRPr="009B498E" w:rsidRDefault="005B1FC8" w:rsidP="009B498E">
      <w:pPr>
        <w:pStyle w:val="Default"/>
        <w:rPr>
          <w:sz w:val="22"/>
          <w:szCs w:val="22"/>
        </w:rPr>
      </w:pPr>
      <w:r w:rsidRPr="009B498E">
        <w:rPr>
          <w:sz w:val="22"/>
          <w:szCs w:val="22"/>
        </w:rPr>
        <w:t>The number of installed halon 1301 systems per aircraft and the installed base of halon over the entire commercial aviation fleet were estimated using activity data and manufacturer feedback for engine nacelles, cargo compartments, APUs, and lavatory trash receptacle systems. The engine nacelle application assumes one halon bottle per engine. The baggage/cargo application varies according to flight distance and estimated cargo space.  The installed halon in the baggage/cargo section of the aircraft varies according to the maximum Extended-range Twin-engine Operational Performance Standards (ETOPS) distance that the aircraft was certified for. For business jet fleet, it was assumed that half an additional halon 1301 system in the baggage/cargo compartment. The APU application assumes one bottle per aircraft and the lavatory trash receptacle application assumes one bottle per regional aircraft. Using this bottom-up approach, there is approximately 2,236</w:t>
      </w:r>
      <w:r w:rsidRPr="009B498E">
        <w:rPr>
          <w:rFonts w:eastAsia="SimSun"/>
          <w:sz w:val="22"/>
          <w:szCs w:val="22"/>
          <w:lang w:eastAsia="zh-CN"/>
        </w:rPr>
        <w:t xml:space="preserve"> </w:t>
      </w:r>
      <w:r w:rsidRPr="009B498E">
        <w:rPr>
          <w:sz w:val="22"/>
          <w:szCs w:val="22"/>
        </w:rPr>
        <w:t xml:space="preserve">metric tonnes of halon 1301 currently installed across the civil aviation fleet, as presented in Table </w:t>
      </w:r>
      <w:r w:rsidR="009B498E">
        <w:rPr>
          <w:sz w:val="22"/>
          <w:szCs w:val="22"/>
        </w:rPr>
        <w:t>8-</w:t>
      </w:r>
      <w:r w:rsidRPr="009B498E">
        <w:rPr>
          <w:sz w:val="22"/>
          <w:szCs w:val="22"/>
        </w:rPr>
        <w:t xml:space="preserve">4. Based on the growth trend observed through 2030, the installed base of halon was projected out to 2050 at 5,993 metric tonnes. </w:t>
      </w:r>
    </w:p>
    <w:p w14:paraId="59FD6EC8" w14:textId="77777777" w:rsidR="005B1FC8" w:rsidRPr="009B498E" w:rsidRDefault="005B1FC8" w:rsidP="009B498E">
      <w:pPr>
        <w:pStyle w:val="Default"/>
        <w:rPr>
          <w:sz w:val="22"/>
          <w:szCs w:val="22"/>
        </w:rPr>
      </w:pPr>
    </w:p>
    <w:p w14:paraId="6A8FE291" w14:textId="77777777" w:rsidR="005B1FC8" w:rsidRPr="008B329D" w:rsidRDefault="005B1FC8" w:rsidP="005B1FC8">
      <w:pPr>
        <w:keepNext/>
        <w:spacing w:before="60" w:after="60"/>
        <w:rPr>
          <w:b/>
          <w:bCs/>
          <w:i/>
          <w:szCs w:val="22"/>
        </w:rPr>
      </w:pPr>
      <w:bookmarkStart w:id="193" w:name="_Ref398136022"/>
      <w:r w:rsidRPr="008B329D">
        <w:rPr>
          <w:b/>
          <w:bCs/>
          <w:i/>
          <w:szCs w:val="22"/>
        </w:rPr>
        <w:t xml:space="preserve">Table </w:t>
      </w:r>
      <w:r w:rsidR="009B498E" w:rsidRPr="008B329D">
        <w:rPr>
          <w:b/>
          <w:bCs/>
          <w:i/>
          <w:szCs w:val="22"/>
        </w:rPr>
        <w:t>8-</w:t>
      </w:r>
      <w:r w:rsidRPr="008B329D">
        <w:rPr>
          <w:b/>
          <w:bCs/>
          <w:i/>
          <w:szCs w:val="22"/>
        </w:rPr>
        <w:t>4</w:t>
      </w:r>
      <w:r w:rsidR="009B498E" w:rsidRPr="008B329D">
        <w:rPr>
          <w:b/>
          <w:bCs/>
          <w:i/>
          <w:szCs w:val="22"/>
        </w:rPr>
        <w:t>.</w:t>
      </w:r>
      <w:r w:rsidRPr="008B329D">
        <w:rPr>
          <w:b/>
          <w:bCs/>
          <w:i/>
          <w:szCs w:val="22"/>
        </w:rPr>
        <w:t xml:space="preserve"> Estimated Installed Base of Halon 1301 in Commercial Aircraft (</w:t>
      </w:r>
      <w:r w:rsidRPr="008B329D">
        <w:rPr>
          <w:b/>
          <w:i/>
          <w:szCs w:val="22"/>
        </w:rPr>
        <w:t>metric tonnes</w:t>
      </w:r>
      <w:r w:rsidRPr="008B329D">
        <w:rPr>
          <w:b/>
          <w:bCs/>
          <w:i/>
          <w:szCs w:val="22"/>
        </w:rPr>
        <w:t>), (EPA, 2015)</w:t>
      </w:r>
    </w:p>
    <w:bookmarkEnd w:id="193"/>
    <w:tbl>
      <w:tblPr>
        <w:tblpPr w:leftFromText="180" w:rightFromText="180" w:vertAnchor="text" w:horzAnchor="margin" w:tblpX="288" w:tblpY="215"/>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89"/>
        <w:gridCol w:w="853"/>
        <w:gridCol w:w="851"/>
        <w:gridCol w:w="819"/>
        <w:gridCol w:w="740"/>
      </w:tblGrid>
      <w:tr w:rsidR="005B1FC8" w:rsidRPr="009B498E" w14:paraId="04B04BF5" w14:textId="77777777" w:rsidTr="005C77D9">
        <w:trPr>
          <w:trHeight w:val="19"/>
        </w:trPr>
        <w:tc>
          <w:tcPr>
            <w:tcW w:w="4503" w:type="dxa"/>
            <w:shd w:val="clear" w:color="auto" w:fill="auto"/>
            <w:noWrap/>
            <w:vAlign w:val="center"/>
            <w:hideMark/>
          </w:tcPr>
          <w:p w14:paraId="2CF3D4CE" w14:textId="77777777" w:rsidR="005B1FC8" w:rsidRPr="009B498E" w:rsidRDefault="005B1FC8" w:rsidP="005B1FC8">
            <w:pPr>
              <w:jc w:val="center"/>
              <w:rPr>
                <w:b/>
                <w:bCs/>
                <w:color w:val="auto"/>
                <w:szCs w:val="22"/>
              </w:rPr>
            </w:pPr>
          </w:p>
        </w:tc>
        <w:tc>
          <w:tcPr>
            <w:tcW w:w="989" w:type="dxa"/>
            <w:shd w:val="clear" w:color="auto" w:fill="auto"/>
            <w:noWrap/>
            <w:vAlign w:val="center"/>
            <w:hideMark/>
          </w:tcPr>
          <w:p w14:paraId="2137AD8B" w14:textId="77777777" w:rsidR="005B1FC8" w:rsidRPr="009B498E" w:rsidRDefault="005B1FC8" w:rsidP="005B1FC8">
            <w:pPr>
              <w:jc w:val="center"/>
              <w:rPr>
                <w:b/>
                <w:bCs/>
                <w:color w:val="auto"/>
                <w:szCs w:val="22"/>
              </w:rPr>
            </w:pPr>
            <w:r w:rsidRPr="009B498E">
              <w:rPr>
                <w:b/>
                <w:bCs/>
                <w:color w:val="auto"/>
                <w:szCs w:val="22"/>
              </w:rPr>
              <w:t>2014</w:t>
            </w:r>
          </w:p>
        </w:tc>
        <w:tc>
          <w:tcPr>
            <w:tcW w:w="853" w:type="dxa"/>
            <w:shd w:val="clear" w:color="auto" w:fill="auto"/>
            <w:noWrap/>
            <w:vAlign w:val="center"/>
            <w:hideMark/>
          </w:tcPr>
          <w:p w14:paraId="700964A4" w14:textId="77777777" w:rsidR="005B1FC8" w:rsidRPr="009B498E" w:rsidRDefault="005B1FC8" w:rsidP="005B1FC8">
            <w:pPr>
              <w:jc w:val="center"/>
              <w:rPr>
                <w:b/>
                <w:bCs/>
                <w:color w:val="auto"/>
                <w:szCs w:val="22"/>
              </w:rPr>
            </w:pPr>
            <w:r w:rsidRPr="009B498E">
              <w:rPr>
                <w:b/>
                <w:bCs/>
                <w:color w:val="auto"/>
                <w:szCs w:val="22"/>
              </w:rPr>
              <w:t>2020</w:t>
            </w:r>
          </w:p>
        </w:tc>
        <w:tc>
          <w:tcPr>
            <w:tcW w:w="851" w:type="dxa"/>
            <w:shd w:val="clear" w:color="auto" w:fill="auto"/>
            <w:noWrap/>
            <w:vAlign w:val="center"/>
            <w:hideMark/>
          </w:tcPr>
          <w:p w14:paraId="3366DBCB" w14:textId="77777777" w:rsidR="005B1FC8" w:rsidRPr="009B498E" w:rsidRDefault="005B1FC8" w:rsidP="005B1FC8">
            <w:pPr>
              <w:jc w:val="center"/>
              <w:rPr>
                <w:b/>
                <w:bCs/>
                <w:color w:val="auto"/>
                <w:szCs w:val="22"/>
              </w:rPr>
            </w:pPr>
            <w:r w:rsidRPr="009B498E">
              <w:rPr>
                <w:b/>
                <w:bCs/>
                <w:color w:val="auto"/>
                <w:szCs w:val="22"/>
              </w:rPr>
              <w:t>2030</w:t>
            </w:r>
          </w:p>
        </w:tc>
        <w:tc>
          <w:tcPr>
            <w:tcW w:w="819" w:type="dxa"/>
            <w:shd w:val="clear" w:color="auto" w:fill="auto"/>
            <w:vAlign w:val="center"/>
          </w:tcPr>
          <w:p w14:paraId="0C0ACA19" w14:textId="77777777" w:rsidR="005B1FC8" w:rsidRPr="009B498E" w:rsidRDefault="005B1FC8" w:rsidP="005B1FC8">
            <w:pPr>
              <w:jc w:val="center"/>
              <w:rPr>
                <w:b/>
                <w:bCs/>
                <w:color w:val="auto"/>
                <w:szCs w:val="22"/>
              </w:rPr>
            </w:pPr>
            <w:r w:rsidRPr="009B498E">
              <w:rPr>
                <w:b/>
                <w:bCs/>
                <w:color w:val="auto"/>
                <w:szCs w:val="22"/>
              </w:rPr>
              <w:t>2040</w:t>
            </w:r>
          </w:p>
        </w:tc>
        <w:tc>
          <w:tcPr>
            <w:tcW w:w="740" w:type="dxa"/>
            <w:shd w:val="clear" w:color="auto" w:fill="auto"/>
            <w:vAlign w:val="center"/>
          </w:tcPr>
          <w:p w14:paraId="14F7E246" w14:textId="77777777" w:rsidR="005B1FC8" w:rsidRPr="009B498E" w:rsidRDefault="005B1FC8" w:rsidP="005B1FC8">
            <w:pPr>
              <w:jc w:val="center"/>
              <w:rPr>
                <w:b/>
                <w:bCs/>
                <w:color w:val="auto"/>
                <w:szCs w:val="22"/>
              </w:rPr>
            </w:pPr>
            <w:r w:rsidRPr="009B498E">
              <w:rPr>
                <w:b/>
                <w:bCs/>
                <w:color w:val="auto"/>
                <w:szCs w:val="22"/>
              </w:rPr>
              <w:t>2050</w:t>
            </w:r>
          </w:p>
        </w:tc>
      </w:tr>
      <w:tr w:rsidR="005B1FC8" w:rsidRPr="009B498E" w14:paraId="3D8D0A83" w14:textId="77777777" w:rsidTr="005C77D9">
        <w:trPr>
          <w:trHeight w:val="19"/>
        </w:trPr>
        <w:tc>
          <w:tcPr>
            <w:tcW w:w="4503" w:type="dxa"/>
            <w:shd w:val="clear" w:color="auto" w:fill="auto"/>
            <w:noWrap/>
            <w:vAlign w:val="center"/>
            <w:hideMark/>
          </w:tcPr>
          <w:p w14:paraId="7A5EB624" w14:textId="77777777" w:rsidR="005B1FC8" w:rsidRPr="009B498E" w:rsidRDefault="005B1FC8" w:rsidP="005B1FC8">
            <w:pPr>
              <w:jc w:val="center"/>
              <w:rPr>
                <w:szCs w:val="22"/>
              </w:rPr>
            </w:pPr>
            <w:r w:rsidRPr="009B498E">
              <w:rPr>
                <w:szCs w:val="22"/>
              </w:rPr>
              <w:t>Total Installed in Halon 1301 Applications</w:t>
            </w:r>
          </w:p>
        </w:tc>
        <w:tc>
          <w:tcPr>
            <w:tcW w:w="989" w:type="dxa"/>
            <w:shd w:val="clear" w:color="auto" w:fill="auto"/>
            <w:noWrap/>
            <w:vAlign w:val="center"/>
            <w:hideMark/>
          </w:tcPr>
          <w:p w14:paraId="1E7E6F80" w14:textId="77777777" w:rsidR="005B1FC8" w:rsidRPr="009B498E" w:rsidRDefault="005B1FC8" w:rsidP="005B1FC8">
            <w:pPr>
              <w:jc w:val="right"/>
              <w:rPr>
                <w:bCs/>
                <w:iCs/>
                <w:szCs w:val="22"/>
              </w:rPr>
            </w:pPr>
            <w:r w:rsidRPr="009B498E">
              <w:rPr>
                <w:bCs/>
                <w:iCs/>
                <w:szCs w:val="22"/>
              </w:rPr>
              <w:t>2,236</w:t>
            </w:r>
          </w:p>
        </w:tc>
        <w:tc>
          <w:tcPr>
            <w:tcW w:w="853" w:type="dxa"/>
            <w:shd w:val="clear" w:color="auto" w:fill="auto"/>
            <w:noWrap/>
            <w:vAlign w:val="center"/>
            <w:hideMark/>
          </w:tcPr>
          <w:p w14:paraId="7388550B" w14:textId="77777777" w:rsidR="005B1FC8" w:rsidRPr="009B498E" w:rsidRDefault="005B1FC8" w:rsidP="005B1FC8">
            <w:pPr>
              <w:jc w:val="right"/>
              <w:rPr>
                <w:bCs/>
                <w:iCs/>
                <w:szCs w:val="22"/>
              </w:rPr>
            </w:pPr>
            <w:r w:rsidRPr="009B498E">
              <w:rPr>
                <w:bCs/>
                <w:iCs/>
                <w:szCs w:val="22"/>
              </w:rPr>
              <w:t>2,862</w:t>
            </w:r>
          </w:p>
        </w:tc>
        <w:tc>
          <w:tcPr>
            <w:tcW w:w="851" w:type="dxa"/>
            <w:shd w:val="clear" w:color="auto" w:fill="auto"/>
            <w:noWrap/>
            <w:vAlign w:val="center"/>
            <w:hideMark/>
          </w:tcPr>
          <w:p w14:paraId="50337524" w14:textId="77777777" w:rsidR="005B1FC8" w:rsidRPr="009B498E" w:rsidRDefault="005B1FC8" w:rsidP="005B1FC8">
            <w:pPr>
              <w:jc w:val="right"/>
              <w:rPr>
                <w:bCs/>
                <w:iCs/>
                <w:szCs w:val="22"/>
              </w:rPr>
            </w:pPr>
            <w:r w:rsidRPr="009B498E">
              <w:rPr>
                <w:szCs w:val="22"/>
              </w:rPr>
              <w:t>3,906</w:t>
            </w:r>
          </w:p>
        </w:tc>
        <w:tc>
          <w:tcPr>
            <w:tcW w:w="819" w:type="dxa"/>
            <w:vAlign w:val="center"/>
          </w:tcPr>
          <w:p w14:paraId="6121C084" w14:textId="77777777" w:rsidR="005B1FC8" w:rsidRPr="009B498E" w:rsidRDefault="005B1FC8" w:rsidP="005B1FC8">
            <w:pPr>
              <w:jc w:val="right"/>
              <w:rPr>
                <w:szCs w:val="22"/>
              </w:rPr>
            </w:pPr>
            <w:r w:rsidRPr="009B498E">
              <w:rPr>
                <w:szCs w:val="22"/>
              </w:rPr>
              <w:t>4,949</w:t>
            </w:r>
          </w:p>
        </w:tc>
        <w:tc>
          <w:tcPr>
            <w:tcW w:w="740" w:type="dxa"/>
            <w:vAlign w:val="center"/>
          </w:tcPr>
          <w:p w14:paraId="66E36B02" w14:textId="77777777" w:rsidR="005B1FC8" w:rsidRPr="009B498E" w:rsidRDefault="005B1FC8" w:rsidP="005B1FC8">
            <w:pPr>
              <w:jc w:val="right"/>
              <w:rPr>
                <w:szCs w:val="22"/>
              </w:rPr>
            </w:pPr>
            <w:r w:rsidRPr="009B498E">
              <w:rPr>
                <w:szCs w:val="22"/>
              </w:rPr>
              <w:t>5,993</w:t>
            </w:r>
          </w:p>
        </w:tc>
      </w:tr>
    </w:tbl>
    <w:p w14:paraId="66D914CF" w14:textId="77777777" w:rsidR="005B1FC8" w:rsidRPr="00EC1422" w:rsidRDefault="005B1FC8" w:rsidP="005B1FC8">
      <w:pPr>
        <w:spacing w:line="276" w:lineRule="auto"/>
        <w:rPr>
          <w:sz w:val="23"/>
          <w:szCs w:val="23"/>
        </w:rPr>
      </w:pPr>
    </w:p>
    <w:p w14:paraId="31004582" w14:textId="0770DAC9" w:rsidR="005B1FC8" w:rsidRPr="00EC1422" w:rsidRDefault="00E57ABC" w:rsidP="002B7818">
      <w:pPr>
        <w:pStyle w:val="Heading3"/>
      </w:pPr>
      <w:r>
        <w:tab/>
      </w:r>
      <w:bookmarkStart w:id="194" w:name="_Toc295406171"/>
      <w:r w:rsidR="009B498E">
        <w:t>8.</w:t>
      </w:r>
      <w:r>
        <w:t>4</w:t>
      </w:r>
      <w:r w:rsidR="009B498E">
        <w:t>.</w:t>
      </w:r>
      <w:r>
        <w:t>3.</w:t>
      </w:r>
      <w:r w:rsidR="009B498E">
        <w:tab/>
      </w:r>
      <w:r w:rsidR="005B1FC8" w:rsidRPr="00EC1422">
        <w:t>Estimate of Halon 1211 Installed on Civil Aircraft</w:t>
      </w:r>
      <w:bookmarkEnd w:id="194"/>
      <w:r w:rsidR="005B1FC8" w:rsidRPr="00EC1422">
        <w:t xml:space="preserve"> </w:t>
      </w:r>
    </w:p>
    <w:p w14:paraId="72774CD0" w14:textId="77777777" w:rsidR="005B1FC8" w:rsidRPr="009B498E" w:rsidRDefault="005B1FC8" w:rsidP="009B498E">
      <w:pPr>
        <w:pStyle w:val="Default"/>
        <w:rPr>
          <w:sz w:val="22"/>
          <w:szCs w:val="22"/>
        </w:rPr>
      </w:pPr>
      <w:r w:rsidRPr="009B498E">
        <w:rPr>
          <w:sz w:val="22"/>
          <w:szCs w:val="22"/>
        </w:rPr>
        <w:t xml:space="preserve">A halon 1211 handheld extinguisher is assumed to be located in the cockpit of all civil aircraft (i.e., including mainline aircraft, regional aircraft, business jets, and turboprops), in addition to the minimum number of extinguishers required in the passenger cabin. Furthermore, a handheld extinguisher must be readily accessible in accessible baggage compartments. Therefore, it was assumed that half of the business jet fleet is equipped with an additional handheld extinguisher. The assumption for the halon 1211 application is the following:  </w:t>
      </w:r>
    </w:p>
    <w:p w14:paraId="65CAB76E" w14:textId="77777777" w:rsidR="005B1FC8" w:rsidRPr="009B498E" w:rsidRDefault="005B1FC8" w:rsidP="009B498E">
      <w:pPr>
        <w:pStyle w:val="Default"/>
        <w:ind w:firstLine="720"/>
        <w:rPr>
          <w:sz w:val="22"/>
          <w:szCs w:val="22"/>
        </w:rPr>
      </w:pPr>
      <w:r w:rsidRPr="009B498E">
        <w:rPr>
          <w:sz w:val="22"/>
          <w:szCs w:val="22"/>
        </w:rPr>
        <w:t>•</w:t>
      </w:r>
      <w:r w:rsidRPr="009B498E">
        <w:rPr>
          <w:sz w:val="22"/>
          <w:szCs w:val="22"/>
        </w:rPr>
        <w:tab/>
        <w:t xml:space="preserve">7 – 8 bottles per very large mainline and intermediate twin aisle mainline aircraft, </w:t>
      </w:r>
    </w:p>
    <w:p w14:paraId="2CEBD825" w14:textId="77777777" w:rsidR="005B1FC8" w:rsidRPr="009B498E" w:rsidRDefault="005B1FC8" w:rsidP="009B498E">
      <w:pPr>
        <w:pStyle w:val="Default"/>
        <w:ind w:firstLine="720"/>
        <w:rPr>
          <w:sz w:val="22"/>
          <w:szCs w:val="22"/>
        </w:rPr>
      </w:pPr>
      <w:r w:rsidRPr="009B498E">
        <w:rPr>
          <w:sz w:val="22"/>
          <w:szCs w:val="22"/>
        </w:rPr>
        <w:t>•</w:t>
      </w:r>
      <w:r w:rsidRPr="009B498E">
        <w:rPr>
          <w:sz w:val="22"/>
          <w:szCs w:val="22"/>
        </w:rPr>
        <w:tab/>
        <w:t>4 – 6 bottles per intermediate twin aisle mainline aircraft,</w:t>
      </w:r>
    </w:p>
    <w:p w14:paraId="6ECFCD78" w14:textId="77777777" w:rsidR="005B1FC8" w:rsidRPr="009B498E" w:rsidRDefault="005B1FC8" w:rsidP="009B498E">
      <w:pPr>
        <w:pStyle w:val="Default"/>
        <w:ind w:firstLine="720"/>
        <w:rPr>
          <w:sz w:val="22"/>
          <w:szCs w:val="22"/>
        </w:rPr>
      </w:pPr>
      <w:r w:rsidRPr="009B498E">
        <w:rPr>
          <w:sz w:val="22"/>
          <w:szCs w:val="22"/>
        </w:rPr>
        <w:t>•</w:t>
      </w:r>
      <w:r w:rsidRPr="009B498E">
        <w:rPr>
          <w:sz w:val="22"/>
          <w:szCs w:val="22"/>
        </w:rPr>
        <w:tab/>
        <w:t>4 – 5 bottles two bottles per small twin aisle and single aisle mainline aircraft,</w:t>
      </w:r>
    </w:p>
    <w:p w14:paraId="350A601E" w14:textId="77777777" w:rsidR="005B1FC8" w:rsidRPr="009B498E" w:rsidRDefault="005B1FC8" w:rsidP="009B498E">
      <w:pPr>
        <w:pStyle w:val="Default"/>
        <w:ind w:firstLine="720"/>
        <w:rPr>
          <w:sz w:val="22"/>
          <w:szCs w:val="22"/>
        </w:rPr>
      </w:pPr>
      <w:r w:rsidRPr="009B498E">
        <w:rPr>
          <w:sz w:val="22"/>
          <w:szCs w:val="22"/>
        </w:rPr>
        <w:t>•</w:t>
      </w:r>
      <w:r w:rsidRPr="009B498E">
        <w:rPr>
          <w:sz w:val="22"/>
          <w:szCs w:val="22"/>
        </w:rPr>
        <w:tab/>
        <w:t xml:space="preserve">3 – 4 bottles per single aisle mainline aircraft, </w:t>
      </w:r>
    </w:p>
    <w:p w14:paraId="6A162B8C" w14:textId="77777777" w:rsidR="005B1FC8" w:rsidRPr="009B498E" w:rsidRDefault="005B1FC8" w:rsidP="009B498E">
      <w:pPr>
        <w:pStyle w:val="Default"/>
        <w:ind w:firstLine="720"/>
        <w:rPr>
          <w:sz w:val="22"/>
          <w:szCs w:val="22"/>
        </w:rPr>
      </w:pPr>
      <w:r w:rsidRPr="009B498E">
        <w:rPr>
          <w:sz w:val="22"/>
          <w:szCs w:val="22"/>
        </w:rPr>
        <w:t>•</w:t>
      </w:r>
      <w:r w:rsidRPr="009B498E">
        <w:rPr>
          <w:sz w:val="22"/>
          <w:szCs w:val="22"/>
        </w:rPr>
        <w:tab/>
        <w:t xml:space="preserve">      2 - bottles per regional aircraft, </w:t>
      </w:r>
    </w:p>
    <w:p w14:paraId="6F919317" w14:textId="77777777" w:rsidR="005B1FC8" w:rsidRPr="009B498E" w:rsidRDefault="005B1FC8" w:rsidP="009B498E">
      <w:pPr>
        <w:pStyle w:val="Default"/>
        <w:ind w:firstLine="720"/>
        <w:rPr>
          <w:sz w:val="22"/>
          <w:szCs w:val="22"/>
        </w:rPr>
      </w:pPr>
      <w:r w:rsidRPr="009B498E">
        <w:rPr>
          <w:sz w:val="22"/>
          <w:szCs w:val="22"/>
        </w:rPr>
        <w:t>•</w:t>
      </w:r>
      <w:r w:rsidRPr="009B498E">
        <w:rPr>
          <w:sz w:val="22"/>
          <w:szCs w:val="22"/>
        </w:rPr>
        <w:tab/>
        <w:t xml:space="preserve">      2 - bottles per business jet, and </w:t>
      </w:r>
    </w:p>
    <w:p w14:paraId="3EC4D583" w14:textId="77777777" w:rsidR="005B1FC8" w:rsidRPr="009B498E" w:rsidRDefault="005B1FC8" w:rsidP="009B498E">
      <w:pPr>
        <w:pStyle w:val="Default"/>
        <w:ind w:firstLine="720"/>
        <w:rPr>
          <w:sz w:val="22"/>
          <w:szCs w:val="22"/>
        </w:rPr>
      </w:pPr>
      <w:r w:rsidRPr="009B498E">
        <w:rPr>
          <w:sz w:val="22"/>
          <w:szCs w:val="22"/>
        </w:rPr>
        <w:t>•</w:t>
      </w:r>
      <w:r w:rsidRPr="009B498E">
        <w:rPr>
          <w:sz w:val="22"/>
          <w:szCs w:val="22"/>
        </w:rPr>
        <w:tab/>
        <w:t xml:space="preserve">      2 - bottles per turboprop aircraft. </w:t>
      </w:r>
    </w:p>
    <w:p w14:paraId="203FDBAF" w14:textId="77777777" w:rsidR="005B1FC8" w:rsidRPr="009B498E" w:rsidRDefault="005B1FC8" w:rsidP="009B498E">
      <w:pPr>
        <w:pStyle w:val="Default"/>
        <w:rPr>
          <w:sz w:val="22"/>
          <w:szCs w:val="22"/>
        </w:rPr>
      </w:pPr>
    </w:p>
    <w:p w14:paraId="4CDB7AED" w14:textId="77777777" w:rsidR="005B1FC8" w:rsidRPr="009B498E" w:rsidRDefault="005B1FC8" w:rsidP="009B498E">
      <w:pPr>
        <w:pStyle w:val="Default"/>
        <w:rPr>
          <w:sz w:val="22"/>
          <w:szCs w:val="22"/>
          <w:vertAlign w:val="superscript"/>
        </w:rPr>
      </w:pPr>
      <w:r w:rsidRPr="009B498E">
        <w:rPr>
          <w:sz w:val="22"/>
          <w:szCs w:val="22"/>
        </w:rPr>
        <w:t xml:space="preserve">Due to the uncertainty surrounding the use of halon 1211 in handheld fire extinguishers beyond 2016, the halon 1211 analysis in Table </w:t>
      </w:r>
      <w:r w:rsidR="009B498E">
        <w:rPr>
          <w:sz w:val="22"/>
          <w:szCs w:val="22"/>
        </w:rPr>
        <w:t>8-</w:t>
      </w:r>
      <w:r w:rsidRPr="009B498E">
        <w:rPr>
          <w:sz w:val="22"/>
          <w:szCs w:val="22"/>
        </w:rPr>
        <w:t>5 considers two scenarios: a business as usual scenario and a best-case scenario. The business as usual scenario assumes the continued use of halon 1211 in handheld fire extinguishers through 2030. The best-case scenario assumes that mainline airframe manufacturers will implement halon-alternative handheld fire extinguishers in all aircraft new deliveries by December 31, 2016, and in the European Union retrofit of all existing aircraft by December 31, 2025.</w:t>
      </w:r>
      <w:r w:rsidRPr="009B498E">
        <w:rPr>
          <w:sz w:val="22"/>
          <w:szCs w:val="22"/>
          <w:vertAlign w:val="superscript"/>
        </w:rPr>
        <w:t xml:space="preserve"> </w:t>
      </w:r>
    </w:p>
    <w:p w14:paraId="1B07B256" w14:textId="77777777" w:rsidR="005B1FC8" w:rsidRPr="009B498E" w:rsidRDefault="005B1FC8" w:rsidP="009B498E">
      <w:pPr>
        <w:pStyle w:val="Default"/>
        <w:rPr>
          <w:sz w:val="22"/>
          <w:szCs w:val="22"/>
        </w:rPr>
      </w:pPr>
    </w:p>
    <w:p w14:paraId="115157B9" w14:textId="77777777" w:rsidR="005B1FC8" w:rsidRDefault="005B1FC8" w:rsidP="009B498E">
      <w:pPr>
        <w:pStyle w:val="Default"/>
        <w:ind w:right="450"/>
        <w:rPr>
          <w:b/>
          <w:bCs/>
          <w:i/>
          <w:sz w:val="22"/>
          <w:szCs w:val="22"/>
        </w:rPr>
      </w:pPr>
      <w:r w:rsidRPr="008B329D">
        <w:rPr>
          <w:b/>
          <w:bCs/>
          <w:i/>
          <w:sz w:val="22"/>
          <w:szCs w:val="22"/>
        </w:rPr>
        <w:t xml:space="preserve">Table </w:t>
      </w:r>
      <w:r w:rsidR="009B498E" w:rsidRPr="008B329D">
        <w:rPr>
          <w:b/>
          <w:bCs/>
          <w:i/>
          <w:sz w:val="22"/>
          <w:szCs w:val="22"/>
        </w:rPr>
        <w:t>8-</w:t>
      </w:r>
      <w:r w:rsidRPr="008B329D">
        <w:rPr>
          <w:b/>
          <w:bCs/>
          <w:i/>
          <w:sz w:val="22"/>
          <w:szCs w:val="22"/>
        </w:rPr>
        <w:t>5</w:t>
      </w:r>
      <w:r w:rsidR="009B498E" w:rsidRPr="008B329D">
        <w:rPr>
          <w:b/>
          <w:bCs/>
          <w:i/>
          <w:sz w:val="22"/>
          <w:szCs w:val="22"/>
        </w:rPr>
        <w:t>.</w:t>
      </w:r>
      <w:r w:rsidRPr="008B329D">
        <w:rPr>
          <w:b/>
          <w:bCs/>
          <w:i/>
          <w:sz w:val="22"/>
          <w:szCs w:val="22"/>
        </w:rPr>
        <w:t xml:space="preserve"> Estimated Quantities of Halon 1211 on Commercial Aircraft (metric tonnes)</w:t>
      </w:r>
    </w:p>
    <w:p w14:paraId="4AB335C9" w14:textId="77777777" w:rsidR="008B329D" w:rsidRPr="008B329D" w:rsidRDefault="008B329D" w:rsidP="009B498E">
      <w:pPr>
        <w:pStyle w:val="Default"/>
        <w:ind w:right="450"/>
        <w:rPr>
          <w:b/>
          <w:i/>
          <w:sz w:val="22"/>
          <w:szCs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8"/>
        <w:gridCol w:w="1134"/>
        <w:gridCol w:w="1134"/>
        <w:gridCol w:w="992"/>
        <w:gridCol w:w="992"/>
      </w:tblGrid>
      <w:tr w:rsidR="005B1FC8" w:rsidRPr="009B498E" w14:paraId="3AD249A2" w14:textId="77777777" w:rsidTr="000A35BA">
        <w:trPr>
          <w:trHeight w:val="107"/>
        </w:trPr>
        <w:tc>
          <w:tcPr>
            <w:tcW w:w="4208" w:type="dxa"/>
          </w:tcPr>
          <w:p w14:paraId="789F1CCF" w14:textId="77777777" w:rsidR="005B1FC8" w:rsidRPr="009B498E" w:rsidRDefault="005B1FC8" w:rsidP="009B498E">
            <w:pPr>
              <w:pStyle w:val="Default"/>
              <w:rPr>
                <w:sz w:val="22"/>
                <w:szCs w:val="22"/>
              </w:rPr>
            </w:pPr>
          </w:p>
        </w:tc>
        <w:tc>
          <w:tcPr>
            <w:tcW w:w="1134" w:type="dxa"/>
          </w:tcPr>
          <w:p w14:paraId="0B2131C8" w14:textId="77777777" w:rsidR="005B1FC8" w:rsidRPr="009B498E" w:rsidRDefault="005B1FC8" w:rsidP="009B498E">
            <w:pPr>
              <w:pStyle w:val="Default"/>
              <w:jc w:val="center"/>
              <w:rPr>
                <w:sz w:val="22"/>
                <w:szCs w:val="22"/>
              </w:rPr>
            </w:pPr>
            <w:r w:rsidRPr="009B498E">
              <w:rPr>
                <w:b/>
                <w:bCs/>
                <w:sz w:val="22"/>
                <w:szCs w:val="22"/>
              </w:rPr>
              <w:t>2014</w:t>
            </w:r>
          </w:p>
        </w:tc>
        <w:tc>
          <w:tcPr>
            <w:tcW w:w="1134" w:type="dxa"/>
          </w:tcPr>
          <w:p w14:paraId="137F6D72" w14:textId="77777777" w:rsidR="005B1FC8" w:rsidRPr="009B498E" w:rsidRDefault="005B1FC8" w:rsidP="009B498E">
            <w:pPr>
              <w:pStyle w:val="Default"/>
              <w:jc w:val="center"/>
              <w:rPr>
                <w:sz w:val="22"/>
                <w:szCs w:val="22"/>
              </w:rPr>
            </w:pPr>
            <w:r w:rsidRPr="009B498E">
              <w:rPr>
                <w:b/>
                <w:bCs/>
                <w:sz w:val="22"/>
                <w:szCs w:val="22"/>
              </w:rPr>
              <w:t>2020</w:t>
            </w:r>
          </w:p>
        </w:tc>
        <w:tc>
          <w:tcPr>
            <w:tcW w:w="992" w:type="dxa"/>
          </w:tcPr>
          <w:p w14:paraId="1A967333" w14:textId="77777777" w:rsidR="005B1FC8" w:rsidRPr="009B498E" w:rsidRDefault="005B1FC8" w:rsidP="009B498E">
            <w:pPr>
              <w:pStyle w:val="Default"/>
              <w:jc w:val="center"/>
              <w:rPr>
                <w:sz w:val="22"/>
                <w:szCs w:val="22"/>
              </w:rPr>
            </w:pPr>
            <w:r w:rsidRPr="009B498E">
              <w:rPr>
                <w:b/>
                <w:bCs/>
                <w:sz w:val="22"/>
                <w:szCs w:val="22"/>
              </w:rPr>
              <w:t>2025</w:t>
            </w:r>
          </w:p>
        </w:tc>
        <w:tc>
          <w:tcPr>
            <w:tcW w:w="992" w:type="dxa"/>
          </w:tcPr>
          <w:p w14:paraId="18CE3BA1" w14:textId="77777777" w:rsidR="005B1FC8" w:rsidRPr="009B498E" w:rsidRDefault="005B1FC8" w:rsidP="009B498E">
            <w:pPr>
              <w:pStyle w:val="Default"/>
              <w:jc w:val="center"/>
              <w:rPr>
                <w:sz w:val="22"/>
                <w:szCs w:val="22"/>
              </w:rPr>
            </w:pPr>
            <w:r w:rsidRPr="009B498E">
              <w:rPr>
                <w:b/>
                <w:bCs/>
                <w:sz w:val="22"/>
                <w:szCs w:val="22"/>
              </w:rPr>
              <w:t>2030</w:t>
            </w:r>
          </w:p>
        </w:tc>
      </w:tr>
      <w:tr w:rsidR="005B1FC8" w:rsidRPr="009B498E" w14:paraId="294E101D" w14:textId="77777777" w:rsidTr="000A35BA">
        <w:trPr>
          <w:trHeight w:val="109"/>
        </w:trPr>
        <w:tc>
          <w:tcPr>
            <w:tcW w:w="4208" w:type="dxa"/>
          </w:tcPr>
          <w:p w14:paraId="305FA3E5" w14:textId="77777777" w:rsidR="005B1FC8" w:rsidRPr="009B498E" w:rsidRDefault="005B1FC8" w:rsidP="009B498E">
            <w:pPr>
              <w:pStyle w:val="Default"/>
              <w:rPr>
                <w:sz w:val="22"/>
                <w:szCs w:val="22"/>
              </w:rPr>
            </w:pPr>
            <w:r w:rsidRPr="009B498E">
              <w:rPr>
                <w:sz w:val="22"/>
                <w:szCs w:val="22"/>
              </w:rPr>
              <w:t xml:space="preserve">Total Installed: Business As Usual Scenario </w:t>
            </w:r>
          </w:p>
        </w:tc>
        <w:tc>
          <w:tcPr>
            <w:tcW w:w="1134" w:type="dxa"/>
          </w:tcPr>
          <w:p w14:paraId="601F4C13" w14:textId="77777777" w:rsidR="005B1FC8" w:rsidRPr="009B498E" w:rsidRDefault="005B1FC8" w:rsidP="000A35BA">
            <w:pPr>
              <w:pStyle w:val="Default"/>
              <w:jc w:val="center"/>
              <w:rPr>
                <w:sz w:val="22"/>
                <w:szCs w:val="22"/>
              </w:rPr>
            </w:pPr>
            <w:r w:rsidRPr="009B498E">
              <w:rPr>
                <w:sz w:val="22"/>
                <w:szCs w:val="22"/>
              </w:rPr>
              <w:t>164</w:t>
            </w:r>
          </w:p>
        </w:tc>
        <w:tc>
          <w:tcPr>
            <w:tcW w:w="1134" w:type="dxa"/>
          </w:tcPr>
          <w:p w14:paraId="2BB66479" w14:textId="77777777" w:rsidR="005B1FC8" w:rsidRPr="009B498E" w:rsidRDefault="005B1FC8" w:rsidP="000A35BA">
            <w:pPr>
              <w:pStyle w:val="Default"/>
              <w:jc w:val="center"/>
              <w:rPr>
                <w:sz w:val="22"/>
                <w:szCs w:val="22"/>
              </w:rPr>
            </w:pPr>
            <w:r w:rsidRPr="009B498E">
              <w:rPr>
                <w:sz w:val="22"/>
                <w:szCs w:val="22"/>
              </w:rPr>
              <w:t>204</w:t>
            </w:r>
          </w:p>
        </w:tc>
        <w:tc>
          <w:tcPr>
            <w:tcW w:w="992" w:type="dxa"/>
          </w:tcPr>
          <w:p w14:paraId="0F393B32" w14:textId="77777777" w:rsidR="005B1FC8" w:rsidRPr="009B498E" w:rsidRDefault="005B1FC8" w:rsidP="000A35BA">
            <w:pPr>
              <w:pStyle w:val="Default"/>
              <w:jc w:val="center"/>
              <w:rPr>
                <w:sz w:val="22"/>
                <w:szCs w:val="22"/>
              </w:rPr>
            </w:pPr>
            <w:r w:rsidRPr="009B498E">
              <w:rPr>
                <w:sz w:val="22"/>
                <w:szCs w:val="22"/>
              </w:rPr>
              <w:t>237</w:t>
            </w:r>
          </w:p>
        </w:tc>
        <w:tc>
          <w:tcPr>
            <w:tcW w:w="992" w:type="dxa"/>
          </w:tcPr>
          <w:p w14:paraId="21A09A59" w14:textId="77777777" w:rsidR="005B1FC8" w:rsidRPr="009B498E" w:rsidRDefault="005B1FC8" w:rsidP="000A35BA">
            <w:pPr>
              <w:pStyle w:val="Default"/>
              <w:jc w:val="center"/>
              <w:rPr>
                <w:sz w:val="22"/>
                <w:szCs w:val="22"/>
              </w:rPr>
            </w:pPr>
            <w:r w:rsidRPr="009B498E">
              <w:rPr>
                <w:sz w:val="22"/>
                <w:szCs w:val="22"/>
              </w:rPr>
              <w:t>270</w:t>
            </w:r>
          </w:p>
        </w:tc>
      </w:tr>
      <w:tr w:rsidR="005B1FC8" w:rsidRPr="009B498E" w14:paraId="10D1A336" w14:textId="77777777" w:rsidTr="000A35BA">
        <w:trPr>
          <w:trHeight w:val="109"/>
        </w:trPr>
        <w:tc>
          <w:tcPr>
            <w:tcW w:w="4208" w:type="dxa"/>
          </w:tcPr>
          <w:p w14:paraId="32CD02D3" w14:textId="77777777" w:rsidR="005B1FC8" w:rsidRPr="009B498E" w:rsidRDefault="005B1FC8" w:rsidP="009B498E">
            <w:pPr>
              <w:pStyle w:val="Default"/>
              <w:rPr>
                <w:sz w:val="22"/>
                <w:szCs w:val="22"/>
              </w:rPr>
            </w:pPr>
            <w:r w:rsidRPr="009B498E">
              <w:rPr>
                <w:sz w:val="22"/>
                <w:szCs w:val="22"/>
              </w:rPr>
              <w:t xml:space="preserve">Total Installed: Best-Case Scenario </w:t>
            </w:r>
          </w:p>
        </w:tc>
        <w:tc>
          <w:tcPr>
            <w:tcW w:w="1134" w:type="dxa"/>
          </w:tcPr>
          <w:p w14:paraId="7DF22DC4" w14:textId="77777777" w:rsidR="005B1FC8" w:rsidRPr="009B498E" w:rsidRDefault="005B1FC8" w:rsidP="000A35BA">
            <w:pPr>
              <w:pStyle w:val="Default"/>
              <w:jc w:val="center"/>
              <w:rPr>
                <w:sz w:val="22"/>
                <w:szCs w:val="22"/>
              </w:rPr>
            </w:pPr>
            <w:r w:rsidRPr="009B498E">
              <w:rPr>
                <w:sz w:val="22"/>
                <w:szCs w:val="22"/>
              </w:rPr>
              <w:t>164</w:t>
            </w:r>
          </w:p>
        </w:tc>
        <w:tc>
          <w:tcPr>
            <w:tcW w:w="1134" w:type="dxa"/>
          </w:tcPr>
          <w:p w14:paraId="4ED2C598" w14:textId="77777777" w:rsidR="005B1FC8" w:rsidRPr="009B498E" w:rsidRDefault="005B1FC8" w:rsidP="000A35BA">
            <w:pPr>
              <w:pStyle w:val="Default"/>
              <w:jc w:val="center"/>
              <w:rPr>
                <w:sz w:val="22"/>
                <w:szCs w:val="22"/>
              </w:rPr>
            </w:pPr>
            <w:r w:rsidRPr="009B498E">
              <w:rPr>
                <w:sz w:val="22"/>
                <w:szCs w:val="22"/>
              </w:rPr>
              <w:t>173</w:t>
            </w:r>
          </w:p>
        </w:tc>
        <w:tc>
          <w:tcPr>
            <w:tcW w:w="992" w:type="dxa"/>
          </w:tcPr>
          <w:p w14:paraId="06F328C5" w14:textId="77777777" w:rsidR="005B1FC8" w:rsidRPr="009B498E" w:rsidRDefault="005B1FC8" w:rsidP="000A35BA">
            <w:pPr>
              <w:pStyle w:val="Default"/>
              <w:jc w:val="center"/>
              <w:rPr>
                <w:sz w:val="22"/>
                <w:szCs w:val="22"/>
              </w:rPr>
            </w:pPr>
            <w:r w:rsidRPr="009B498E">
              <w:rPr>
                <w:sz w:val="22"/>
                <w:szCs w:val="22"/>
              </w:rPr>
              <w:t>171</w:t>
            </w:r>
          </w:p>
        </w:tc>
        <w:tc>
          <w:tcPr>
            <w:tcW w:w="992" w:type="dxa"/>
          </w:tcPr>
          <w:p w14:paraId="396FCB28" w14:textId="77777777" w:rsidR="005B1FC8" w:rsidRPr="009B498E" w:rsidRDefault="005B1FC8" w:rsidP="000A35BA">
            <w:pPr>
              <w:pStyle w:val="Default"/>
              <w:jc w:val="center"/>
              <w:rPr>
                <w:sz w:val="22"/>
                <w:szCs w:val="22"/>
              </w:rPr>
            </w:pPr>
            <w:r w:rsidRPr="009B498E">
              <w:rPr>
                <w:sz w:val="22"/>
                <w:szCs w:val="22"/>
              </w:rPr>
              <w:t>166</w:t>
            </w:r>
          </w:p>
        </w:tc>
      </w:tr>
    </w:tbl>
    <w:p w14:paraId="556F14C0" w14:textId="77777777" w:rsidR="005B1FC8" w:rsidRPr="00EC1422" w:rsidRDefault="005B1FC8" w:rsidP="005B1FC8">
      <w:pPr>
        <w:spacing w:line="276" w:lineRule="auto"/>
      </w:pPr>
    </w:p>
    <w:p w14:paraId="217BE431" w14:textId="512CD9EE" w:rsidR="005B1FC8" w:rsidRPr="00EC1422" w:rsidRDefault="008522C0" w:rsidP="002B7818">
      <w:pPr>
        <w:pStyle w:val="Heading2"/>
      </w:pPr>
      <w:bookmarkStart w:id="195" w:name="_Toc295406172"/>
      <w:r>
        <w:t>8.5.</w:t>
      </w:r>
      <w:r>
        <w:tab/>
      </w:r>
      <w:r w:rsidR="005B1FC8" w:rsidRPr="00EC1422">
        <w:t>Estimates of Global Quantities of Halons</w:t>
      </w:r>
      <w:bookmarkEnd w:id="195"/>
      <w:r w:rsidR="005B1FC8" w:rsidRPr="00EC1422">
        <w:t xml:space="preserve"> </w:t>
      </w:r>
    </w:p>
    <w:p w14:paraId="28EDE87F" w14:textId="77777777" w:rsidR="005B1FC8" w:rsidRPr="0086014F" w:rsidRDefault="005B1FC8" w:rsidP="0086014F">
      <w:pPr>
        <w:pStyle w:val="Default"/>
        <w:spacing w:afterLines="30" w:after="72"/>
        <w:rPr>
          <w:sz w:val="22"/>
          <w:szCs w:val="22"/>
        </w:rPr>
      </w:pPr>
      <w:r w:rsidRPr="0086014F">
        <w:rPr>
          <w:sz w:val="22"/>
          <w:szCs w:val="22"/>
        </w:rPr>
        <w:t>The 2014 HTOC Assessment report provided the most current estimates of global inventories of halon 1211 and halon 1301 based on modeling of reported production and estimated emissions. For halon 1301, the HTOC model emissions and bank estimates compare quite well with emissions derived from mixing ratios reported by the Scientific Assessment Panel (SAP).  For halon 1301, the estimated cumulative emissions derived from mixing ratios</w:t>
      </w:r>
      <w:r w:rsidRPr="0086014F" w:rsidDel="009533E8">
        <w:rPr>
          <w:sz w:val="22"/>
          <w:szCs w:val="22"/>
        </w:rPr>
        <w:t xml:space="preserve"> </w:t>
      </w:r>
      <w:r w:rsidRPr="0086014F">
        <w:rPr>
          <w:sz w:val="22"/>
          <w:szCs w:val="22"/>
        </w:rPr>
        <w:t>through 2014 are 108,000</w:t>
      </w:r>
      <w:r w:rsidRPr="0086014F">
        <w:rPr>
          <w:rFonts w:eastAsia="SimSun"/>
          <w:sz w:val="22"/>
          <w:szCs w:val="22"/>
          <w:lang w:eastAsia="zh-CN"/>
        </w:rPr>
        <w:t xml:space="preserve"> </w:t>
      </w:r>
      <w:r w:rsidRPr="0086014F">
        <w:rPr>
          <w:sz w:val="22"/>
          <w:szCs w:val="22"/>
        </w:rPr>
        <w:t>metric tonnes, which would provide a remaining bank of 41,000</w:t>
      </w:r>
      <w:r w:rsidRPr="0086014F">
        <w:rPr>
          <w:rFonts w:eastAsia="SimSun"/>
          <w:sz w:val="22"/>
          <w:szCs w:val="22"/>
          <w:lang w:eastAsia="zh-CN"/>
        </w:rPr>
        <w:t xml:space="preserve"> </w:t>
      </w:r>
      <w:r w:rsidRPr="0086014F">
        <w:rPr>
          <w:sz w:val="22"/>
          <w:szCs w:val="22"/>
        </w:rPr>
        <w:t>metric tonnes versus the HTOC model estimate of 106,000 metric tonnes of cumulative emissions and a remaining bank of 43,000 metric tonnes. Taking an average of the two approaches provides a 2014 halon 1301 bank of 42,000</w:t>
      </w:r>
      <w:r w:rsidRPr="0086014F">
        <w:rPr>
          <w:rFonts w:eastAsia="SimSun"/>
          <w:sz w:val="22"/>
          <w:szCs w:val="22"/>
          <w:lang w:eastAsia="zh-CN"/>
        </w:rPr>
        <w:t xml:space="preserve"> </w:t>
      </w:r>
      <w:r w:rsidRPr="0086014F">
        <w:rPr>
          <w:sz w:val="22"/>
          <w:szCs w:val="22"/>
        </w:rPr>
        <w:t>metric tonnes. For halon 1211, the two estimates do not compare as well as for halon 1301.  The estimated halon 1211 cumulative emissions derived from mixing ratios through 2014 are 291,000 metric tonnes and a remaining bank of 22,000 metric tonnes versus the HTOC model estimate of 280,000 metric tonnes of cumulative emissions and a remaining bank of 33,000 metric tonnes.  Taking an average of the two approaches provides a 2014 halon 1211 bank of 27,500 metric tonnes.</w:t>
      </w:r>
    </w:p>
    <w:p w14:paraId="0B3E272D" w14:textId="3AD81FB1" w:rsidR="005B1FC8" w:rsidRPr="00EC1422" w:rsidRDefault="008522C0" w:rsidP="002B7818">
      <w:pPr>
        <w:pStyle w:val="Heading3"/>
      </w:pPr>
      <w:r>
        <w:tab/>
      </w:r>
      <w:bookmarkStart w:id="196" w:name="_Toc295406173"/>
      <w:r w:rsidR="009B498E">
        <w:t>8.</w:t>
      </w:r>
      <w:r>
        <w:t>5</w:t>
      </w:r>
      <w:r w:rsidR="009B498E">
        <w:t>.</w:t>
      </w:r>
      <w:r>
        <w:t>1.</w:t>
      </w:r>
      <w:r w:rsidR="009B498E">
        <w:tab/>
      </w:r>
      <w:r w:rsidR="005B1FC8" w:rsidRPr="00EC1422">
        <w:t>Limitations of Global Modeling Data for Use in Civil Aviation Planning</w:t>
      </w:r>
      <w:bookmarkEnd w:id="196"/>
      <w:r w:rsidR="005B1FC8" w:rsidRPr="00EC1422">
        <w:t xml:space="preserve"> </w:t>
      </w:r>
    </w:p>
    <w:p w14:paraId="6A7198ED" w14:textId="77777777" w:rsidR="005B1FC8" w:rsidRDefault="005B1FC8" w:rsidP="009B498E">
      <w:pPr>
        <w:spacing w:after="60"/>
        <w:rPr>
          <w:szCs w:val="22"/>
        </w:rPr>
      </w:pPr>
      <w:r w:rsidRPr="009B498E">
        <w:rPr>
          <w:szCs w:val="22"/>
        </w:rPr>
        <w:t>Over the years, the Parties have asked the Ozone Secretariat to request the International Civil Aviation Organisation (ICAO) Secretariat to send halon reserves data reported to it to the Ozone Secretariat. Few countries have provided detailed information. As a consequence, with the exception of information provided by Japan, the modeled data is based on a very limited amount of direct, quantified, national input. Furthermore, the HTOC bottom-up and SAP top-down estimates do not provide any direct information on the quantities of halon that could become available for use in civil aviation now or in the future.  None-the-less, there is often the temptation to compare the total global inventories against the annual quantities of halons needed to support aviation and come to a conclusion that aviation is a small user of the existing halon bank.  However, this approach does not recognise that the total inventories of halons are not necessarily going to be available to civil aviation.  First, some of the halon thought to exist may be inaccessible due to physical constraints and/or national restrictions on exports. In addition, a portion of the existing halon bank is owned by users whose fire protection applications have equipment that still relies on halons, and they have continuing long-term needs. Examples of these situations include the following:</w:t>
      </w:r>
    </w:p>
    <w:p w14:paraId="2304A30D" w14:textId="77777777" w:rsidR="0086014F" w:rsidRPr="009B498E" w:rsidRDefault="0086014F" w:rsidP="009B498E">
      <w:pPr>
        <w:spacing w:after="60"/>
        <w:rPr>
          <w:szCs w:val="22"/>
        </w:rPr>
      </w:pPr>
    </w:p>
    <w:p w14:paraId="03EFF33B" w14:textId="77777777" w:rsidR="005B1FC8" w:rsidRPr="009B498E" w:rsidRDefault="0086014F" w:rsidP="009B498E">
      <w:pPr>
        <w:pStyle w:val="ListParagraph"/>
        <w:widowControl/>
        <w:numPr>
          <w:ilvl w:val="0"/>
          <w:numId w:val="59"/>
        </w:numPr>
        <w:autoSpaceDE w:val="0"/>
        <w:autoSpaceDN w:val="0"/>
        <w:spacing w:after="60"/>
        <w:ind w:firstLineChars="0"/>
        <w:jc w:val="left"/>
        <w:rPr>
          <w:rFonts w:ascii="Times New Roman" w:hAnsi="Times New Roman"/>
          <w:sz w:val="22"/>
        </w:rPr>
      </w:pPr>
      <w:r>
        <w:rPr>
          <w:rFonts w:ascii="Times New Roman" w:hAnsi="Times New Roman"/>
          <w:sz w:val="22"/>
        </w:rPr>
        <w:t>A</w:t>
      </w:r>
      <w:r w:rsidRPr="009B498E">
        <w:rPr>
          <w:rFonts w:ascii="Times New Roman" w:hAnsi="Times New Roman"/>
          <w:sz w:val="22"/>
        </w:rPr>
        <w:t xml:space="preserve">pproximately </w:t>
      </w:r>
      <w:r w:rsidR="005B1FC8" w:rsidRPr="009B498E">
        <w:rPr>
          <w:rFonts w:ascii="Times New Roman" w:hAnsi="Times New Roman"/>
          <w:sz w:val="22"/>
        </w:rPr>
        <w:t xml:space="preserve">1 </w:t>
      </w:r>
      <w:r w:rsidR="005B1FC8" w:rsidRPr="009B498E">
        <w:rPr>
          <w:rFonts w:ascii="Times New Roman" w:hAnsi="Times New Roman"/>
          <w:sz w:val="22"/>
          <w:lang w:val="en-US"/>
        </w:rPr>
        <w:t>metric tonnes</w:t>
      </w:r>
      <w:r w:rsidR="005B1FC8" w:rsidRPr="009B498E">
        <w:rPr>
          <w:rFonts w:ascii="Times New Roman" w:hAnsi="Times New Roman"/>
          <w:sz w:val="22"/>
        </w:rPr>
        <w:t xml:space="preserve"> of halon 1301 in China, </w:t>
      </w:r>
    </w:p>
    <w:p w14:paraId="2752D92E" w14:textId="77777777" w:rsidR="005B1FC8" w:rsidRPr="009B498E" w:rsidRDefault="005B1FC8" w:rsidP="009B498E">
      <w:pPr>
        <w:pStyle w:val="ListParagraph"/>
        <w:widowControl/>
        <w:numPr>
          <w:ilvl w:val="0"/>
          <w:numId w:val="59"/>
        </w:numPr>
        <w:autoSpaceDE w:val="0"/>
        <w:autoSpaceDN w:val="0"/>
        <w:spacing w:after="60"/>
        <w:ind w:firstLineChars="0"/>
        <w:jc w:val="left"/>
        <w:rPr>
          <w:rFonts w:ascii="Times New Roman" w:hAnsi="Times New Roman"/>
          <w:sz w:val="22"/>
        </w:rPr>
      </w:pPr>
      <w:r w:rsidRPr="009B498E">
        <w:rPr>
          <w:rFonts w:ascii="Times New Roman" w:hAnsi="Times New Roman"/>
          <w:sz w:val="22"/>
        </w:rPr>
        <w:t xml:space="preserve">17,000 </w:t>
      </w:r>
      <w:r w:rsidRPr="009B498E">
        <w:rPr>
          <w:rFonts w:ascii="Times New Roman" w:hAnsi="Times New Roman"/>
          <w:sz w:val="22"/>
          <w:lang w:val="en-US"/>
        </w:rPr>
        <w:t>metric tonnes</w:t>
      </w:r>
      <w:r w:rsidRPr="009B498E">
        <w:rPr>
          <w:rFonts w:ascii="Times New Roman" w:hAnsi="Times New Roman"/>
          <w:sz w:val="22"/>
        </w:rPr>
        <w:t xml:space="preserve"> of halon 1301 that is currently installed or stockpiled and reserved for future use in ground-based fire protection systems in Japan, </w:t>
      </w:r>
    </w:p>
    <w:p w14:paraId="30627CC6" w14:textId="77777777" w:rsidR="005B1FC8" w:rsidRPr="009B498E" w:rsidRDefault="0086014F" w:rsidP="009B498E">
      <w:pPr>
        <w:pStyle w:val="ListParagraph"/>
        <w:widowControl/>
        <w:numPr>
          <w:ilvl w:val="0"/>
          <w:numId w:val="59"/>
        </w:numPr>
        <w:autoSpaceDE w:val="0"/>
        <w:autoSpaceDN w:val="0"/>
        <w:spacing w:after="60"/>
        <w:ind w:firstLineChars="0"/>
        <w:jc w:val="left"/>
        <w:rPr>
          <w:rFonts w:ascii="Times New Roman" w:hAnsi="Times New Roman"/>
          <w:sz w:val="22"/>
        </w:rPr>
      </w:pPr>
      <w:bookmarkStart w:id="197" w:name="OLE_LINK1"/>
      <w:bookmarkStart w:id="198" w:name="OLE_LINK2"/>
      <w:r>
        <w:rPr>
          <w:rFonts w:ascii="Times New Roman" w:hAnsi="Times New Roman"/>
          <w:sz w:val="22"/>
        </w:rPr>
        <w:t>A</w:t>
      </w:r>
      <w:r w:rsidRPr="009B498E">
        <w:rPr>
          <w:rFonts w:ascii="Times New Roman" w:hAnsi="Times New Roman"/>
          <w:sz w:val="22"/>
        </w:rPr>
        <w:t xml:space="preserve">bout </w:t>
      </w:r>
      <w:r w:rsidR="005B1FC8" w:rsidRPr="009B498E">
        <w:rPr>
          <w:rFonts w:ascii="Times New Roman" w:hAnsi="Times New Roman"/>
          <w:sz w:val="22"/>
        </w:rPr>
        <w:t xml:space="preserve">4,600 </w:t>
      </w:r>
      <w:bookmarkEnd w:id="197"/>
      <w:bookmarkEnd w:id="198"/>
      <w:r w:rsidR="005B1FC8" w:rsidRPr="009B498E">
        <w:rPr>
          <w:rFonts w:ascii="Times New Roman" w:hAnsi="Times New Roman"/>
          <w:sz w:val="22"/>
          <w:lang w:val="en-US"/>
        </w:rPr>
        <w:t>metric tonnes</w:t>
      </w:r>
      <w:r w:rsidR="005B1FC8" w:rsidRPr="009B498E">
        <w:rPr>
          <w:rFonts w:ascii="Times New Roman" w:hAnsi="Times New Roman"/>
          <w:sz w:val="22"/>
        </w:rPr>
        <w:t xml:space="preserve"> of halon 1301 and 700 </w:t>
      </w:r>
      <w:r w:rsidR="005B1FC8" w:rsidRPr="009B498E">
        <w:rPr>
          <w:rFonts w:ascii="Times New Roman" w:hAnsi="Times New Roman"/>
          <w:sz w:val="22"/>
          <w:lang w:val="en-US"/>
        </w:rPr>
        <w:t>metric tonnes</w:t>
      </w:r>
      <w:r w:rsidR="005B1FC8" w:rsidRPr="009B498E">
        <w:rPr>
          <w:rFonts w:ascii="Times New Roman" w:hAnsi="Times New Roman"/>
          <w:sz w:val="22"/>
        </w:rPr>
        <w:t xml:space="preserve"> of halon 1211 stockpiled by the U.S. military for use in existing critical weapons systems, and</w:t>
      </w:r>
    </w:p>
    <w:p w14:paraId="4D598136" w14:textId="77777777" w:rsidR="005B1FC8" w:rsidRPr="009B498E" w:rsidRDefault="0086014F" w:rsidP="009B498E">
      <w:pPr>
        <w:pStyle w:val="ListParagraph"/>
        <w:widowControl/>
        <w:numPr>
          <w:ilvl w:val="0"/>
          <w:numId w:val="59"/>
        </w:numPr>
        <w:autoSpaceDE w:val="0"/>
        <w:autoSpaceDN w:val="0"/>
        <w:spacing w:after="60"/>
        <w:ind w:firstLineChars="0"/>
        <w:jc w:val="left"/>
        <w:rPr>
          <w:rFonts w:ascii="Times New Roman" w:hAnsi="Times New Roman"/>
          <w:sz w:val="22"/>
        </w:rPr>
      </w:pPr>
      <w:r>
        <w:rPr>
          <w:rFonts w:ascii="Times New Roman" w:hAnsi="Times New Roman"/>
          <w:sz w:val="22"/>
        </w:rPr>
        <w:t>A</w:t>
      </w:r>
      <w:r w:rsidRPr="009B498E">
        <w:rPr>
          <w:rFonts w:ascii="Times New Roman" w:hAnsi="Times New Roman"/>
          <w:sz w:val="22"/>
        </w:rPr>
        <w:t xml:space="preserve">bout </w:t>
      </w:r>
      <w:r w:rsidR="005B1FC8" w:rsidRPr="009B498E">
        <w:rPr>
          <w:rFonts w:ascii="Times New Roman" w:hAnsi="Times New Roman"/>
          <w:sz w:val="22"/>
        </w:rPr>
        <w:t xml:space="preserve">1,500 </w:t>
      </w:r>
      <w:r w:rsidR="005B1FC8" w:rsidRPr="009B498E">
        <w:rPr>
          <w:rFonts w:ascii="Times New Roman" w:hAnsi="Times New Roman"/>
          <w:sz w:val="22"/>
          <w:lang w:val="en-US"/>
        </w:rPr>
        <w:t>metric tonnes</w:t>
      </w:r>
      <w:r w:rsidR="005B1FC8" w:rsidRPr="009B498E">
        <w:rPr>
          <w:rFonts w:ascii="Times New Roman" w:hAnsi="Times New Roman"/>
          <w:sz w:val="22"/>
        </w:rPr>
        <w:t xml:space="preserve"> of halon 1301 installed in oil facilities on the North Slope of Alaska and other places around the world.  </w:t>
      </w:r>
    </w:p>
    <w:p w14:paraId="7DBEC0D1" w14:textId="77777777" w:rsidR="0086014F" w:rsidRDefault="0086014F" w:rsidP="009B498E">
      <w:pPr>
        <w:spacing w:after="60"/>
        <w:rPr>
          <w:szCs w:val="22"/>
        </w:rPr>
      </w:pPr>
    </w:p>
    <w:p w14:paraId="19F807B7" w14:textId="15DF5191" w:rsidR="005B1FC8" w:rsidRDefault="005B1FC8" w:rsidP="009B498E">
      <w:pPr>
        <w:spacing w:after="60"/>
        <w:rPr>
          <w:szCs w:val="22"/>
        </w:rPr>
      </w:pPr>
      <w:r w:rsidRPr="009B498E">
        <w:rPr>
          <w:szCs w:val="22"/>
        </w:rPr>
        <w:t xml:space="preserve">Furthermore, the amount of halon currently installed in aviation applications (i.e., </w:t>
      </w:r>
      <w:r w:rsidR="002203A5">
        <w:rPr>
          <w:szCs w:val="22"/>
        </w:rPr>
        <w:t>2,236</w:t>
      </w:r>
      <w:r w:rsidRPr="009B498E">
        <w:rPr>
          <w:szCs w:val="22"/>
        </w:rPr>
        <w:t xml:space="preserve"> metric tonnes, from Table 4) is accounted for in the worldwide supply, but is also assumed not to be available for future aviation needs. Therefore, there is likely to be a significant difference between the amount of halon that is predicted to exist, and the amount that could become available to civil aviation. At present, the halon demands of civil aviation are being met by recycled agent withdrawn from applications in other industries. This source of supply will be dramatically reduced, and may even be exhausted, long before the aircraft now being built and fitted with halon systems are retired.  The total amount of halon 1301 assumed to be available to meet aviation demands would come from commercial aviation stockpiles, computer/telecommunication facilities, and merchant shipping. It is estimated that the total amount of halon 1301 from these sources that could potentially become available to support civil aviation is 15,635 metric tonnes.</w:t>
      </w:r>
    </w:p>
    <w:p w14:paraId="2F00CAD4" w14:textId="77777777" w:rsidR="0095076E" w:rsidRPr="009B498E" w:rsidRDefault="0095076E" w:rsidP="009B498E">
      <w:pPr>
        <w:spacing w:after="60"/>
        <w:rPr>
          <w:szCs w:val="22"/>
        </w:rPr>
      </w:pPr>
    </w:p>
    <w:p w14:paraId="2A60A6FC" w14:textId="18F2B5D4" w:rsidR="005B1FC8" w:rsidRPr="00EC1422" w:rsidRDefault="002203A5" w:rsidP="002B7818">
      <w:pPr>
        <w:pStyle w:val="Heading3"/>
      </w:pPr>
      <w:r>
        <w:tab/>
      </w:r>
      <w:bookmarkStart w:id="199" w:name="_Toc295406174"/>
      <w:r w:rsidR="009B498E">
        <w:t>8.</w:t>
      </w:r>
      <w:r>
        <w:t>5</w:t>
      </w:r>
      <w:r w:rsidR="009B498E">
        <w:t>.</w:t>
      </w:r>
      <w:r>
        <w:t>2.</w:t>
      </w:r>
      <w:r w:rsidR="009B498E">
        <w:tab/>
      </w:r>
      <w:r w:rsidR="005B1FC8" w:rsidRPr="00EC1422">
        <w:t>Sources of Recycled Halon 1301 for Civil Aviation</w:t>
      </w:r>
      <w:bookmarkEnd w:id="199"/>
    </w:p>
    <w:p w14:paraId="58F2D20F" w14:textId="77777777" w:rsidR="005B1FC8" w:rsidRDefault="005B1FC8" w:rsidP="009B498E">
      <w:pPr>
        <w:pStyle w:val="Default"/>
        <w:spacing w:after="60"/>
        <w:rPr>
          <w:sz w:val="22"/>
          <w:szCs w:val="22"/>
        </w:rPr>
      </w:pPr>
      <w:r w:rsidRPr="009B498E">
        <w:rPr>
          <w:sz w:val="22"/>
          <w:szCs w:val="22"/>
        </w:rPr>
        <w:t>Since production of halon ceased in 1993 in non-Article 5 Parties, most, if not all, of the halon needed to support civil aviation has come from recycled supplies.  This has been the case for more than 20 years now.  With one known exception, where contaminated halons were purposefully provided for civil aviation use, there have been no problems reported in supporting global civil aviation fleets or any other long-term legacy user.  Some users such as the U.S. military built their own long-term bank but, for the most part, other users report either no bank of their own or one that is sufficient for a few years only and is replenished on a routine basis.  Most of the halon for existing legacy users comes from just a few recycling corporations around the world.  What is not well understood but is reported by the halon recycling community is that they only have a few months supply on hand at any one time and only know where they will be getting additional halon from for perhaps as much as a year out but often less. This living “hand-to-mouth” has worked so far in meeting past and current demand. There always seems to be enough halon found to provide for existing users. Over the last few years, prices for recycled halon 1301 have increased significantly (including doubling in some markets) indicating there is some concern over future availability. However, supplies are still being found, albeit perhaps at a slower pace. Even with the knowledge that halon supplies may be available for only a few months of stock, most users, including civil aviation, have to date expressed no real concerns with this situation. Some long term users and suppliers, however, are beginning to express concern.  The HTOC has previously stated that perhaps halon banking has worked until now because of routine ship breaking of vessels that had been designed with halon 1301 systems. A concern is that if true, then when that source dries up, there could be a disruption and potential shortage of halon 1301 to support users dependent on the routine supplies in order to maintain their existing system operations.</w:t>
      </w:r>
    </w:p>
    <w:p w14:paraId="2806FC10" w14:textId="77777777" w:rsidR="0095076E" w:rsidRPr="009B498E" w:rsidRDefault="0095076E" w:rsidP="009B498E">
      <w:pPr>
        <w:pStyle w:val="Default"/>
        <w:spacing w:after="60"/>
        <w:rPr>
          <w:sz w:val="22"/>
          <w:szCs w:val="22"/>
        </w:rPr>
      </w:pPr>
    </w:p>
    <w:p w14:paraId="793CA58F" w14:textId="71483BB6" w:rsidR="009B498E" w:rsidRDefault="002203A5" w:rsidP="002B7818">
      <w:pPr>
        <w:pStyle w:val="Heading3"/>
      </w:pPr>
      <w:r>
        <w:rPr>
          <w:rFonts w:eastAsia="Times New Roman"/>
          <w:snapToGrid/>
          <w:color w:val="000000"/>
          <w:sz w:val="24"/>
          <w:szCs w:val="20"/>
        </w:rPr>
        <w:tab/>
      </w:r>
      <w:bookmarkStart w:id="200" w:name="_Toc295406175"/>
      <w:r w:rsidR="009B498E">
        <w:t>8.</w:t>
      </w:r>
      <w:r>
        <w:t>5</w:t>
      </w:r>
      <w:r w:rsidR="009B498E">
        <w:t>.</w:t>
      </w:r>
      <w:r>
        <w:t>3.</w:t>
      </w:r>
      <w:r w:rsidR="009B498E">
        <w:tab/>
      </w:r>
      <w:r w:rsidR="005B1FC8" w:rsidRPr="00EC1422">
        <w:t xml:space="preserve"> Estimated Halon 1301 Installed on Merchant Ships</w:t>
      </w:r>
      <w:bookmarkEnd w:id="200"/>
      <w:r w:rsidR="005B1FC8" w:rsidRPr="00EC1422">
        <w:t xml:space="preserve">  </w:t>
      </w:r>
    </w:p>
    <w:p w14:paraId="26A84813" w14:textId="77777777" w:rsidR="005B1FC8" w:rsidRPr="009B498E" w:rsidRDefault="005B1FC8" w:rsidP="009B498E">
      <w:pPr>
        <w:rPr>
          <w:szCs w:val="22"/>
        </w:rPr>
      </w:pPr>
      <w:r w:rsidRPr="009B498E">
        <w:rPr>
          <w:szCs w:val="22"/>
        </w:rPr>
        <w:t>In order to estimate the amount of halon 1301 that may still be installed in merchant shipping, five questions need to be answered:</w:t>
      </w:r>
    </w:p>
    <w:p w14:paraId="20E1D4C0" w14:textId="77777777" w:rsidR="005B1FC8" w:rsidRPr="009B498E" w:rsidRDefault="005B1FC8" w:rsidP="009B498E">
      <w:pPr>
        <w:pStyle w:val="ListParagraph"/>
        <w:widowControl/>
        <w:numPr>
          <w:ilvl w:val="0"/>
          <w:numId w:val="60"/>
        </w:numPr>
        <w:autoSpaceDE w:val="0"/>
        <w:autoSpaceDN w:val="0"/>
        <w:ind w:firstLineChars="0"/>
        <w:jc w:val="left"/>
        <w:rPr>
          <w:rFonts w:ascii="Times New Roman" w:hAnsi="Times New Roman"/>
          <w:sz w:val="22"/>
        </w:rPr>
      </w:pPr>
      <w:r w:rsidRPr="009B498E">
        <w:rPr>
          <w:rFonts w:ascii="Times New Roman" w:hAnsi="Times New Roman"/>
          <w:sz w:val="22"/>
        </w:rPr>
        <w:t xml:space="preserve">What types of ships had halon 1301 installed? </w:t>
      </w:r>
    </w:p>
    <w:p w14:paraId="12AB870B" w14:textId="77777777" w:rsidR="005B1FC8" w:rsidRPr="009B498E" w:rsidRDefault="005B1FC8" w:rsidP="009B498E">
      <w:pPr>
        <w:pStyle w:val="ListParagraph"/>
        <w:widowControl/>
        <w:numPr>
          <w:ilvl w:val="0"/>
          <w:numId w:val="60"/>
        </w:numPr>
        <w:autoSpaceDE w:val="0"/>
        <w:autoSpaceDN w:val="0"/>
        <w:ind w:firstLineChars="0"/>
        <w:jc w:val="left"/>
        <w:rPr>
          <w:rFonts w:ascii="Times New Roman" w:hAnsi="Times New Roman"/>
          <w:sz w:val="22"/>
        </w:rPr>
      </w:pPr>
      <w:r w:rsidRPr="009B498E">
        <w:rPr>
          <w:rFonts w:ascii="Times New Roman" w:hAnsi="Times New Roman"/>
          <w:sz w:val="22"/>
        </w:rPr>
        <w:t xml:space="preserve">Over what time period was the halon installed? </w:t>
      </w:r>
    </w:p>
    <w:p w14:paraId="59687ACD" w14:textId="77777777" w:rsidR="005B1FC8" w:rsidRPr="009B498E" w:rsidRDefault="005B1FC8" w:rsidP="009B498E">
      <w:pPr>
        <w:pStyle w:val="ListParagraph"/>
        <w:widowControl/>
        <w:numPr>
          <w:ilvl w:val="0"/>
          <w:numId w:val="60"/>
        </w:numPr>
        <w:autoSpaceDE w:val="0"/>
        <w:autoSpaceDN w:val="0"/>
        <w:ind w:firstLineChars="0"/>
        <w:jc w:val="left"/>
        <w:rPr>
          <w:rFonts w:ascii="Times New Roman" w:hAnsi="Times New Roman"/>
          <w:sz w:val="22"/>
        </w:rPr>
      </w:pPr>
      <w:r w:rsidRPr="009B498E">
        <w:rPr>
          <w:rFonts w:ascii="Times New Roman" w:hAnsi="Times New Roman"/>
          <w:sz w:val="22"/>
        </w:rPr>
        <w:t xml:space="preserve">How much halon would be installed per ship? </w:t>
      </w:r>
    </w:p>
    <w:p w14:paraId="183BE118" w14:textId="77777777" w:rsidR="005B1FC8" w:rsidRPr="009B498E" w:rsidRDefault="005B1FC8" w:rsidP="009B498E">
      <w:pPr>
        <w:pStyle w:val="ListParagraph"/>
        <w:widowControl/>
        <w:numPr>
          <w:ilvl w:val="0"/>
          <w:numId w:val="60"/>
        </w:numPr>
        <w:autoSpaceDE w:val="0"/>
        <w:autoSpaceDN w:val="0"/>
        <w:ind w:firstLineChars="0"/>
        <w:jc w:val="left"/>
        <w:rPr>
          <w:rFonts w:ascii="Times New Roman" w:hAnsi="Times New Roman"/>
          <w:sz w:val="22"/>
        </w:rPr>
      </w:pPr>
      <w:r w:rsidRPr="009B498E">
        <w:rPr>
          <w:rFonts w:ascii="Times New Roman" w:hAnsi="Times New Roman"/>
          <w:sz w:val="22"/>
        </w:rPr>
        <w:t>How many ships were built during the time period?</w:t>
      </w:r>
    </w:p>
    <w:p w14:paraId="4C37084C" w14:textId="77777777" w:rsidR="005B1FC8" w:rsidRPr="009B498E" w:rsidRDefault="005B1FC8" w:rsidP="009B498E">
      <w:pPr>
        <w:pStyle w:val="ListParagraph"/>
        <w:widowControl/>
        <w:numPr>
          <w:ilvl w:val="0"/>
          <w:numId w:val="60"/>
        </w:numPr>
        <w:autoSpaceDE w:val="0"/>
        <w:autoSpaceDN w:val="0"/>
        <w:ind w:firstLineChars="0"/>
        <w:jc w:val="left"/>
        <w:rPr>
          <w:rFonts w:ascii="Times New Roman" w:hAnsi="Times New Roman"/>
          <w:sz w:val="22"/>
        </w:rPr>
      </w:pPr>
      <w:r w:rsidRPr="009B498E">
        <w:rPr>
          <w:rFonts w:ascii="Times New Roman" w:hAnsi="Times New Roman"/>
          <w:sz w:val="22"/>
        </w:rPr>
        <w:t xml:space="preserve">What is the average lifetime of those ships?  </w:t>
      </w:r>
    </w:p>
    <w:p w14:paraId="76461663" w14:textId="77777777" w:rsidR="005B1FC8" w:rsidRPr="009B498E" w:rsidRDefault="009B498E" w:rsidP="009B498E">
      <w:pPr>
        <w:rPr>
          <w:szCs w:val="22"/>
        </w:rPr>
      </w:pPr>
      <w:r>
        <w:rPr>
          <w:szCs w:val="22"/>
        </w:rPr>
        <w:br/>
      </w:r>
      <w:r w:rsidR="005B1FC8" w:rsidRPr="009B498E">
        <w:rPr>
          <w:szCs w:val="22"/>
        </w:rPr>
        <w:t>For the first two questions the HTOC could provide answers based on direct experience or other information available. Halon1301 was primarily used for the protection of machinery spaces on passenger ships and machinery spaces and cargo pump rooms on tankers. The International Maritime Organisation (IMO) banned the use of halons in new constructions in 1992, so it is assumed that the last ships would have been constructed in 1993 and it is estimated the first ships were constructed with halon 1301 beginning in 1975. Data on quantities of halon 1301 by ship size, quantities of ships constructed during 1975 – 1993 and the average lifetime were still needed.</w:t>
      </w:r>
    </w:p>
    <w:p w14:paraId="79D5B871" w14:textId="77777777" w:rsidR="005B1FC8" w:rsidRPr="009B498E" w:rsidRDefault="005B1FC8" w:rsidP="009B498E">
      <w:pPr>
        <w:rPr>
          <w:szCs w:val="22"/>
        </w:rPr>
      </w:pPr>
      <w:r w:rsidRPr="009B498E">
        <w:rPr>
          <w:szCs w:val="22"/>
        </w:rPr>
        <w:t xml:space="preserve">It had been hoped that the IMO would provide two of the missing pieces of information to the HTOC: 1) quantities of ships constructed during 1975 – 1993 and 2) year of ship breaking so that average lifetimes could be established. The Ozone Secretariat provided a Point of Contact at IMO who informed the HTOC that they were not allowed to provide such information owing to a contractual agreement with the ship registry company and that access to the data would need to be discussed with commercial providers. The Ozone Secretariat subsequently directed HTOC to a partially open access website, </w:t>
      </w:r>
      <w:hyperlink r:id="rId38" w:history="1">
        <w:r w:rsidRPr="009B498E">
          <w:rPr>
            <w:rStyle w:val="Hyperlink"/>
            <w:szCs w:val="22"/>
          </w:rPr>
          <w:t>http://www.world-ships.com/</w:t>
        </w:r>
      </w:hyperlink>
      <w:r w:rsidRPr="009B498E">
        <w:rPr>
          <w:szCs w:val="22"/>
        </w:rPr>
        <w:t>, which contained information on year and sizes of ships constructed. Additional information on year of ship breaking was reported as being available through this registry but was not able to be obtained in time for this report. For the purposes of this report, the useful lifetime of all ships is estimated to be between 30 - 40 yrs.</w:t>
      </w:r>
    </w:p>
    <w:p w14:paraId="1711B739" w14:textId="77777777" w:rsidR="005B1FC8" w:rsidRPr="009B498E" w:rsidRDefault="005B1FC8" w:rsidP="009B498E">
      <w:pPr>
        <w:spacing w:before="240"/>
        <w:rPr>
          <w:szCs w:val="22"/>
        </w:rPr>
      </w:pPr>
      <w:r w:rsidRPr="009B498E">
        <w:rPr>
          <w:szCs w:val="22"/>
        </w:rPr>
        <w:t>Data on passenger ships and tankers were extracted from the World Shipping Register including ship name, ship type, deadweight tonnage (DWT), year built, and flag. The database constructed only includes ships that were built between 1975 and 1993. The database includes approximately 4,000 tankers (i.e., asphalt tankers, chemical/oil tankers, crude oil tankers, LNG tankers, LPG tankers, water tankers, and other tankers) and approximately 2,700 passenger ships (i.e., cruise ships, ferry ships, and other passenger ships).</w:t>
      </w:r>
    </w:p>
    <w:p w14:paraId="1DAEB60A" w14:textId="77777777" w:rsidR="005B1FC8" w:rsidRPr="009B498E" w:rsidRDefault="005B1FC8" w:rsidP="009B498E">
      <w:pPr>
        <w:rPr>
          <w:szCs w:val="22"/>
        </w:rPr>
      </w:pPr>
      <w:r w:rsidRPr="009B498E">
        <w:rPr>
          <w:szCs w:val="22"/>
        </w:rPr>
        <w:t xml:space="preserve">The average charge size of halon 1301 systems on passenger ships and tankers was assumed to vary by the ship’s DWT. These charge sizes are listed in Table </w:t>
      </w:r>
      <w:r w:rsidR="009B498E">
        <w:rPr>
          <w:szCs w:val="22"/>
        </w:rPr>
        <w:t>8-</w:t>
      </w:r>
      <w:r w:rsidRPr="009B498E">
        <w:rPr>
          <w:szCs w:val="22"/>
        </w:rPr>
        <w:t>6 below for each size range of passenger ships and tankers taken.</w:t>
      </w:r>
    </w:p>
    <w:p w14:paraId="528A572D" w14:textId="77777777" w:rsidR="009B498E" w:rsidRDefault="009B498E" w:rsidP="009B498E">
      <w:pPr>
        <w:pStyle w:val="Caption"/>
        <w:spacing w:line="240" w:lineRule="auto"/>
        <w:ind w:left="0"/>
        <w:rPr>
          <w:color w:val="000000" w:themeColor="text1"/>
          <w:szCs w:val="22"/>
        </w:rPr>
      </w:pPr>
    </w:p>
    <w:p w14:paraId="203F465F" w14:textId="77777777" w:rsidR="005B1FC8" w:rsidRDefault="005B1FC8" w:rsidP="009B498E">
      <w:pPr>
        <w:pStyle w:val="Caption"/>
        <w:spacing w:line="240" w:lineRule="auto"/>
        <w:ind w:left="0"/>
        <w:rPr>
          <w:b/>
          <w:color w:val="000000" w:themeColor="text1"/>
          <w:szCs w:val="22"/>
        </w:rPr>
      </w:pPr>
      <w:r w:rsidRPr="009B498E">
        <w:rPr>
          <w:b/>
          <w:color w:val="000000" w:themeColor="text1"/>
          <w:szCs w:val="22"/>
        </w:rPr>
        <w:t xml:space="preserve">Table </w:t>
      </w:r>
      <w:r w:rsidR="009B498E" w:rsidRPr="009B498E">
        <w:rPr>
          <w:b/>
          <w:color w:val="000000" w:themeColor="text1"/>
          <w:szCs w:val="22"/>
        </w:rPr>
        <w:t>8-</w:t>
      </w:r>
      <w:r w:rsidRPr="009B498E">
        <w:rPr>
          <w:b/>
          <w:color w:val="000000" w:themeColor="text1"/>
          <w:szCs w:val="22"/>
        </w:rPr>
        <w:t>6</w:t>
      </w:r>
      <w:r w:rsidR="009B498E" w:rsidRPr="009B498E">
        <w:rPr>
          <w:b/>
          <w:color w:val="000000" w:themeColor="text1"/>
          <w:szCs w:val="22"/>
        </w:rPr>
        <w:t>.</w:t>
      </w:r>
      <w:r w:rsidRPr="009B498E">
        <w:rPr>
          <w:b/>
          <w:color w:val="000000" w:themeColor="text1"/>
          <w:szCs w:val="22"/>
        </w:rPr>
        <w:t xml:space="preserve"> Halon 1301 Charge Sizes for Passenger Ships and Tankers of Various Sizes (ICF, 2015)</w:t>
      </w:r>
    </w:p>
    <w:tbl>
      <w:tblPr>
        <w:tblStyle w:val="TableGrid"/>
        <w:tblW w:w="0" w:type="auto"/>
        <w:tblInd w:w="1755" w:type="dxa"/>
        <w:tblLook w:val="04A0" w:firstRow="1" w:lastRow="0" w:firstColumn="1" w:lastColumn="0" w:noHBand="0" w:noVBand="1"/>
      </w:tblPr>
      <w:tblGrid>
        <w:gridCol w:w="1835"/>
        <w:gridCol w:w="1943"/>
        <w:gridCol w:w="1927"/>
      </w:tblGrid>
      <w:tr w:rsidR="005B1FC8" w:rsidRPr="009B498E" w14:paraId="0258807F" w14:textId="77777777" w:rsidTr="005B1FC8">
        <w:trPr>
          <w:trHeight w:val="602"/>
        </w:trPr>
        <w:tc>
          <w:tcPr>
            <w:tcW w:w="1835" w:type="dxa"/>
            <w:shd w:val="clear" w:color="auto" w:fill="auto"/>
            <w:vAlign w:val="center"/>
            <w:hideMark/>
          </w:tcPr>
          <w:p w14:paraId="37781192" w14:textId="77777777" w:rsidR="005B1FC8" w:rsidRPr="00D763B0" w:rsidRDefault="005B1FC8" w:rsidP="009B498E">
            <w:pPr>
              <w:jc w:val="center"/>
              <w:rPr>
                <w:rFonts w:eastAsia="Times New Roman"/>
                <w:b/>
                <w:bCs/>
                <w:color w:val="auto"/>
                <w:sz w:val="20"/>
                <w:szCs w:val="20"/>
              </w:rPr>
            </w:pPr>
            <w:r w:rsidRPr="00D763B0">
              <w:rPr>
                <w:rFonts w:eastAsia="Times New Roman"/>
                <w:b/>
                <w:bCs/>
                <w:color w:val="auto"/>
                <w:sz w:val="20"/>
                <w:szCs w:val="20"/>
              </w:rPr>
              <w:t>Ship Type</w:t>
            </w:r>
          </w:p>
        </w:tc>
        <w:tc>
          <w:tcPr>
            <w:tcW w:w="1943" w:type="dxa"/>
            <w:shd w:val="clear" w:color="auto" w:fill="auto"/>
            <w:vAlign w:val="center"/>
            <w:hideMark/>
          </w:tcPr>
          <w:p w14:paraId="1446EF73" w14:textId="77777777" w:rsidR="005B1FC8" w:rsidRPr="00D763B0" w:rsidRDefault="005B1FC8" w:rsidP="009B498E">
            <w:pPr>
              <w:jc w:val="center"/>
              <w:rPr>
                <w:rFonts w:eastAsia="Times New Roman"/>
                <w:b/>
                <w:bCs/>
                <w:color w:val="auto"/>
                <w:sz w:val="20"/>
                <w:szCs w:val="20"/>
              </w:rPr>
            </w:pPr>
            <w:r w:rsidRPr="00D763B0">
              <w:rPr>
                <w:rFonts w:eastAsia="Times New Roman"/>
                <w:b/>
                <w:bCs/>
                <w:color w:val="auto"/>
                <w:sz w:val="20"/>
                <w:szCs w:val="20"/>
              </w:rPr>
              <w:t>Deadweight Tonnage (DWT)</w:t>
            </w:r>
          </w:p>
        </w:tc>
        <w:tc>
          <w:tcPr>
            <w:tcW w:w="1927" w:type="dxa"/>
            <w:shd w:val="clear" w:color="auto" w:fill="auto"/>
            <w:vAlign w:val="center"/>
            <w:hideMark/>
          </w:tcPr>
          <w:p w14:paraId="005CC75A" w14:textId="77777777" w:rsidR="005B1FC8" w:rsidRPr="00D763B0" w:rsidRDefault="005B1FC8" w:rsidP="009B498E">
            <w:pPr>
              <w:jc w:val="center"/>
              <w:rPr>
                <w:rFonts w:eastAsia="Times New Roman"/>
                <w:b/>
                <w:bCs/>
                <w:color w:val="auto"/>
                <w:sz w:val="20"/>
                <w:szCs w:val="20"/>
              </w:rPr>
            </w:pPr>
            <w:r w:rsidRPr="00D763B0">
              <w:rPr>
                <w:rFonts w:eastAsia="Times New Roman"/>
                <w:b/>
                <w:bCs/>
                <w:color w:val="auto"/>
                <w:sz w:val="20"/>
                <w:szCs w:val="20"/>
              </w:rPr>
              <w:t>Halon 1301 Charge Size (kg)</w:t>
            </w:r>
          </w:p>
        </w:tc>
      </w:tr>
      <w:tr w:rsidR="005B1FC8" w:rsidRPr="009B498E" w14:paraId="39CFCE50" w14:textId="77777777" w:rsidTr="005B1FC8">
        <w:trPr>
          <w:trHeight w:val="162"/>
        </w:trPr>
        <w:tc>
          <w:tcPr>
            <w:tcW w:w="1835" w:type="dxa"/>
            <w:shd w:val="clear" w:color="auto" w:fill="auto"/>
            <w:noWrap/>
            <w:hideMark/>
          </w:tcPr>
          <w:p w14:paraId="18462F7A" w14:textId="77777777" w:rsidR="005B1FC8" w:rsidRPr="00D763B0" w:rsidRDefault="005B1FC8" w:rsidP="009B498E">
            <w:pPr>
              <w:rPr>
                <w:color w:val="auto"/>
                <w:sz w:val="20"/>
                <w:szCs w:val="20"/>
              </w:rPr>
            </w:pPr>
            <w:r w:rsidRPr="00D763B0">
              <w:rPr>
                <w:color w:val="auto"/>
                <w:sz w:val="20"/>
                <w:szCs w:val="20"/>
              </w:rPr>
              <w:t>Passenger Ship</w:t>
            </w:r>
          </w:p>
        </w:tc>
        <w:tc>
          <w:tcPr>
            <w:tcW w:w="1943" w:type="dxa"/>
            <w:shd w:val="clear" w:color="auto" w:fill="auto"/>
            <w:noWrap/>
            <w:hideMark/>
          </w:tcPr>
          <w:p w14:paraId="57982B08" w14:textId="77777777" w:rsidR="005B1FC8" w:rsidRPr="00D763B0" w:rsidRDefault="005B1FC8" w:rsidP="009B498E">
            <w:pPr>
              <w:jc w:val="right"/>
              <w:rPr>
                <w:color w:val="auto"/>
                <w:sz w:val="20"/>
                <w:szCs w:val="20"/>
              </w:rPr>
            </w:pPr>
            <w:r w:rsidRPr="00D763B0">
              <w:rPr>
                <w:color w:val="auto"/>
                <w:sz w:val="20"/>
                <w:szCs w:val="20"/>
              </w:rPr>
              <w:t>&lt; 1,000</w:t>
            </w:r>
          </w:p>
        </w:tc>
        <w:tc>
          <w:tcPr>
            <w:tcW w:w="1927" w:type="dxa"/>
            <w:shd w:val="clear" w:color="auto" w:fill="auto"/>
            <w:noWrap/>
            <w:hideMark/>
          </w:tcPr>
          <w:p w14:paraId="03B7B60D" w14:textId="77777777" w:rsidR="005B1FC8" w:rsidRPr="00D763B0" w:rsidRDefault="005B1FC8" w:rsidP="009B498E">
            <w:pPr>
              <w:jc w:val="right"/>
              <w:rPr>
                <w:color w:val="auto"/>
                <w:sz w:val="20"/>
                <w:szCs w:val="20"/>
              </w:rPr>
            </w:pPr>
            <w:r w:rsidRPr="00D763B0">
              <w:rPr>
                <w:color w:val="auto"/>
                <w:sz w:val="20"/>
                <w:szCs w:val="20"/>
              </w:rPr>
              <w:t>100</w:t>
            </w:r>
          </w:p>
        </w:tc>
      </w:tr>
      <w:tr w:rsidR="005B1FC8" w:rsidRPr="009B498E" w14:paraId="51959426" w14:textId="77777777" w:rsidTr="005B1FC8">
        <w:trPr>
          <w:trHeight w:val="162"/>
        </w:trPr>
        <w:tc>
          <w:tcPr>
            <w:tcW w:w="1835" w:type="dxa"/>
            <w:shd w:val="clear" w:color="auto" w:fill="auto"/>
            <w:noWrap/>
            <w:hideMark/>
          </w:tcPr>
          <w:p w14:paraId="742AB8BD" w14:textId="77777777" w:rsidR="005B1FC8" w:rsidRPr="00D763B0" w:rsidRDefault="005B1FC8" w:rsidP="009B498E">
            <w:pPr>
              <w:rPr>
                <w:color w:val="auto"/>
                <w:sz w:val="20"/>
                <w:szCs w:val="20"/>
              </w:rPr>
            </w:pPr>
            <w:r w:rsidRPr="00D763B0">
              <w:rPr>
                <w:color w:val="auto"/>
                <w:sz w:val="20"/>
                <w:szCs w:val="20"/>
              </w:rPr>
              <w:t>Passenger Ship</w:t>
            </w:r>
          </w:p>
        </w:tc>
        <w:tc>
          <w:tcPr>
            <w:tcW w:w="1943" w:type="dxa"/>
            <w:shd w:val="clear" w:color="auto" w:fill="auto"/>
            <w:noWrap/>
            <w:hideMark/>
          </w:tcPr>
          <w:p w14:paraId="25FE1729" w14:textId="77777777" w:rsidR="005B1FC8" w:rsidRPr="00D763B0" w:rsidRDefault="005B1FC8" w:rsidP="009B498E">
            <w:pPr>
              <w:jc w:val="right"/>
              <w:rPr>
                <w:color w:val="auto"/>
                <w:sz w:val="20"/>
                <w:szCs w:val="20"/>
              </w:rPr>
            </w:pPr>
            <w:r w:rsidRPr="00D763B0">
              <w:rPr>
                <w:color w:val="auto"/>
                <w:sz w:val="20"/>
                <w:szCs w:val="20"/>
              </w:rPr>
              <w:t>1,000 – 10,000</w:t>
            </w:r>
          </w:p>
        </w:tc>
        <w:tc>
          <w:tcPr>
            <w:tcW w:w="1927" w:type="dxa"/>
            <w:shd w:val="clear" w:color="auto" w:fill="auto"/>
            <w:noWrap/>
            <w:hideMark/>
          </w:tcPr>
          <w:p w14:paraId="1FCB33F9" w14:textId="77777777" w:rsidR="005B1FC8" w:rsidRPr="00D763B0" w:rsidRDefault="005B1FC8" w:rsidP="009B498E">
            <w:pPr>
              <w:jc w:val="right"/>
              <w:rPr>
                <w:color w:val="auto"/>
                <w:sz w:val="20"/>
                <w:szCs w:val="20"/>
              </w:rPr>
            </w:pPr>
            <w:r w:rsidRPr="00D763B0">
              <w:rPr>
                <w:color w:val="auto"/>
                <w:sz w:val="20"/>
                <w:szCs w:val="20"/>
              </w:rPr>
              <w:t>750</w:t>
            </w:r>
          </w:p>
        </w:tc>
      </w:tr>
      <w:tr w:rsidR="005B1FC8" w:rsidRPr="009B498E" w14:paraId="52F85F34" w14:textId="77777777" w:rsidTr="005B1FC8">
        <w:trPr>
          <w:trHeight w:val="162"/>
        </w:trPr>
        <w:tc>
          <w:tcPr>
            <w:tcW w:w="1835" w:type="dxa"/>
            <w:shd w:val="clear" w:color="auto" w:fill="auto"/>
            <w:noWrap/>
            <w:hideMark/>
          </w:tcPr>
          <w:p w14:paraId="72615496" w14:textId="77777777" w:rsidR="005B1FC8" w:rsidRPr="00D763B0" w:rsidRDefault="005B1FC8" w:rsidP="009B498E">
            <w:pPr>
              <w:rPr>
                <w:color w:val="auto"/>
                <w:sz w:val="20"/>
                <w:szCs w:val="20"/>
              </w:rPr>
            </w:pPr>
            <w:r w:rsidRPr="00D763B0">
              <w:rPr>
                <w:color w:val="auto"/>
                <w:sz w:val="20"/>
                <w:szCs w:val="20"/>
              </w:rPr>
              <w:t>Passenger Ship</w:t>
            </w:r>
          </w:p>
        </w:tc>
        <w:tc>
          <w:tcPr>
            <w:tcW w:w="1943" w:type="dxa"/>
            <w:shd w:val="clear" w:color="auto" w:fill="auto"/>
            <w:noWrap/>
            <w:hideMark/>
          </w:tcPr>
          <w:p w14:paraId="1AF6F615" w14:textId="77777777" w:rsidR="005B1FC8" w:rsidRPr="00D763B0" w:rsidRDefault="005B1FC8" w:rsidP="009B498E">
            <w:pPr>
              <w:jc w:val="right"/>
              <w:rPr>
                <w:color w:val="auto"/>
                <w:sz w:val="20"/>
                <w:szCs w:val="20"/>
              </w:rPr>
            </w:pPr>
            <w:r w:rsidRPr="00D763B0">
              <w:rPr>
                <w:color w:val="auto"/>
                <w:sz w:val="20"/>
                <w:szCs w:val="20"/>
              </w:rPr>
              <w:t>10,001 – 20,000</w:t>
            </w:r>
          </w:p>
        </w:tc>
        <w:tc>
          <w:tcPr>
            <w:tcW w:w="1927" w:type="dxa"/>
            <w:shd w:val="clear" w:color="auto" w:fill="auto"/>
            <w:noWrap/>
            <w:hideMark/>
          </w:tcPr>
          <w:p w14:paraId="0F4B3336" w14:textId="77777777" w:rsidR="005B1FC8" w:rsidRPr="00D763B0" w:rsidRDefault="005B1FC8" w:rsidP="009B498E">
            <w:pPr>
              <w:jc w:val="right"/>
              <w:rPr>
                <w:color w:val="auto"/>
                <w:sz w:val="20"/>
                <w:szCs w:val="20"/>
              </w:rPr>
            </w:pPr>
            <w:r w:rsidRPr="00D763B0">
              <w:rPr>
                <w:color w:val="auto"/>
                <w:sz w:val="20"/>
                <w:szCs w:val="20"/>
              </w:rPr>
              <w:t>1,500</w:t>
            </w:r>
          </w:p>
        </w:tc>
      </w:tr>
      <w:tr w:rsidR="005B1FC8" w:rsidRPr="009B498E" w14:paraId="5D0A35DD" w14:textId="77777777" w:rsidTr="005B1FC8">
        <w:trPr>
          <w:trHeight w:val="162"/>
        </w:trPr>
        <w:tc>
          <w:tcPr>
            <w:tcW w:w="1835" w:type="dxa"/>
            <w:shd w:val="clear" w:color="auto" w:fill="auto"/>
            <w:noWrap/>
            <w:hideMark/>
          </w:tcPr>
          <w:p w14:paraId="1D693DC3" w14:textId="77777777" w:rsidR="005B1FC8" w:rsidRPr="00D763B0" w:rsidRDefault="005B1FC8" w:rsidP="009B498E">
            <w:pPr>
              <w:rPr>
                <w:color w:val="auto"/>
                <w:sz w:val="20"/>
                <w:szCs w:val="20"/>
              </w:rPr>
            </w:pPr>
            <w:r w:rsidRPr="00D763B0">
              <w:rPr>
                <w:color w:val="auto"/>
                <w:sz w:val="20"/>
                <w:szCs w:val="20"/>
              </w:rPr>
              <w:t>Passenger Ship</w:t>
            </w:r>
          </w:p>
        </w:tc>
        <w:tc>
          <w:tcPr>
            <w:tcW w:w="1943" w:type="dxa"/>
            <w:shd w:val="clear" w:color="auto" w:fill="auto"/>
            <w:noWrap/>
            <w:hideMark/>
          </w:tcPr>
          <w:p w14:paraId="69731C95" w14:textId="77777777" w:rsidR="005B1FC8" w:rsidRPr="00D763B0" w:rsidRDefault="005B1FC8" w:rsidP="009B498E">
            <w:pPr>
              <w:jc w:val="right"/>
              <w:rPr>
                <w:color w:val="auto"/>
                <w:sz w:val="20"/>
                <w:szCs w:val="20"/>
              </w:rPr>
            </w:pPr>
            <w:r w:rsidRPr="00D763B0">
              <w:rPr>
                <w:color w:val="auto"/>
                <w:sz w:val="20"/>
                <w:szCs w:val="20"/>
              </w:rPr>
              <w:t>&gt; 20,000</w:t>
            </w:r>
          </w:p>
        </w:tc>
        <w:tc>
          <w:tcPr>
            <w:tcW w:w="1927" w:type="dxa"/>
            <w:shd w:val="clear" w:color="auto" w:fill="auto"/>
            <w:noWrap/>
            <w:hideMark/>
          </w:tcPr>
          <w:p w14:paraId="001C698F" w14:textId="77777777" w:rsidR="005B1FC8" w:rsidRPr="00D763B0" w:rsidRDefault="005B1FC8" w:rsidP="009B498E">
            <w:pPr>
              <w:jc w:val="right"/>
              <w:rPr>
                <w:color w:val="auto"/>
                <w:sz w:val="20"/>
                <w:szCs w:val="20"/>
              </w:rPr>
            </w:pPr>
            <w:r w:rsidRPr="00D763B0">
              <w:rPr>
                <w:color w:val="auto"/>
                <w:sz w:val="20"/>
                <w:szCs w:val="20"/>
              </w:rPr>
              <w:t>2,000</w:t>
            </w:r>
          </w:p>
        </w:tc>
      </w:tr>
      <w:tr w:rsidR="005B1FC8" w:rsidRPr="009B498E" w14:paraId="70232738" w14:textId="77777777" w:rsidTr="005B1FC8">
        <w:trPr>
          <w:trHeight w:val="162"/>
        </w:trPr>
        <w:tc>
          <w:tcPr>
            <w:tcW w:w="1835" w:type="dxa"/>
            <w:shd w:val="clear" w:color="auto" w:fill="auto"/>
            <w:noWrap/>
            <w:hideMark/>
          </w:tcPr>
          <w:p w14:paraId="6BC151DA" w14:textId="77777777" w:rsidR="005B1FC8" w:rsidRPr="00D763B0" w:rsidRDefault="005B1FC8" w:rsidP="009B498E">
            <w:pPr>
              <w:rPr>
                <w:color w:val="auto"/>
                <w:sz w:val="20"/>
                <w:szCs w:val="20"/>
              </w:rPr>
            </w:pPr>
            <w:r w:rsidRPr="00D763B0">
              <w:rPr>
                <w:color w:val="auto"/>
                <w:sz w:val="20"/>
                <w:szCs w:val="20"/>
              </w:rPr>
              <w:t>Tanker</w:t>
            </w:r>
          </w:p>
        </w:tc>
        <w:tc>
          <w:tcPr>
            <w:tcW w:w="1943" w:type="dxa"/>
            <w:shd w:val="clear" w:color="auto" w:fill="auto"/>
            <w:noWrap/>
            <w:hideMark/>
          </w:tcPr>
          <w:p w14:paraId="726DF601" w14:textId="77777777" w:rsidR="005B1FC8" w:rsidRPr="00D763B0" w:rsidRDefault="005B1FC8" w:rsidP="009B498E">
            <w:pPr>
              <w:jc w:val="right"/>
              <w:rPr>
                <w:color w:val="auto"/>
                <w:sz w:val="20"/>
                <w:szCs w:val="20"/>
              </w:rPr>
            </w:pPr>
            <w:r w:rsidRPr="00D763B0">
              <w:rPr>
                <w:color w:val="auto"/>
                <w:sz w:val="20"/>
                <w:szCs w:val="20"/>
              </w:rPr>
              <w:t>&lt; 1,000</w:t>
            </w:r>
          </w:p>
        </w:tc>
        <w:tc>
          <w:tcPr>
            <w:tcW w:w="1927" w:type="dxa"/>
            <w:shd w:val="clear" w:color="auto" w:fill="auto"/>
            <w:noWrap/>
            <w:hideMark/>
          </w:tcPr>
          <w:p w14:paraId="7F836E15" w14:textId="77777777" w:rsidR="005B1FC8" w:rsidRPr="00D763B0" w:rsidRDefault="005B1FC8" w:rsidP="009B498E">
            <w:pPr>
              <w:jc w:val="right"/>
              <w:rPr>
                <w:color w:val="auto"/>
                <w:sz w:val="20"/>
                <w:szCs w:val="20"/>
              </w:rPr>
            </w:pPr>
            <w:r w:rsidRPr="00D763B0">
              <w:rPr>
                <w:color w:val="auto"/>
                <w:sz w:val="20"/>
                <w:szCs w:val="20"/>
              </w:rPr>
              <w:t>100</w:t>
            </w:r>
          </w:p>
        </w:tc>
      </w:tr>
      <w:tr w:rsidR="005B1FC8" w:rsidRPr="009B498E" w14:paraId="0B6354C7" w14:textId="77777777" w:rsidTr="005B1FC8">
        <w:trPr>
          <w:trHeight w:val="162"/>
        </w:trPr>
        <w:tc>
          <w:tcPr>
            <w:tcW w:w="1835" w:type="dxa"/>
            <w:shd w:val="clear" w:color="auto" w:fill="auto"/>
            <w:noWrap/>
            <w:hideMark/>
          </w:tcPr>
          <w:p w14:paraId="0FA47879" w14:textId="77777777" w:rsidR="005B1FC8" w:rsidRPr="00D763B0" w:rsidRDefault="005B1FC8" w:rsidP="009B498E">
            <w:pPr>
              <w:rPr>
                <w:color w:val="auto"/>
                <w:sz w:val="20"/>
                <w:szCs w:val="20"/>
              </w:rPr>
            </w:pPr>
            <w:r w:rsidRPr="00D763B0">
              <w:rPr>
                <w:color w:val="auto"/>
                <w:sz w:val="20"/>
                <w:szCs w:val="20"/>
              </w:rPr>
              <w:t>Tanker</w:t>
            </w:r>
          </w:p>
        </w:tc>
        <w:tc>
          <w:tcPr>
            <w:tcW w:w="1943" w:type="dxa"/>
            <w:shd w:val="clear" w:color="auto" w:fill="auto"/>
            <w:noWrap/>
            <w:hideMark/>
          </w:tcPr>
          <w:p w14:paraId="33AE6771" w14:textId="77777777" w:rsidR="005B1FC8" w:rsidRPr="00D763B0" w:rsidRDefault="005B1FC8" w:rsidP="009B498E">
            <w:pPr>
              <w:jc w:val="right"/>
              <w:rPr>
                <w:color w:val="auto"/>
                <w:sz w:val="20"/>
                <w:szCs w:val="20"/>
              </w:rPr>
            </w:pPr>
            <w:r w:rsidRPr="00D763B0">
              <w:rPr>
                <w:color w:val="auto"/>
                <w:sz w:val="20"/>
                <w:szCs w:val="20"/>
              </w:rPr>
              <w:t>1,000 – 50,000</w:t>
            </w:r>
          </w:p>
        </w:tc>
        <w:tc>
          <w:tcPr>
            <w:tcW w:w="1927" w:type="dxa"/>
            <w:shd w:val="clear" w:color="auto" w:fill="auto"/>
            <w:noWrap/>
            <w:hideMark/>
          </w:tcPr>
          <w:p w14:paraId="44C31758" w14:textId="77777777" w:rsidR="005B1FC8" w:rsidRPr="00D763B0" w:rsidRDefault="005B1FC8" w:rsidP="009B498E">
            <w:pPr>
              <w:jc w:val="right"/>
              <w:rPr>
                <w:color w:val="auto"/>
                <w:sz w:val="20"/>
                <w:szCs w:val="20"/>
              </w:rPr>
            </w:pPr>
            <w:r w:rsidRPr="00D763B0">
              <w:rPr>
                <w:color w:val="auto"/>
                <w:sz w:val="20"/>
                <w:szCs w:val="20"/>
              </w:rPr>
              <w:t>2,000</w:t>
            </w:r>
          </w:p>
        </w:tc>
      </w:tr>
      <w:tr w:rsidR="005B1FC8" w:rsidRPr="009B498E" w14:paraId="48F7BB99" w14:textId="77777777" w:rsidTr="005B1FC8">
        <w:trPr>
          <w:trHeight w:val="162"/>
        </w:trPr>
        <w:tc>
          <w:tcPr>
            <w:tcW w:w="1835" w:type="dxa"/>
            <w:shd w:val="clear" w:color="auto" w:fill="auto"/>
            <w:noWrap/>
          </w:tcPr>
          <w:p w14:paraId="7CB8068B" w14:textId="77777777" w:rsidR="005B1FC8" w:rsidRPr="00D763B0" w:rsidRDefault="005B1FC8" w:rsidP="009B498E">
            <w:pPr>
              <w:rPr>
                <w:color w:val="auto"/>
                <w:sz w:val="20"/>
                <w:szCs w:val="20"/>
              </w:rPr>
            </w:pPr>
            <w:r w:rsidRPr="00D763B0">
              <w:rPr>
                <w:color w:val="auto"/>
                <w:sz w:val="20"/>
                <w:szCs w:val="20"/>
              </w:rPr>
              <w:t>Tanker</w:t>
            </w:r>
          </w:p>
        </w:tc>
        <w:tc>
          <w:tcPr>
            <w:tcW w:w="1943" w:type="dxa"/>
            <w:shd w:val="clear" w:color="auto" w:fill="auto"/>
            <w:noWrap/>
          </w:tcPr>
          <w:p w14:paraId="3AE001CD" w14:textId="77777777" w:rsidR="005B1FC8" w:rsidRPr="00D763B0" w:rsidRDefault="005B1FC8" w:rsidP="009B498E">
            <w:pPr>
              <w:jc w:val="right"/>
              <w:rPr>
                <w:color w:val="auto"/>
                <w:sz w:val="20"/>
                <w:szCs w:val="20"/>
              </w:rPr>
            </w:pPr>
            <w:r w:rsidRPr="00D763B0">
              <w:rPr>
                <w:color w:val="auto"/>
                <w:sz w:val="20"/>
                <w:szCs w:val="20"/>
              </w:rPr>
              <w:t>50,001 – 100,000</w:t>
            </w:r>
          </w:p>
        </w:tc>
        <w:tc>
          <w:tcPr>
            <w:tcW w:w="1927" w:type="dxa"/>
            <w:shd w:val="clear" w:color="auto" w:fill="auto"/>
            <w:noWrap/>
          </w:tcPr>
          <w:p w14:paraId="3EB1E054" w14:textId="77777777" w:rsidR="005B1FC8" w:rsidRPr="00D763B0" w:rsidRDefault="005B1FC8" w:rsidP="009B498E">
            <w:pPr>
              <w:jc w:val="right"/>
              <w:rPr>
                <w:color w:val="auto"/>
                <w:sz w:val="20"/>
                <w:szCs w:val="20"/>
              </w:rPr>
            </w:pPr>
            <w:r w:rsidRPr="00D763B0">
              <w:rPr>
                <w:color w:val="auto"/>
                <w:sz w:val="20"/>
                <w:szCs w:val="20"/>
              </w:rPr>
              <w:t>2,500</w:t>
            </w:r>
          </w:p>
        </w:tc>
      </w:tr>
      <w:tr w:rsidR="005B1FC8" w:rsidRPr="009B498E" w14:paraId="7C50FCDA" w14:textId="77777777" w:rsidTr="005B1FC8">
        <w:trPr>
          <w:trHeight w:val="162"/>
        </w:trPr>
        <w:tc>
          <w:tcPr>
            <w:tcW w:w="1835" w:type="dxa"/>
            <w:shd w:val="clear" w:color="auto" w:fill="auto"/>
            <w:noWrap/>
            <w:hideMark/>
          </w:tcPr>
          <w:p w14:paraId="62E4C88D" w14:textId="77777777" w:rsidR="005B1FC8" w:rsidRPr="00D763B0" w:rsidRDefault="005B1FC8" w:rsidP="009B498E">
            <w:pPr>
              <w:rPr>
                <w:color w:val="auto"/>
                <w:sz w:val="20"/>
                <w:szCs w:val="20"/>
              </w:rPr>
            </w:pPr>
            <w:r w:rsidRPr="00D763B0">
              <w:rPr>
                <w:color w:val="auto"/>
                <w:sz w:val="20"/>
                <w:szCs w:val="20"/>
              </w:rPr>
              <w:t>Tanker</w:t>
            </w:r>
          </w:p>
        </w:tc>
        <w:tc>
          <w:tcPr>
            <w:tcW w:w="1943" w:type="dxa"/>
            <w:shd w:val="clear" w:color="auto" w:fill="auto"/>
            <w:noWrap/>
            <w:hideMark/>
          </w:tcPr>
          <w:p w14:paraId="7DEEBF9B" w14:textId="77777777" w:rsidR="005B1FC8" w:rsidRPr="00D763B0" w:rsidRDefault="005B1FC8" w:rsidP="009B498E">
            <w:pPr>
              <w:jc w:val="right"/>
              <w:rPr>
                <w:color w:val="auto"/>
                <w:sz w:val="20"/>
                <w:szCs w:val="20"/>
              </w:rPr>
            </w:pPr>
            <w:r w:rsidRPr="00D763B0">
              <w:rPr>
                <w:color w:val="auto"/>
                <w:sz w:val="20"/>
                <w:szCs w:val="20"/>
              </w:rPr>
              <w:t>100,001 – 200,000</w:t>
            </w:r>
          </w:p>
        </w:tc>
        <w:tc>
          <w:tcPr>
            <w:tcW w:w="1927" w:type="dxa"/>
            <w:shd w:val="clear" w:color="auto" w:fill="auto"/>
            <w:noWrap/>
            <w:hideMark/>
          </w:tcPr>
          <w:p w14:paraId="4B399D36" w14:textId="77777777" w:rsidR="005B1FC8" w:rsidRPr="00D763B0" w:rsidRDefault="005B1FC8" w:rsidP="009B498E">
            <w:pPr>
              <w:jc w:val="right"/>
              <w:rPr>
                <w:color w:val="auto"/>
                <w:sz w:val="20"/>
                <w:szCs w:val="20"/>
              </w:rPr>
            </w:pPr>
            <w:r w:rsidRPr="00D763B0">
              <w:rPr>
                <w:color w:val="auto"/>
                <w:sz w:val="20"/>
                <w:szCs w:val="20"/>
              </w:rPr>
              <w:t>3,000</w:t>
            </w:r>
          </w:p>
        </w:tc>
      </w:tr>
      <w:tr w:rsidR="005B1FC8" w:rsidRPr="009B498E" w14:paraId="64FD9ACE" w14:textId="77777777" w:rsidTr="005B1FC8">
        <w:trPr>
          <w:trHeight w:val="162"/>
        </w:trPr>
        <w:tc>
          <w:tcPr>
            <w:tcW w:w="1835" w:type="dxa"/>
            <w:shd w:val="clear" w:color="auto" w:fill="auto"/>
            <w:noWrap/>
            <w:hideMark/>
          </w:tcPr>
          <w:p w14:paraId="4A012809" w14:textId="77777777" w:rsidR="005B1FC8" w:rsidRPr="00D763B0" w:rsidRDefault="005B1FC8" w:rsidP="009B498E">
            <w:pPr>
              <w:rPr>
                <w:color w:val="auto"/>
                <w:sz w:val="20"/>
                <w:szCs w:val="20"/>
              </w:rPr>
            </w:pPr>
            <w:r w:rsidRPr="00D763B0">
              <w:rPr>
                <w:color w:val="auto"/>
                <w:sz w:val="20"/>
                <w:szCs w:val="20"/>
              </w:rPr>
              <w:t>Tanker</w:t>
            </w:r>
          </w:p>
        </w:tc>
        <w:tc>
          <w:tcPr>
            <w:tcW w:w="1943" w:type="dxa"/>
            <w:shd w:val="clear" w:color="auto" w:fill="auto"/>
            <w:noWrap/>
            <w:hideMark/>
          </w:tcPr>
          <w:p w14:paraId="2969D064" w14:textId="77777777" w:rsidR="005B1FC8" w:rsidRPr="00D763B0" w:rsidRDefault="005B1FC8" w:rsidP="009B498E">
            <w:pPr>
              <w:jc w:val="right"/>
              <w:rPr>
                <w:color w:val="auto"/>
                <w:sz w:val="20"/>
                <w:szCs w:val="20"/>
              </w:rPr>
            </w:pPr>
            <w:r w:rsidRPr="00D763B0">
              <w:rPr>
                <w:color w:val="auto"/>
                <w:sz w:val="20"/>
                <w:szCs w:val="20"/>
              </w:rPr>
              <w:t>200,001 – 300,000</w:t>
            </w:r>
          </w:p>
        </w:tc>
        <w:tc>
          <w:tcPr>
            <w:tcW w:w="1927" w:type="dxa"/>
            <w:shd w:val="clear" w:color="auto" w:fill="auto"/>
            <w:noWrap/>
            <w:hideMark/>
          </w:tcPr>
          <w:p w14:paraId="5B6C4E1D" w14:textId="77777777" w:rsidR="005B1FC8" w:rsidRPr="00D763B0" w:rsidRDefault="005B1FC8" w:rsidP="009B498E">
            <w:pPr>
              <w:jc w:val="right"/>
              <w:rPr>
                <w:color w:val="auto"/>
                <w:sz w:val="20"/>
                <w:szCs w:val="20"/>
              </w:rPr>
            </w:pPr>
            <w:r w:rsidRPr="00D763B0">
              <w:rPr>
                <w:color w:val="auto"/>
                <w:sz w:val="20"/>
                <w:szCs w:val="20"/>
              </w:rPr>
              <w:t>7,000</w:t>
            </w:r>
          </w:p>
        </w:tc>
      </w:tr>
      <w:tr w:rsidR="005B1FC8" w:rsidRPr="009B498E" w14:paraId="2FC119B8" w14:textId="77777777" w:rsidTr="005B1FC8">
        <w:trPr>
          <w:trHeight w:val="162"/>
        </w:trPr>
        <w:tc>
          <w:tcPr>
            <w:tcW w:w="1835" w:type="dxa"/>
            <w:shd w:val="clear" w:color="auto" w:fill="auto"/>
            <w:noWrap/>
            <w:hideMark/>
          </w:tcPr>
          <w:p w14:paraId="7028BCBB" w14:textId="77777777" w:rsidR="005B1FC8" w:rsidRPr="00D763B0" w:rsidRDefault="005B1FC8" w:rsidP="009B498E">
            <w:pPr>
              <w:rPr>
                <w:color w:val="auto"/>
                <w:sz w:val="20"/>
                <w:szCs w:val="20"/>
              </w:rPr>
            </w:pPr>
            <w:r w:rsidRPr="00D763B0">
              <w:rPr>
                <w:color w:val="auto"/>
                <w:sz w:val="20"/>
                <w:szCs w:val="20"/>
              </w:rPr>
              <w:t>Tanker</w:t>
            </w:r>
          </w:p>
        </w:tc>
        <w:tc>
          <w:tcPr>
            <w:tcW w:w="1943" w:type="dxa"/>
            <w:shd w:val="clear" w:color="auto" w:fill="auto"/>
            <w:noWrap/>
            <w:hideMark/>
          </w:tcPr>
          <w:p w14:paraId="65DD415A" w14:textId="77777777" w:rsidR="005B1FC8" w:rsidRPr="00D763B0" w:rsidRDefault="005B1FC8" w:rsidP="009B498E">
            <w:pPr>
              <w:jc w:val="right"/>
              <w:rPr>
                <w:color w:val="auto"/>
                <w:sz w:val="20"/>
                <w:szCs w:val="20"/>
              </w:rPr>
            </w:pPr>
            <w:r w:rsidRPr="00D763B0">
              <w:rPr>
                <w:color w:val="auto"/>
                <w:sz w:val="20"/>
                <w:szCs w:val="20"/>
              </w:rPr>
              <w:t>&gt; 300,000</w:t>
            </w:r>
          </w:p>
        </w:tc>
        <w:tc>
          <w:tcPr>
            <w:tcW w:w="1927" w:type="dxa"/>
            <w:shd w:val="clear" w:color="auto" w:fill="auto"/>
            <w:noWrap/>
            <w:hideMark/>
          </w:tcPr>
          <w:p w14:paraId="7420F76E" w14:textId="77777777" w:rsidR="005B1FC8" w:rsidRPr="00D763B0" w:rsidRDefault="005B1FC8" w:rsidP="009B498E">
            <w:pPr>
              <w:jc w:val="right"/>
              <w:rPr>
                <w:color w:val="auto"/>
                <w:sz w:val="20"/>
                <w:szCs w:val="20"/>
              </w:rPr>
            </w:pPr>
            <w:r w:rsidRPr="00D763B0">
              <w:rPr>
                <w:color w:val="auto"/>
                <w:sz w:val="20"/>
                <w:szCs w:val="20"/>
              </w:rPr>
              <w:t>8,000</w:t>
            </w:r>
          </w:p>
        </w:tc>
      </w:tr>
    </w:tbl>
    <w:p w14:paraId="1E046AE8" w14:textId="77777777" w:rsidR="0086014F" w:rsidRDefault="00EC67F3" w:rsidP="0086014F">
      <w:r>
        <w:br/>
      </w:r>
    </w:p>
    <w:p w14:paraId="2A860F90" w14:textId="77777777" w:rsidR="00EC67F3" w:rsidRDefault="005B1FC8" w:rsidP="0086014F">
      <w:r w:rsidRPr="00EC1422">
        <w:t xml:space="preserve">Figure </w:t>
      </w:r>
      <w:r w:rsidR="009B498E">
        <w:t>8-</w:t>
      </w:r>
      <w:r w:rsidRPr="00EC1422">
        <w:t xml:space="preserve">1, below, shows the number of passenger ships and tankers built between 1975 and 1993 and Figure </w:t>
      </w:r>
      <w:r w:rsidR="009B498E">
        <w:t>8-</w:t>
      </w:r>
      <w:r w:rsidRPr="00EC1422">
        <w:t>2 shows the estimated total residual amount of halon 1301 remaining in service for an assumed 30 year and 40 year lifetime. In 2014, approximately 2,628 metric tonnes is estimated to remain in service for a 30</w:t>
      </w:r>
      <w:r w:rsidR="009B498E">
        <w:t>-</w:t>
      </w:r>
      <w:r w:rsidRPr="00EC1422">
        <w:t>year lifetime of ships. This would provide on average a little less than 300 metric tonnes annually through 2023. For a 40</w:t>
      </w:r>
      <w:r w:rsidR="009B498E">
        <w:t>-</w:t>
      </w:r>
      <w:r w:rsidRPr="00EC1422">
        <w:t>year lifetime of ships, 3,775 metric tonnes of residual halon 1301 is estimated to remain in service in 2014. This would provide on average a little less than 200</w:t>
      </w:r>
      <w:r w:rsidR="00D763B0">
        <w:t>.</w:t>
      </w:r>
      <w:r w:rsidRPr="00EC1422">
        <w:t xml:space="preserve"> </w:t>
      </w:r>
    </w:p>
    <w:p w14:paraId="740FD383" w14:textId="77777777" w:rsidR="0086014F" w:rsidRDefault="0086014F" w:rsidP="005B1FC8">
      <w:pPr>
        <w:rPr>
          <w:b/>
        </w:rPr>
      </w:pPr>
    </w:p>
    <w:p w14:paraId="1E323E61" w14:textId="77777777" w:rsidR="0086014F" w:rsidRDefault="0086014F" w:rsidP="005B1FC8">
      <w:pPr>
        <w:rPr>
          <w:b/>
        </w:rPr>
      </w:pPr>
    </w:p>
    <w:p w14:paraId="088FD766" w14:textId="77777777" w:rsidR="0086014F" w:rsidRDefault="0086014F" w:rsidP="005B1FC8">
      <w:pPr>
        <w:rPr>
          <w:b/>
        </w:rPr>
      </w:pPr>
    </w:p>
    <w:p w14:paraId="11471476" w14:textId="77777777" w:rsidR="0086014F" w:rsidRDefault="0086014F" w:rsidP="005B1FC8">
      <w:pPr>
        <w:rPr>
          <w:b/>
        </w:rPr>
      </w:pPr>
    </w:p>
    <w:p w14:paraId="6EE8B361" w14:textId="77777777" w:rsidR="0086014F" w:rsidRDefault="0086014F" w:rsidP="005B1FC8">
      <w:pPr>
        <w:rPr>
          <w:b/>
        </w:rPr>
      </w:pPr>
    </w:p>
    <w:p w14:paraId="70367923" w14:textId="77777777" w:rsidR="0086014F" w:rsidRDefault="0086014F" w:rsidP="005B1FC8">
      <w:pPr>
        <w:rPr>
          <w:b/>
        </w:rPr>
      </w:pPr>
    </w:p>
    <w:p w14:paraId="1972598B" w14:textId="77777777" w:rsidR="00D46945" w:rsidRDefault="00D46945" w:rsidP="005B1FC8">
      <w:pPr>
        <w:rPr>
          <w:b/>
          <w:i/>
        </w:rPr>
      </w:pPr>
    </w:p>
    <w:p w14:paraId="74D218F1" w14:textId="77777777" w:rsidR="005B1FC8" w:rsidRPr="0086014F" w:rsidRDefault="00EC67F3" w:rsidP="005B1FC8">
      <w:pPr>
        <w:rPr>
          <w:i/>
        </w:rPr>
      </w:pPr>
      <w:r w:rsidRPr="0086014F">
        <w:rPr>
          <w:b/>
          <w:i/>
        </w:rPr>
        <w:t xml:space="preserve">Figure 8-1. Total Number of Passenger Ships and Tankers Built Between 1975 and 1993 (ICF, 2015) </w:t>
      </w:r>
      <w:r w:rsidR="005B1FC8" w:rsidRPr="0086014F">
        <w:rPr>
          <w:b/>
          <w:i/>
        </w:rPr>
        <w:t>metric tonnes annually through 2033</w:t>
      </w:r>
      <w:r w:rsidR="005B1FC8" w:rsidRPr="0086014F">
        <w:rPr>
          <w:i/>
        </w:rPr>
        <w:t xml:space="preserve">  </w:t>
      </w:r>
    </w:p>
    <w:p w14:paraId="3B13BEAD" w14:textId="77777777" w:rsidR="005B1FC8" w:rsidRPr="00EC1422" w:rsidRDefault="005B1FC8" w:rsidP="005B1FC8">
      <w:r w:rsidRPr="00EC1422">
        <w:rPr>
          <w:noProof/>
          <w:lang w:val="en-US" w:eastAsia="en-US"/>
        </w:rPr>
        <w:drawing>
          <wp:inline distT="0" distB="0" distL="0" distR="0" wp14:anchorId="03D2F453" wp14:editId="525A7098">
            <wp:extent cx="5423535" cy="3300307"/>
            <wp:effectExtent l="0" t="0" r="12065" b="1905"/>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F86C6B0" w14:textId="39F98E9D" w:rsidR="00EC67F3" w:rsidRPr="0086014F" w:rsidRDefault="00EC67F3" w:rsidP="0086014F">
      <w:pPr>
        <w:pStyle w:val="Caption"/>
        <w:ind w:left="0"/>
        <w:rPr>
          <w:b/>
          <w:i w:val="0"/>
        </w:rPr>
      </w:pPr>
      <w:r w:rsidRPr="0086014F">
        <w:rPr>
          <w:b/>
        </w:rPr>
        <w:t xml:space="preserve">Figure </w:t>
      </w:r>
      <w:r w:rsidR="006F1F1D">
        <w:rPr>
          <w:b/>
        </w:rPr>
        <w:t>8-</w:t>
      </w:r>
      <w:r w:rsidRPr="0086014F">
        <w:rPr>
          <w:b/>
        </w:rPr>
        <w:t>2</w:t>
      </w:r>
      <w:r w:rsidR="006F1F1D">
        <w:rPr>
          <w:b/>
        </w:rPr>
        <w:t>.</w:t>
      </w:r>
      <w:r w:rsidRPr="0086014F">
        <w:rPr>
          <w:b/>
        </w:rPr>
        <w:t xml:space="preserve"> Total Residual Amount of Halon 1301 Remaining in Service (ICF, 2015)</w:t>
      </w:r>
    </w:p>
    <w:p w14:paraId="708157F4" w14:textId="77777777" w:rsidR="005B1FC8" w:rsidRPr="00EC1422" w:rsidRDefault="005B1FC8" w:rsidP="005B1FC8">
      <w:pPr>
        <w:jc w:val="center"/>
      </w:pPr>
      <w:r w:rsidRPr="00EC67F3">
        <w:rPr>
          <w:noProof/>
          <w:sz w:val="20"/>
          <w:lang w:val="en-US" w:eastAsia="en-US"/>
        </w:rPr>
        <w:drawing>
          <wp:inline distT="0" distB="0" distL="0" distR="0" wp14:anchorId="796C3B16" wp14:editId="4823C589">
            <wp:extent cx="5624618" cy="3647440"/>
            <wp:effectExtent l="0" t="0" r="0" b="1016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D181BF6" w14:textId="77777777" w:rsidR="0086014F" w:rsidRDefault="0086014F" w:rsidP="002B7818">
      <w:pPr>
        <w:pStyle w:val="Heading2"/>
      </w:pPr>
    </w:p>
    <w:p w14:paraId="10F56AA3" w14:textId="3CD702F3" w:rsidR="005B1FC8" w:rsidRPr="00EC1422" w:rsidRDefault="00EC67F3" w:rsidP="002B7818">
      <w:pPr>
        <w:pStyle w:val="Heading2"/>
      </w:pPr>
      <w:bookmarkStart w:id="201" w:name="_Toc295406176"/>
      <w:r>
        <w:t>8.</w:t>
      </w:r>
      <w:r w:rsidR="002203A5">
        <w:t>6</w:t>
      </w:r>
      <w:r>
        <w:t>.</w:t>
      </w:r>
      <w:r>
        <w:tab/>
      </w:r>
      <w:r w:rsidR="005B1FC8" w:rsidRPr="00EC1422">
        <w:t>Halon Needs for Civil Aviation</w:t>
      </w:r>
      <w:bookmarkEnd w:id="201"/>
    </w:p>
    <w:p w14:paraId="3208A085" w14:textId="77777777" w:rsidR="005B1FC8" w:rsidRPr="00EC67F3" w:rsidRDefault="005B1FC8" w:rsidP="00EC67F3">
      <w:pPr>
        <w:autoSpaceDE w:val="0"/>
        <w:autoSpaceDN w:val="0"/>
        <w:adjustRightInd w:val="0"/>
        <w:rPr>
          <w:rFonts w:eastAsiaTheme="minorHAnsi"/>
          <w:color w:val="auto"/>
          <w:szCs w:val="22"/>
          <w:lang w:eastAsia="en-US"/>
        </w:rPr>
      </w:pPr>
      <w:r w:rsidRPr="00EC1422">
        <w:rPr>
          <w:rFonts w:eastAsiaTheme="minorHAnsi"/>
          <w:color w:val="auto"/>
          <w:szCs w:val="22"/>
          <w:lang w:eastAsia="en-US"/>
        </w:rPr>
        <w:t xml:space="preserve">Typically, the estimates of the annual needs of halon 1301 to support civil aviation have been developed by applying an assumed emission factor of 2-3% per year to the estimated installed on aircraft.  That emission factor is based on estimated, annual, average global emissions of halons developed from the HTOC and SAP models. It is not specific to civil aviation. Experience from other halon users such as military, and oil and gas production has shown that emission rates are typically higher than this until there is management emphasis to identify and reduce activities or failures that lead to unnecessary emissions. Emission rates of 5% or more were not uncommon.  For example, in looking at their emissions in the early 1990s, the U.S. military found that a particular aircraft was experiencing an unusually high halon 1301 emission rate. It was determined that the cause of the higher emissions was an unwritten procedure used by aircraft maintenance workers. It was learned that when working on or in the engine area, an easy way to turn off power to the fuel pump was to press the engine fire indicator button in the cock pit. In addition to killing the power to the fuel pump, pressing it once would cause this button to light up. If another maintainer looked into the cock pit, they would see the button lit up and do what is common in that circumstance; they would press the button to see if they could make the light go out. Unfortunately, pressing the button a second time would discharge the halon system.  This is one example, but there were others that needed to be looked into and resolved in order to reduce emissions as much as possible, which are currently likely below 2%.  One Party reports that their annual emissions are well below 1% because they have placed a very high value on minimising unnecessary emissions. Based on experience to date with the civil aviation industry, HTOC sees little evidence of a strong sense of urgency in the industry to find halon replacements, or any concerted effort by the industry to look into the cause of or minimise unnecessary use and emissions. The working group believes applying the current global emission factor likely underestimates the actual emissions from civil aviation.  Therefore, a second scenario is also included that assumes a higher annual emission rate of 5% of the installed base on civil aviation.  </w:t>
      </w:r>
    </w:p>
    <w:p w14:paraId="1002D5BA" w14:textId="636890DA" w:rsidR="005B1FC8" w:rsidRPr="00EC1422" w:rsidRDefault="005B1FC8" w:rsidP="00EC67F3">
      <w:r w:rsidRPr="00EC1422">
        <w:t xml:space="preserve">Six scenarios were modeled to estimate the availability of halon 1301 resources needed to service the existing aviation fleet, account for aviation growth through 2050, and service existing non-aviation applications. These scenarios do not consider uptake of any further halon 1301 alternatives. The scenarios model the initial total available worldwide supply of halon 1301 of 15,635 metric tonnes as well as +/- 10% of this value (i.e., 14,071 metric tonnes and 17,198 metric tonnes). Each scenario assumes a low, 2 to 3% </w:t>
      </w:r>
      <w:r w:rsidR="008B329D">
        <w:t>and</w:t>
      </w:r>
      <w:r w:rsidRPr="00EC1422">
        <w:t xml:space="preserve"> high, 5%, annual emission rate from all halon 1301 aviation applications and a constant emission rate for non-aviation sources of 3%. It must be noted that the emission rates for civil aviation applications could potentially be even larger than 5% while the emission rate for non-aviation sources (i.e., oil and gas production, military, and nuclear facilities) could be even lower and the global averages in the 2 to 3% would still be obtained.  Description of scenarios and the resulting years in which halon 1301 would no longer be available to meet demand are summarised in Table </w:t>
      </w:r>
      <w:r w:rsidR="00EC67F3">
        <w:t>8-</w:t>
      </w:r>
      <w:r w:rsidRPr="00EC1422">
        <w:t>7.  Under the worst case assumptions in Scenario 2b, halon 1301 supplies for civi</w:t>
      </w:r>
      <w:r>
        <w:t>l aviation would run out in 2036</w:t>
      </w:r>
      <w:r w:rsidRPr="00EC1422">
        <w:t xml:space="preserve"> and for the best </w:t>
      </w:r>
      <w:r w:rsidR="008B329D">
        <w:t>c</w:t>
      </w:r>
      <w:r w:rsidRPr="00EC1422">
        <w:t>ase Scena</w:t>
      </w:r>
      <w:r>
        <w:t>rio in 3a, would run out in 2045</w:t>
      </w:r>
      <w:r w:rsidRPr="00EC1422">
        <w:t xml:space="preserve">.  </w:t>
      </w:r>
    </w:p>
    <w:p w14:paraId="57CDF804" w14:textId="77777777" w:rsidR="0086014F" w:rsidRDefault="0086014F" w:rsidP="00EC67F3">
      <w:pPr>
        <w:pStyle w:val="Caption"/>
        <w:spacing w:line="276" w:lineRule="auto"/>
        <w:rPr>
          <w:b/>
          <w:szCs w:val="22"/>
        </w:rPr>
      </w:pPr>
    </w:p>
    <w:p w14:paraId="13B09B2E" w14:textId="77777777" w:rsidR="0086014F" w:rsidRDefault="0086014F" w:rsidP="00EC67F3">
      <w:pPr>
        <w:pStyle w:val="Caption"/>
        <w:spacing w:line="276" w:lineRule="auto"/>
        <w:rPr>
          <w:b/>
          <w:szCs w:val="22"/>
        </w:rPr>
      </w:pPr>
    </w:p>
    <w:p w14:paraId="793DF27F" w14:textId="77777777" w:rsidR="0086014F" w:rsidRDefault="0086014F" w:rsidP="00EC67F3">
      <w:pPr>
        <w:pStyle w:val="Caption"/>
        <w:spacing w:line="276" w:lineRule="auto"/>
        <w:rPr>
          <w:b/>
          <w:szCs w:val="22"/>
        </w:rPr>
      </w:pPr>
    </w:p>
    <w:p w14:paraId="588CFA94" w14:textId="77777777" w:rsidR="005B1FC8" w:rsidRPr="0086014F" w:rsidRDefault="005B1FC8" w:rsidP="00EC67F3">
      <w:pPr>
        <w:pStyle w:val="Caption"/>
        <w:spacing w:line="276" w:lineRule="auto"/>
        <w:rPr>
          <w:b/>
          <w:szCs w:val="22"/>
        </w:rPr>
      </w:pPr>
      <w:r w:rsidRPr="0086014F">
        <w:rPr>
          <w:b/>
          <w:szCs w:val="22"/>
        </w:rPr>
        <w:t xml:space="preserve">Table </w:t>
      </w:r>
      <w:r w:rsidR="00EC67F3" w:rsidRPr="0086014F">
        <w:rPr>
          <w:b/>
          <w:szCs w:val="22"/>
        </w:rPr>
        <w:t>8-</w:t>
      </w:r>
      <w:r w:rsidRPr="0086014F">
        <w:rPr>
          <w:b/>
          <w:szCs w:val="22"/>
        </w:rPr>
        <w:t>7. Characteristics of Six Scenarios Modeled (ICF, 2015)</w:t>
      </w:r>
    </w:p>
    <w:tbl>
      <w:tblPr>
        <w:tblStyle w:val="TableGrid"/>
        <w:tblW w:w="0" w:type="auto"/>
        <w:tblInd w:w="468" w:type="dxa"/>
        <w:shd w:val="clear" w:color="auto" w:fill="FFFFFF" w:themeFill="background1"/>
        <w:tblLayout w:type="fixed"/>
        <w:tblLook w:val="04A0" w:firstRow="1" w:lastRow="0" w:firstColumn="1" w:lastColumn="0" w:noHBand="0" w:noVBand="1"/>
      </w:tblPr>
      <w:tblGrid>
        <w:gridCol w:w="1080"/>
        <w:gridCol w:w="1620"/>
        <w:gridCol w:w="1710"/>
        <w:gridCol w:w="2160"/>
        <w:gridCol w:w="1620"/>
      </w:tblGrid>
      <w:tr w:rsidR="005B1FC8" w:rsidRPr="00EC67F3" w14:paraId="3D0136A4" w14:textId="77777777" w:rsidTr="00D763B0">
        <w:trPr>
          <w:trHeight w:val="782"/>
        </w:trPr>
        <w:tc>
          <w:tcPr>
            <w:tcW w:w="1080" w:type="dxa"/>
            <w:shd w:val="clear" w:color="auto" w:fill="FFFFFF" w:themeFill="background1"/>
            <w:vAlign w:val="center"/>
          </w:tcPr>
          <w:p w14:paraId="3375F721" w14:textId="77777777" w:rsidR="005B1FC8" w:rsidRPr="00D763B0" w:rsidRDefault="005B1FC8" w:rsidP="005B1FC8">
            <w:pPr>
              <w:jc w:val="center"/>
              <w:rPr>
                <w:b/>
                <w:color w:val="auto"/>
                <w:sz w:val="20"/>
                <w:szCs w:val="20"/>
              </w:rPr>
            </w:pPr>
            <w:r w:rsidRPr="00D763B0">
              <w:rPr>
                <w:b/>
                <w:color w:val="auto"/>
                <w:sz w:val="20"/>
                <w:szCs w:val="20"/>
              </w:rPr>
              <w:t>Scenario</w:t>
            </w:r>
          </w:p>
        </w:tc>
        <w:tc>
          <w:tcPr>
            <w:tcW w:w="1620" w:type="dxa"/>
            <w:shd w:val="clear" w:color="auto" w:fill="FFFFFF" w:themeFill="background1"/>
            <w:vAlign w:val="center"/>
          </w:tcPr>
          <w:p w14:paraId="4F966E07" w14:textId="77777777" w:rsidR="005B1FC8" w:rsidRPr="00D763B0" w:rsidRDefault="005B1FC8" w:rsidP="005B1FC8">
            <w:pPr>
              <w:jc w:val="center"/>
              <w:rPr>
                <w:b/>
                <w:color w:val="auto"/>
                <w:sz w:val="20"/>
                <w:szCs w:val="20"/>
              </w:rPr>
            </w:pPr>
            <w:r w:rsidRPr="00D763B0">
              <w:rPr>
                <w:b/>
                <w:color w:val="auto"/>
                <w:sz w:val="20"/>
                <w:szCs w:val="20"/>
              </w:rPr>
              <w:t>Annual Emission Rate (Aviation)</w:t>
            </w:r>
          </w:p>
        </w:tc>
        <w:tc>
          <w:tcPr>
            <w:tcW w:w="1710" w:type="dxa"/>
            <w:shd w:val="clear" w:color="auto" w:fill="FFFFFF" w:themeFill="background1"/>
            <w:vAlign w:val="center"/>
          </w:tcPr>
          <w:p w14:paraId="5907CF7E" w14:textId="77777777" w:rsidR="005B1FC8" w:rsidRPr="00D763B0" w:rsidRDefault="005B1FC8" w:rsidP="005B1FC8">
            <w:pPr>
              <w:jc w:val="center"/>
              <w:rPr>
                <w:b/>
                <w:color w:val="auto"/>
                <w:sz w:val="20"/>
                <w:szCs w:val="20"/>
              </w:rPr>
            </w:pPr>
            <w:r w:rsidRPr="00D763B0">
              <w:rPr>
                <w:b/>
                <w:color w:val="auto"/>
                <w:sz w:val="20"/>
                <w:szCs w:val="20"/>
              </w:rPr>
              <w:t>Annual Emission Rate (Non-Aviation)</w:t>
            </w:r>
          </w:p>
        </w:tc>
        <w:tc>
          <w:tcPr>
            <w:tcW w:w="2160" w:type="dxa"/>
            <w:shd w:val="clear" w:color="auto" w:fill="FFFFFF" w:themeFill="background1"/>
            <w:vAlign w:val="center"/>
          </w:tcPr>
          <w:p w14:paraId="1BB00385" w14:textId="77777777" w:rsidR="005B1FC8" w:rsidRPr="00D763B0" w:rsidRDefault="005B1FC8" w:rsidP="00D763B0">
            <w:pPr>
              <w:jc w:val="center"/>
              <w:rPr>
                <w:b/>
                <w:color w:val="auto"/>
                <w:sz w:val="20"/>
                <w:szCs w:val="20"/>
                <w:vertAlign w:val="superscript"/>
              </w:rPr>
            </w:pPr>
            <w:r w:rsidRPr="00D763B0">
              <w:rPr>
                <w:b/>
                <w:color w:val="auto"/>
                <w:sz w:val="20"/>
                <w:szCs w:val="20"/>
              </w:rPr>
              <w:t>Total Available Worldwide Supply</w:t>
            </w:r>
            <w:r w:rsidRPr="00D763B0">
              <w:rPr>
                <w:b/>
                <w:color w:val="auto"/>
                <w:sz w:val="20"/>
                <w:szCs w:val="20"/>
                <w:vertAlign w:val="superscript"/>
              </w:rPr>
              <w:t>a</w:t>
            </w:r>
            <w:r w:rsidR="00D763B0">
              <w:rPr>
                <w:b/>
                <w:color w:val="auto"/>
                <w:sz w:val="20"/>
                <w:szCs w:val="20"/>
                <w:vertAlign w:val="superscript"/>
              </w:rPr>
              <w:t xml:space="preserve"> </w:t>
            </w:r>
            <w:r w:rsidRPr="00D763B0">
              <w:rPr>
                <w:b/>
                <w:color w:val="auto"/>
                <w:sz w:val="20"/>
                <w:szCs w:val="20"/>
              </w:rPr>
              <w:t>(metric tonnes)</w:t>
            </w:r>
          </w:p>
        </w:tc>
        <w:tc>
          <w:tcPr>
            <w:tcW w:w="1620" w:type="dxa"/>
            <w:shd w:val="clear" w:color="auto" w:fill="FFFFFF" w:themeFill="background1"/>
            <w:vAlign w:val="center"/>
          </w:tcPr>
          <w:p w14:paraId="4A83CAA0" w14:textId="77777777" w:rsidR="005B1FC8" w:rsidRPr="00D763B0" w:rsidRDefault="005B1FC8" w:rsidP="005B1FC8">
            <w:pPr>
              <w:jc w:val="center"/>
              <w:rPr>
                <w:b/>
                <w:color w:val="auto"/>
                <w:sz w:val="20"/>
                <w:szCs w:val="20"/>
              </w:rPr>
            </w:pPr>
            <w:r w:rsidRPr="00D763B0">
              <w:rPr>
                <w:b/>
                <w:color w:val="auto"/>
                <w:sz w:val="20"/>
                <w:szCs w:val="20"/>
              </w:rPr>
              <w:t>Estimated Year to Meet Demand</w:t>
            </w:r>
          </w:p>
        </w:tc>
      </w:tr>
      <w:tr w:rsidR="005B1FC8" w:rsidRPr="00EC67F3" w14:paraId="54705F29" w14:textId="77777777" w:rsidTr="005B1FC8">
        <w:tc>
          <w:tcPr>
            <w:tcW w:w="1080" w:type="dxa"/>
            <w:shd w:val="clear" w:color="auto" w:fill="FFFFFF" w:themeFill="background1"/>
            <w:vAlign w:val="center"/>
          </w:tcPr>
          <w:p w14:paraId="7299F53C" w14:textId="77777777" w:rsidR="005B1FC8" w:rsidRPr="00D763B0" w:rsidRDefault="005B1FC8" w:rsidP="005B1FC8">
            <w:pPr>
              <w:jc w:val="right"/>
              <w:rPr>
                <w:sz w:val="20"/>
                <w:szCs w:val="20"/>
              </w:rPr>
            </w:pPr>
            <w:r w:rsidRPr="00D763B0">
              <w:rPr>
                <w:sz w:val="20"/>
                <w:szCs w:val="20"/>
              </w:rPr>
              <w:t>1a</w:t>
            </w:r>
          </w:p>
        </w:tc>
        <w:tc>
          <w:tcPr>
            <w:tcW w:w="1620" w:type="dxa"/>
            <w:shd w:val="clear" w:color="auto" w:fill="FFFFFF" w:themeFill="background1"/>
            <w:vAlign w:val="center"/>
          </w:tcPr>
          <w:p w14:paraId="1761FFD4" w14:textId="77777777" w:rsidR="005B1FC8" w:rsidRPr="00D763B0" w:rsidRDefault="005B1FC8" w:rsidP="005B1FC8">
            <w:pPr>
              <w:jc w:val="right"/>
              <w:rPr>
                <w:sz w:val="20"/>
                <w:szCs w:val="20"/>
              </w:rPr>
            </w:pPr>
            <w:r w:rsidRPr="00D763B0">
              <w:rPr>
                <w:sz w:val="20"/>
                <w:szCs w:val="20"/>
              </w:rPr>
              <w:t>2.3 – 2.8%</w:t>
            </w:r>
          </w:p>
        </w:tc>
        <w:tc>
          <w:tcPr>
            <w:tcW w:w="1710" w:type="dxa"/>
            <w:shd w:val="clear" w:color="auto" w:fill="FFFFFF" w:themeFill="background1"/>
            <w:vAlign w:val="center"/>
          </w:tcPr>
          <w:p w14:paraId="25A01367" w14:textId="77777777" w:rsidR="005B1FC8" w:rsidRPr="00D763B0" w:rsidRDefault="005B1FC8" w:rsidP="005B1FC8">
            <w:pPr>
              <w:jc w:val="right"/>
              <w:rPr>
                <w:sz w:val="20"/>
                <w:szCs w:val="20"/>
              </w:rPr>
            </w:pPr>
            <w:r w:rsidRPr="00D763B0">
              <w:rPr>
                <w:sz w:val="20"/>
                <w:szCs w:val="20"/>
              </w:rPr>
              <w:t>3%</w:t>
            </w:r>
          </w:p>
        </w:tc>
        <w:tc>
          <w:tcPr>
            <w:tcW w:w="2160" w:type="dxa"/>
            <w:shd w:val="clear" w:color="auto" w:fill="FFFFFF" w:themeFill="background1"/>
            <w:vAlign w:val="center"/>
          </w:tcPr>
          <w:p w14:paraId="0915106B" w14:textId="77777777" w:rsidR="005B1FC8" w:rsidRPr="00D763B0" w:rsidRDefault="005B1FC8" w:rsidP="005B1FC8">
            <w:pPr>
              <w:jc w:val="right"/>
              <w:rPr>
                <w:sz w:val="20"/>
                <w:szCs w:val="20"/>
              </w:rPr>
            </w:pPr>
            <w:r w:rsidRPr="00D763B0">
              <w:rPr>
                <w:sz w:val="20"/>
                <w:szCs w:val="20"/>
              </w:rPr>
              <w:t>15,635</w:t>
            </w:r>
          </w:p>
        </w:tc>
        <w:tc>
          <w:tcPr>
            <w:tcW w:w="1620" w:type="dxa"/>
            <w:shd w:val="clear" w:color="auto" w:fill="FFFFFF" w:themeFill="background1"/>
          </w:tcPr>
          <w:p w14:paraId="08237C9E" w14:textId="77777777" w:rsidR="005B1FC8" w:rsidRPr="00D763B0" w:rsidRDefault="005B1FC8" w:rsidP="005B1FC8">
            <w:pPr>
              <w:jc w:val="right"/>
              <w:rPr>
                <w:sz w:val="20"/>
                <w:szCs w:val="20"/>
              </w:rPr>
            </w:pPr>
            <w:r w:rsidRPr="00D763B0">
              <w:rPr>
                <w:sz w:val="20"/>
                <w:szCs w:val="20"/>
              </w:rPr>
              <w:t>2042</w:t>
            </w:r>
          </w:p>
        </w:tc>
      </w:tr>
      <w:tr w:rsidR="005B1FC8" w:rsidRPr="00EC67F3" w14:paraId="5E66EE42" w14:textId="77777777" w:rsidTr="005B1FC8">
        <w:tc>
          <w:tcPr>
            <w:tcW w:w="1080" w:type="dxa"/>
            <w:shd w:val="clear" w:color="auto" w:fill="FFFFFF" w:themeFill="background1"/>
            <w:vAlign w:val="center"/>
          </w:tcPr>
          <w:p w14:paraId="75FF96B6" w14:textId="77777777" w:rsidR="005B1FC8" w:rsidRPr="00D763B0" w:rsidRDefault="005B1FC8" w:rsidP="005B1FC8">
            <w:pPr>
              <w:jc w:val="right"/>
              <w:rPr>
                <w:sz w:val="20"/>
                <w:szCs w:val="20"/>
              </w:rPr>
            </w:pPr>
            <w:r w:rsidRPr="00D763B0">
              <w:rPr>
                <w:sz w:val="20"/>
                <w:szCs w:val="20"/>
              </w:rPr>
              <w:t>1b</w:t>
            </w:r>
          </w:p>
        </w:tc>
        <w:tc>
          <w:tcPr>
            <w:tcW w:w="1620" w:type="dxa"/>
            <w:shd w:val="clear" w:color="auto" w:fill="FFFFFF" w:themeFill="background1"/>
            <w:vAlign w:val="center"/>
          </w:tcPr>
          <w:p w14:paraId="6945B6C1" w14:textId="77777777" w:rsidR="005B1FC8" w:rsidRPr="00D763B0" w:rsidRDefault="005B1FC8" w:rsidP="005B1FC8">
            <w:pPr>
              <w:jc w:val="right"/>
              <w:rPr>
                <w:sz w:val="20"/>
                <w:szCs w:val="20"/>
              </w:rPr>
            </w:pPr>
            <w:r w:rsidRPr="00D763B0">
              <w:rPr>
                <w:sz w:val="20"/>
                <w:szCs w:val="20"/>
              </w:rPr>
              <w:t>5%</w:t>
            </w:r>
          </w:p>
        </w:tc>
        <w:tc>
          <w:tcPr>
            <w:tcW w:w="1710" w:type="dxa"/>
            <w:shd w:val="clear" w:color="auto" w:fill="FFFFFF" w:themeFill="background1"/>
            <w:vAlign w:val="center"/>
          </w:tcPr>
          <w:p w14:paraId="32810705" w14:textId="77777777" w:rsidR="005B1FC8" w:rsidRPr="00D763B0" w:rsidRDefault="005B1FC8" w:rsidP="005B1FC8">
            <w:pPr>
              <w:jc w:val="right"/>
              <w:rPr>
                <w:sz w:val="20"/>
                <w:szCs w:val="20"/>
              </w:rPr>
            </w:pPr>
            <w:r w:rsidRPr="00D763B0">
              <w:rPr>
                <w:sz w:val="20"/>
                <w:szCs w:val="20"/>
              </w:rPr>
              <w:t>3%</w:t>
            </w:r>
          </w:p>
        </w:tc>
        <w:tc>
          <w:tcPr>
            <w:tcW w:w="2160" w:type="dxa"/>
            <w:shd w:val="clear" w:color="auto" w:fill="FFFFFF" w:themeFill="background1"/>
            <w:vAlign w:val="center"/>
          </w:tcPr>
          <w:p w14:paraId="1AF71CCA" w14:textId="77777777" w:rsidR="005B1FC8" w:rsidRPr="00D763B0" w:rsidRDefault="005B1FC8" w:rsidP="005B1FC8">
            <w:pPr>
              <w:jc w:val="right"/>
              <w:rPr>
                <w:sz w:val="20"/>
                <w:szCs w:val="20"/>
              </w:rPr>
            </w:pPr>
            <w:r w:rsidRPr="00D763B0">
              <w:rPr>
                <w:sz w:val="20"/>
                <w:szCs w:val="20"/>
              </w:rPr>
              <w:t>15,635</w:t>
            </w:r>
          </w:p>
        </w:tc>
        <w:tc>
          <w:tcPr>
            <w:tcW w:w="1620" w:type="dxa"/>
            <w:shd w:val="clear" w:color="auto" w:fill="FFFFFF" w:themeFill="background1"/>
          </w:tcPr>
          <w:p w14:paraId="15184049" w14:textId="77777777" w:rsidR="005B1FC8" w:rsidRPr="00D763B0" w:rsidRDefault="005B1FC8" w:rsidP="005B1FC8">
            <w:pPr>
              <w:jc w:val="right"/>
              <w:rPr>
                <w:sz w:val="20"/>
                <w:szCs w:val="20"/>
              </w:rPr>
            </w:pPr>
            <w:r w:rsidRPr="00D763B0">
              <w:rPr>
                <w:sz w:val="20"/>
                <w:szCs w:val="20"/>
              </w:rPr>
              <w:t>2039</w:t>
            </w:r>
          </w:p>
        </w:tc>
      </w:tr>
      <w:tr w:rsidR="005B1FC8" w:rsidRPr="00EC67F3" w14:paraId="02B45150" w14:textId="77777777" w:rsidTr="005B1FC8">
        <w:tc>
          <w:tcPr>
            <w:tcW w:w="1080" w:type="dxa"/>
            <w:shd w:val="clear" w:color="auto" w:fill="FFFFFF" w:themeFill="background1"/>
            <w:vAlign w:val="center"/>
          </w:tcPr>
          <w:p w14:paraId="2DCF4D98" w14:textId="77777777" w:rsidR="005B1FC8" w:rsidRPr="00D763B0" w:rsidRDefault="005B1FC8" w:rsidP="005B1FC8">
            <w:pPr>
              <w:jc w:val="right"/>
              <w:rPr>
                <w:sz w:val="20"/>
                <w:szCs w:val="20"/>
              </w:rPr>
            </w:pPr>
            <w:r w:rsidRPr="00D763B0">
              <w:rPr>
                <w:sz w:val="20"/>
                <w:szCs w:val="20"/>
              </w:rPr>
              <w:t>2a</w:t>
            </w:r>
          </w:p>
        </w:tc>
        <w:tc>
          <w:tcPr>
            <w:tcW w:w="1620" w:type="dxa"/>
            <w:shd w:val="clear" w:color="auto" w:fill="FFFFFF" w:themeFill="background1"/>
            <w:vAlign w:val="center"/>
          </w:tcPr>
          <w:p w14:paraId="04E07E1D" w14:textId="77777777" w:rsidR="005B1FC8" w:rsidRPr="00D763B0" w:rsidRDefault="005B1FC8" w:rsidP="005B1FC8">
            <w:pPr>
              <w:jc w:val="right"/>
              <w:rPr>
                <w:sz w:val="20"/>
                <w:szCs w:val="20"/>
              </w:rPr>
            </w:pPr>
            <w:r w:rsidRPr="00D763B0">
              <w:rPr>
                <w:sz w:val="20"/>
                <w:szCs w:val="20"/>
              </w:rPr>
              <w:t>2.3 – 2.8%</w:t>
            </w:r>
          </w:p>
        </w:tc>
        <w:tc>
          <w:tcPr>
            <w:tcW w:w="1710" w:type="dxa"/>
            <w:shd w:val="clear" w:color="auto" w:fill="FFFFFF" w:themeFill="background1"/>
            <w:vAlign w:val="center"/>
          </w:tcPr>
          <w:p w14:paraId="3352D35C" w14:textId="77777777" w:rsidR="005B1FC8" w:rsidRPr="00D763B0" w:rsidRDefault="005B1FC8" w:rsidP="005B1FC8">
            <w:pPr>
              <w:jc w:val="right"/>
              <w:rPr>
                <w:sz w:val="20"/>
                <w:szCs w:val="20"/>
              </w:rPr>
            </w:pPr>
            <w:r w:rsidRPr="00D763B0">
              <w:rPr>
                <w:sz w:val="20"/>
                <w:szCs w:val="20"/>
              </w:rPr>
              <w:t>3%</w:t>
            </w:r>
          </w:p>
        </w:tc>
        <w:tc>
          <w:tcPr>
            <w:tcW w:w="2160" w:type="dxa"/>
            <w:shd w:val="clear" w:color="auto" w:fill="FFFFFF" w:themeFill="background1"/>
            <w:vAlign w:val="center"/>
          </w:tcPr>
          <w:p w14:paraId="0B834C70" w14:textId="77777777" w:rsidR="005B1FC8" w:rsidRPr="00D763B0" w:rsidRDefault="005B1FC8" w:rsidP="005B1FC8">
            <w:pPr>
              <w:jc w:val="right"/>
              <w:rPr>
                <w:sz w:val="20"/>
                <w:szCs w:val="20"/>
              </w:rPr>
            </w:pPr>
            <w:r w:rsidRPr="00D763B0">
              <w:rPr>
                <w:sz w:val="20"/>
                <w:szCs w:val="20"/>
              </w:rPr>
              <w:t>14,071</w:t>
            </w:r>
          </w:p>
        </w:tc>
        <w:tc>
          <w:tcPr>
            <w:tcW w:w="1620" w:type="dxa"/>
            <w:shd w:val="clear" w:color="auto" w:fill="FFFFFF" w:themeFill="background1"/>
            <w:vAlign w:val="center"/>
          </w:tcPr>
          <w:p w14:paraId="47181A43" w14:textId="77777777" w:rsidR="005B1FC8" w:rsidRPr="00D763B0" w:rsidRDefault="005B1FC8" w:rsidP="005B1FC8">
            <w:pPr>
              <w:jc w:val="right"/>
              <w:rPr>
                <w:sz w:val="20"/>
                <w:szCs w:val="20"/>
              </w:rPr>
            </w:pPr>
            <w:r w:rsidRPr="00D763B0">
              <w:rPr>
                <w:sz w:val="20"/>
                <w:szCs w:val="20"/>
              </w:rPr>
              <w:t>2040</w:t>
            </w:r>
          </w:p>
        </w:tc>
      </w:tr>
      <w:tr w:rsidR="005B1FC8" w:rsidRPr="00EC67F3" w14:paraId="179A36F3" w14:textId="77777777" w:rsidTr="005B1FC8">
        <w:tc>
          <w:tcPr>
            <w:tcW w:w="1080" w:type="dxa"/>
            <w:shd w:val="clear" w:color="auto" w:fill="FFFFFF" w:themeFill="background1"/>
            <w:vAlign w:val="center"/>
          </w:tcPr>
          <w:p w14:paraId="5AA01CCA" w14:textId="77777777" w:rsidR="005B1FC8" w:rsidRPr="00D763B0" w:rsidRDefault="005B1FC8" w:rsidP="005B1FC8">
            <w:pPr>
              <w:jc w:val="right"/>
              <w:rPr>
                <w:b/>
                <w:sz w:val="20"/>
                <w:szCs w:val="20"/>
              </w:rPr>
            </w:pPr>
            <w:r w:rsidRPr="00D763B0">
              <w:rPr>
                <w:b/>
                <w:sz w:val="20"/>
                <w:szCs w:val="20"/>
              </w:rPr>
              <w:t>2b</w:t>
            </w:r>
          </w:p>
        </w:tc>
        <w:tc>
          <w:tcPr>
            <w:tcW w:w="1620" w:type="dxa"/>
            <w:shd w:val="clear" w:color="auto" w:fill="FFFFFF" w:themeFill="background1"/>
            <w:vAlign w:val="center"/>
          </w:tcPr>
          <w:p w14:paraId="4B7D4A1A" w14:textId="77777777" w:rsidR="005B1FC8" w:rsidRPr="00D763B0" w:rsidRDefault="005B1FC8" w:rsidP="005B1FC8">
            <w:pPr>
              <w:jc w:val="right"/>
              <w:rPr>
                <w:b/>
                <w:sz w:val="20"/>
                <w:szCs w:val="20"/>
              </w:rPr>
            </w:pPr>
            <w:r w:rsidRPr="00D763B0">
              <w:rPr>
                <w:b/>
                <w:sz w:val="20"/>
                <w:szCs w:val="20"/>
              </w:rPr>
              <w:t>5%</w:t>
            </w:r>
          </w:p>
        </w:tc>
        <w:tc>
          <w:tcPr>
            <w:tcW w:w="1710" w:type="dxa"/>
            <w:shd w:val="clear" w:color="auto" w:fill="FFFFFF" w:themeFill="background1"/>
            <w:vAlign w:val="center"/>
          </w:tcPr>
          <w:p w14:paraId="20909453" w14:textId="77777777" w:rsidR="005B1FC8" w:rsidRPr="00D763B0" w:rsidRDefault="005B1FC8" w:rsidP="005B1FC8">
            <w:pPr>
              <w:jc w:val="right"/>
              <w:rPr>
                <w:b/>
                <w:sz w:val="20"/>
                <w:szCs w:val="20"/>
              </w:rPr>
            </w:pPr>
            <w:r w:rsidRPr="00D763B0">
              <w:rPr>
                <w:b/>
                <w:sz w:val="20"/>
                <w:szCs w:val="20"/>
              </w:rPr>
              <w:t>3%</w:t>
            </w:r>
          </w:p>
        </w:tc>
        <w:tc>
          <w:tcPr>
            <w:tcW w:w="2160" w:type="dxa"/>
            <w:shd w:val="clear" w:color="auto" w:fill="FFFFFF" w:themeFill="background1"/>
            <w:vAlign w:val="center"/>
          </w:tcPr>
          <w:p w14:paraId="6596F590" w14:textId="77777777" w:rsidR="005B1FC8" w:rsidRPr="00D763B0" w:rsidRDefault="005B1FC8" w:rsidP="005B1FC8">
            <w:pPr>
              <w:jc w:val="right"/>
              <w:rPr>
                <w:b/>
                <w:sz w:val="20"/>
                <w:szCs w:val="20"/>
              </w:rPr>
            </w:pPr>
            <w:r w:rsidRPr="00D763B0">
              <w:rPr>
                <w:b/>
                <w:sz w:val="20"/>
                <w:szCs w:val="20"/>
              </w:rPr>
              <w:t>14,071</w:t>
            </w:r>
          </w:p>
        </w:tc>
        <w:tc>
          <w:tcPr>
            <w:tcW w:w="1620" w:type="dxa"/>
            <w:shd w:val="clear" w:color="auto" w:fill="FFFFFF" w:themeFill="background1"/>
            <w:vAlign w:val="center"/>
          </w:tcPr>
          <w:p w14:paraId="6B57851A" w14:textId="77777777" w:rsidR="005B1FC8" w:rsidRPr="00D763B0" w:rsidRDefault="005B1FC8" w:rsidP="005B1FC8">
            <w:pPr>
              <w:jc w:val="right"/>
              <w:rPr>
                <w:b/>
                <w:sz w:val="20"/>
                <w:szCs w:val="20"/>
              </w:rPr>
            </w:pPr>
            <w:r w:rsidRPr="00D763B0">
              <w:rPr>
                <w:b/>
                <w:sz w:val="20"/>
                <w:szCs w:val="20"/>
              </w:rPr>
              <w:t>2036</w:t>
            </w:r>
          </w:p>
        </w:tc>
      </w:tr>
      <w:tr w:rsidR="005B1FC8" w:rsidRPr="00EC67F3" w14:paraId="1586EBE0" w14:textId="77777777" w:rsidTr="005B1FC8">
        <w:tc>
          <w:tcPr>
            <w:tcW w:w="1080" w:type="dxa"/>
            <w:shd w:val="clear" w:color="auto" w:fill="FFFFFF" w:themeFill="background1"/>
            <w:vAlign w:val="center"/>
          </w:tcPr>
          <w:p w14:paraId="123ACF8A" w14:textId="77777777" w:rsidR="005B1FC8" w:rsidRPr="00D763B0" w:rsidRDefault="005B1FC8" w:rsidP="005B1FC8">
            <w:pPr>
              <w:jc w:val="right"/>
              <w:rPr>
                <w:b/>
                <w:sz w:val="20"/>
                <w:szCs w:val="20"/>
              </w:rPr>
            </w:pPr>
            <w:r w:rsidRPr="00D763B0">
              <w:rPr>
                <w:b/>
                <w:sz w:val="20"/>
                <w:szCs w:val="20"/>
              </w:rPr>
              <w:t>3a</w:t>
            </w:r>
          </w:p>
        </w:tc>
        <w:tc>
          <w:tcPr>
            <w:tcW w:w="1620" w:type="dxa"/>
            <w:shd w:val="clear" w:color="auto" w:fill="FFFFFF" w:themeFill="background1"/>
            <w:vAlign w:val="center"/>
          </w:tcPr>
          <w:p w14:paraId="75388AA4" w14:textId="77777777" w:rsidR="005B1FC8" w:rsidRPr="00D763B0" w:rsidRDefault="005B1FC8" w:rsidP="005B1FC8">
            <w:pPr>
              <w:jc w:val="right"/>
              <w:rPr>
                <w:b/>
                <w:sz w:val="20"/>
                <w:szCs w:val="20"/>
              </w:rPr>
            </w:pPr>
            <w:r w:rsidRPr="00D763B0">
              <w:rPr>
                <w:b/>
                <w:sz w:val="20"/>
                <w:szCs w:val="20"/>
              </w:rPr>
              <w:t>2.3 – 2.8%</w:t>
            </w:r>
          </w:p>
        </w:tc>
        <w:tc>
          <w:tcPr>
            <w:tcW w:w="1710" w:type="dxa"/>
            <w:shd w:val="clear" w:color="auto" w:fill="FFFFFF" w:themeFill="background1"/>
            <w:vAlign w:val="center"/>
          </w:tcPr>
          <w:p w14:paraId="152BA78C" w14:textId="77777777" w:rsidR="005B1FC8" w:rsidRPr="00D763B0" w:rsidRDefault="005B1FC8" w:rsidP="005B1FC8">
            <w:pPr>
              <w:jc w:val="right"/>
              <w:rPr>
                <w:b/>
                <w:sz w:val="20"/>
                <w:szCs w:val="20"/>
              </w:rPr>
            </w:pPr>
            <w:r w:rsidRPr="00D763B0">
              <w:rPr>
                <w:b/>
                <w:sz w:val="20"/>
                <w:szCs w:val="20"/>
              </w:rPr>
              <w:t>3%</w:t>
            </w:r>
          </w:p>
        </w:tc>
        <w:tc>
          <w:tcPr>
            <w:tcW w:w="2160" w:type="dxa"/>
            <w:shd w:val="clear" w:color="auto" w:fill="FFFFFF" w:themeFill="background1"/>
            <w:vAlign w:val="center"/>
          </w:tcPr>
          <w:p w14:paraId="46C763FA" w14:textId="77777777" w:rsidR="005B1FC8" w:rsidRPr="00D763B0" w:rsidRDefault="005B1FC8" w:rsidP="005B1FC8">
            <w:pPr>
              <w:jc w:val="right"/>
              <w:rPr>
                <w:b/>
                <w:sz w:val="20"/>
                <w:szCs w:val="20"/>
              </w:rPr>
            </w:pPr>
            <w:r w:rsidRPr="00D763B0">
              <w:rPr>
                <w:b/>
                <w:sz w:val="20"/>
                <w:szCs w:val="20"/>
              </w:rPr>
              <w:t>17,198</w:t>
            </w:r>
          </w:p>
        </w:tc>
        <w:tc>
          <w:tcPr>
            <w:tcW w:w="1620" w:type="dxa"/>
            <w:shd w:val="clear" w:color="auto" w:fill="FFFFFF" w:themeFill="background1"/>
            <w:vAlign w:val="center"/>
          </w:tcPr>
          <w:p w14:paraId="6A53378C" w14:textId="77777777" w:rsidR="005B1FC8" w:rsidRPr="00D763B0" w:rsidRDefault="005B1FC8" w:rsidP="005B1FC8">
            <w:pPr>
              <w:jc w:val="right"/>
              <w:rPr>
                <w:b/>
                <w:sz w:val="20"/>
                <w:szCs w:val="20"/>
              </w:rPr>
            </w:pPr>
            <w:r w:rsidRPr="00D763B0">
              <w:rPr>
                <w:b/>
                <w:sz w:val="20"/>
                <w:szCs w:val="20"/>
              </w:rPr>
              <w:t>2045</w:t>
            </w:r>
          </w:p>
        </w:tc>
      </w:tr>
      <w:tr w:rsidR="005B1FC8" w:rsidRPr="00EC67F3" w14:paraId="24845678" w14:textId="77777777" w:rsidTr="005B1FC8">
        <w:tc>
          <w:tcPr>
            <w:tcW w:w="1080" w:type="dxa"/>
            <w:shd w:val="clear" w:color="auto" w:fill="FFFFFF" w:themeFill="background1"/>
            <w:vAlign w:val="center"/>
          </w:tcPr>
          <w:p w14:paraId="7413A712" w14:textId="77777777" w:rsidR="005B1FC8" w:rsidRPr="00D763B0" w:rsidRDefault="005B1FC8" w:rsidP="005B1FC8">
            <w:pPr>
              <w:jc w:val="right"/>
              <w:rPr>
                <w:sz w:val="20"/>
                <w:szCs w:val="20"/>
              </w:rPr>
            </w:pPr>
            <w:r w:rsidRPr="00D763B0">
              <w:rPr>
                <w:sz w:val="20"/>
                <w:szCs w:val="20"/>
              </w:rPr>
              <w:t>3b</w:t>
            </w:r>
          </w:p>
        </w:tc>
        <w:tc>
          <w:tcPr>
            <w:tcW w:w="1620" w:type="dxa"/>
            <w:shd w:val="clear" w:color="auto" w:fill="FFFFFF" w:themeFill="background1"/>
            <w:vAlign w:val="center"/>
          </w:tcPr>
          <w:p w14:paraId="30FD4E4F" w14:textId="77777777" w:rsidR="005B1FC8" w:rsidRPr="00D763B0" w:rsidRDefault="005B1FC8" w:rsidP="005B1FC8">
            <w:pPr>
              <w:jc w:val="right"/>
              <w:rPr>
                <w:sz w:val="20"/>
                <w:szCs w:val="20"/>
              </w:rPr>
            </w:pPr>
            <w:r w:rsidRPr="00D763B0">
              <w:rPr>
                <w:sz w:val="20"/>
                <w:szCs w:val="20"/>
              </w:rPr>
              <w:t>5%</w:t>
            </w:r>
          </w:p>
        </w:tc>
        <w:tc>
          <w:tcPr>
            <w:tcW w:w="1710" w:type="dxa"/>
            <w:shd w:val="clear" w:color="auto" w:fill="FFFFFF" w:themeFill="background1"/>
            <w:vAlign w:val="center"/>
          </w:tcPr>
          <w:p w14:paraId="00B1EE6A" w14:textId="77777777" w:rsidR="005B1FC8" w:rsidRPr="00D763B0" w:rsidRDefault="005B1FC8" w:rsidP="005B1FC8">
            <w:pPr>
              <w:jc w:val="right"/>
              <w:rPr>
                <w:sz w:val="20"/>
                <w:szCs w:val="20"/>
              </w:rPr>
            </w:pPr>
            <w:r w:rsidRPr="00D763B0">
              <w:rPr>
                <w:sz w:val="20"/>
                <w:szCs w:val="20"/>
              </w:rPr>
              <w:t>3%</w:t>
            </w:r>
          </w:p>
        </w:tc>
        <w:tc>
          <w:tcPr>
            <w:tcW w:w="2160" w:type="dxa"/>
            <w:shd w:val="clear" w:color="auto" w:fill="FFFFFF" w:themeFill="background1"/>
            <w:vAlign w:val="center"/>
          </w:tcPr>
          <w:p w14:paraId="45141773" w14:textId="77777777" w:rsidR="005B1FC8" w:rsidRPr="00D763B0" w:rsidRDefault="005B1FC8" w:rsidP="005B1FC8">
            <w:pPr>
              <w:jc w:val="right"/>
              <w:rPr>
                <w:sz w:val="20"/>
                <w:szCs w:val="20"/>
              </w:rPr>
            </w:pPr>
            <w:r w:rsidRPr="00D763B0">
              <w:rPr>
                <w:sz w:val="20"/>
                <w:szCs w:val="20"/>
              </w:rPr>
              <w:t>17,198</w:t>
            </w:r>
          </w:p>
        </w:tc>
        <w:tc>
          <w:tcPr>
            <w:tcW w:w="1620" w:type="dxa"/>
            <w:shd w:val="clear" w:color="auto" w:fill="FFFFFF" w:themeFill="background1"/>
            <w:vAlign w:val="center"/>
          </w:tcPr>
          <w:p w14:paraId="2ED4606F" w14:textId="77777777" w:rsidR="005B1FC8" w:rsidRPr="00D763B0" w:rsidRDefault="005B1FC8" w:rsidP="005B1FC8">
            <w:pPr>
              <w:jc w:val="right"/>
              <w:rPr>
                <w:sz w:val="20"/>
                <w:szCs w:val="20"/>
              </w:rPr>
            </w:pPr>
            <w:r w:rsidRPr="00D763B0">
              <w:rPr>
                <w:sz w:val="20"/>
                <w:szCs w:val="20"/>
              </w:rPr>
              <w:t>2041</w:t>
            </w:r>
          </w:p>
        </w:tc>
      </w:tr>
    </w:tbl>
    <w:p w14:paraId="03F612C3" w14:textId="77777777" w:rsidR="005B1FC8" w:rsidRPr="00EC67F3" w:rsidRDefault="005B1FC8" w:rsidP="00EC67F3">
      <w:pPr>
        <w:ind w:left="450"/>
        <w:rPr>
          <w:sz w:val="18"/>
        </w:rPr>
      </w:pPr>
      <w:r w:rsidRPr="00EC1422">
        <w:rPr>
          <w:sz w:val="18"/>
          <w:vertAlign w:val="superscript"/>
        </w:rPr>
        <w:t xml:space="preserve">a </w:t>
      </w:r>
      <w:r w:rsidRPr="00EC1422">
        <w:rPr>
          <w:sz w:val="18"/>
        </w:rPr>
        <w:t>Estimated amount of material that will be decommissioned and repurposed for aviation applications from commercial aviation stockpiles, computer facilities, and maritime.</w:t>
      </w:r>
    </w:p>
    <w:p w14:paraId="123A7C2A" w14:textId="7A2DBF23" w:rsidR="005B1FC8" w:rsidRPr="00EC1422" w:rsidRDefault="005B1FC8" w:rsidP="00EC67F3">
      <w:r w:rsidRPr="00EC1422">
        <w:t xml:space="preserve">While this may seem far out into the future, the reality is that the aircraft have a 30+ </w:t>
      </w:r>
      <w:r w:rsidR="008B329D">
        <w:t xml:space="preserve"> </w:t>
      </w:r>
      <w:r w:rsidRPr="00EC1422">
        <w:t>year lifetime. Therefore, for aircraft that h</w:t>
      </w:r>
      <w:r>
        <w:t>ave been manufactured since 2006</w:t>
      </w:r>
      <w:r w:rsidRPr="00EC1422">
        <w:t>, there is not enough halon 1301 projected to be available to support them throughout their economic lifetime in the worst</w:t>
      </w:r>
      <w:r w:rsidR="008B329D">
        <w:t>-</w:t>
      </w:r>
      <w:r w:rsidRPr="00EC1422">
        <w:t>case scenario.  Even in the best</w:t>
      </w:r>
      <w:r w:rsidR="008B329D">
        <w:t>-</w:t>
      </w:r>
      <w:r w:rsidRPr="00EC1422">
        <w:t>case scenario, halon is only projected to be available to support aircraft over their entire lifetime that</w:t>
      </w:r>
      <w:r>
        <w:t xml:space="preserve"> are produced up until this year (i.e., 2015)</w:t>
      </w:r>
      <w:r w:rsidRPr="00EC1422">
        <w:t>.</w:t>
      </w:r>
    </w:p>
    <w:p w14:paraId="68BA0902" w14:textId="77777777" w:rsidR="005B1FC8" w:rsidRPr="00EC67F3" w:rsidRDefault="005B1FC8" w:rsidP="00EC67F3">
      <w:r w:rsidRPr="00EC1422">
        <w:t xml:space="preserve">Based on the potential amount of halon 1301 from ship breaking in the previous section, annual amounts from ship breaking could be sufficient to cover civil aviation needs until that source runs out between 2023 and 2033.  This assumes that all of the halon 1301 is fully recovered from shipbuilding and that all of it would be dedicated to civil aviation, both of which are likely not true today and, without significant effort, will not be true in the future.  Further, as the supply of halons gets further reduced the likelihood of a significant disruption in supply increases dramatically. If civil aviation does not stop producing new aircraft using halon 1301, they are already or soon will be producing aircraft that cannot be sustained over their economic lifetimes with existing supplies of recycled halon 1301.  </w:t>
      </w:r>
      <w:r w:rsidRPr="00780C84">
        <w:t xml:space="preserve">Of all the </w:t>
      </w:r>
      <w:r>
        <w:t xml:space="preserve">halon use </w:t>
      </w:r>
      <w:r w:rsidRPr="00780C84">
        <w:t>sectors, civil aviation is the least prepared to deal with diminishing halon supplies and, with the ultimate exhaustion of supplies this sector will most likely be the one to request an Essential Use Nomination in the future.</w:t>
      </w:r>
    </w:p>
    <w:p w14:paraId="43F882F1" w14:textId="1F98EF6F" w:rsidR="005B1FC8" w:rsidRPr="00EC1422" w:rsidRDefault="002203A5" w:rsidP="002B7818">
      <w:pPr>
        <w:pStyle w:val="Heading2"/>
      </w:pPr>
      <w:bookmarkStart w:id="202" w:name="_Toc295406177"/>
      <w:r>
        <w:t>8.7.</w:t>
      </w:r>
      <w:r>
        <w:tab/>
      </w:r>
      <w:r w:rsidR="005B1FC8" w:rsidRPr="00EC1422">
        <w:t>References</w:t>
      </w:r>
      <w:bookmarkEnd w:id="202"/>
    </w:p>
    <w:p w14:paraId="2FC44300" w14:textId="77777777" w:rsidR="005B1FC8" w:rsidRPr="00EC1422" w:rsidRDefault="005B1FC8" w:rsidP="00EC67F3">
      <w:pPr>
        <w:pStyle w:val="References"/>
        <w:jc w:val="left"/>
      </w:pPr>
      <w:r w:rsidRPr="00EC1422">
        <w:t>Boeing, Halon Replacement for Airplane Portable Fire Extinguishers – Progress Report, 2010.</w:t>
      </w:r>
    </w:p>
    <w:p w14:paraId="174B1C9C" w14:textId="77777777" w:rsidR="005B1FC8" w:rsidRPr="00EC1422" w:rsidRDefault="005B1FC8" w:rsidP="00EC67F3">
      <w:pPr>
        <w:pStyle w:val="References"/>
        <w:jc w:val="left"/>
      </w:pPr>
      <w:r w:rsidRPr="00EC1422">
        <w:t xml:space="preserve">HTOC (Halons Technical Options Committee), UNEP (United Nations Environment Programme), 2010 Assessment Report of the Halons Technical Options Committee, March 2011. Available online at: </w:t>
      </w:r>
      <w:hyperlink r:id="rId41" w:history="1">
        <w:r w:rsidRPr="00EC67F3">
          <w:rPr>
            <w:rStyle w:val="Hyperlink"/>
            <w:rFonts w:ascii="Times New Roman" w:hAnsi="Times New Roman"/>
          </w:rPr>
          <w:t>http://ozone.unep.org/teap/Reports/HTOC/HTOC-Assessment-Report-2010.pdf</w:t>
        </w:r>
      </w:hyperlink>
      <w:r w:rsidRPr="00EC67F3">
        <w:t xml:space="preserve"> </w:t>
      </w:r>
    </w:p>
    <w:p w14:paraId="37955CB2" w14:textId="77777777" w:rsidR="005B1FC8" w:rsidRDefault="005B1FC8" w:rsidP="00EC67F3">
      <w:pPr>
        <w:pStyle w:val="References"/>
        <w:jc w:val="left"/>
      </w:pPr>
      <w:r w:rsidRPr="00EC1422">
        <w:t>HTOC (Halons Technical Options Committee), UNEP (United Nations Environment Programme), 2014 Assessment Report of the Halons Technical Options Committee - Volume 2, December, 2014. Available</w:t>
      </w:r>
      <w:r w:rsidRPr="00EC67F3">
        <w:t xml:space="preserve"> online at: </w:t>
      </w:r>
      <w:hyperlink r:id="rId42" w:history="1">
        <w:r w:rsidRPr="00EC67F3">
          <w:rPr>
            <w:rStyle w:val="Hyperlink"/>
            <w:rFonts w:ascii="Times New Roman" w:hAnsi="Times New Roman"/>
          </w:rPr>
          <w:t>http://ozone.unep.org/Assessment_Panels/TEAP/Reports/HTOC/HTOC 2014 Supplementary Report1 - Civil Aviation.pdf</w:t>
        </w:r>
      </w:hyperlink>
    </w:p>
    <w:p w14:paraId="7811F233" w14:textId="77777777" w:rsidR="005B1FC8" w:rsidRPr="00EC1422" w:rsidRDefault="005B1FC8" w:rsidP="00EC67F3">
      <w:pPr>
        <w:pStyle w:val="References"/>
        <w:jc w:val="left"/>
      </w:pPr>
      <w:r w:rsidRPr="00EC1422">
        <w:t>ICAO State letter reference AN 3/25.1-10/2.</w:t>
      </w:r>
    </w:p>
    <w:p w14:paraId="6385910D" w14:textId="43ADF29A" w:rsidR="005B1FC8" w:rsidRPr="00EC1422" w:rsidRDefault="005B1FC8" w:rsidP="00EC67F3">
      <w:pPr>
        <w:pStyle w:val="References"/>
        <w:jc w:val="left"/>
      </w:pPr>
      <w:r w:rsidRPr="00EC1422">
        <w:t xml:space="preserve">ICF International, Projections of Halon 1301 Supply and Demand for Aviation Applications, </w:t>
      </w:r>
      <w:r w:rsidR="00165E88">
        <w:t>June</w:t>
      </w:r>
      <w:r w:rsidRPr="00EC1422">
        <w:t xml:space="preserve"> 2015.</w:t>
      </w:r>
    </w:p>
    <w:p w14:paraId="161A89C0" w14:textId="77777777" w:rsidR="005B1FC8" w:rsidRPr="00EC1422" w:rsidRDefault="005B1FC8" w:rsidP="00EC67F3">
      <w:pPr>
        <w:pStyle w:val="References"/>
        <w:jc w:val="left"/>
      </w:pPr>
      <w:r w:rsidRPr="00EC1422">
        <w:t>IPCC (Intergovernmental Panel on Climate Change), Climate Change 2013: The Physical Science Basis: Contribution of Working Group I to the Fifth Assessment Report of the Intergovernmental Panel on Climate Change, edited by T.F. Stocker, D. Qin, G.-K. Plattner, M. Tignor, S.K. Allen, J. Boschung, A. Nauels, Y. Xia, V. Bex, and P.M. Midgley, 1535 pp., Cambridge University Press, Cambridge, UK and New York, NY, USA, 2013.</w:t>
      </w:r>
    </w:p>
    <w:p w14:paraId="13233F0E" w14:textId="77777777" w:rsidR="005B1FC8" w:rsidRPr="00EC1422" w:rsidRDefault="005B1FC8" w:rsidP="00EC67F3">
      <w:pPr>
        <w:pStyle w:val="References"/>
        <w:jc w:val="left"/>
      </w:pPr>
      <w:r w:rsidRPr="00EC1422">
        <w:t>Patten, K.O., V.G. Khamaganov, V.L. Orkin, S.L. Baughcum, and D.J. Wuebbles, OH reaction rate constant, IR absorption spectrum, ozone depletion potentials and global warming potentials of 2-bromo-3,3,3-trifluoropropene, J. Geophys. Res., 116 (D24), D24307, doi: 10.1029/2011JD016518, 2011.N</w:t>
      </w:r>
    </w:p>
    <w:p w14:paraId="4A36A752" w14:textId="77777777" w:rsidR="005B1FC8" w:rsidRPr="00EC67F3" w:rsidRDefault="005B1FC8" w:rsidP="00EC67F3">
      <w:pPr>
        <w:pStyle w:val="References"/>
        <w:jc w:val="left"/>
      </w:pPr>
      <w:r w:rsidRPr="00EC1422">
        <w:t xml:space="preserve">WMO (World Meteorological Organization), Scientific Assessment of Ozone Depletion: 2014, 10 September, 2014. Available online at: </w:t>
      </w:r>
      <w:hyperlink r:id="rId43" w:history="1">
        <w:r w:rsidRPr="00EC67F3">
          <w:rPr>
            <w:rStyle w:val="Hyperlink"/>
            <w:rFonts w:ascii="Times New Roman" w:hAnsi="Times New Roman"/>
          </w:rPr>
          <w:t>https://www.wmo.int/pages/prog/arep/gaw/ozone_2014/ozone_asst_report.html</w:t>
        </w:r>
      </w:hyperlink>
      <w:r w:rsidRPr="00EC67F3">
        <w:t>.</w:t>
      </w:r>
    </w:p>
    <w:p w14:paraId="2DBDC736" w14:textId="77777777" w:rsidR="005B1FC8" w:rsidRPr="00EC1422" w:rsidRDefault="005B1FC8" w:rsidP="00EC67F3">
      <w:pPr>
        <w:pStyle w:val="References"/>
        <w:jc w:val="left"/>
      </w:pPr>
      <w:r w:rsidRPr="00EC1422">
        <w:t>WMO (World Meteorological Organization), Scientific Assessment of Ozone Depletion: 2014, Global Ozone Research and Monitoring Project - Report No. 55, 416 pp., Geneva, Switzerland, 2014.</w:t>
      </w:r>
    </w:p>
    <w:p w14:paraId="649034F6" w14:textId="77777777" w:rsidR="005B1FC8" w:rsidRPr="00EC1422" w:rsidRDefault="005B1FC8" w:rsidP="00D763B0">
      <w:pPr>
        <w:pStyle w:val="References"/>
        <w:jc w:val="left"/>
      </w:pPr>
      <w:r w:rsidRPr="00EC1422">
        <w:t>Wuebbles, D, et al, "Three Dimensional Modeling of HCFC-123 in the Atmosphere:  Assessing its Potential Environmental Impact and Rationale for Continued Use,” Environment Science and Technology, May 2009.</w:t>
      </w:r>
      <w:r w:rsidRPr="00EC1422">
        <w:br/>
      </w:r>
    </w:p>
    <w:p w14:paraId="0B4CB31D" w14:textId="77777777" w:rsidR="005B1FC8" w:rsidRPr="00EC1422" w:rsidRDefault="005B1FC8" w:rsidP="005B1FC8">
      <w:pPr>
        <w:pStyle w:val="Default"/>
        <w:spacing w:line="276" w:lineRule="auto"/>
      </w:pPr>
    </w:p>
    <w:p w14:paraId="2C05B319" w14:textId="77777777" w:rsidR="005B1FC8" w:rsidRDefault="005B1FC8">
      <w:pPr>
        <w:spacing w:after="0"/>
        <w:rPr>
          <w:b/>
          <w:sz w:val="28"/>
        </w:rPr>
      </w:pPr>
      <w:r>
        <w:br w:type="page"/>
      </w:r>
    </w:p>
    <w:p w14:paraId="71B498A6" w14:textId="77777777" w:rsidR="00AD4B2A" w:rsidRDefault="005B1FC8" w:rsidP="0030141E">
      <w:pPr>
        <w:pStyle w:val="Heading1"/>
      </w:pPr>
      <w:bookmarkStart w:id="203" w:name="_Toc295406178"/>
      <w:r>
        <w:t xml:space="preserve">9. </w:t>
      </w:r>
      <w:r w:rsidR="00591AA8">
        <w:t>Other TEAP matters</w:t>
      </w:r>
      <w:bookmarkEnd w:id="172"/>
      <w:bookmarkEnd w:id="203"/>
    </w:p>
    <w:p w14:paraId="38511EF4" w14:textId="77777777" w:rsidR="00AD4B2A" w:rsidRPr="002B7818" w:rsidRDefault="005B1FC8" w:rsidP="002B7818">
      <w:pPr>
        <w:pStyle w:val="Heading2"/>
      </w:pPr>
      <w:bookmarkStart w:id="204" w:name="_Toc354502660"/>
      <w:bookmarkStart w:id="205" w:name="_Toc388648371"/>
      <w:bookmarkStart w:id="206" w:name="_Toc295406179"/>
      <w:r w:rsidRPr="002B7818">
        <w:t>9</w:t>
      </w:r>
      <w:r w:rsidR="00591AA8" w:rsidRPr="002B7818">
        <w:t>.1</w:t>
      </w:r>
      <w:r w:rsidR="00591AA8" w:rsidRPr="002B7818">
        <w:tab/>
        <w:t xml:space="preserve"> </w:t>
      </w:r>
      <w:bookmarkEnd w:id="204"/>
      <w:r w:rsidR="00591AA8" w:rsidRPr="002B7818">
        <w:t>Status of TOC reappointments</w:t>
      </w:r>
      <w:bookmarkEnd w:id="205"/>
      <w:bookmarkEnd w:id="206"/>
    </w:p>
    <w:p w14:paraId="4483057B" w14:textId="480A9089" w:rsidR="00AD4B2A" w:rsidRDefault="001966C9" w:rsidP="00196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rPr>
      </w:pPr>
      <w:r>
        <w:rPr>
          <w:color w:val="auto"/>
        </w:rPr>
        <w:t>As required by Decision XXIII/10, TEAP and its TOCs completed reappointments of members in 2014.</w:t>
      </w:r>
      <w:r w:rsidRPr="00066009">
        <w:t xml:space="preserve"> </w:t>
      </w:r>
      <w:r w:rsidRPr="00066009">
        <w:rPr>
          <w:color w:val="auto"/>
        </w:rPr>
        <w:t>The TOCs membership sizes, geographical, and gender balance in the per</w:t>
      </w:r>
      <w:r>
        <w:rPr>
          <w:color w:val="auto"/>
        </w:rPr>
        <w:t>iod beginning 1 January 2015 follows the configurations r</w:t>
      </w:r>
      <w:r w:rsidRPr="00066009">
        <w:rPr>
          <w:color w:val="auto"/>
        </w:rPr>
        <w:t>eported to the Parties in TEAP’s Decision XXIV/8 Task Force Report (May 2013). In that report, TOCs membership numbers in the 2014-2018 period were anticipated to remain the same or decrease from the 2013-2014 period due to anticipated attrition during the 2014 reappointment process; the exception to this was RTOC which was anticipated to retain its previous membership numbers based on anticipated workload.</w:t>
      </w:r>
      <w:r>
        <w:rPr>
          <w:color w:val="auto"/>
        </w:rPr>
        <w:t xml:space="preserve"> Annex 1 of this report provides updated TOC membership lists, which include the start dates and current terms of appointment for all members. Where possible, TEAP is aligning appointment start dates to begin on Jan 1</w:t>
      </w:r>
      <w:r w:rsidRPr="005A7240">
        <w:rPr>
          <w:color w:val="auto"/>
          <w:vertAlign w:val="superscript"/>
        </w:rPr>
        <w:t>st</w:t>
      </w:r>
      <w:r>
        <w:rPr>
          <w:color w:val="auto"/>
        </w:rPr>
        <w:t xml:space="preserve"> coinciding with the start of the next quadrennial Assessment Reporting period. </w:t>
      </w:r>
      <w:r w:rsidRPr="00747093">
        <w:rPr>
          <w:color w:val="auto"/>
        </w:rPr>
        <w:t xml:space="preserve">TEAP </w:t>
      </w:r>
      <w:r>
        <w:rPr>
          <w:color w:val="auto"/>
        </w:rPr>
        <w:t>is grateful for the</w:t>
      </w:r>
      <w:r w:rsidRPr="00747093">
        <w:rPr>
          <w:color w:val="auto"/>
        </w:rPr>
        <w:t xml:space="preserve"> service of the TOCs members</w:t>
      </w:r>
      <w:r w:rsidR="008B329D">
        <w:rPr>
          <w:color w:val="auto"/>
        </w:rPr>
        <w:t>, past and present,</w:t>
      </w:r>
      <w:r w:rsidRPr="00747093">
        <w:rPr>
          <w:color w:val="auto"/>
        </w:rPr>
        <w:t xml:space="preserve"> and their contributions to the work of completing the 2014 assessment reports</w:t>
      </w:r>
      <w:r>
        <w:rPr>
          <w:color w:val="auto"/>
        </w:rPr>
        <w:t xml:space="preserve">, and looks forward </w:t>
      </w:r>
      <w:r w:rsidRPr="00747093">
        <w:rPr>
          <w:color w:val="auto"/>
        </w:rPr>
        <w:t>to the contributions of continuing and new members to the TOCs</w:t>
      </w:r>
      <w:r>
        <w:rPr>
          <w:color w:val="auto"/>
        </w:rPr>
        <w:t xml:space="preserve"> in the next assessment report period</w:t>
      </w:r>
      <w:r w:rsidRPr="00747093">
        <w:rPr>
          <w:color w:val="auto"/>
        </w:rPr>
        <w:t>.</w:t>
      </w:r>
      <w:r>
        <w:rPr>
          <w:color w:val="auto"/>
        </w:rPr>
        <w:t xml:space="preserve"> </w:t>
      </w:r>
    </w:p>
    <w:p w14:paraId="7176279B" w14:textId="77777777" w:rsidR="00AD4B2A" w:rsidRDefault="00AD4B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rPr>
      </w:pPr>
    </w:p>
    <w:p w14:paraId="0EEF1115" w14:textId="68BC0D8A" w:rsidR="008100AC" w:rsidRDefault="005A72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rPr>
      </w:pPr>
      <w:r>
        <w:rPr>
          <w:color w:val="auto"/>
        </w:rPr>
        <w:t xml:space="preserve">In addition to the above </w:t>
      </w:r>
      <w:r w:rsidR="001966C9">
        <w:rPr>
          <w:color w:val="auto"/>
        </w:rPr>
        <w:t>update</w:t>
      </w:r>
      <w:r w:rsidR="008100AC">
        <w:rPr>
          <w:color w:val="auto"/>
        </w:rPr>
        <w:t xml:space="preserve">, TEAP </w:t>
      </w:r>
      <w:r w:rsidR="001966C9">
        <w:rPr>
          <w:color w:val="auto"/>
        </w:rPr>
        <w:t xml:space="preserve">takes the opportunity in this report to </w:t>
      </w:r>
      <w:r w:rsidR="008100AC">
        <w:rPr>
          <w:color w:val="auto"/>
        </w:rPr>
        <w:t xml:space="preserve">bring to the attention of the Parties </w:t>
      </w:r>
      <w:r>
        <w:rPr>
          <w:color w:val="auto"/>
        </w:rPr>
        <w:t>specific</w:t>
      </w:r>
      <w:r w:rsidR="008100AC">
        <w:rPr>
          <w:color w:val="auto"/>
        </w:rPr>
        <w:t xml:space="preserve"> issues </w:t>
      </w:r>
      <w:r>
        <w:rPr>
          <w:color w:val="auto"/>
        </w:rPr>
        <w:t xml:space="preserve">relevant for </w:t>
      </w:r>
      <w:r w:rsidR="00343A2F">
        <w:rPr>
          <w:color w:val="auto"/>
        </w:rPr>
        <w:t>particular</w:t>
      </w:r>
      <w:r w:rsidR="008100AC">
        <w:rPr>
          <w:color w:val="auto"/>
        </w:rPr>
        <w:t xml:space="preserve"> TOC</w:t>
      </w:r>
      <w:r w:rsidR="00D15CC2">
        <w:rPr>
          <w:color w:val="auto"/>
        </w:rPr>
        <w:t>s</w:t>
      </w:r>
      <w:r>
        <w:rPr>
          <w:color w:val="auto"/>
        </w:rPr>
        <w:t>:</w:t>
      </w:r>
      <w:r w:rsidR="008100AC">
        <w:rPr>
          <w:color w:val="auto"/>
        </w:rPr>
        <w:t xml:space="preserve"> </w:t>
      </w:r>
    </w:p>
    <w:p w14:paraId="046F0C41" w14:textId="77777777" w:rsidR="00AD4B2A" w:rsidRDefault="005B1FC8" w:rsidP="002B7818">
      <w:pPr>
        <w:pStyle w:val="Heading3"/>
      </w:pPr>
      <w:bookmarkStart w:id="207" w:name="_Toc388648372"/>
      <w:bookmarkStart w:id="208" w:name="_Toc295406180"/>
      <w:r>
        <w:t>9</w:t>
      </w:r>
      <w:r w:rsidR="00591AA8">
        <w:t>.1.1</w:t>
      </w:r>
      <w:r w:rsidR="00591AA8">
        <w:tab/>
        <w:t>CTOC</w:t>
      </w:r>
      <w:bookmarkEnd w:id="207"/>
      <w:bookmarkEnd w:id="208"/>
    </w:p>
    <w:p w14:paraId="3335C0E0" w14:textId="59B9A14F" w:rsidR="00AD4B2A" w:rsidRDefault="00D4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iCs/>
          <w:color w:val="auto"/>
          <w:szCs w:val="22"/>
          <w:lang w:val="en-US" w:eastAsia="en-US"/>
        </w:rPr>
      </w:pPr>
      <w:r>
        <w:rPr>
          <w:color w:val="auto"/>
        </w:rPr>
        <w:t>Recent reorganisation</w:t>
      </w:r>
      <w:r w:rsidR="009C2717">
        <w:rPr>
          <w:color w:val="auto"/>
        </w:rPr>
        <w:t xml:space="preserve"> and the retirement of an experienced co-chair has presented</w:t>
      </w:r>
      <w:r>
        <w:rPr>
          <w:color w:val="auto"/>
        </w:rPr>
        <w:t xml:space="preserve"> CTOC </w:t>
      </w:r>
      <w:r w:rsidR="009C2717">
        <w:rPr>
          <w:color w:val="auto"/>
        </w:rPr>
        <w:t>with</w:t>
      </w:r>
      <w:r>
        <w:rPr>
          <w:color w:val="auto"/>
        </w:rPr>
        <w:t xml:space="preserve"> some important shortfalls in expertise in the membership, for example with respect to laboratory and analytical uses of ODS, destruction technologies and solvents. </w:t>
      </w:r>
      <w:r w:rsidR="00F8137D">
        <w:rPr>
          <w:iCs/>
          <w:color w:val="auto"/>
          <w:szCs w:val="22"/>
          <w:lang w:val="en-US" w:eastAsia="en-US"/>
        </w:rPr>
        <w:t>CTOC</w:t>
      </w:r>
      <w:r w:rsidR="00F8137D" w:rsidRPr="00F8137D">
        <w:rPr>
          <w:iCs/>
          <w:color w:val="auto"/>
          <w:szCs w:val="22"/>
          <w:lang w:val="en-US" w:eastAsia="en-US"/>
        </w:rPr>
        <w:t> was not able to complete its 2014 CTOC Assessment Report within the timeframe required by Decision XXIII/18. This required TEAP to post an “Advance” 2014 Assessment Report with placeholders for CTOC issues. The CTOC 2014 Assessment Report is</w:t>
      </w:r>
      <w:r w:rsidR="00F8137D">
        <w:rPr>
          <w:iCs/>
          <w:color w:val="auto"/>
          <w:szCs w:val="22"/>
          <w:lang w:val="en-US" w:eastAsia="en-US"/>
        </w:rPr>
        <w:t xml:space="preserve"> now available and posted,</w:t>
      </w:r>
      <w:r w:rsidR="00D46945">
        <w:rPr>
          <w:iCs/>
          <w:color w:val="auto"/>
          <w:szCs w:val="22"/>
          <w:lang w:val="en-US" w:eastAsia="en-US"/>
        </w:rPr>
        <w:t xml:space="preserve"> as is the TEAP 2014 Assessment Report.</w:t>
      </w:r>
      <w:r w:rsidR="00F8137D">
        <w:rPr>
          <w:iCs/>
          <w:color w:val="auto"/>
          <w:szCs w:val="22"/>
          <w:lang w:val="en-US" w:eastAsia="en-US"/>
        </w:rPr>
        <w:t xml:space="preserve"> </w:t>
      </w:r>
      <w:r w:rsidR="00F8137D" w:rsidRPr="00F8137D">
        <w:rPr>
          <w:iCs/>
          <w:color w:val="auto"/>
          <w:szCs w:val="22"/>
          <w:lang w:val="en-US" w:eastAsia="en-US"/>
        </w:rPr>
        <w:t>TEAP is</w:t>
      </w:r>
      <w:r w:rsidR="00D46945">
        <w:rPr>
          <w:iCs/>
          <w:color w:val="auto"/>
          <w:szCs w:val="22"/>
          <w:lang w:val="en-US" w:eastAsia="en-US"/>
        </w:rPr>
        <w:t xml:space="preserve"> however</w:t>
      </w:r>
      <w:r w:rsidR="00F8137D" w:rsidRPr="00F8137D">
        <w:rPr>
          <w:iCs/>
          <w:color w:val="auto"/>
          <w:szCs w:val="22"/>
          <w:lang w:val="en-US" w:eastAsia="en-US"/>
        </w:rPr>
        <w:t xml:space="preserve"> working with CTOC to ensure this situation does not arise again in the future.</w:t>
      </w:r>
    </w:p>
    <w:p w14:paraId="3A31FBA0" w14:textId="77777777" w:rsidR="00F8137D" w:rsidRPr="00F8137D" w:rsidRDefault="00F813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szCs w:val="22"/>
        </w:rPr>
      </w:pPr>
    </w:p>
    <w:p w14:paraId="3035321C" w14:textId="77777777" w:rsidR="00AD4B2A" w:rsidRDefault="005B1FC8" w:rsidP="002B7818">
      <w:pPr>
        <w:pStyle w:val="Heading3"/>
      </w:pPr>
      <w:bookmarkStart w:id="209" w:name="_Toc388648373"/>
      <w:bookmarkStart w:id="210" w:name="_Toc295406181"/>
      <w:r>
        <w:t>9</w:t>
      </w:r>
      <w:r w:rsidR="00591AA8">
        <w:t>.1.2</w:t>
      </w:r>
      <w:r w:rsidR="00591AA8">
        <w:tab/>
        <w:t>FTOC</w:t>
      </w:r>
      <w:bookmarkEnd w:id="209"/>
      <w:bookmarkEnd w:id="210"/>
    </w:p>
    <w:p w14:paraId="03D022C2" w14:textId="0340C8BA" w:rsidR="00AD4B2A" w:rsidRDefault="00591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rPr>
      </w:pPr>
      <w:r>
        <w:rPr>
          <w:color w:val="auto"/>
        </w:rPr>
        <w:t>FTOC co-chairs</w:t>
      </w:r>
      <w:r w:rsidR="008100AC">
        <w:rPr>
          <w:color w:val="auto"/>
        </w:rPr>
        <w:t xml:space="preserve"> Paul Ashford (UK) and Miguel Quintero (Colombia)</w:t>
      </w:r>
      <w:r>
        <w:rPr>
          <w:color w:val="auto"/>
        </w:rPr>
        <w:t xml:space="preserve"> </w:t>
      </w:r>
      <w:r w:rsidR="006F5B91">
        <w:rPr>
          <w:color w:val="auto"/>
        </w:rPr>
        <w:t xml:space="preserve">resigned </w:t>
      </w:r>
      <w:r w:rsidR="008100AC">
        <w:rPr>
          <w:color w:val="auto"/>
        </w:rPr>
        <w:t>their positions</w:t>
      </w:r>
      <w:r w:rsidR="003F20B7">
        <w:rPr>
          <w:color w:val="auto"/>
        </w:rPr>
        <w:t xml:space="preserve"> at the start of 2015. </w:t>
      </w:r>
      <w:r w:rsidR="009C2717">
        <w:rPr>
          <w:color w:val="auto"/>
        </w:rPr>
        <w:t>Both cited the increasing workload and short timelines</w:t>
      </w:r>
      <w:r w:rsidR="00D15CC2">
        <w:rPr>
          <w:color w:val="auto"/>
        </w:rPr>
        <w:t xml:space="preserve"> for TEAP reports</w:t>
      </w:r>
      <w:r w:rsidR="009C2717">
        <w:rPr>
          <w:color w:val="auto"/>
        </w:rPr>
        <w:t xml:space="preserve">, in the context of their own full-time occupations. </w:t>
      </w:r>
      <w:r w:rsidR="00165E88">
        <w:rPr>
          <w:color w:val="auto"/>
        </w:rPr>
        <w:t xml:space="preserve">TEAP is grateful for their expertise, extraordinary time and effort over the years in managing the work of the FTOC, and long dedication to the Panel and the goals of the Protocol. They will be missed as friends and colleagues on the TEAP. </w:t>
      </w:r>
      <w:r w:rsidR="009C2717">
        <w:rPr>
          <w:color w:val="auto"/>
        </w:rPr>
        <w:t xml:space="preserve">TEAP </w:t>
      </w:r>
      <w:r w:rsidR="001966C9">
        <w:rPr>
          <w:color w:val="auto"/>
        </w:rPr>
        <w:t>has sought</w:t>
      </w:r>
      <w:r w:rsidR="008B329D">
        <w:rPr>
          <w:color w:val="auto"/>
        </w:rPr>
        <w:t>,</w:t>
      </w:r>
      <w:r w:rsidR="001966C9">
        <w:rPr>
          <w:color w:val="auto"/>
        </w:rPr>
        <w:t xml:space="preserve"> but has not been able</w:t>
      </w:r>
      <w:r w:rsidR="008B329D">
        <w:rPr>
          <w:color w:val="auto"/>
        </w:rPr>
        <w:t xml:space="preserve"> to make, </w:t>
      </w:r>
      <w:r w:rsidR="009C2717">
        <w:rPr>
          <w:color w:val="auto"/>
        </w:rPr>
        <w:t xml:space="preserve">interim co-chair appointments </w:t>
      </w:r>
      <w:r w:rsidR="001966C9">
        <w:rPr>
          <w:color w:val="auto"/>
        </w:rPr>
        <w:t xml:space="preserve">as allowed under its TOR. TEAP will consider candidates to recommend for nomination by Parties and for appointment at </w:t>
      </w:r>
      <w:r w:rsidR="009C2717">
        <w:rPr>
          <w:color w:val="auto"/>
        </w:rPr>
        <w:t>the 27</w:t>
      </w:r>
      <w:r w:rsidR="009C2717" w:rsidRPr="004A7A34">
        <w:rPr>
          <w:color w:val="auto"/>
          <w:vertAlign w:val="superscript"/>
        </w:rPr>
        <w:t>th</w:t>
      </w:r>
      <w:r w:rsidR="009C2717">
        <w:rPr>
          <w:color w:val="auto"/>
        </w:rPr>
        <w:t xml:space="preserve"> MOP.</w:t>
      </w:r>
    </w:p>
    <w:p w14:paraId="62D223FF" w14:textId="77777777" w:rsidR="00AD4B2A" w:rsidRDefault="00AD4B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rPr>
      </w:pPr>
    </w:p>
    <w:p w14:paraId="32BBDE54" w14:textId="77777777" w:rsidR="00AD4B2A" w:rsidRDefault="005B1FC8" w:rsidP="002B7818">
      <w:pPr>
        <w:pStyle w:val="Heading3"/>
      </w:pPr>
      <w:bookmarkStart w:id="211" w:name="_Toc388648377"/>
      <w:bookmarkStart w:id="212" w:name="_Toc295406182"/>
      <w:r>
        <w:t>9</w:t>
      </w:r>
      <w:r w:rsidR="00591AA8">
        <w:t>.1.</w:t>
      </w:r>
      <w:r w:rsidR="006077BC">
        <w:t>3</w:t>
      </w:r>
      <w:r w:rsidR="00591AA8">
        <w:tab/>
        <w:t>RTOC</w:t>
      </w:r>
      <w:bookmarkEnd w:id="211"/>
      <w:bookmarkEnd w:id="212"/>
    </w:p>
    <w:p w14:paraId="0CBFBEAA" w14:textId="77777777" w:rsidR="00E5540A" w:rsidRPr="00E5540A" w:rsidRDefault="00E5540A" w:rsidP="00E5540A">
      <w:pPr>
        <w:widowControl w:val="0"/>
        <w:autoSpaceDE w:val="0"/>
        <w:autoSpaceDN w:val="0"/>
        <w:adjustRightInd w:val="0"/>
        <w:spacing w:after="0"/>
        <w:rPr>
          <w:color w:val="auto"/>
          <w:szCs w:val="22"/>
          <w:lang w:val="en-US" w:eastAsia="en-US"/>
        </w:rPr>
      </w:pPr>
      <w:bookmarkStart w:id="213" w:name="_Toc388648378"/>
      <w:bookmarkStart w:id="214" w:name="_Toc295406183"/>
      <w:r w:rsidRPr="00E5540A">
        <w:rPr>
          <w:color w:val="auto"/>
          <w:szCs w:val="22"/>
          <w:lang w:val="en-US" w:eastAsia="en-US"/>
        </w:rPr>
        <w:t>The current RTOC membership has adequate expertise in all sub-sectors, although some strengthening would be helpful increasing the emphasis on addressing HCFC-22 and HFCs use in stationary AC and commercial refrigeration. </w:t>
      </w:r>
    </w:p>
    <w:p w14:paraId="3EA8E550" w14:textId="77777777" w:rsidR="00E5540A" w:rsidRPr="00E5540A" w:rsidRDefault="00E5540A" w:rsidP="00E5540A">
      <w:pPr>
        <w:widowControl w:val="0"/>
        <w:autoSpaceDE w:val="0"/>
        <w:autoSpaceDN w:val="0"/>
        <w:adjustRightInd w:val="0"/>
        <w:spacing w:after="0"/>
        <w:rPr>
          <w:color w:val="auto"/>
          <w:szCs w:val="22"/>
          <w:lang w:val="en-US" w:eastAsia="en-US"/>
        </w:rPr>
      </w:pPr>
    </w:p>
    <w:p w14:paraId="29198504" w14:textId="2BA44CDB" w:rsidR="00E5540A" w:rsidRPr="00E5540A" w:rsidRDefault="00E5540A" w:rsidP="00E5540A">
      <w:pPr>
        <w:widowControl w:val="0"/>
        <w:autoSpaceDE w:val="0"/>
        <w:autoSpaceDN w:val="0"/>
        <w:adjustRightInd w:val="0"/>
        <w:spacing w:after="0"/>
        <w:rPr>
          <w:color w:val="auto"/>
          <w:szCs w:val="22"/>
          <w:lang w:val="en-US" w:eastAsia="en-US"/>
        </w:rPr>
      </w:pPr>
      <w:r w:rsidRPr="00E5540A">
        <w:rPr>
          <w:color w:val="auto"/>
          <w:szCs w:val="22"/>
          <w:lang w:val="en-US" w:eastAsia="en-US"/>
        </w:rPr>
        <w:t xml:space="preserve">The RTOC has experts nominated from seven Parties. RTOC co-chairs have been matching the CVs to the desired additional emphasis in relation to certain </w:t>
      </w:r>
      <w:r w:rsidR="00D44C95" w:rsidRPr="00E5540A">
        <w:rPr>
          <w:color w:val="auto"/>
          <w:szCs w:val="22"/>
          <w:lang w:val="en-US" w:eastAsia="en-US"/>
        </w:rPr>
        <w:t>expertise</w:t>
      </w:r>
      <w:r w:rsidRPr="00E5540A">
        <w:rPr>
          <w:color w:val="auto"/>
          <w:szCs w:val="22"/>
          <w:lang w:val="en-US" w:eastAsia="en-US"/>
        </w:rPr>
        <w:t>. Final decisions on appointments will be taken this month (June 2015), in advance of the OEWG-36 meeting and in time for the next RTOC meeting, planned for Paris 27-28 July 2015.</w:t>
      </w:r>
    </w:p>
    <w:p w14:paraId="448F4B32" w14:textId="77777777" w:rsidR="00E5540A" w:rsidRDefault="00E5540A" w:rsidP="00E5540A">
      <w:pPr>
        <w:pStyle w:val="Heading2"/>
        <w:rPr>
          <w:color w:val="0000FF"/>
          <w:sz w:val="32"/>
          <w:szCs w:val="32"/>
        </w:rPr>
      </w:pPr>
    </w:p>
    <w:p w14:paraId="1728FEFB" w14:textId="5310BF7F" w:rsidR="00AD4B2A" w:rsidRDefault="005B1FC8" w:rsidP="00E5540A">
      <w:pPr>
        <w:pStyle w:val="Heading2"/>
      </w:pPr>
      <w:r>
        <w:t>9</w:t>
      </w:r>
      <w:r w:rsidR="00591AA8">
        <w:t>.2</w:t>
      </w:r>
      <w:r w:rsidR="00591AA8">
        <w:tab/>
        <w:t>Continuing challenges</w:t>
      </w:r>
      <w:bookmarkEnd w:id="213"/>
      <w:bookmarkEnd w:id="214"/>
    </w:p>
    <w:p w14:paraId="1ACA9696" w14:textId="7EBEF6D5" w:rsidR="00741C5D" w:rsidRPr="003A706C" w:rsidRDefault="001966C9" w:rsidP="00A07D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As noted in the TEAP 2014 Assessment Report, t</w:t>
      </w:r>
      <w:r w:rsidRPr="00D33D34">
        <w:t>he role of TEAP and its TOCs continues to evolve in meeting the current needs of Parties. Where, originally, the three Panels were considered as the bodies that should carry out assessments pursuant to Article 6 under the Montreal Protocol (at least every four years), TEAP</w:t>
      </w:r>
      <w:r w:rsidR="008B329D">
        <w:t>, in particular,</w:t>
      </w:r>
      <w:r w:rsidRPr="00D33D34">
        <w:t xml:space="preserve"> has become a “standing advisory group” to the Parties on a large number of </w:t>
      </w:r>
      <w:r w:rsidR="008B329D">
        <w:t xml:space="preserve">technology related </w:t>
      </w:r>
      <w:r w:rsidRPr="00D33D34">
        <w:t>Protocol issues. The evolving role of the TEAP</w:t>
      </w:r>
      <w:r w:rsidR="008B329D">
        <w:t>,</w:t>
      </w:r>
      <w:r w:rsidRPr="00D33D34">
        <w:t xml:space="preserve"> its TOCs and other Temporary Subsidiary Bodies</w:t>
      </w:r>
      <w:r w:rsidR="008B329D">
        <w:t>,</w:t>
      </w:r>
      <w:r w:rsidRPr="00D33D34">
        <w:t xml:space="preserve"> can be explained by the fact that the focus of the Montreal Protocol has shifted from introducing and strengthening control schedules (based upon assessment reports) to managing the use of controlled chemicals and to compliance with the Protocol. </w:t>
      </w:r>
      <w:r>
        <w:t xml:space="preserve">This role could again evolve with any future change to the current phaseout scenario under the Protocol. </w:t>
      </w:r>
      <w:r w:rsidR="00591AA8" w:rsidRPr="001966C9">
        <w:t>TEAP continues to work so that its TOCs are structured in size and expertise</w:t>
      </w:r>
      <w:r w:rsidR="00F5693D" w:rsidRPr="00664765">
        <w:t xml:space="preserve"> </w:t>
      </w:r>
      <w:r w:rsidR="00591AA8" w:rsidRPr="00664765">
        <w:t xml:space="preserve">to support future efforts of the </w:t>
      </w:r>
      <w:r w:rsidR="00F5693D" w:rsidRPr="00664765">
        <w:t>P</w:t>
      </w:r>
      <w:r w:rsidR="00591AA8" w:rsidRPr="00115DB4">
        <w:t>arties</w:t>
      </w:r>
      <w:r w:rsidR="00F5693D" w:rsidRPr="0095076E">
        <w:t>,</w:t>
      </w:r>
      <w:r w:rsidR="00591AA8" w:rsidRPr="0095076E">
        <w:t xml:space="preserve"> but takes the opportunity in this report to </w:t>
      </w:r>
      <w:r w:rsidR="00F5693D" w:rsidRPr="0095076E">
        <w:t>address</w:t>
      </w:r>
      <w:r w:rsidR="00591AA8" w:rsidRPr="0095076E">
        <w:t xml:space="preserve"> ongoing challenges</w:t>
      </w:r>
      <w:r w:rsidR="008B329D">
        <w:t xml:space="preserve"> and bring them to the attention of the Parties</w:t>
      </w:r>
      <w:r w:rsidR="00591AA8" w:rsidRPr="0095076E">
        <w:t xml:space="preserve">. </w:t>
      </w:r>
    </w:p>
    <w:p w14:paraId="58FE30C1" w14:textId="0F02D21E" w:rsidR="00664765" w:rsidRDefault="00664765" w:rsidP="00A07D31">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Chars="0"/>
        <w:jc w:val="left"/>
        <w:rPr>
          <w:rFonts w:ascii="Times New Roman" w:hAnsi="Times New Roman"/>
          <w:sz w:val="22"/>
        </w:rPr>
      </w:pPr>
      <w:r w:rsidRPr="006F5B91">
        <w:rPr>
          <w:rFonts w:ascii="Times New Roman" w:hAnsi="Times New Roman"/>
          <w:sz w:val="22"/>
        </w:rPr>
        <w:t xml:space="preserve">TEAP has been challenged in this period with a significant transition in leadership as well as attrition through retirement of its members. Members of TEAP are generally also co-chairs of TOCs and thus have a broader role and greater expectation to bring their long-time understanding of the history of the Protocol, its decisions, its issues, and its processes into the technical outputs developed by their committees, and by the Panel. This is in addition to the particular technical expertise each member brings to the Panel. The challenge to TEAP and TOC leadership is to identify candidates with </w:t>
      </w:r>
      <w:r w:rsidR="008B329D">
        <w:rPr>
          <w:rFonts w:ascii="Times New Roman" w:hAnsi="Times New Roman"/>
          <w:sz w:val="22"/>
        </w:rPr>
        <w:t>adequate</w:t>
      </w:r>
      <w:r w:rsidRPr="006F5B91">
        <w:rPr>
          <w:rFonts w:ascii="Times New Roman" w:hAnsi="Times New Roman"/>
          <w:sz w:val="22"/>
        </w:rPr>
        <w:t xml:space="preserve"> history and experience as well as technical expertise in order for TEAP to continue to meet the significant demands of delivering outputs to support the deliberations of Parties</w:t>
      </w:r>
      <w:r w:rsidR="008B329D">
        <w:rPr>
          <w:rFonts w:ascii="Times New Roman" w:hAnsi="Times New Roman"/>
          <w:sz w:val="22"/>
        </w:rPr>
        <w:t>, without loss of continuity</w:t>
      </w:r>
      <w:r w:rsidRPr="006F5B91">
        <w:rPr>
          <w:rFonts w:ascii="Times New Roman" w:hAnsi="Times New Roman"/>
          <w:sz w:val="22"/>
        </w:rPr>
        <w:t>.</w:t>
      </w:r>
    </w:p>
    <w:p w14:paraId="56916978" w14:textId="77777777" w:rsidR="006F5B91" w:rsidRPr="006F5B91" w:rsidRDefault="006F5B91" w:rsidP="00A07D3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Chars="0" w:firstLine="0"/>
        <w:jc w:val="left"/>
        <w:rPr>
          <w:rFonts w:ascii="Times New Roman" w:hAnsi="Times New Roman"/>
          <w:sz w:val="22"/>
        </w:rPr>
      </w:pPr>
    </w:p>
    <w:p w14:paraId="23880539" w14:textId="42F59712" w:rsidR="006F5B91" w:rsidRPr="006F5B91" w:rsidRDefault="00664765" w:rsidP="00A07D31">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Chars="0"/>
        <w:jc w:val="left"/>
        <w:rPr>
          <w:rFonts w:ascii="Times New Roman" w:hAnsi="Times New Roman"/>
          <w:sz w:val="22"/>
        </w:rPr>
      </w:pPr>
      <w:r w:rsidRPr="006F5B91">
        <w:rPr>
          <w:rFonts w:ascii="Times New Roman" w:hAnsi="Times New Roman"/>
          <w:sz w:val="22"/>
        </w:rPr>
        <w:t>Similarly, the TOCs have also been challenged with attrition through retirement of members and increasing loss of expertise. The absence of funding for non-</w:t>
      </w:r>
      <w:r w:rsidR="008B329D">
        <w:rPr>
          <w:rFonts w:ascii="Times New Roman" w:hAnsi="Times New Roman"/>
          <w:sz w:val="22"/>
        </w:rPr>
        <w:t>A</w:t>
      </w:r>
      <w:r w:rsidRPr="006F5B91">
        <w:rPr>
          <w:rFonts w:ascii="Times New Roman" w:hAnsi="Times New Roman"/>
          <w:sz w:val="22"/>
        </w:rPr>
        <w:t>rticle 5 members makes participation increasingly difficult</w:t>
      </w:r>
      <w:r w:rsidR="008B329D">
        <w:rPr>
          <w:rFonts w:ascii="Times New Roman" w:hAnsi="Times New Roman"/>
          <w:sz w:val="22"/>
        </w:rPr>
        <w:t>.</w:t>
      </w:r>
      <w:r w:rsidRPr="006F5B91">
        <w:rPr>
          <w:rFonts w:ascii="Times New Roman" w:hAnsi="Times New Roman"/>
          <w:sz w:val="22"/>
        </w:rPr>
        <w:t xml:space="preserve"> </w:t>
      </w:r>
      <w:r w:rsidR="008B329D">
        <w:rPr>
          <w:rFonts w:ascii="Times New Roman" w:hAnsi="Times New Roman"/>
          <w:sz w:val="22"/>
        </w:rPr>
        <w:t>This is</w:t>
      </w:r>
      <w:r w:rsidR="008B329D" w:rsidRPr="006F5B91">
        <w:rPr>
          <w:rFonts w:ascii="Times New Roman" w:hAnsi="Times New Roman"/>
          <w:sz w:val="22"/>
        </w:rPr>
        <w:t xml:space="preserve"> of growing concern to the consensus process of the committees</w:t>
      </w:r>
      <w:r w:rsidR="008B329D">
        <w:rPr>
          <w:rFonts w:ascii="Times New Roman" w:hAnsi="Times New Roman"/>
          <w:sz w:val="22"/>
        </w:rPr>
        <w:t xml:space="preserve"> where a range of independent expert opinions is necessary</w:t>
      </w:r>
      <w:r w:rsidR="008B329D" w:rsidRPr="006F5B91">
        <w:rPr>
          <w:rFonts w:ascii="Times New Roman" w:hAnsi="Times New Roman"/>
          <w:sz w:val="22"/>
        </w:rPr>
        <w:t xml:space="preserve">. Increasingly, </w:t>
      </w:r>
      <w:r w:rsidR="008B329D">
        <w:rPr>
          <w:rFonts w:ascii="Times New Roman" w:hAnsi="Times New Roman"/>
          <w:sz w:val="22"/>
        </w:rPr>
        <w:t>absence of funding</w:t>
      </w:r>
      <w:r w:rsidR="008B329D" w:rsidRPr="006F5B91">
        <w:rPr>
          <w:rFonts w:ascii="Times New Roman" w:hAnsi="Times New Roman"/>
          <w:sz w:val="22"/>
        </w:rPr>
        <w:t xml:space="preserve"> has extended to TOC co-chairs</w:t>
      </w:r>
      <w:r w:rsidR="008B329D">
        <w:rPr>
          <w:rFonts w:ascii="Times New Roman" w:hAnsi="Times New Roman"/>
          <w:sz w:val="22"/>
        </w:rPr>
        <w:t xml:space="preserve"> making uncertain travel to meetings and participation in other activities essential to the role of a co-chair</w:t>
      </w:r>
      <w:r w:rsidR="008B329D" w:rsidRPr="006F5B91">
        <w:rPr>
          <w:rFonts w:ascii="Times New Roman" w:hAnsi="Times New Roman"/>
          <w:sz w:val="22"/>
        </w:rPr>
        <w:t>.</w:t>
      </w:r>
      <w:r w:rsidR="006F5B91">
        <w:rPr>
          <w:rFonts w:ascii="Times New Roman" w:hAnsi="Times New Roman"/>
          <w:sz w:val="22"/>
        </w:rPr>
        <w:br/>
      </w:r>
    </w:p>
    <w:p w14:paraId="079C6C6D" w14:textId="06E50EFD" w:rsidR="00664765" w:rsidRPr="006F5B91" w:rsidRDefault="00664765" w:rsidP="00A07D31">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Chars="0"/>
        <w:jc w:val="left"/>
        <w:rPr>
          <w:rFonts w:ascii="Times New Roman" w:hAnsi="Times New Roman"/>
          <w:sz w:val="22"/>
        </w:rPr>
      </w:pPr>
      <w:r w:rsidRPr="006F5B91">
        <w:rPr>
          <w:rFonts w:ascii="Times New Roman" w:hAnsi="Times New Roman"/>
          <w:sz w:val="22"/>
        </w:rPr>
        <w:t xml:space="preserve">There is a significant </w:t>
      </w:r>
      <w:r w:rsidR="008B329D">
        <w:rPr>
          <w:rFonts w:ascii="Times New Roman" w:hAnsi="Times New Roman"/>
          <w:sz w:val="22"/>
        </w:rPr>
        <w:t>workload</w:t>
      </w:r>
      <w:r w:rsidRPr="006F5B91">
        <w:rPr>
          <w:rFonts w:ascii="Times New Roman" w:hAnsi="Times New Roman"/>
          <w:sz w:val="22"/>
        </w:rPr>
        <w:t xml:space="preserve"> related to the work of TEAP and its TOCs that has grown in recent years with the responses to various requests of the Parties; this situation if unaddressed will increasingly affect the delivery and timeline of TEAP’s outputs. Members of TEAP and TOC </w:t>
      </w:r>
      <w:r w:rsidR="00A07D31">
        <w:rPr>
          <w:rFonts w:ascii="Times New Roman" w:hAnsi="Times New Roman"/>
          <w:sz w:val="22"/>
        </w:rPr>
        <w:t>often</w:t>
      </w:r>
      <w:r w:rsidRPr="006F5B91">
        <w:rPr>
          <w:rFonts w:ascii="Times New Roman" w:hAnsi="Times New Roman"/>
          <w:sz w:val="22"/>
        </w:rPr>
        <w:t xml:space="preserve"> concurrently serve on</w:t>
      </w:r>
      <w:r w:rsidR="00AB5433">
        <w:rPr>
          <w:rFonts w:ascii="Times New Roman" w:hAnsi="Times New Roman"/>
          <w:sz w:val="22"/>
        </w:rPr>
        <w:t xml:space="preserve"> TEAP</w:t>
      </w:r>
      <w:r w:rsidRPr="006F5B91">
        <w:rPr>
          <w:rFonts w:ascii="Times New Roman" w:hAnsi="Times New Roman"/>
          <w:sz w:val="22"/>
        </w:rPr>
        <w:t xml:space="preserve"> Task Forces adding to the workload and </w:t>
      </w:r>
      <w:r w:rsidR="00A07D31">
        <w:rPr>
          <w:rFonts w:ascii="Times New Roman" w:hAnsi="Times New Roman"/>
          <w:sz w:val="22"/>
        </w:rPr>
        <w:t>making it difficult to meet deadlines</w:t>
      </w:r>
      <w:r w:rsidRPr="006F5B91">
        <w:rPr>
          <w:rFonts w:ascii="Times New Roman" w:hAnsi="Times New Roman"/>
          <w:sz w:val="22"/>
        </w:rPr>
        <w:t>.</w:t>
      </w:r>
    </w:p>
    <w:p w14:paraId="16F8441A" w14:textId="77777777" w:rsidR="00664765" w:rsidRPr="006F5B91" w:rsidRDefault="00664765" w:rsidP="00A07D3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Chars="0" w:firstLine="0"/>
        <w:jc w:val="left"/>
        <w:rPr>
          <w:rFonts w:ascii="Times New Roman" w:hAnsi="Times New Roman"/>
          <w:sz w:val="22"/>
        </w:rPr>
      </w:pPr>
    </w:p>
    <w:p w14:paraId="471B9F19" w14:textId="1E14858D" w:rsidR="006F5B91" w:rsidRPr="006F5B91" w:rsidRDefault="00A07D31" w:rsidP="00A07D31">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Chars="0"/>
        <w:jc w:val="left"/>
        <w:rPr>
          <w:rFonts w:ascii="Times New Roman" w:hAnsi="Times New Roman"/>
          <w:sz w:val="22"/>
        </w:rPr>
      </w:pPr>
      <w:r>
        <w:rPr>
          <w:rFonts w:ascii="Times New Roman" w:hAnsi="Times New Roman"/>
          <w:sz w:val="22"/>
        </w:rPr>
        <w:t>T</w:t>
      </w:r>
      <w:r w:rsidR="00664765" w:rsidRPr="006F5B91">
        <w:rPr>
          <w:rFonts w:ascii="Times New Roman" w:hAnsi="Times New Roman"/>
          <w:sz w:val="22"/>
        </w:rPr>
        <w:t>he members of TEAP and its TOCs provide their expertise and work on a voluntary basis and m</w:t>
      </w:r>
      <w:r w:rsidR="006F5B91">
        <w:rPr>
          <w:rFonts w:ascii="Times New Roman" w:hAnsi="Times New Roman"/>
          <w:sz w:val="22"/>
        </w:rPr>
        <w:t>any are finding</w:t>
      </w:r>
      <w:r w:rsidR="00664765" w:rsidRPr="006F5B91">
        <w:rPr>
          <w:rFonts w:ascii="Times New Roman" w:hAnsi="Times New Roman"/>
          <w:sz w:val="22"/>
        </w:rPr>
        <w:t xml:space="preserve"> the increasing time commitment difficult/impossible to manage in the context of a full- time occupation.</w:t>
      </w:r>
      <w:r w:rsidR="006F5B91">
        <w:rPr>
          <w:rFonts w:ascii="Times New Roman" w:hAnsi="Times New Roman"/>
          <w:sz w:val="22"/>
        </w:rPr>
        <w:br/>
      </w:r>
    </w:p>
    <w:p w14:paraId="785B6F36" w14:textId="6A2F39D4" w:rsidR="00664765" w:rsidRPr="006F5B91" w:rsidRDefault="00664765" w:rsidP="00A07D31">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Chars="0"/>
        <w:jc w:val="left"/>
        <w:rPr>
          <w:rFonts w:ascii="Times New Roman" w:hAnsi="Times New Roman"/>
          <w:sz w:val="22"/>
        </w:rPr>
      </w:pPr>
      <w:r w:rsidRPr="006F5B91">
        <w:rPr>
          <w:rFonts w:ascii="Times New Roman" w:hAnsi="Times New Roman"/>
          <w:sz w:val="22"/>
        </w:rPr>
        <w:t xml:space="preserve">TEAP is determined </w:t>
      </w:r>
      <w:r w:rsidR="008B329D">
        <w:rPr>
          <w:rFonts w:ascii="Times New Roman" w:hAnsi="Times New Roman"/>
          <w:sz w:val="22"/>
        </w:rPr>
        <w:t>to re-invi</w:t>
      </w:r>
      <w:r w:rsidRPr="006F5B91">
        <w:rPr>
          <w:rFonts w:ascii="Times New Roman" w:hAnsi="Times New Roman"/>
          <w:sz w:val="22"/>
        </w:rPr>
        <w:t>gorate its membership and leadership, but at the same time maintain involvement of members with substantial experience to ensure the continuity of its work for Parties. This might be achieved through an expanded number of Senior Expert position</w:t>
      </w:r>
      <w:r w:rsidR="00766033">
        <w:rPr>
          <w:rFonts w:ascii="Times New Roman" w:hAnsi="Times New Roman"/>
          <w:sz w:val="22"/>
        </w:rPr>
        <w:t>s</w:t>
      </w:r>
      <w:r w:rsidRPr="006F5B91">
        <w:rPr>
          <w:rFonts w:ascii="Times New Roman" w:hAnsi="Times New Roman"/>
          <w:sz w:val="22"/>
        </w:rPr>
        <w:t>, at least for a period.</w:t>
      </w:r>
      <w:r w:rsidR="006F5B91">
        <w:rPr>
          <w:rFonts w:ascii="Times New Roman" w:hAnsi="Times New Roman"/>
          <w:sz w:val="22"/>
        </w:rPr>
        <w:br/>
      </w:r>
    </w:p>
    <w:p w14:paraId="66C65A55" w14:textId="2759B1BB" w:rsidR="00664765" w:rsidRPr="006F5B91" w:rsidRDefault="00664765" w:rsidP="00A07D31">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Chars="0"/>
        <w:jc w:val="left"/>
        <w:rPr>
          <w:rFonts w:ascii="Times New Roman" w:hAnsi="Times New Roman"/>
          <w:sz w:val="22"/>
        </w:rPr>
      </w:pPr>
      <w:r w:rsidRPr="006F5B91">
        <w:rPr>
          <w:rFonts w:ascii="Times New Roman" w:hAnsi="Times New Roman"/>
          <w:sz w:val="22"/>
        </w:rPr>
        <w:t xml:space="preserve">To ensure the functioning of the TEAP and its TOCs to continue to provide timely assessments to support the discussions of Parties, TEAP and Parties may need to consider the overall </w:t>
      </w:r>
      <w:r w:rsidR="00766033">
        <w:rPr>
          <w:rFonts w:ascii="Times New Roman" w:hAnsi="Times New Roman"/>
          <w:sz w:val="22"/>
        </w:rPr>
        <w:t xml:space="preserve">annual </w:t>
      </w:r>
      <w:r w:rsidRPr="006F5B91">
        <w:rPr>
          <w:rFonts w:ascii="Times New Roman" w:hAnsi="Times New Roman"/>
          <w:sz w:val="22"/>
        </w:rPr>
        <w:t xml:space="preserve">workload and support for TEAP at the time of </w:t>
      </w:r>
      <w:r w:rsidR="00766033">
        <w:rPr>
          <w:rFonts w:ascii="Times New Roman" w:hAnsi="Times New Roman"/>
          <w:sz w:val="22"/>
        </w:rPr>
        <w:t xml:space="preserve">or soon after </w:t>
      </w:r>
      <w:r w:rsidRPr="006F5B91">
        <w:rPr>
          <w:rFonts w:ascii="Times New Roman" w:hAnsi="Times New Roman"/>
          <w:sz w:val="22"/>
        </w:rPr>
        <w:t xml:space="preserve">decisions requesting this work. </w:t>
      </w:r>
    </w:p>
    <w:p w14:paraId="0CA955AF" w14:textId="77777777" w:rsidR="00664765" w:rsidRPr="006F5B91" w:rsidRDefault="00664765" w:rsidP="00A07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Cs w:val="22"/>
        </w:rPr>
      </w:pPr>
    </w:p>
    <w:p w14:paraId="45B1515A" w14:textId="4909B408" w:rsidR="00AD4B2A" w:rsidRDefault="00664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rPr>
      </w:pPr>
      <w:r w:rsidRPr="00056C7C">
        <w:t xml:space="preserve">TEAP </w:t>
      </w:r>
      <w:r>
        <w:t>welcomes the opportunity to further engage with Parties to address these challenges to the functioning of the TEAP and its TOCs going forward</w:t>
      </w:r>
      <w:r w:rsidR="00214CD9">
        <w:t>, and remains committed to providing Parties with the best possible, independent, technical consensus reports to support their work.</w:t>
      </w:r>
      <w:r w:rsidR="00214CD9">
        <w:rPr>
          <w:color w:val="auto"/>
        </w:rPr>
        <w:t xml:space="preserve"> </w:t>
      </w:r>
      <w:r w:rsidR="00591AA8">
        <w:rPr>
          <w:color w:val="auto"/>
        </w:rPr>
        <w:br w:type="page"/>
      </w:r>
    </w:p>
    <w:p w14:paraId="3E8AB2E7" w14:textId="72D1701F" w:rsidR="00AD4B2A" w:rsidRDefault="00591AA8" w:rsidP="0030141E">
      <w:pPr>
        <w:pStyle w:val="Heading1"/>
      </w:pPr>
      <w:bookmarkStart w:id="215" w:name="_Toc295289741"/>
      <w:bookmarkStart w:id="216" w:name="_Toc388648379"/>
      <w:bookmarkStart w:id="217" w:name="_Toc295406184"/>
      <w:bookmarkEnd w:id="56"/>
      <w:r>
        <w:t>ANNEX</w:t>
      </w:r>
      <w:r w:rsidR="00725450">
        <w:t xml:space="preserve"> 1</w:t>
      </w:r>
      <w:r>
        <w:t xml:space="preserve">: TEAP and TOC membership list status </w:t>
      </w:r>
      <w:r w:rsidR="00664765">
        <w:t xml:space="preserve">June </w:t>
      </w:r>
      <w:r>
        <w:t>201</w:t>
      </w:r>
      <w:bookmarkEnd w:id="215"/>
      <w:bookmarkEnd w:id="216"/>
      <w:r w:rsidR="00F5693D">
        <w:t>5</w:t>
      </w:r>
      <w:bookmarkEnd w:id="217"/>
    </w:p>
    <w:p w14:paraId="69FE0D26" w14:textId="3E591C7F" w:rsidR="00AD4B2A" w:rsidRPr="003A706C" w:rsidRDefault="00591AA8">
      <w:pPr>
        <w:spacing w:after="0"/>
        <w:rPr>
          <w:szCs w:val="22"/>
        </w:rPr>
      </w:pPr>
      <w:r w:rsidRPr="003A706C">
        <w:rPr>
          <w:szCs w:val="22"/>
        </w:rPr>
        <w:t xml:space="preserve">The disclosure of interest (DOI) of each member can be found on the Ozone Secretariat website at: </w:t>
      </w:r>
      <w:hyperlink r:id="rId44" w:history="1">
        <w:r w:rsidR="003A706C" w:rsidRPr="00082EDD">
          <w:rPr>
            <w:rStyle w:val="Hyperlink"/>
            <w:szCs w:val="22"/>
          </w:rPr>
          <w:t>http://ozone.unep.org/Assessment_Panels/TEAP/toc-members-disclosures.shtml</w:t>
        </w:r>
      </w:hyperlink>
      <w:r w:rsidR="00D44C95">
        <w:rPr>
          <w:szCs w:val="22"/>
        </w:rPr>
        <w:t xml:space="preserve">. </w:t>
      </w:r>
      <w:r w:rsidRPr="003A706C">
        <w:rPr>
          <w:szCs w:val="22"/>
        </w:rPr>
        <w:t xml:space="preserve">The disclosures are normally updated at the time of the publication of the progress report. </w:t>
      </w:r>
    </w:p>
    <w:p w14:paraId="524B64B6" w14:textId="77777777" w:rsidR="00BB5801" w:rsidRPr="003A706C" w:rsidRDefault="00BB5801">
      <w:pPr>
        <w:spacing w:after="0"/>
        <w:rPr>
          <w:szCs w:val="22"/>
        </w:rPr>
      </w:pPr>
    </w:p>
    <w:p w14:paraId="31638843" w14:textId="77777777" w:rsidR="00B77294" w:rsidRPr="003A706C" w:rsidRDefault="00BB5801">
      <w:pPr>
        <w:spacing w:after="0"/>
        <w:rPr>
          <w:szCs w:val="22"/>
        </w:rPr>
      </w:pPr>
      <w:r w:rsidRPr="003A706C">
        <w:rPr>
          <w:szCs w:val="22"/>
        </w:rPr>
        <w:t xml:space="preserve">TEAP’s Terms of Reference (TOR) (2.3) as approved by the Parties in Decision XXIV/8 specifies that </w:t>
      </w:r>
    </w:p>
    <w:p w14:paraId="526F4CA1" w14:textId="77777777" w:rsidR="00B77294" w:rsidRPr="003A706C" w:rsidRDefault="00B77294">
      <w:pPr>
        <w:spacing w:after="0"/>
        <w:rPr>
          <w:szCs w:val="22"/>
        </w:rPr>
      </w:pPr>
    </w:p>
    <w:p w14:paraId="12DB919C" w14:textId="77777777" w:rsidR="00B77294" w:rsidRPr="003A706C" w:rsidRDefault="00BB5801">
      <w:pPr>
        <w:spacing w:after="0"/>
        <w:rPr>
          <w:szCs w:val="22"/>
        </w:rPr>
      </w:pPr>
      <w:r w:rsidRPr="003A706C">
        <w:rPr>
          <w:i/>
          <w:szCs w:val="22"/>
        </w:rPr>
        <w:t>“</w:t>
      </w:r>
      <w:r w:rsidR="00B77294" w:rsidRPr="003A706C">
        <w:rPr>
          <w:i/>
          <w:szCs w:val="22"/>
        </w:rPr>
        <w:t xml:space="preserve">… </w:t>
      </w:r>
      <w:r w:rsidRPr="003A706C">
        <w:rPr>
          <w:i/>
          <w:szCs w:val="22"/>
        </w:rPr>
        <w:t>the Meeting of the Parties shall appoint the members of TEAP for a period of no more than four years…and may re-appoint Members of the Panel upon nomination by the relevant party for additional periods of up to four years each.”</w:t>
      </w:r>
      <w:r w:rsidRPr="003A706C">
        <w:rPr>
          <w:szCs w:val="22"/>
        </w:rPr>
        <w:t xml:space="preserve"> </w:t>
      </w:r>
    </w:p>
    <w:p w14:paraId="0C6DCE57" w14:textId="77777777" w:rsidR="00B77294" w:rsidRPr="003A706C" w:rsidRDefault="00B77294">
      <w:pPr>
        <w:spacing w:after="0"/>
        <w:rPr>
          <w:szCs w:val="22"/>
        </w:rPr>
      </w:pPr>
    </w:p>
    <w:p w14:paraId="6B9189B6" w14:textId="77777777" w:rsidR="00BB5801" w:rsidRPr="003A706C" w:rsidRDefault="00BB5801">
      <w:pPr>
        <w:spacing w:after="0"/>
        <w:rPr>
          <w:szCs w:val="22"/>
        </w:rPr>
      </w:pPr>
      <w:r w:rsidRPr="003A706C">
        <w:rPr>
          <w:szCs w:val="22"/>
        </w:rPr>
        <w:t>TEAP member appointments end as of 31</w:t>
      </w:r>
      <w:r w:rsidRPr="003A706C">
        <w:rPr>
          <w:szCs w:val="22"/>
          <w:vertAlign w:val="superscript"/>
        </w:rPr>
        <w:t>st</w:t>
      </w:r>
      <w:r w:rsidRPr="003A706C">
        <w:rPr>
          <w:szCs w:val="22"/>
        </w:rPr>
        <w:t xml:space="preserve"> December of the final year of appointment, as indicated in the last column.</w:t>
      </w:r>
    </w:p>
    <w:p w14:paraId="495D0E77" w14:textId="77777777" w:rsidR="00AD4B2A" w:rsidRDefault="00AD4B2A">
      <w:pPr>
        <w:tabs>
          <w:tab w:val="left" w:pos="720"/>
          <w:tab w:val="left" w:pos="1080"/>
        </w:tabs>
        <w:spacing w:after="0"/>
        <w:rPr>
          <w:b/>
          <w:sz w:val="12"/>
        </w:rPr>
      </w:pPr>
    </w:p>
    <w:p w14:paraId="44FC3989"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rPr>
      </w:pPr>
      <w:r>
        <w:rPr>
          <w:b/>
        </w:rPr>
        <w:t>Technology and Economic Assessment Panel (TEAP)</w:t>
      </w:r>
    </w:p>
    <w:p w14:paraId="1B38169C" w14:textId="77777777" w:rsidR="00AD4B2A" w:rsidRDefault="00AD4B2A" w:rsidP="003A706C">
      <w:pPr>
        <w:pStyle w:val="Tabel"/>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16"/>
        </w:rPr>
      </w:pPr>
    </w:p>
    <w:tbl>
      <w:tblPr>
        <w:tblW w:w="8931" w:type="dxa"/>
        <w:tblInd w:w="108" w:type="dxa"/>
        <w:tblLayout w:type="fixed"/>
        <w:tblLook w:val="0000" w:firstRow="0" w:lastRow="0" w:firstColumn="0" w:lastColumn="0" w:noHBand="0" w:noVBand="0"/>
      </w:tblPr>
      <w:tblGrid>
        <w:gridCol w:w="2552"/>
        <w:gridCol w:w="3685"/>
        <w:gridCol w:w="1276"/>
        <w:gridCol w:w="1418"/>
      </w:tblGrid>
      <w:tr w:rsidR="00AD4B2A" w14:paraId="3AEB736D" w14:textId="77777777" w:rsidTr="0033796A">
        <w:tc>
          <w:tcPr>
            <w:tcW w:w="2552" w:type="dxa"/>
            <w:tcBorders>
              <w:top w:val="nil"/>
              <w:left w:val="nil"/>
              <w:bottom w:val="nil"/>
              <w:right w:val="nil"/>
            </w:tcBorders>
          </w:tcPr>
          <w:p w14:paraId="51C83058"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b/>
                <w:sz w:val="20"/>
              </w:rPr>
            </w:pPr>
            <w:r>
              <w:rPr>
                <w:b/>
                <w:sz w:val="20"/>
              </w:rPr>
              <w:t>Co-chairs</w:t>
            </w:r>
          </w:p>
        </w:tc>
        <w:tc>
          <w:tcPr>
            <w:tcW w:w="3685" w:type="dxa"/>
            <w:tcBorders>
              <w:top w:val="nil"/>
              <w:left w:val="nil"/>
              <w:bottom w:val="nil"/>
              <w:right w:val="nil"/>
            </w:tcBorders>
          </w:tcPr>
          <w:p w14:paraId="07F3795D"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276" w:type="dxa"/>
            <w:tcBorders>
              <w:top w:val="nil"/>
              <w:left w:val="nil"/>
              <w:bottom w:val="nil"/>
              <w:right w:val="nil"/>
            </w:tcBorders>
          </w:tcPr>
          <w:p w14:paraId="22838CA6"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418" w:type="dxa"/>
            <w:tcBorders>
              <w:top w:val="nil"/>
              <w:left w:val="nil"/>
              <w:bottom w:val="nil"/>
              <w:right w:val="nil"/>
            </w:tcBorders>
          </w:tcPr>
          <w:p w14:paraId="2BB7880F"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b/>
                <w:sz w:val="20"/>
              </w:rPr>
            </w:pPr>
            <w:r>
              <w:rPr>
                <w:b/>
                <w:sz w:val="20"/>
              </w:rPr>
              <w:t xml:space="preserve">Appointment through </w:t>
            </w:r>
          </w:p>
        </w:tc>
      </w:tr>
      <w:tr w:rsidR="00AD4B2A" w14:paraId="34BAA4D2" w14:textId="77777777" w:rsidTr="0033796A">
        <w:tc>
          <w:tcPr>
            <w:tcW w:w="2552" w:type="dxa"/>
            <w:tcBorders>
              <w:top w:val="nil"/>
              <w:left w:val="nil"/>
              <w:bottom w:val="nil"/>
              <w:right w:val="nil"/>
            </w:tcBorders>
          </w:tcPr>
          <w:p w14:paraId="75B7FD7A" w14:textId="683E0B8C" w:rsidR="00AD4B2A" w:rsidRDefault="00766033" w:rsidP="00766033">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 xml:space="preserve">Bella Maranion </w:t>
            </w:r>
          </w:p>
        </w:tc>
        <w:tc>
          <w:tcPr>
            <w:tcW w:w="3685" w:type="dxa"/>
            <w:tcBorders>
              <w:top w:val="nil"/>
              <w:left w:val="nil"/>
              <w:bottom w:val="nil"/>
              <w:right w:val="nil"/>
            </w:tcBorders>
          </w:tcPr>
          <w:p w14:paraId="2E842C34" w14:textId="4ADE0E9D" w:rsidR="00AD4B2A" w:rsidRDefault="00766033" w:rsidP="0076603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 xml:space="preserve">U.S. EPA </w:t>
            </w:r>
          </w:p>
        </w:tc>
        <w:tc>
          <w:tcPr>
            <w:tcW w:w="1276" w:type="dxa"/>
            <w:tcBorders>
              <w:top w:val="nil"/>
              <w:left w:val="nil"/>
              <w:bottom w:val="nil"/>
              <w:right w:val="nil"/>
            </w:tcBorders>
          </w:tcPr>
          <w:p w14:paraId="1FA09C89" w14:textId="34241447" w:rsidR="00AD4B2A" w:rsidRDefault="0076603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8" w:type="dxa"/>
            <w:tcBorders>
              <w:top w:val="nil"/>
              <w:left w:val="nil"/>
              <w:bottom w:val="nil"/>
              <w:right w:val="nil"/>
            </w:tcBorders>
          </w:tcPr>
          <w:p w14:paraId="6FA1FED8" w14:textId="5007D400" w:rsidR="00AD4B2A" w:rsidRDefault="00591AA8" w:rsidP="0076603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rPr>
            </w:pPr>
            <w:r>
              <w:rPr>
                <w:sz w:val="20"/>
              </w:rPr>
              <w:t>201</w:t>
            </w:r>
            <w:r w:rsidR="00766033">
              <w:rPr>
                <w:sz w:val="20"/>
              </w:rPr>
              <w:t>6</w:t>
            </w:r>
          </w:p>
        </w:tc>
      </w:tr>
      <w:tr w:rsidR="00AD4B2A" w14:paraId="6F6A1591" w14:textId="77777777" w:rsidTr="0033796A">
        <w:tc>
          <w:tcPr>
            <w:tcW w:w="2552" w:type="dxa"/>
            <w:tcBorders>
              <w:top w:val="nil"/>
              <w:left w:val="nil"/>
              <w:bottom w:val="nil"/>
              <w:right w:val="nil"/>
            </w:tcBorders>
          </w:tcPr>
          <w:p w14:paraId="7751EBF8" w14:textId="3E0E7437" w:rsidR="00AD4B2A" w:rsidRDefault="00687DCE" w:rsidP="00766033">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Ma</w:t>
            </w:r>
            <w:r w:rsidR="00766033">
              <w:rPr>
                <w:sz w:val="20"/>
              </w:rPr>
              <w:t>rta Pizano</w:t>
            </w:r>
          </w:p>
        </w:tc>
        <w:tc>
          <w:tcPr>
            <w:tcW w:w="3685" w:type="dxa"/>
            <w:tcBorders>
              <w:top w:val="nil"/>
              <w:left w:val="nil"/>
              <w:bottom w:val="nil"/>
              <w:right w:val="nil"/>
            </w:tcBorders>
          </w:tcPr>
          <w:p w14:paraId="1CD68793" w14:textId="1ABA0785" w:rsidR="00AD4B2A" w:rsidRDefault="00766033" w:rsidP="0076603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 xml:space="preserve">Consultant </w:t>
            </w:r>
          </w:p>
        </w:tc>
        <w:tc>
          <w:tcPr>
            <w:tcW w:w="1276" w:type="dxa"/>
            <w:tcBorders>
              <w:top w:val="nil"/>
              <w:left w:val="nil"/>
              <w:bottom w:val="nil"/>
              <w:right w:val="nil"/>
            </w:tcBorders>
          </w:tcPr>
          <w:p w14:paraId="6D1BDD41" w14:textId="17AC8B85" w:rsidR="00AD4B2A" w:rsidRDefault="0076603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Colombia</w:t>
            </w:r>
          </w:p>
        </w:tc>
        <w:tc>
          <w:tcPr>
            <w:tcW w:w="1418" w:type="dxa"/>
            <w:tcBorders>
              <w:top w:val="nil"/>
              <w:left w:val="nil"/>
              <w:bottom w:val="nil"/>
              <w:right w:val="nil"/>
            </w:tcBorders>
          </w:tcPr>
          <w:p w14:paraId="6103F20F" w14:textId="41548DF7" w:rsidR="00AD4B2A" w:rsidRDefault="00526B70"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rPr>
            </w:pPr>
            <w:r>
              <w:rPr>
                <w:sz w:val="20"/>
              </w:rPr>
              <w:t>201</w:t>
            </w:r>
            <w:r w:rsidR="00766033">
              <w:rPr>
                <w:sz w:val="20"/>
              </w:rPr>
              <w:t>8</w:t>
            </w:r>
          </w:p>
        </w:tc>
      </w:tr>
      <w:tr w:rsidR="00AD4B2A" w14:paraId="6B47BE16" w14:textId="77777777" w:rsidTr="0033796A">
        <w:tc>
          <w:tcPr>
            <w:tcW w:w="2552" w:type="dxa"/>
            <w:tcBorders>
              <w:top w:val="nil"/>
              <w:left w:val="nil"/>
              <w:bottom w:val="nil"/>
              <w:right w:val="nil"/>
            </w:tcBorders>
          </w:tcPr>
          <w:p w14:paraId="53CA6000" w14:textId="02067271" w:rsidR="00AD4B2A" w:rsidRDefault="00687DCE" w:rsidP="00766033">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A</w:t>
            </w:r>
            <w:r w:rsidR="00766033">
              <w:rPr>
                <w:sz w:val="20"/>
              </w:rPr>
              <w:t>shley Woodcock</w:t>
            </w:r>
          </w:p>
        </w:tc>
        <w:tc>
          <w:tcPr>
            <w:tcW w:w="3685" w:type="dxa"/>
            <w:tcBorders>
              <w:top w:val="nil"/>
              <w:left w:val="nil"/>
              <w:bottom w:val="nil"/>
              <w:right w:val="nil"/>
            </w:tcBorders>
          </w:tcPr>
          <w:p w14:paraId="15D1B173" w14:textId="6DBF3FF9" w:rsidR="00AD4B2A" w:rsidRDefault="0076603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University Hospital of South Manchester</w:t>
            </w:r>
          </w:p>
        </w:tc>
        <w:tc>
          <w:tcPr>
            <w:tcW w:w="1276" w:type="dxa"/>
            <w:tcBorders>
              <w:top w:val="nil"/>
              <w:left w:val="nil"/>
              <w:bottom w:val="nil"/>
              <w:right w:val="nil"/>
            </w:tcBorders>
          </w:tcPr>
          <w:p w14:paraId="28914D43" w14:textId="672AC30E" w:rsidR="00AD4B2A" w:rsidRDefault="0076603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418" w:type="dxa"/>
            <w:tcBorders>
              <w:top w:val="nil"/>
              <w:left w:val="nil"/>
              <w:bottom w:val="nil"/>
              <w:right w:val="nil"/>
            </w:tcBorders>
          </w:tcPr>
          <w:p w14:paraId="694DDDED"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rPr>
            </w:pPr>
            <w:r>
              <w:rPr>
                <w:sz w:val="20"/>
              </w:rPr>
              <w:t>201</w:t>
            </w:r>
            <w:r w:rsidR="0033796A">
              <w:rPr>
                <w:sz w:val="20"/>
              </w:rPr>
              <w:t>8</w:t>
            </w:r>
          </w:p>
        </w:tc>
      </w:tr>
      <w:tr w:rsidR="00AD4B2A" w14:paraId="54E0BBC0" w14:textId="77777777" w:rsidTr="0033796A">
        <w:trPr>
          <w:trHeight w:val="115"/>
        </w:trPr>
        <w:tc>
          <w:tcPr>
            <w:tcW w:w="2552" w:type="dxa"/>
            <w:tcBorders>
              <w:top w:val="nil"/>
              <w:left w:val="nil"/>
              <w:bottom w:val="nil"/>
              <w:right w:val="nil"/>
            </w:tcBorders>
          </w:tcPr>
          <w:p w14:paraId="6ED21CC7"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b/>
                <w:sz w:val="20"/>
              </w:rPr>
            </w:pPr>
            <w:r>
              <w:rPr>
                <w:b/>
                <w:sz w:val="20"/>
              </w:rPr>
              <w:t>Senior Expert Members</w:t>
            </w:r>
          </w:p>
        </w:tc>
        <w:tc>
          <w:tcPr>
            <w:tcW w:w="3685" w:type="dxa"/>
            <w:tcBorders>
              <w:top w:val="nil"/>
              <w:left w:val="nil"/>
              <w:bottom w:val="nil"/>
              <w:right w:val="nil"/>
            </w:tcBorders>
          </w:tcPr>
          <w:p w14:paraId="0DA6EB3E"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276" w:type="dxa"/>
            <w:tcBorders>
              <w:top w:val="nil"/>
              <w:left w:val="nil"/>
              <w:bottom w:val="nil"/>
              <w:right w:val="nil"/>
            </w:tcBorders>
          </w:tcPr>
          <w:p w14:paraId="579B6132"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418" w:type="dxa"/>
            <w:tcBorders>
              <w:top w:val="nil"/>
              <w:left w:val="nil"/>
              <w:bottom w:val="nil"/>
              <w:right w:val="nil"/>
            </w:tcBorders>
          </w:tcPr>
          <w:p w14:paraId="7EEC936D" w14:textId="77777777" w:rsidR="00AD4B2A" w:rsidRDefault="00AD4B2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rPr>
            </w:pPr>
          </w:p>
        </w:tc>
      </w:tr>
      <w:tr w:rsidR="00AD4B2A" w14:paraId="6D707977" w14:textId="77777777" w:rsidTr="0033796A">
        <w:tc>
          <w:tcPr>
            <w:tcW w:w="2552" w:type="dxa"/>
            <w:tcBorders>
              <w:top w:val="nil"/>
              <w:left w:val="nil"/>
              <w:bottom w:val="nil"/>
              <w:right w:val="nil"/>
            </w:tcBorders>
          </w:tcPr>
          <w:p w14:paraId="4C8F9808"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Marco Gonzalez</w:t>
            </w:r>
          </w:p>
        </w:tc>
        <w:tc>
          <w:tcPr>
            <w:tcW w:w="3685" w:type="dxa"/>
            <w:tcBorders>
              <w:top w:val="nil"/>
              <w:left w:val="nil"/>
              <w:bottom w:val="nil"/>
              <w:right w:val="nil"/>
            </w:tcBorders>
          </w:tcPr>
          <w:p w14:paraId="3BC8383C"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276" w:type="dxa"/>
            <w:tcBorders>
              <w:top w:val="nil"/>
              <w:left w:val="nil"/>
              <w:bottom w:val="nil"/>
              <w:right w:val="nil"/>
            </w:tcBorders>
          </w:tcPr>
          <w:p w14:paraId="0B221AA9"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Costa Rica</w:t>
            </w:r>
          </w:p>
        </w:tc>
        <w:tc>
          <w:tcPr>
            <w:tcW w:w="1418" w:type="dxa"/>
            <w:tcBorders>
              <w:top w:val="nil"/>
              <w:left w:val="nil"/>
              <w:bottom w:val="nil"/>
              <w:right w:val="nil"/>
            </w:tcBorders>
          </w:tcPr>
          <w:p w14:paraId="36657619" w14:textId="77777777" w:rsidR="00AD4B2A" w:rsidRDefault="000B112E"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rPr>
            </w:pPr>
            <w:r>
              <w:rPr>
                <w:sz w:val="20"/>
              </w:rPr>
              <w:t>2015</w:t>
            </w:r>
          </w:p>
        </w:tc>
      </w:tr>
      <w:tr w:rsidR="00AD4B2A" w14:paraId="23CC404F" w14:textId="77777777" w:rsidTr="0033796A">
        <w:tc>
          <w:tcPr>
            <w:tcW w:w="2552" w:type="dxa"/>
            <w:tcBorders>
              <w:top w:val="nil"/>
              <w:left w:val="nil"/>
              <w:bottom w:val="nil"/>
              <w:right w:val="nil"/>
            </w:tcBorders>
          </w:tcPr>
          <w:p w14:paraId="0EF0C903"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Masaaki Yamabe</w:t>
            </w:r>
          </w:p>
        </w:tc>
        <w:tc>
          <w:tcPr>
            <w:tcW w:w="3685" w:type="dxa"/>
            <w:tcBorders>
              <w:top w:val="nil"/>
              <w:left w:val="nil"/>
              <w:bottom w:val="nil"/>
              <w:right w:val="nil"/>
            </w:tcBorders>
          </w:tcPr>
          <w:p w14:paraId="465C3874"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National Inst. Advanced Industrial Science and Technology</w:t>
            </w:r>
          </w:p>
        </w:tc>
        <w:tc>
          <w:tcPr>
            <w:tcW w:w="1276" w:type="dxa"/>
            <w:tcBorders>
              <w:top w:val="nil"/>
              <w:left w:val="nil"/>
              <w:bottom w:val="nil"/>
              <w:right w:val="nil"/>
            </w:tcBorders>
          </w:tcPr>
          <w:p w14:paraId="5AEE951A"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Japan</w:t>
            </w:r>
          </w:p>
        </w:tc>
        <w:tc>
          <w:tcPr>
            <w:tcW w:w="1418" w:type="dxa"/>
            <w:tcBorders>
              <w:top w:val="nil"/>
              <w:left w:val="nil"/>
              <w:bottom w:val="nil"/>
              <w:right w:val="nil"/>
            </w:tcBorders>
          </w:tcPr>
          <w:p w14:paraId="0DDAF3EB" w14:textId="77777777" w:rsidR="00AD4B2A" w:rsidRDefault="001A03FB"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rPr>
            </w:pPr>
            <w:r>
              <w:rPr>
                <w:sz w:val="20"/>
              </w:rPr>
              <w:t>2015</w:t>
            </w:r>
          </w:p>
        </w:tc>
      </w:tr>
      <w:tr w:rsidR="00AD4B2A" w14:paraId="6224BB9F" w14:textId="77777777" w:rsidTr="0033796A">
        <w:tc>
          <w:tcPr>
            <w:tcW w:w="2552" w:type="dxa"/>
            <w:tcBorders>
              <w:top w:val="nil"/>
              <w:left w:val="nil"/>
              <w:bottom w:val="nil"/>
              <w:right w:val="nil"/>
            </w:tcBorders>
          </w:tcPr>
          <w:p w14:paraId="6DCBEA8B"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Shiqiu Zhang</w:t>
            </w:r>
          </w:p>
        </w:tc>
        <w:tc>
          <w:tcPr>
            <w:tcW w:w="3685" w:type="dxa"/>
            <w:tcBorders>
              <w:top w:val="nil"/>
              <w:left w:val="nil"/>
              <w:bottom w:val="nil"/>
              <w:right w:val="nil"/>
            </w:tcBorders>
          </w:tcPr>
          <w:p w14:paraId="42F1BA27" w14:textId="5F1C0303" w:rsidR="00AD4B2A" w:rsidRDefault="00664765"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Sen Yat Sen University</w:t>
            </w:r>
          </w:p>
        </w:tc>
        <w:tc>
          <w:tcPr>
            <w:tcW w:w="1276" w:type="dxa"/>
            <w:tcBorders>
              <w:top w:val="nil"/>
              <w:left w:val="nil"/>
              <w:bottom w:val="nil"/>
              <w:right w:val="nil"/>
            </w:tcBorders>
          </w:tcPr>
          <w:p w14:paraId="4E7F341F"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China</w:t>
            </w:r>
          </w:p>
        </w:tc>
        <w:tc>
          <w:tcPr>
            <w:tcW w:w="1418" w:type="dxa"/>
            <w:tcBorders>
              <w:top w:val="nil"/>
              <w:left w:val="nil"/>
              <w:bottom w:val="nil"/>
              <w:right w:val="nil"/>
            </w:tcBorders>
          </w:tcPr>
          <w:p w14:paraId="00FF6DD2"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rPr>
            </w:pPr>
            <w:r>
              <w:rPr>
                <w:sz w:val="20"/>
              </w:rPr>
              <w:t>2017</w:t>
            </w:r>
          </w:p>
        </w:tc>
      </w:tr>
      <w:tr w:rsidR="00AD4B2A" w14:paraId="55EAF78B" w14:textId="77777777" w:rsidTr="0033796A">
        <w:tc>
          <w:tcPr>
            <w:tcW w:w="2552" w:type="dxa"/>
            <w:tcBorders>
              <w:top w:val="nil"/>
              <w:left w:val="nil"/>
              <w:bottom w:val="nil"/>
              <w:right w:val="nil"/>
            </w:tcBorders>
          </w:tcPr>
          <w:p w14:paraId="595AA3FF"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b/>
                <w:sz w:val="20"/>
              </w:rPr>
            </w:pPr>
            <w:r>
              <w:rPr>
                <w:b/>
                <w:sz w:val="20"/>
              </w:rPr>
              <w:t>TOC Chairs</w:t>
            </w:r>
          </w:p>
        </w:tc>
        <w:tc>
          <w:tcPr>
            <w:tcW w:w="3685" w:type="dxa"/>
            <w:tcBorders>
              <w:top w:val="nil"/>
              <w:left w:val="nil"/>
              <w:bottom w:val="nil"/>
              <w:right w:val="nil"/>
            </w:tcBorders>
          </w:tcPr>
          <w:p w14:paraId="0552618E"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276" w:type="dxa"/>
            <w:tcBorders>
              <w:top w:val="nil"/>
              <w:left w:val="nil"/>
              <w:bottom w:val="nil"/>
              <w:right w:val="nil"/>
            </w:tcBorders>
          </w:tcPr>
          <w:p w14:paraId="447537FD"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418" w:type="dxa"/>
            <w:tcBorders>
              <w:top w:val="nil"/>
              <w:left w:val="nil"/>
              <w:bottom w:val="nil"/>
              <w:right w:val="nil"/>
            </w:tcBorders>
          </w:tcPr>
          <w:p w14:paraId="5FF1AF9D" w14:textId="3D76E0C0" w:rsidR="00AD4B2A" w:rsidRPr="00165E88" w:rsidRDefault="00165E8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b/>
                <w:sz w:val="20"/>
              </w:rPr>
            </w:pPr>
            <w:r w:rsidRPr="00165E88">
              <w:rPr>
                <w:b/>
                <w:sz w:val="20"/>
              </w:rPr>
              <w:t>Appointed through</w:t>
            </w:r>
          </w:p>
        </w:tc>
      </w:tr>
      <w:tr w:rsidR="00AD4B2A" w14:paraId="70CB09CB" w14:textId="77777777" w:rsidTr="0033796A">
        <w:tc>
          <w:tcPr>
            <w:tcW w:w="2552" w:type="dxa"/>
            <w:tcBorders>
              <w:top w:val="nil"/>
              <w:left w:val="nil"/>
              <w:bottom w:val="nil"/>
              <w:right w:val="nil"/>
            </w:tcBorders>
          </w:tcPr>
          <w:p w14:paraId="322783B6"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Mohamed Besri</w:t>
            </w:r>
          </w:p>
        </w:tc>
        <w:tc>
          <w:tcPr>
            <w:tcW w:w="3685" w:type="dxa"/>
            <w:tcBorders>
              <w:top w:val="nil"/>
              <w:left w:val="nil"/>
              <w:bottom w:val="nil"/>
              <w:right w:val="nil"/>
            </w:tcBorders>
          </w:tcPr>
          <w:p w14:paraId="30F4AC64"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val="pt-BR"/>
              </w:rPr>
            </w:pPr>
            <w:r>
              <w:rPr>
                <w:sz w:val="20"/>
                <w:lang w:val="pt-BR"/>
              </w:rPr>
              <w:t>Institut Agronomique et Vétérinaire Hassan II</w:t>
            </w:r>
          </w:p>
        </w:tc>
        <w:tc>
          <w:tcPr>
            <w:tcW w:w="1276" w:type="dxa"/>
            <w:tcBorders>
              <w:top w:val="nil"/>
              <w:left w:val="nil"/>
              <w:bottom w:val="nil"/>
              <w:right w:val="nil"/>
            </w:tcBorders>
          </w:tcPr>
          <w:p w14:paraId="358658E9"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Morocco</w:t>
            </w:r>
          </w:p>
        </w:tc>
        <w:tc>
          <w:tcPr>
            <w:tcW w:w="1418" w:type="dxa"/>
            <w:tcBorders>
              <w:top w:val="nil"/>
              <w:left w:val="nil"/>
              <w:bottom w:val="nil"/>
              <w:right w:val="nil"/>
            </w:tcBorders>
          </w:tcPr>
          <w:p w14:paraId="7E0DC1A6" w14:textId="77777777" w:rsidR="00AD4B2A" w:rsidRDefault="000B112E"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rPr>
            </w:pPr>
            <w:r>
              <w:rPr>
                <w:sz w:val="20"/>
              </w:rPr>
              <w:t>2017</w:t>
            </w:r>
          </w:p>
        </w:tc>
      </w:tr>
      <w:tr w:rsidR="00AD4B2A" w14:paraId="1AD56271" w14:textId="77777777" w:rsidTr="0033796A">
        <w:tc>
          <w:tcPr>
            <w:tcW w:w="2552" w:type="dxa"/>
            <w:tcBorders>
              <w:top w:val="nil"/>
              <w:left w:val="nil"/>
              <w:bottom w:val="nil"/>
              <w:right w:val="nil"/>
            </w:tcBorders>
          </w:tcPr>
          <w:p w14:paraId="127B9D8D"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David V. Catchpole</w:t>
            </w:r>
          </w:p>
        </w:tc>
        <w:tc>
          <w:tcPr>
            <w:tcW w:w="3685" w:type="dxa"/>
            <w:tcBorders>
              <w:top w:val="nil"/>
              <w:left w:val="nil"/>
              <w:bottom w:val="nil"/>
              <w:right w:val="nil"/>
            </w:tcBorders>
          </w:tcPr>
          <w:p w14:paraId="2B57E185"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Petrotechnical Resources Alaska</w:t>
            </w:r>
          </w:p>
        </w:tc>
        <w:tc>
          <w:tcPr>
            <w:tcW w:w="1276" w:type="dxa"/>
            <w:tcBorders>
              <w:top w:val="nil"/>
              <w:left w:val="nil"/>
              <w:bottom w:val="nil"/>
              <w:right w:val="nil"/>
            </w:tcBorders>
          </w:tcPr>
          <w:p w14:paraId="6573871A"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418" w:type="dxa"/>
            <w:tcBorders>
              <w:top w:val="nil"/>
              <w:left w:val="nil"/>
              <w:bottom w:val="nil"/>
              <w:right w:val="nil"/>
            </w:tcBorders>
          </w:tcPr>
          <w:p w14:paraId="1C12DDD8" w14:textId="77777777" w:rsidR="00AD4B2A" w:rsidRDefault="00526B70"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rPr>
            </w:pPr>
            <w:r>
              <w:rPr>
                <w:sz w:val="20"/>
              </w:rPr>
              <w:t>2016</w:t>
            </w:r>
          </w:p>
        </w:tc>
      </w:tr>
      <w:tr w:rsidR="00AD4B2A" w14:paraId="6E1901AF" w14:textId="77777777" w:rsidTr="0033796A">
        <w:tc>
          <w:tcPr>
            <w:tcW w:w="2552" w:type="dxa"/>
            <w:tcBorders>
              <w:top w:val="nil"/>
              <w:left w:val="nil"/>
              <w:bottom w:val="nil"/>
              <w:right w:val="nil"/>
            </w:tcBorders>
          </w:tcPr>
          <w:p w14:paraId="072E3AA8"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Sergey Kopylov</w:t>
            </w:r>
          </w:p>
        </w:tc>
        <w:tc>
          <w:tcPr>
            <w:tcW w:w="3685" w:type="dxa"/>
            <w:tcBorders>
              <w:top w:val="nil"/>
              <w:left w:val="nil"/>
              <w:bottom w:val="nil"/>
              <w:right w:val="nil"/>
            </w:tcBorders>
          </w:tcPr>
          <w:p w14:paraId="138CFBF3"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All Russian Research Institute for Fire Protection</w:t>
            </w:r>
          </w:p>
        </w:tc>
        <w:tc>
          <w:tcPr>
            <w:tcW w:w="1276" w:type="dxa"/>
            <w:tcBorders>
              <w:top w:val="nil"/>
              <w:left w:val="nil"/>
              <w:bottom w:val="nil"/>
              <w:right w:val="nil"/>
            </w:tcBorders>
          </w:tcPr>
          <w:p w14:paraId="22AA669B"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Russian Federation</w:t>
            </w:r>
          </w:p>
        </w:tc>
        <w:tc>
          <w:tcPr>
            <w:tcW w:w="1418" w:type="dxa"/>
            <w:tcBorders>
              <w:top w:val="nil"/>
              <w:left w:val="nil"/>
              <w:bottom w:val="nil"/>
              <w:right w:val="nil"/>
            </w:tcBorders>
          </w:tcPr>
          <w:p w14:paraId="7E2F0D2A" w14:textId="77777777" w:rsidR="00AD4B2A" w:rsidRDefault="009963E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rPr>
            </w:pPr>
            <w:r>
              <w:rPr>
                <w:sz w:val="20"/>
              </w:rPr>
              <w:t>2017</w:t>
            </w:r>
          </w:p>
        </w:tc>
      </w:tr>
      <w:tr w:rsidR="0033796A" w14:paraId="41CBD164" w14:textId="77777777" w:rsidTr="0033796A">
        <w:tc>
          <w:tcPr>
            <w:tcW w:w="2552" w:type="dxa"/>
            <w:tcBorders>
              <w:top w:val="nil"/>
              <w:left w:val="nil"/>
              <w:bottom w:val="nil"/>
              <w:right w:val="nil"/>
            </w:tcBorders>
          </w:tcPr>
          <w:p w14:paraId="50629979" w14:textId="77777777" w:rsidR="0033796A" w:rsidRDefault="0033796A"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Lambert Kuijpers</w:t>
            </w:r>
          </w:p>
        </w:tc>
        <w:tc>
          <w:tcPr>
            <w:tcW w:w="3685" w:type="dxa"/>
            <w:tcBorders>
              <w:top w:val="nil"/>
              <w:left w:val="nil"/>
              <w:bottom w:val="nil"/>
              <w:right w:val="nil"/>
            </w:tcBorders>
          </w:tcPr>
          <w:p w14:paraId="71A69D62" w14:textId="77777777" w:rsidR="0033796A" w:rsidRDefault="0033796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val="pt-BR"/>
              </w:rPr>
            </w:pPr>
            <w:r>
              <w:rPr>
                <w:sz w:val="20"/>
              </w:rPr>
              <w:t>Technical University Eindhoven</w:t>
            </w:r>
          </w:p>
        </w:tc>
        <w:tc>
          <w:tcPr>
            <w:tcW w:w="1276" w:type="dxa"/>
            <w:tcBorders>
              <w:top w:val="nil"/>
              <w:left w:val="nil"/>
              <w:bottom w:val="nil"/>
              <w:right w:val="nil"/>
            </w:tcBorders>
          </w:tcPr>
          <w:p w14:paraId="1FF09E0F" w14:textId="77777777" w:rsidR="0033796A" w:rsidRDefault="0033796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Netherlands</w:t>
            </w:r>
          </w:p>
        </w:tc>
        <w:tc>
          <w:tcPr>
            <w:tcW w:w="1418" w:type="dxa"/>
            <w:tcBorders>
              <w:top w:val="nil"/>
              <w:left w:val="nil"/>
              <w:bottom w:val="nil"/>
              <w:right w:val="nil"/>
            </w:tcBorders>
          </w:tcPr>
          <w:p w14:paraId="6CEC56D3" w14:textId="77777777" w:rsidR="0033796A" w:rsidRDefault="0033796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2015</w:t>
            </w:r>
          </w:p>
        </w:tc>
      </w:tr>
      <w:tr w:rsidR="00AD4B2A" w14:paraId="7D45F1CD" w14:textId="77777777" w:rsidTr="0033796A">
        <w:tc>
          <w:tcPr>
            <w:tcW w:w="2552" w:type="dxa"/>
            <w:tcBorders>
              <w:top w:val="nil"/>
              <w:left w:val="nil"/>
              <w:bottom w:val="nil"/>
              <w:right w:val="nil"/>
            </w:tcBorders>
          </w:tcPr>
          <w:p w14:paraId="432CC32B"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Kei-ichi Ohnishi</w:t>
            </w:r>
          </w:p>
        </w:tc>
        <w:tc>
          <w:tcPr>
            <w:tcW w:w="3685" w:type="dxa"/>
            <w:tcBorders>
              <w:top w:val="nil"/>
              <w:left w:val="nil"/>
              <w:bottom w:val="nil"/>
              <w:right w:val="nil"/>
            </w:tcBorders>
          </w:tcPr>
          <w:p w14:paraId="27481A4B"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val="pt-BR"/>
              </w:rPr>
            </w:pPr>
            <w:r>
              <w:rPr>
                <w:sz w:val="20"/>
                <w:lang w:val="pt-BR"/>
              </w:rPr>
              <w:t>Asahi Glass</w:t>
            </w:r>
          </w:p>
        </w:tc>
        <w:tc>
          <w:tcPr>
            <w:tcW w:w="1276" w:type="dxa"/>
            <w:tcBorders>
              <w:top w:val="nil"/>
              <w:left w:val="nil"/>
              <w:bottom w:val="nil"/>
              <w:right w:val="nil"/>
            </w:tcBorders>
          </w:tcPr>
          <w:p w14:paraId="142588A3"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Japan</w:t>
            </w:r>
          </w:p>
        </w:tc>
        <w:tc>
          <w:tcPr>
            <w:tcW w:w="1418" w:type="dxa"/>
            <w:tcBorders>
              <w:top w:val="nil"/>
              <w:left w:val="nil"/>
              <w:bottom w:val="nil"/>
              <w:right w:val="nil"/>
            </w:tcBorders>
          </w:tcPr>
          <w:p w14:paraId="7EF7A370" w14:textId="77777777" w:rsidR="00AD4B2A" w:rsidRDefault="001A03FB"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2015</w:t>
            </w:r>
          </w:p>
        </w:tc>
      </w:tr>
      <w:tr w:rsidR="00AD4B2A" w14:paraId="5D27BA22" w14:textId="77777777" w:rsidTr="0033796A">
        <w:tc>
          <w:tcPr>
            <w:tcW w:w="2552" w:type="dxa"/>
            <w:tcBorders>
              <w:top w:val="nil"/>
              <w:left w:val="nil"/>
              <w:bottom w:val="nil"/>
              <w:right w:val="nil"/>
            </w:tcBorders>
          </w:tcPr>
          <w:p w14:paraId="7F5A37E2"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lang w:val="en-US"/>
              </w:rPr>
            </w:pPr>
            <w:r>
              <w:rPr>
                <w:sz w:val="20"/>
              </w:rPr>
              <w:t>Roberto de A. Peixoto</w:t>
            </w:r>
          </w:p>
        </w:tc>
        <w:tc>
          <w:tcPr>
            <w:tcW w:w="3685" w:type="dxa"/>
            <w:tcBorders>
              <w:top w:val="nil"/>
              <w:left w:val="nil"/>
              <w:bottom w:val="nil"/>
              <w:right w:val="nil"/>
            </w:tcBorders>
          </w:tcPr>
          <w:p w14:paraId="431EE764"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val="pt-BR"/>
              </w:rPr>
            </w:pPr>
            <w:r>
              <w:rPr>
                <w:sz w:val="20"/>
                <w:lang w:val="pt-BR"/>
              </w:rPr>
              <w:t xml:space="preserve">Maua Institute (IMT), Sao Paulo </w:t>
            </w:r>
          </w:p>
        </w:tc>
        <w:tc>
          <w:tcPr>
            <w:tcW w:w="1276" w:type="dxa"/>
            <w:tcBorders>
              <w:top w:val="nil"/>
              <w:left w:val="nil"/>
              <w:bottom w:val="nil"/>
              <w:right w:val="nil"/>
            </w:tcBorders>
          </w:tcPr>
          <w:p w14:paraId="139FBEC6"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Brazil</w:t>
            </w:r>
          </w:p>
        </w:tc>
        <w:tc>
          <w:tcPr>
            <w:tcW w:w="1418" w:type="dxa"/>
            <w:tcBorders>
              <w:top w:val="nil"/>
              <w:left w:val="nil"/>
              <w:bottom w:val="nil"/>
              <w:right w:val="nil"/>
            </w:tcBorders>
          </w:tcPr>
          <w:p w14:paraId="7266646E" w14:textId="77777777" w:rsidR="00AD4B2A" w:rsidRDefault="00BB5ABE"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2017</w:t>
            </w:r>
          </w:p>
        </w:tc>
      </w:tr>
      <w:tr w:rsidR="0033796A" w14:paraId="5FD284E9" w14:textId="77777777" w:rsidTr="0033796A">
        <w:tc>
          <w:tcPr>
            <w:tcW w:w="2552" w:type="dxa"/>
            <w:tcBorders>
              <w:top w:val="nil"/>
              <w:left w:val="nil"/>
              <w:bottom w:val="nil"/>
              <w:right w:val="nil"/>
            </w:tcBorders>
          </w:tcPr>
          <w:p w14:paraId="581C9306" w14:textId="77777777" w:rsidR="0033796A" w:rsidRDefault="0033796A"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Fabio Polonara</w:t>
            </w:r>
          </w:p>
        </w:tc>
        <w:tc>
          <w:tcPr>
            <w:tcW w:w="3685" w:type="dxa"/>
            <w:tcBorders>
              <w:top w:val="nil"/>
              <w:left w:val="nil"/>
              <w:bottom w:val="nil"/>
              <w:right w:val="nil"/>
            </w:tcBorders>
          </w:tcPr>
          <w:p w14:paraId="5B4143DD" w14:textId="79ABB827" w:rsidR="0033796A" w:rsidRPr="003A706C" w:rsidRDefault="00D44C95" w:rsidP="00D44C9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color w:val="auto"/>
                <w:sz w:val="20"/>
                <w:lang w:val="en-US" w:eastAsia="en-US"/>
              </w:rPr>
              <w:t xml:space="preserve">Universitá </w:t>
            </w:r>
            <w:r w:rsidR="003A706C" w:rsidRPr="003A706C">
              <w:rPr>
                <w:color w:val="auto"/>
                <w:sz w:val="20"/>
                <w:lang w:val="en-US" w:eastAsia="en-US"/>
              </w:rPr>
              <w:t>Politecnica delle Marche</w:t>
            </w:r>
          </w:p>
        </w:tc>
        <w:tc>
          <w:tcPr>
            <w:tcW w:w="1276" w:type="dxa"/>
            <w:tcBorders>
              <w:top w:val="nil"/>
              <w:left w:val="nil"/>
              <w:bottom w:val="nil"/>
              <w:right w:val="nil"/>
            </w:tcBorders>
          </w:tcPr>
          <w:p w14:paraId="71D56AB2" w14:textId="77777777" w:rsidR="0033796A" w:rsidRDefault="0033796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Italy</w:t>
            </w:r>
          </w:p>
        </w:tc>
        <w:tc>
          <w:tcPr>
            <w:tcW w:w="1418" w:type="dxa"/>
            <w:tcBorders>
              <w:top w:val="nil"/>
              <w:left w:val="nil"/>
              <w:bottom w:val="nil"/>
              <w:right w:val="nil"/>
            </w:tcBorders>
          </w:tcPr>
          <w:p w14:paraId="236B20B5" w14:textId="0B0DEA71" w:rsidR="0033796A" w:rsidRDefault="003A706C"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2018</w:t>
            </w:r>
          </w:p>
        </w:tc>
      </w:tr>
      <w:tr w:rsidR="00AD4B2A" w14:paraId="7DB520AE" w14:textId="77777777" w:rsidTr="0033796A">
        <w:tc>
          <w:tcPr>
            <w:tcW w:w="2552" w:type="dxa"/>
            <w:tcBorders>
              <w:top w:val="nil"/>
              <w:left w:val="nil"/>
              <w:bottom w:val="nil"/>
              <w:right w:val="nil"/>
            </w:tcBorders>
          </w:tcPr>
          <w:p w14:paraId="2A41D196" w14:textId="77777777" w:rsidR="002216FF" w:rsidRDefault="002216FF"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Marta Pizano</w:t>
            </w:r>
          </w:p>
          <w:p w14:paraId="3A123365"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 xml:space="preserve">Jose Pons-Pons </w:t>
            </w:r>
          </w:p>
        </w:tc>
        <w:tc>
          <w:tcPr>
            <w:tcW w:w="3685" w:type="dxa"/>
            <w:tcBorders>
              <w:top w:val="nil"/>
              <w:left w:val="nil"/>
              <w:bottom w:val="nil"/>
              <w:right w:val="nil"/>
            </w:tcBorders>
          </w:tcPr>
          <w:p w14:paraId="674A839A" w14:textId="77777777" w:rsidR="00AD4B2A" w:rsidRDefault="0033796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p w14:paraId="30A7A9F3" w14:textId="527E4BF7" w:rsidR="002216FF" w:rsidRDefault="0033796A" w:rsidP="00D44C9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Spray Qu</w:t>
            </w:r>
            <w:r w:rsidR="00D44C95">
              <w:rPr>
                <w:sz w:val="20"/>
              </w:rPr>
              <w:t>í</w:t>
            </w:r>
            <w:r>
              <w:rPr>
                <w:sz w:val="20"/>
              </w:rPr>
              <w:t>mica</w:t>
            </w:r>
          </w:p>
        </w:tc>
        <w:tc>
          <w:tcPr>
            <w:tcW w:w="1276" w:type="dxa"/>
            <w:tcBorders>
              <w:top w:val="nil"/>
              <w:left w:val="nil"/>
              <w:bottom w:val="nil"/>
              <w:right w:val="nil"/>
            </w:tcBorders>
          </w:tcPr>
          <w:p w14:paraId="2B2FA48C" w14:textId="77777777" w:rsidR="00AD4B2A" w:rsidRDefault="0033796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Colombia</w:t>
            </w:r>
          </w:p>
          <w:p w14:paraId="5DC85D75" w14:textId="77777777" w:rsidR="002216FF" w:rsidRDefault="0033796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Venezuela</w:t>
            </w:r>
          </w:p>
        </w:tc>
        <w:tc>
          <w:tcPr>
            <w:tcW w:w="1418" w:type="dxa"/>
            <w:tcBorders>
              <w:top w:val="nil"/>
              <w:left w:val="nil"/>
              <w:bottom w:val="nil"/>
              <w:right w:val="nil"/>
            </w:tcBorders>
          </w:tcPr>
          <w:p w14:paraId="6AB64019" w14:textId="77777777" w:rsidR="00AD4B2A" w:rsidRDefault="000B112E"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2017</w:t>
            </w:r>
          </w:p>
          <w:p w14:paraId="6CC5DCD1" w14:textId="77777777" w:rsidR="002216FF" w:rsidRDefault="002216FF"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2017</w:t>
            </w:r>
          </w:p>
        </w:tc>
      </w:tr>
      <w:tr w:rsidR="00AD4B2A" w14:paraId="5EC5FE57" w14:textId="77777777" w:rsidTr="0033796A">
        <w:tc>
          <w:tcPr>
            <w:tcW w:w="2552" w:type="dxa"/>
            <w:tcBorders>
              <w:top w:val="nil"/>
              <w:left w:val="nil"/>
              <w:bottom w:val="nil"/>
              <w:right w:val="nil"/>
            </w:tcBorders>
          </w:tcPr>
          <w:p w14:paraId="28B39CA3"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Ian Porter</w:t>
            </w:r>
          </w:p>
        </w:tc>
        <w:tc>
          <w:tcPr>
            <w:tcW w:w="3685" w:type="dxa"/>
            <w:tcBorders>
              <w:top w:val="nil"/>
              <w:left w:val="nil"/>
              <w:bottom w:val="nil"/>
              <w:right w:val="nil"/>
            </w:tcBorders>
          </w:tcPr>
          <w:p w14:paraId="0D8CE293" w14:textId="77777777" w:rsidR="00AD4B2A" w:rsidRDefault="0033796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La Trobe University</w:t>
            </w:r>
          </w:p>
        </w:tc>
        <w:tc>
          <w:tcPr>
            <w:tcW w:w="1276" w:type="dxa"/>
            <w:tcBorders>
              <w:top w:val="nil"/>
              <w:left w:val="nil"/>
              <w:bottom w:val="nil"/>
              <w:right w:val="nil"/>
            </w:tcBorders>
          </w:tcPr>
          <w:p w14:paraId="70DCCE35"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Australia</w:t>
            </w:r>
          </w:p>
        </w:tc>
        <w:tc>
          <w:tcPr>
            <w:tcW w:w="1418" w:type="dxa"/>
            <w:tcBorders>
              <w:top w:val="nil"/>
              <w:left w:val="nil"/>
              <w:bottom w:val="nil"/>
              <w:right w:val="nil"/>
            </w:tcBorders>
          </w:tcPr>
          <w:p w14:paraId="61DFB8EB" w14:textId="77777777" w:rsidR="00AD4B2A" w:rsidRDefault="00BB5ABE"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2017</w:t>
            </w:r>
          </w:p>
        </w:tc>
      </w:tr>
      <w:tr w:rsidR="00AD4B2A" w14:paraId="5978A181" w14:textId="77777777" w:rsidTr="0033796A">
        <w:tc>
          <w:tcPr>
            <w:tcW w:w="2552" w:type="dxa"/>
            <w:tcBorders>
              <w:top w:val="nil"/>
              <w:left w:val="nil"/>
              <w:bottom w:val="nil"/>
              <w:right w:val="nil"/>
            </w:tcBorders>
          </w:tcPr>
          <w:p w14:paraId="6CBB29D1"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Helen Tope</w:t>
            </w:r>
          </w:p>
        </w:tc>
        <w:tc>
          <w:tcPr>
            <w:tcW w:w="3685" w:type="dxa"/>
            <w:tcBorders>
              <w:top w:val="nil"/>
              <w:left w:val="nil"/>
              <w:bottom w:val="nil"/>
              <w:right w:val="nil"/>
            </w:tcBorders>
          </w:tcPr>
          <w:p w14:paraId="63402B70"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Energy International Australia</w:t>
            </w:r>
          </w:p>
        </w:tc>
        <w:tc>
          <w:tcPr>
            <w:tcW w:w="1276" w:type="dxa"/>
            <w:tcBorders>
              <w:top w:val="nil"/>
              <w:left w:val="nil"/>
              <w:bottom w:val="nil"/>
              <w:right w:val="nil"/>
            </w:tcBorders>
          </w:tcPr>
          <w:p w14:paraId="2FCF52E9"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Australia</w:t>
            </w:r>
          </w:p>
        </w:tc>
        <w:tc>
          <w:tcPr>
            <w:tcW w:w="1418" w:type="dxa"/>
            <w:tcBorders>
              <w:top w:val="nil"/>
              <w:left w:val="nil"/>
              <w:bottom w:val="nil"/>
              <w:right w:val="nil"/>
            </w:tcBorders>
          </w:tcPr>
          <w:p w14:paraId="3FAC8BB6" w14:textId="77777777" w:rsidR="00AD4B2A" w:rsidRDefault="00BB5ABE"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2017</w:t>
            </w:r>
          </w:p>
        </w:tc>
      </w:tr>
      <w:tr w:rsidR="00AD4B2A" w14:paraId="23DDECA4" w14:textId="77777777" w:rsidTr="0033796A">
        <w:tc>
          <w:tcPr>
            <w:tcW w:w="2552" w:type="dxa"/>
            <w:tcBorders>
              <w:top w:val="nil"/>
              <w:left w:val="nil"/>
              <w:bottom w:val="nil"/>
              <w:right w:val="nil"/>
            </w:tcBorders>
          </w:tcPr>
          <w:p w14:paraId="03D8AA48"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Daniel P. Verdonik</w:t>
            </w:r>
          </w:p>
        </w:tc>
        <w:tc>
          <w:tcPr>
            <w:tcW w:w="3685" w:type="dxa"/>
            <w:tcBorders>
              <w:top w:val="nil"/>
              <w:left w:val="nil"/>
              <w:bottom w:val="nil"/>
              <w:right w:val="nil"/>
            </w:tcBorders>
          </w:tcPr>
          <w:p w14:paraId="2A094C85"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Hughes Associates</w:t>
            </w:r>
          </w:p>
        </w:tc>
        <w:tc>
          <w:tcPr>
            <w:tcW w:w="1276" w:type="dxa"/>
            <w:tcBorders>
              <w:top w:val="nil"/>
              <w:left w:val="nil"/>
              <w:bottom w:val="nil"/>
              <w:right w:val="nil"/>
            </w:tcBorders>
          </w:tcPr>
          <w:p w14:paraId="41C96548"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8" w:type="dxa"/>
            <w:tcBorders>
              <w:top w:val="nil"/>
              <w:left w:val="nil"/>
              <w:bottom w:val="nil"/>
              <w:right w:val="nil"/>
            </w:tcBorders>
          </w:tcPr>
          <w:p w14:paraId="663F4243" w14:textId="77777777" w:rsidR="00AD4B2A" w:rsidRDefault="00526B70"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2016</w:t>
            </w:r>
          </w:p>
        </w:tc>
      </w:tr>
      <w:tr w:rsidR="00AD4B2A" w14:paraId="4748DE89" w14:textId="77777777" w:rsidTr="0033796A">
        <w:tc>
          <w:tcPr>
            <w:tcW w:w="2552" w:type="dxa"/>
            <w:tcBorders>
              <w:top w:val="nil"/>
              <w:left w:val="nil"/>
              <w:bottom w:val="nil"/>
              <w:right w:val="nil"/>
            </w:tcBorders>
          </w:tcPr>
          <w:p w14:paraId="13CC236D"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Ashley Woodcock</w:t>
            </w:r>
          </w:p>
        </w:tc>
        <w:tc>
          <w:tcPr>
            <w:tcW w:w="3685" w:type="dxa"/>
            <w:tcBorders>
              <w:top w:val="nil"/>
              <w:left w:val="nil"/>
              <w:bottom w:val="nil"/>
              <w:right w:val="nil"/>
            </w:tcBorders>
          </w:tcPr>
          <w:p w14:paraId="1977C9E4"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University Hospital of South Manchester</w:t>
            </w:r>
          </w:p>
        </w:tc>
        <w:tc>
          <w:tcPr>
            <w:tcW w:w="1276" w:type="dxa"/>
            <w:tcBorders>
              <w:top w:val="nil"/>
              <w:left w:val="nil"/>
              <w:bottom w:val="nil"/>
              <w:right w:val="nil"/>
            </w:tcBorders>
          </w:tcPr>
          <w:p w14:paraId="2388F9A2"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418" w:type="dxa"/>
            <w:tcBorders>
              <w:top w:val="nil"/>
              <w:left w:val="nil"/>
              <w:bottom w:val="nil"/>
              <w:right w:val="nil"/>
            </w:tcBorders>
          </w:tcPr>
          <w:p w14:paraId="58DD9278" w14:textId="77777777" w:rsidR="00AD4B2A" w:rsidRDefault="00526B70"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2016</w:t>
            </w:r>
          </w:p>
        </w:tc>
      </w:tr>
      <w:tr w:rsidR="00AD4B2A" w14:paraId="078F2FE5" w14:textId="77777777" w:rsidTr="0033796A">
        <w:tc>
          <w:tcPr>
            <w:tcW w:w="2552" w:type="dxa"/>
            <w:tcBorders>
              <w:top w:val="nil"/>
              <w:left w:val="nil"/>
              <w:bottom w:val="nil"/>
              <w:right w:val="nil"/>
            </w:tcBorders>
          </w:tcPr>
          <w:p w14:paraId="518DF88C" w14:textId="19BB3AAC" w:rsidR="00AD4B2A" w:rsidRDefault="00165E88" w:rsidP="003A706C">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108"/>
              <w:rPr>
                <w:sz w:val="20"/>
              </w:rPr>
            </w:pPr>
            <w:r>
              <w:rPr>
                <w:sz w:val="20"/>
              </w:rPr>
              <w:t>Jianjun</w:t>
            </w:r>
            <w:r w:rsidR="00591AA8">
              <w:rPr>
                <w:sz w:val="20"/>
              </w:rPr>
              <w:t xml:space="preserve"> Zhang</w:t>
            </w:r>
          </w:p>
        </w:tc>
        <w:tc>
          <w:tcPr>
            <w:tcW w:w="3685" w:type="dxa"/>
            <w:tcBorders>
              <w:top w:val="nil"/>
              <w:left w:val="nil"/>
              <w:bottom w:val="nil"/>
              <w:right w:val="nil"/>
            </w:tcBorders>
          </w:tcPr>
          <w:p w14:paraId="4E84F756" w14:textId="4DDF7B6B" w:rsidR="00AD4B2A" w:rsidRDefault="00591AA8" w:rsidP="0076603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w:t>
            </w:r>
            <w:r w:rsidR="00766033">
              <w:rPr>
                <w:sz w:val="20"/>
              </w:rPr>
              <w:t>en Yat Sen University</w:t>
            </w:r>
          </w:p>
        </w:tc>
        <w:tc>
          <w:tcPr>
            <w:tcW w:w="1276" w:type="dxa"/>
            <w:tcBorders>
              <w:top w:val="nil"/>
              <w:left w:val="nil"/>
              <w:bottom w:val="nil"/>
              <w:right w:val="nil"/>
            </w:tcBorders>
          </w:tcPr>
          <w:p w14:paraId="5E118E55"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PRC</w:t>
            </w:r>
          </w:p>
        </w:tc>
        <w:tc>
          <w:tcPr>
            <w:tcW w:w="1418" w:type="dxa"/>
            <w:tcBorders>
              <w:top w:val="nil"/>
              <w:left w:val="nil"/>
              <w:bottom w:val="nil"/>
              <w:right w:val="nil"/>
            </w:tcBorders>
          </w:tcPr>
          <w:p w14:paraId="628E48E4" w14:textId="77777777" w:rsidR="00AD4B2A" w:rsidRDefault="000B112E"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jc w:val="right"/>
              <w:rPr>
                <w:sz w:val="20"/>
                <w:lang w:val="nl-NL"/>
              </w:rPr>
            </w:pPr>
            <w:r>
              <w:rPr>
                <w:sz w:val="20"/>
                <w:lang w:val="nl-NL"/>
              </w:rPr>
              <w:t>2017</w:t>
            </w:r>
          </w:p>
        </w:tc>
      </w:tr>
    </w:tbl>
    <w:p w14:paraId="1B2D083C" w14:textId="77777777" w:rsidR="00AD4B2A" w:rsidRDefault="00AD4B2A">
      <w:pPr>
        <w:tabs>
          <w:tab w:val="left" w:pos="720"/>
          <w:tab w:val="left" w:pos="1080"/>
        </w:tabs>
        <w:spacing w:after="0"/>
        <w:rPr>
          <w:b/>
        </w:rPr>
      </w:pPr>
    </w:p>
    <w:p w14:paraId="29A1A770" w14:textId="77777777" w:rsidR="00BB5801" w:rsidRDefault="00591AA8">
      <w:pPr>
        <w:tabs>
          <w:tab w:val="left" w:pos="720"/>
          <w:tab w:val="left" w:pos="1080"/>
        </w:tabs>
        <w:spacing w:after="0"/>
        <w:rPr>
          <w:b/>
        </w:rPr>
      </w:pPr>
      <w:r>
        <w:rPr>
          <w:b/>
        </w:rPr>
        <w:br w:type="page"/>
      </w:r>
    </w:p>
    <w:p w14:paraId="39A12BA9" w14:textId="5F615B25" w:rsidR="008A683D" w:rsidRDefault="00BB5801">
      <w:pPr>
        <w:tabs>
          <w:tab w:val="left" w:pos="720"/>
          <w:tab w:val="left" w:pos="1080"/>
        </w:tabs>
        <w:spacing w:after="0"/>
        <w:rPr>
          <w:lang w:val="en-US"/>
        </w:rPr>
      </w:pPr>
      <w:r>
        <w:t xml:space="preserve">Decision XXII/10 paragraph 9 specified that </w:t>
      </w:r>
      <w:r w:rsidRPr="0033796A">
        <w:rPr>
          <w:i/>
        </w:rPr>
        <w:t>“the terms of all the mem</w:t>
      </w:r>
      <w:r w:rsidR="009B3CF6">
        <w:rPr>
          <w:i/>
        </w:rPr>
        <w:t>b</w:t>
      </w:r>
      <w:r w:rsidRPr="0033796A">
        <w:rPr>
          <w:i/>
        </w:rPr>
        <w:t>ers of the…technical options committees shall otherwise expire at the end of…2014…in the absence of reappointment.</w:t>
      </w:r>
      <w:r>
        <w:t xml:space="preserve">” </w:t>
      </w:r>
      <w:r w:rsidRPr="000B112E">
        <w:rPr>
          <w:lang w:val="en-US"/>
        </w:rPr>
        <w:t>TEAP’s T</w:t>
      </w:r>
      <w:r>
        <w:rPr>
          <w:lang w:val="en-US"/>
        </w:rPr>
        <w:t>OR (</w:t>
      </w:r>
      <w:r w:rsidR="008A683D">
        <w:rPr>
          <w:lang w:val="en-US"/>
        </w:rPr>
        <w:t>2.5)</w:t>
      </w:r>
      <w:r w:rsidRPr="000B112E">
        <w:rPr>
          <w:lang w:val="en-US"/>
        </w:rPr>
        <w:t xml:space="preserve"> specifies that </w:t>
      </w:r>
      <w:r w:rsidRPr="0033796A">
        <w:rPr>
          <w:i/>
          <w:lang w:val="en-US"/>
        </w:rPr>
        <w:t>“TOC members are appointed by the TOC co-chairs, in consultation with TEAP, for a period of no more than four years…[and] may be re-appointed following the procedure for nominations for additional periods of up to four years each.</w:t>
      </w:r>
      <w:r>
        <w:rPr>
          <w:lang w:val="en-US"/>
        </w:rPr>
        <w:t xml:space="preserve">” TOC </w:t>
      </w:r>
      <w:r w:rsidRPr="000B112E">
        <w:rPr>
          <w:lang w:val="en-US"/>
        </w:rPr>
        <w:t>member</w:t>
      </w:r>
      <w:r>
        <w:rPr>
          <w:lang w:val="en-US"/>
        </w:rPr>
        <w:t xml:space="preserve"> re-</w:t>
      </w:r>
      <w:r w:rsidRPr="000B112E">
        <w:rPr>
          <w:lang w:val="en-US"/>
        </w:rPr>
        <w:t xml:space="preserve">appointments </w:t>
      </w:r>
      <w:r>
        <w:rPr>
          <w:lang w:val="en-US"/>
        </w:rPr>
        <w:t>start as of 1</w:t>
      </w:r>
      <w:r w:rsidRPr="009349C6">
        <w:rPr>
          <w:vertAlign w:val="superscript"/>
          <w:lang w:val="en-US"/>
        </w:rPr>
        <w:t>st</w:t>
      </w:r>
      <w:r>
        <w:rPr>
          <w:lang w:val="en-US"/>
        </w:rPr>
        <w:t xml:space="preserve"> January of the calendar year following appointment and </w:t>
      </w:r>
      <w:r w:rsidRPr="000B112E">
        <w:rPr>
          <w:lang w:val="en-US"/>
        </w:rPr>
        <w:t>end as of 31</w:t>
      </w:r>
      <w:r w:rsidRPr="000B112E">
        <w:rPr>
          <w:vertAlign w:val="superscript"/>
          <w:lang w:val="en-US"/>
        </w:rPr>
        <w:t>st</w:t>
      </w:r>
      <w:r w:rsidRPr="000B112E">
        <w:rPr>
          <w:lang w:val="en-US"/>
        </w:rPr>
        <w:t xml:space="preserve"> December of the final year of appointment, as </w:t>
      </w:r>
      <w:r w:rsidR="008A683D">
        <w:rPr>
          <w:lang w:val="en-US"/>
        </w:rPr>
        <w:t xml:space="preserve">indicated in the last column of the following TOC tables. </w:t>
      </w:r>
    </w:p>
    <w:p w14:paraId="7714C02B" w14:textId="77777777" w:rsidR="008A683D" w:rsidRDefault="008A683D">
      <w:pPr>
        <w:tabs>
          <w:tab w:val="left" w:pos="720"/>
          <w:tab w:val="left" w:pos="1080"/>
        </w:tabs>
        <w:spacing w:after="0"/>
        <w:rPr>
          <w:lang w:val="en-US"/>
        </w:rPr>
      </w:pPr>
    </w:p>
    <w:p w14:paraId="721D204A" w14:textId="77777777" w:rsidR="00BB5801" w:rsidRDefault="00BB5801">
      <w:pPr>
        <w:tabs>
          <w:tab w:val="left" w:pos="720"/>
          <w:tab w:val="left" w:pos="1080"/>
        </w:tabs>
        <w:spacing w:after="0"/>
        <w:rPr>
          <w:b/>
        </w:rPr>
      </w:pPr>
      <w:r>
        <w:rPr>
          <w:lang w:val="en-US"/>
        </w:rPr>
        <w:t xml:space="preserve">New appointments </w:t>
      </w:r>
      <w:r w:rsidR="008A683D">
        <w:rPr>
          <w:lang w:val="en-US"/>
        </w:rPr>
        <w:t xml:space="preserve">to a TOC would </w:t>
      </w:r>
      <w:r>
        <w:rPr>
          <w:lang w:val="en-US"/>
        </w:rPr>
        <w:t xml:space="preserve">start from the date of appointment </w:t>
      </w:r>
      <w:r w:rsidR="008A683D">
        <w:rPr>
          <w:lang w:val="en-US"/>
        </w:rPr>
        <w:t>by TOC co</w:t>
      </w:r>
      <w:r>
        <w:rPr>
          <w:lang w:val="en-US"/>
        </w:rPr>
        <w:t>-chairs and end as of 31</w:t>
      </w:r>
      <w:r w:rsidRPr="009349C6">
        <w:rPr>
          <w:vertAlign w:val="superscript"/>
          <w:lang w:val="en-US"/>
        </w:rPr>
        <w:t>st</w:t>
      </w:r>
      <w:r>
        <w:rPr>
          <w:lang w:val="en-US"/>
        </w:rPr>
        <w:t xml:space="preserve"> December of the final year of appointment</w:t>
      </w:r>
      <w:r w:rsidR="008A683D">
        <w:rPr>
          <w:lang w:val="en-US"/>
        </w:rPr>
        <w:t>, up to four years</w:t>
      </w:r>
      <w:r>
        <w:rPr>
          <w:lang w:val="en-US"/>
        </w:rPr>
        <w:t>.</w:t>
      </w:r>
    </w:p>
    <w:p w14:paraId="626C9BA9" w14:textId="77777777" w:rsidR="00BB5801" w:rsidRDefault="00BB5801">
      <w:pPr>
        <w:tabs>
          <w:tab w:val="left" w:pos="720"/>
          <w:tab w:val="left" w:pos="1080"/>
        </w:tabs>
        <w:spacing w:after="0"/>
        <w:rPr>
          <w:b/>
        </w:rPr>
      </w:pPr>
    </w:p>
    <w:p w14:paraId="3F1D0709" w14:textId="77777777" w:rsidR="00AD4B2A" w:rsidRDefault="00591AA8" w:rsidP="00FD2654">
      <w:pPr>
        <w:pBdr>
          <w:top w:val="single" w:sz="4" w:space="1" w:color="auto"/>
          <w:left w:val="single" w:sz="4" w:space="1" w:color="auto"/>
          <w:bottom w:val="single" w:sz="4" w:space="1" w:color="auto"/>
          <w:right w:val="single" w:sz="4" w:space="0" w:color="auto"/>
          <w:between w:val="single" w:sz="4" w:space="1" w:color="auto"/>
          <w:bar w:val="single" w:sz="4" w:color="auto"/>
        </w:pBdr>
        <w:tabs>
          <w:tab w:val="left" w:pos="720"/>
          <w:tab w:val="left" w:pos="1080"/>
        </w:tabs>
        <w:spacing w:after="0"/>
      </w:pPr>
      <w:r w:rsidRPr="00F21FFB">
        <w:rPr>
          <w:b/>
        </w:rPr>
        <w:t>TEAP Chemicals Technical Options Committee (CTOC)</w:t>
      </w:r>
    </w:p>
    <w:p w14:paraId="57A3BEB5" w14:textId="77777777" w:rsidR="00AD4B2A" w:rsidRDefault="00AD4B2A" w:rsidP="00FD2654">
      <w:pPr>
        <w:pStyle w:val="Tabel"/>
        <w:pBdr>
          <w:top w:val="single" w:sz="4" w:space="1" w:color="auto"/>
          <w:left w:val="single" w:sz="4" w:space="1" w:color="auto"/>
          <w:bottom w:val="single" w:sz="4" w:space="1" w:color="auto"/>
          <w:right w:val="single" w:sz="4" w:space="0" w:color="auto"/>
          <w:between w:val="single" w:sz="4" w:space="1" w:color="auto"/>
          <w:bar w:val="single" w:sz="4" w:color="auto"/>
        </w:pBdr>
        <w:tabs>
          <w:tab w:val="left" w:pos="720"/>
          <w:tab w:val="left" w:pos="1080"/>
        </w:tabs>
        <w:spacing w:after="0"/>
        <w:rPr>
          <w:sz w:val="12"/>
        </w:rPr>
      </w:pPr>
    </w:p>
    <w:tbl>
      <w:tblPr>
        <w:tblW w:w="8647" w:type="dxa"/>
        <w:tblInd w:w="108" w:type="dxa"/>
        <w:tblLayout w:type="fixed"/>
        <w:tblLook w:val="0000" w:firstRow="0" w:lastRow="0" w:firstColumn="0" w:lastColumn="0" w:noHBand="0" w:noVBand="0"/>
      </w:tblPr>
      <w:tblGrid>
        <w:gridCol w:w="2127"/>
        <w:gridCol w:w="3827"/>
        <w:gridCol w:w="1276"/>
        <w:gridCol w:w="1417"/>
      </w:tblGrid>
      <w:tr w:rsidR="00AD4B2A" w14:paraId="55C99C2D" w14:textId="77777777" w:rsidTr="003A706C">
        <w:tc>
          <w:tcPr>
            <w:tcW w:w="2127" w:type="dxa"/>
            <w:tcBorders>
              <w:top w:val="nil"/>
              <w:left w:val="nil"/>
              <w:bottom w:val="nil"/>
              <w:right w:val="nil"/>
            </w:tcBorders>
          </w:tcPr>
          <w:p w14:paraId="3FD808CF"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Pr>
                <w:b/>
                <w:sz w:val="20"/>
              </w:rPr>
              <w:t>Co-chairs</w:t>
            </w:r>
          </w:p>
        </w:tc>
        <w:tc>
          <w:tcPr>
            <w:tcW w:w="3827" w:type="dxa"/>
            <w:tcBorders>
              <w:top w:val="nil"/>
              <w:left w:val="nil"/>
              <w:bottom w:val="nil"/>
              <w:right w:val="nil"/>
            </w:tcBorders>
          </w:tcPr>
          <w:p w14:paraId="5DD6CBFB"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276" w:type="dxa"/>
            <w:tcBorders>
              <w:top w:val="nil"/>
              <w:left w:val="nil"/>
              <w:bottom w:val="nil"/>
              <w:right w:val="nil"/>
            </w:tcBorders>
          </w:tcPr>
          <w:p w14:paraId="145C53C6"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417" w:type="dxa"/>
            <w:tcBorders>
              <w:top w:val="nil"/>
              <w:left w:val="nil"/>
              <w:bottom w:val="nil"/>
              <w:right w:val="nil"/>
            </w:tcBorders>
          </w:tcPr>
          <w:p w14:paraId="35068283"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b/>
                <w:sz w:val="20"/>
              </w:rPr>
            </w:pPr>
            <w:r>
              <w:rPr>
                <w:b/>
                <w:sz w:val="20"/>
              </w:rPr>
              <w:t>Appointment through</w:t>
            </w:r>
          </w:p>
        </w:tc>
      </w:tr>
      <w:tr w:rsidR="00AD4B2A" w14:paraId="5A7E8050" w14:textId="77777777" w:rsidTr="003A706C">
        <w:tc>
          <w:tcPr>
            <w:tcW w:w="2127" w:type="dxa"/>
            <w:tcBorders>
              <w:top w:val="nil"/>
              <w:left w:val="nil"/>
              <w:bottom w:val="nil"/>
              <w:right w:val="nil"/>
            </w:tcBorders>
          </w:tcPr>
          <w:p w14:paraId="32795A37"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Kei-ichi Ohnishi</w:t>
            </w:r>
          </w:p>
        </w:tc>
        <w:tc>
          <w:tcPr>
            <w:tcW w:w="3827" w:type="dxa"/>
            <w:tcBorders>
              <w:top w:val="nil"/>
              <w:left w:val="nil"/>
              <w:bottom w:val="nil"/>
              <w:right w:val="nil"/>
            </w:tcBorders>
          </w:tcPr>
          <w:p w14:paraId="7486D116"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 xml:space="preserve">Asahi Glass </w:t>
            </w:r>
          </w:p>
        </w:tc>
        <w:tc>
          <w:tcPr>
            <w:tcW w:w="1276" w:type="dxa"/>
            <w:tcBorders>
              <w:top w:val="nil"/>
              <w:left w:val="nil"/>
              <w:bottom w:val="nil"/>
              <w:right w:val="nil"/>
            </w:tcBorders>
          </w:tcPr>
          <w:p w14:paraId="7310226A"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Japan</w:t>
            </w:r>
          </w:p>
        </w:tc>
        <w:tc>
          <w:tcPr>
            <w:tcW w:w="1417" w:type="dxa"/>
            <w:tcBorders>
              <w:top w:val="nil"/>
              <w:left w:val="nil"/>
              <w:bottom w:val="nil"/>
              <w:right w:val="nil"/>
            </w:tcBorders>
          </w:tcPr>
          <w:p w14:paraId="4D052C3A" w14:textId="77777777" w:rsidR="00AD4B2A" w:rsidRDefault="00BB5801"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2015</w:t>
            </w:r>
          </w:p>
        </w:tc>
      </w:tr>
      <w:tr w:rsidR="00AD4B2A" w14:paraId="07C8F706" w14:textId="77777777" w:rsidTr="003A706C">
        <w:tc>
          <w:tcPr>
            <w:tcW w:w="2127" w:type="dxa"/>
            <w:tcBorders>
              <w:top w:val="nil"/>
              <w:left w:val="nil"/>
              <w:bottom w:val="nil"/>
              <w:right w:val="nil"/>
            </w:tcBorders>
          </w:tcPr>
          <w:p w14:paraId="420D75B2" w14:textId="5DC919DA" w:rsidR="00AD4B2A" w:rsidRDefault="00D44C95"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Jianjun</w:t>
            </w:r>
            <w:r w:rsidR="00591AA8">
              <w:rPr>
                <w:sz w:val="20"/>
              </w:rPr>
              <w:t xml:space="preserve"> Zhang</w:t>
            </w:r>
          </w:p>
        </w:tc>
        <w:tc>
          <w:tcPr>
            <w:tcW w:w="3827" w:type="dxa"/>
            <w:tcBorders>
              <w:top w:val="nil"/>
              <w:left w:val="nil"/>
              <w:bottom w:val="nil"/>
              <w:right w:val="nil"/>
            </w:tcBorders>
          </w:tcPr>
          <w:p w14:paraId="19691871" w14:textId="36394FF9" w:rsidR="00AD4B2A" w:rsidRDefault="00664765"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Sen Yat Sen University</w:t>
            </w:r>
          </w:p>
        </w:tc>
        <w:tc>
          <w:tcPr>
            <w:tcW w:w="1276" w:type="dxa"/>
            <w:tcBorders>
              <w:top w:val="nil"/>
              <w:left w:val="nil"/>
              <w:bottom w:val="nil"/>
              <w:right w:val="nil"/>
            </w:tcBorders>
          </w:tcPr>
          <w:p w14:paraId="6FDB544E"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China</w:t>
            </w:r>
          </w:p>
        </w:tc>
        <w:tc>
          <w:tcPr>
            <w:tcW w:w="1417" w:type="dxa"/>
            <w:tcBorders>
              <w:top w:val="nil"/>
              <w:left w:val="nil"/>
              <w:bottom w:val="nil"/>
              <w:right w:val="nil"/>
            </w:tcBorders>
          </w:tcPr>
          <w:p w14:paraId="4C3E2973" w14:textId="77777777" w:rsidR="00AD4B2A" w:rsidRDefault="000B112E"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2017</w:t>
            </w:r>
          </w:p>
        </w:tc>
      </w:tr>
      <w:tr w:rsidR="00AD4B2A" w14:paraId="0CAF75C6" w14:textId="77777777" w:rsidTr="003A706C">
        <w:tc>
          <w:tcPr>
            <w:tcW w:w="2127" w:type="dxa"/>
            <w:tcBorders>
              <w:top w:val="nil"/>
              <w:left w:val="nil"/>
              <w:bottom w:val="nil"/>
              <w:right w:val="nil"/>
            </w:tcBorders>
          </w:tcPr>
          <w:p w14:paraId="43B95747" w14:textId="77777777" w:rsidR="00AD4B2A" w:rsidRDefault="00AD4B2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p>
        </w:tc>
        <w:tc>
          <w:tcPr>
            <w:tcW w:w="3827" w:type="dxa"/>
            <w:tcBorders>
              <w:top w:val="nil"/>
              <w:left w:val="nil"/>
              <w:bottom w:val="nil"/>
              <w:right w:val="nil"/>
            </w:tcBorders>
          </w:tcPr>
          <w:p w14:paraId="38561E2D" w14:textId="77777777" w:rsidR="00AD4B2A" w:rsidRDefault="00AD4B2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p>
        </w:tc>
        <w:tc>
          <w:tcPr>
            <w:tcW w:w="1276" w:type="dxa"/>
            <w:tcBorders>
              <w:top w:val="nil"/>
              <w:left w:val="nil"/>
              <w:bottom w:val="nil"/>
              <w:right w:val="nil"/>
            </w:tcBorders>
          </w:tcPr>
          <w:p w14:paraId="5AD086F4" w14:textId="77777777" w:rsidR="00AD4B2A" w:rsidRDefault="00AD4B2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p>
        </w:tc>
        <w:tc>
          <w:tcPr>
            <w:tcW w:w="1417" w:type="dxa"/>
            <w:tcBorders>
              <w:top w:val="nil"/>
              <w:left w:val="nil"/>
              <w:bottom w:val="nil"/>
              <w:right w:val="nil"/>
            </w:tcBorders>
          </w:tcPr>
          <w:p w14:paraId="0CD619FB" w14:textId="77777777" w:rsidR="00AD4B2A" w:rsidRDefault="00AD4B2A"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p>
        </w:tc>
      </w:tr>
      <w:tr w:rsidR="00AD4B2A" w14:paraId="3A255F59" w14:textId="77777777" w:rsidTr="003A706C">
        <w:tc>
          <w:tcPr>
            <w:tcW w:w="2127" w:type="dxa"/>
            <w:tcBorders>
              <w:top w:val="nil"/>
              <w:left w:val="nil"/>
              <w:bottom w:val="nil"/>
              <w:right w:val="nil"/>
            </w:tcBorders>
          </w:tcPr>
          <w:p w14:paraId="4245DA43"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Pr>
                <w:b/>
                <w:sz w:val="20"/>
              </w:rPr>
              <w:t>Members</w:t>
            </w:r>
          </w:p>
        </w:tc>
        <w:tc>
          <w:tcPr>
            <w:tcW w:w="3827" w:type="dxa"/>
            <w:tcBorders>
              <w:top w:val="nil"/>
              <w:left w:val="nil"/>
              <w:bottom w:val="nil"/>
              <w:right w:val="nil"/>
            </w:tcBorders>
          </w:tcPr>
          <w:p w14:paraId="0CD31210"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276" w:type="dxa"/>
            <w:tcBorders>
              <w:top w:val="nil"/>
              <w:left w:val="nil"/>
              <w:bottom w:val="nil"/>
              <w:right w:val="nil"/>
            </w:tcBorders>
          </w:tcPr>
          <w:p w14:paraId="18689B80"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417" w:type="dxa"/>
            <w:tcBorders>
              <w:top w:val="nil"/>
              <w:left w:val="nil"/>
              <w:bottom w:val="nil"/>
              <w:right w:val="nil"/>
            </w:tcBorders>
          </w:tcPr>
          <w:p w14:paraId="00222D02" w14:textId="7FD4243D" w:rsidR="00AD4B2A" w:rsidRDefault="00165E8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 xml:space="preserve">Appointed </w:t>
            </w:r>
            <w:r w:rsidR="00D44C95">
              <w:rPr>
                <w:b/>
                <w:sz w:val="20"/>
              </w:rPr>
              <w:t>through</w:t>
            </w:r>
          </w:p>
        </w:tc>
      </w:tr>
      <w:tr w:rsidR="00AD4B2A" w14:paraId="1ECD0F26" w14:textId="77777777" w:rsidTr="003A706C">
        <w:trPr>
          <w:trHeight w:val="115"/>
        </w:trPr>
        <w:tc>
          <w:tcPr>
            <w:tcW w:w="2127" w:type="dxa"/>
            <w:tcBorders>
              <w:top w:val="nil"/>
              <w:left w:val="nil"/>
              <w:bottom w:val="nil"/>
              <w:right w:val="nil"/>
            </w:tcBorders>
          </w:tcPr>
          <w:p w14:paraId="46C7A6F6"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D. D. Arora</w:t>
            </w:r>
          </w:p>
        </w:tc>
        <w:tc>
          <w:tcPr>
            <w:tcW w:w="3827" w:type="dxa"/>
            <w:tcBorders>
              <w:top w:val="nil"/>
              <w:left w:val="nil"/>
              <w:bottom w:val="nil"/>
              <w:right w:val="nil"/>
            </w:tcBorders>
          </w:tcPr>
          <w:p w14:paraId="745CF41F"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 xml:space="preserve">The Energy </w:t>
            </w:r>
            <w:r>
              <w:rPr>
                <w:rFonts w:hint="eastAsia"/>
                <w:sz w:val="20"/>
                <w:lang w:eastAsia="ja-JP"/>
              </w:rPr>
              <w:t xml:space="preserve">and </w:t>
            </w:r>
            <w:r>
              <w:rPr>
                <w:sz w:val="20"/>
              </w:rPr>
              <w:t>Research Institute</w:t>
            </w:r>
          </w:p>
        </w:tc>
        <w:tc>
          <w:tcPr>
            <w:tcW w:w="1276" w:type="dxa"/>
            <w:tcBorders>
              <w:top w:val="nil"/>
              <w:left w:val="nil"/>
              <w:bottom w:val="nil"/>
              <w:right w:val="nil"/>
            </w:tcBorders>
          </w:tcPr>
          <w:p w14:paraId="2D0E316A"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India</w:t>
            </w:r>
          </w:p>
        </w:tc>
        <w:tc>
          <w:tcPr>
            <w:tcW w:w="1417" w:type="dxa"/>
            <w:tcBorders>
              <w:top w:val="nil"/>
              <w:left w:val="nil"/>
              <w:bottom w:val="nil"/>
              <w:right w:val="nil"/>
            </w:tcBorders>
          </w:tcPr>
          <w:p w14:paraId="148A7592" w14:textId="77777777" w:rsidR="00AD4B2A" w:rsidRDefault="009963E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F21FFB">
              <w:rPr>
                <w:sz w:val="20"/>
              </w:rPr>
              <w:t>8</w:t>
            </w:r>
          </w:p>
        </w:tc>
      </w:tr>
      <w:tr w:rsidR="00AD4B2A" w14:paraId="16CC791C" w14:textId="77777777" w:rsidTr="003A706C">
        <w:tc>
          <w:tcPr>
            <w:tcW w:w="2127" w:type="dxa"/>
            <w:tcBorders>
              <w:top w:val="nil"/>
              <w:left w:val="nil"/>
              <w:bottom w:val="nil"/>
              <w:right w:val="nil"/>
            </w:tcBorders>
          </w:tcPr>
          <w:p w14:paraId="3BCAE59E"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Steven Bernhardt</w:t>
            </w:r>
          </w:p>
        </w:tc>
        <w:tc>
          <w:tcPr>
            <w:tcW w:w="3827" w:type="dxa"/>
            <w:tcBorders>
              <w:top w:val="nil"/>
              <w:left w:val="nil"/>
              <w:bottom w:val="nil"/>
              <w:right w:val="nil"/>
            </w:tcBorders>
          </w:tcPr>
          <w:p w14:paraId="71D7BCCE"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eastAsia="ja-JP"/>
              </w:rPr>
            </w:pPr>
            <w:r>
              <w:rPr>
                <w:sz w:val="20"/>
              </w:rPr>
              <w:t>Honeywell</w:t>
            </w:r>
            <w:r>
              <w:rPr>
                <w:rFonts w:hint="eastAsia"/>
                <w:sz w:val="20"/>
                <w:lang w:eastAsia="ja-JP"/>
              </w:rPr>
              <w:t xml:space="preserve"> </w:t>
            </w:r>
          </w:p>
        </w:tc>
        <w:tc>
          <w:tcPr>
            <w:tcW w:w="1276" w:type="dxa"/>
            <w:tcBorders>
              <w:top w:val="nil"/>
              <w:left w:val="nil"/>
              <w:bottom w:val="nil"/>
              <w:right w:val="nil"/>
            </w:tcBorders>
          </w:tcPr>
          <w:p w14:paraId="7C7325F1"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7" w:type="dxa"/>
            <w:tcBorders>
              <w:top w:val="nil"/>
              <w:left w:val="nil"/>
              <w:bottom w:val="nil"/>
              <w:right w:val="nil"/>
            </w:tcBorders>
          </w:tcPr>
          <w:p w14:paraId="6883792C" w14:textId="77777777" w:rsidR="00AD4B2A" w:rsidRDefault="009963E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F21FFB">
              <w:rPr>
                <w:sz w:val="20"/>
              </w:rPr>
              <w:t>8</w:t>
            </w:r>
          </w:p>
        </w:tc>
      </w:tr>
      <w:tr w:rsidR="00AD4B2A" w14:paraId="0BFBDF85" w14:textId="77777777" w:rsidTr="003A706C">
        <w:tc>
          <w:tcPr>
            <w:tcW w:w="2127" w:type="dxa"/>
            <w:tcBorders>
              <w:top w:val="nil"/>
              <w:left w:val="nil"/>
              <w:bottom w:val="nil"/>
              <w:right w:val="nil"/>
            </w:tcBorders>
          </w:tcPr>
          <w:p w14:paraId="3D4EDEC5"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Olga Blinova</w:t>
            </w:r>
          </w:p>
        </w:tc>
        <w:tc>
          <w:tcPr>
            <w:tcW w:w="3827" w:type="dxa"/>
            <w:tcBorders>
              <w:top w:val="nil"/>
              <w:left w:val="nil"/>
              <w:bottom w:val="nil"/>
              <w:right w:val="nil"/>
            </w:tcBorders>
          </w:tcPr>
          <w:p w14:paraId="15C4FCDE" w14:textId="10971C82"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eastAsia="ja-JP"/>
              </w:rPr>
            </w:pPr>
            <w:r>
              <w:rPr>
                <w:sz w:val="20"/>
              </w:rPr>
              <w:t xml:space="preserve">Russian Scientific </w:t>
            </w:r>
            <w:r w:rsidR="00D44C95">
              <w:rPr>
                <w:sz w:val="20"/>
              </w:rPr>
              <w:t>Centre</w:t>
            </w:r>
            <w:r>
              <w:rPr>
                <w:sz w:val="20"/>
              </w:rPr>
              <w:t xml:space="preserve"> </w:t>
            </w:r>
            <w:r>
              <w:rPr>
                <w:rFonts w:hint="eastAsia"/>
                <w:sz w:val="20"/>
                <w:lang w:eastAsia="ja-JP"/>
              </w:rPr>
              <w:t xml:space="preserve">for </w:t>
            </w:r>
            <w:r>
              <w:rPr>
                <w:sz w:val="20"/>
              </w:rPr>
              <w:t>Applied Chemistry</w:t>
            </w:r>
          </w:p>
        </w:tc>
        <w:tc>
          <w:tcPr>
            <w:tcW w:w="1276" w:type="dxa"/>
            <w:tcBorders>
              <w:top w:val="nil"/>
              <w:left w:val="nil"/>
              <w:bottom w:val="nil"/>
              <w:right w:val="nil"/>
            </w:tcBorders>
          </w:tcPr>
          <w:p w14:paraId="41258732"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Russia</w:t>
            </w:r>
          </w:p>
        </w:tc>
        <w:tc>
          <w:tcPr>
            <w:tcW w:w="1417" w:type="dxa"/>
            <w:tcBorders>
              <w:top w:val="nil"/>
              <w:left w:val="nil"/>
              <w:bottom w:val="nil"/>
              <w:right w:val="nil"/>
            </w:tcBorders>
          </w:tcPr>
          <w:p w14:paraId="57C06BFE" w14:textId="77777777" w:rsidR="00AD4B2A" w:rsidRDefault="009963E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F21FFB">
              <w:rPr>
                <w:sz w:val="20"/>
              </w:rPr>
              <w:t>8</w:t>
            </w:r>
          </w:p>
        </w:tc>
      </w:tr>
      <w:tr w:rsidR="00F21FFB" w14:paraId="7B4C95E0" w14:textId="77777777" w:rsidTr="003A706C">
        <w:tc>
          <w:tcPr>
            <w:tcW w:w="2127" w:type="dxa"/>
            <w:tcBorders>
              <w:top w:val="nil"/>
              <w:left w:val="nil"/>
              <w:bottom w:val="nil"/>
              <w:right w:val="nil"/>
            </w:tcBorders>
          </w:tcPr>
          <w:p w14:paraId="58BAA88A" w14:textId="77777777" w:rsidR="00F21FFB" w:rsidRDefault="00F21FFB"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Nick Campbell</w:t>
            </w:r>
          </w:p>
        </w:tc>
        <w:tc>
          <w:tcPr>
            <w:tcW w:w="3827" w:type="dxa"/>
            <w:tcBorders>
              <w:top w:val="nil"/>
              <w:left w:val="nil"/>
              <w:bottom w:val="nil"/>
              <w:right w:val="nil"/>
            </w:tcBorders>
          </w:tcPr>
          <w:p w14:paraId="0BE08AF5" w14:textId="77777777" w:rsidR="00F21FFB" w:rsidRDefault="00F21FFB"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Arkema</w:t>
            </w:r>
          </w:p>
        </w:tc>
        <w:tc>
          <w:tcPr>
            <w:tcW w:w="1276" w:type="dxa"/>
            <w:tcBorders>
              <w:top w:val="nil"/>
              <w:left w:val="nil"/>
              <w:bottom w:val="nil"/>
              <w:right w:val="nil"/>
            </w:tcBorders>
          </w:tcPr>
          <w:p w14:paraId="403F7DCB" w14:textId="77777777" w:rsidR="00F21FFB" w:rsidRDefault="00F21FFB"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France</w:t>
            </w:r>
          </w:p>
        </w:tc>
        <w:tc>
          <w:tcPr>
            <w:tcW w:w="1417" w:type="dxa"/>
            <w:tcBorders>
              <w:top w:val="nil"/>
              <w:left w:val="nil"/>
              <w:bottom w:val="nil"/>
              <w:right w:val="nil"/>
            </w:tcBorders>
          </w:tcPr>
          <w:p w14:paraId="5EC9B5B4" w14:textId="77777777" w:rsidR="00F21FFB" w:rsidRDefault="00F21FFB"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2018</w:t>
            </w:r>
          </w:p>
        </w:tc>
      </w:tr>
      <w:tr w:rsidR="00AD4B2A" w14:paraId="34004392" w14:textId="77777777" w:rsidTr="003A706C">
        <w:tc>
          <w:tcPr>
            <w:tcW w:w="2127" w:type="dxa"/>
            <w:tcBorders>
              <w:top w:val="nil"/>
              <w:left w:val="nil"/>
              <w:bottom w:val="nil"/>
              <w:right w:val="nil"/>
            </w:tcBorders>
          </w:tcPr>
          <w:p w14:paraId="441EAA43"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Jianxin Hu</w:t>
            </w:r>
          </w:p>
        </w:tc>
        <w:tc>
          <w:tcPr>
            <w:tcW w:w="3827" w:type="dxa"/>
            <w:tcBorders>
              <w:top w:val="nil"/>
              <w:left w:val="nil"/>
              <w:bottom w:val="nil"/>
              <w:right w:val="nil"/>
            </w:tcBorders>
          </w:tcPr>
          <w:p w14:paraId="677697CA"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rFonts w:hint="eastAsia"/>
                <w:sz w:val="20"/>
                <w:lang w:eastAsia="ja-JP"/>
              </w:rPr>
              <w:t xml:space="preserve">College </w:t>
            </w:r>
            <w:r>
              <w:rPr>
                <w:sz w:val="20"/>
              </w:rPr>
              <w:t>of Environmental Sciences</w:t>
            </w:r>
            <w:r>
              <w:rPr>
                <w:rFonts w:hint="eastAsia"/>
                <w:sz w:val="20"/>
                <w:lang w:eastAsia="ja-JP"/>
              </w:rPr>
              <w:t xml:space="preserve"> &amp; Engineering</w:t>
            </w:r>
            <w:r>
              <w:rPr>
                <w:sz w:val="20"/>
              </w:rPr>
              <w:t>, Peking University</w:t>
            </w:r>
          </w:p>
        </w:tc>
        <w:tc>
          <w:tcPr>
            <w:tcW w:w="1276" w:type="dxa"/>
            <w:tcBorders>
              <w:top w:val="nil"/>
              <w:left w:val="nil"/>
              <w:bottom w:val="nil"/>
              <w:right w:val="nil"/>
            </w:tcBorders>
          </w:tcPr>
          <w:p w14:paraId="4BAA1D37"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China</w:t>
            </w:r>
          </w:p>
        </w:tc>
        <w:tc>
          <w:tcPr>
            <w:tcW w:w="1417" w:type="dxa"/>
            <w:tcBorders>
              <w:top w:val="nil"/>
              <w:left w:val="nil"/>
              <w:bottom w:val="nil"/>
              <w:right w:val="nil"/>
            </w:tcBorders>
          </w:tcPr>
          <w:p w14:paraId="582F91FC" w14:textId="77777777" w:rsidR="00AD4B2A" w:rsidRDefault="009963E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F21FFB">
              <w:rPr>
                <w:sz w:val="20"/>
              </w:rPr>
              <w:t>8</w:t>
            </w:r>
          </w:p>
        </w:tc>
      </w:tr>
      <w:tr w:rsidR="00AD4B2A" w14:paraId="2E31BE2C" w14:textId="77777777" w:rsidTr="003A706C">
        <w:tc>
          <w:tcPr>
            <w:tcW w:w="2127" w:type="dxa"/>
            <w:tcBorders>
              <w:top w:val="nil"/>
              <w:left w:val="nil"/>
              <w:bottom w:val="nil"/>
              <w:right w:val="nil"/>
            </w:tcBorders>
          </w:tcPr>
          <w:p w14:paraId="092CF569"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Claudia Paratori</w:t>
            </w:r>
          </w:p>
        </w:tc>
        <w:tc>
          <w:tcPr>
            <w:tcW w:w="3827" w:type="dxa"/>
            <w:tcBorders>
              <w:top w:val="nil"/>
              <w:left w:val="nil"/>
              <w:bottom w:val="nil"/>
              <w:right w:val="nil"/>
            </w:tcBorders>
          </w:tcPr>
          <w:p w14:paraId="1CCF678E"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eastAsia="ja-JP"/>
              </w:rPr>
            </w:pPr>
            <w:r>
              <w:rPr>
                <w:rFonts w:hint="eastAsia"/>
                <w:sz w:val="20"/>
                <w:lang w:eastAsia="ja-JP"/>
              </w:rPr>
              <w:t>Coordinator Ozone Programme -CONAMA</w:t>
            </w:r>
          </w:p>
        </w:tc>
        <w:tc>
          <w:tcPr>
            <w:tcW w:w="1276" w:type="dxa"/>
            <w:tcBorders>
              <w:top w:val="nil"/>
              <w:left w:val="nil"/>
              <w:bottom w:val="nil"/>
              <w:right w:val="nil"/>
            </w:tcBorders>
          </w:tcPr>
          <w:p w14:paraId="5BC48515"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Chile</w:t>
            </w:r>
          </w:p>
        </w:tc>
        <w:tc>
          <w:tcPr>
            <w:tcW w:w="1417" w:type="dxa"/>
            <w:tcBorders>
              <w:top w:val="nil"/>
              <w:left w:val="nil"/>
              <w:bottom w:val="nil"/>
              <w:right w:val="nil"/>
            </w:tcBorders>
          </w:tcPr>
          <w:p w14:paraId="1D324FF2" w14:textId="77777777" w:rsidR="00AD4B2A" w:rsidRDefault="009963E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F21FFB">
              <w:rPr>
                <w:sz w:val="20"/>
              </w:rPr>
              <w:t>8</w:t>
            </w:r>
          </w:p>
        </w:tc>
      </w:tr>
      <w:tr w:rsidR="00AD4B2A" w14:paraId="77E522E1" w14:textId="77777777" w:rsidTr="003A706C">
        <w:tc>
          <w:tcPr>
            <w:tcW w:w="2127" w:type="dxa"/>
            <w:tcBorders>
              <w:top w:val="nil"/>
              <w:left w:val="nil"/>
              <w:bottom w:val="nil"/>
              <w:right w:val="nil"/>
            </w:tcBorders>
          </w:tcPr>
          <w:p w14:paraId="45596DDC"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Hans Porre</w:t>
            </w:r>
          </w:p>
        </w:tc>
        <w:tc>
          <w:tcPr>
            <w:tcW w:w="3827" w:type="dxa"/>
            <w:tcBorders>
              <w:top w:val="nil"/>
              <w:left w:val="nil"/>
              <w:bottom w:val="nil"/>
              <w:right w:val="nil"/>
            </w:tcBorders>
          </w:tcPr>
          <w:p w14:paraId="12D85C87"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eastAsia="ja-JP"/>
              </w:rPr>
            </w:pPr>
            <w:r>
              <w:rPr>
                <w:sz w:val="20"/>
              </w:rPr>
              <w:t xml:space="preserve">Teijin </w:t>
            </w:r>
            <w:r>
              <w:rPr>
                <w:rFonts w:hint="eastAsia"/>
                <w:sz w:val="20"/>
                <w:lang w:eastAsia="ja-JP"/>
              </w:rPr>
              <w:t>Aramids</w:t>
            </w:r>
          </w:p>
        </w:tc>
        <w:tc>
          <w:tcPr>
            <w:tcW w:w="1276" w:type="dxa"/>
            <w:tcBorders>
              <w:top w:val="nil"/>
              <w:left w:val="nil"/>
              <w:bottom w:val="nil"/>
              <w:right w:val="nil"/>
            </w:tcBorders>
          </w:tcPr>
          <w:p w14:paraId="11626516"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Netherlands</w:t>
            </w:r>
          </w:p>
        </w:tc>
        <w:tc>
          <w:tcPr>
            <w:tcW w:w="1417" w:type="dxa"/>
            <w:tcBorders>
              <w:top w:val="nil"/>
              <w:left w:val="nil"/>
              <w:bottom w:val="nil"/>
              <w:right w:val="nil"/>
            </w:tcBorders>
          </w:tcPr>
          <w:p w14:paraId="06CCBFC2" w14:textId="77777777" w:rsidR="00AD4B2A" w:rsidRDefault="009963E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F21FFB">
              <w:rPr>
                <w:sz w:val="20"/>
              </w:rPr>
              <w:t>8</w:t>
            </w:r>
          </w:p>
        </w:tc>
      </w:tr>
      <w:tr w:rsidR="00F21FFB" w14:paraId="0B5F33AE" w14:textId="77777777" w:rsidTr="003A706C">
        <w:tc>
          <w:tcPr>
            <w:tcW w:w="2127" w:type="dxa"/>
            <w:tcBorders>
              <w:top w:val="nil"/>
              <w:left w:val="nil"/>
              <w:bottom w:val="nil"/>
              <w:right w:val="nil"/>
            </w:tcBorders>
          </w:tcPr>
          <w:p w14:paraId="2C7814CA" w14:textId="77777777" w:rsidR="00F21FFB" w:rsidRDefault="00F21FFB"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Surinder, Singh, Sambi</w:t>
            </w:r>
          </w:p>
        </w:tc>
        <w:tc>
          <w:tcPr>
            <w:tcW w:w="3827" w:type="dxa"/>
            <w:tcBorders>
              <w:top w:val="nil"/>
              <w:left w:val="nil"/>
              <w:bottom w:val="nil"/>
              <w:right w:val="nil"/>
            </w:tcBorders>
          </w:tcPr>
          <w:p w14:paraId="15C25763" w14:textId="77777777" w:rsidR="00F21FFB" w:rsidRDefault="00F21FFB"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c>
          <w:tcPr>
            <w:tcW w:w="1276" w:type="dxa"/>
            <w:tcBorders>
              <w:top w:val="nil"/>
              <w:left w:val="nil"/>
              <w:bottom w:val="nil"/>
              <w:right w:val="nil"/>
            </w:tcBorders>
          </w:tcPr>
          <w:p w14:paraId="5B9F27D0" w14:textId="77777777" w:rsidR="00F21FFB" w:rsidRDefault="00F21FFB"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India</w:t>
            </w:r>
          </w:p>
        </w:tc>
        <w:tc>
          <w:tcPr>
            <w:tcW w:w="1417" w:type="dxa"/>
            <w:tcBorders>
              <w:top w:val="nil"/>
              <w:left w:val="nil"/>
              <w:bottom w:val="nil"/>
              <w:right w:val="nil"/>
            </w:tcBorders>
          </w:tcPr>
          <w:p w14:paraId="03C72EE8" w14:textId="77777777" w:rsidR="00F21FFB" w:rsidRDefault="00F21FFB"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2018</w:t>
            </w:r>
          </w:p>
        </w:tc>
      </w:tr>
      <w:tr w:rsidR="00AD4B2A" w14:paraId="7D814F15" w14:textId="77777777" w:rsidTr="003A706C">
        <w:tc>
          <w:tcPr>
            <w:tcW w:w="2127" w:type="dxa"/>
            <w:tcBorders>
              <w:top w:val="nil"/>
              <w:left w:val="nil"/>
              <w:bottom w:val="nil"/>
              <w:right w:val="nil"/>
            </w:tcBorders>
          </w:tcPr>
          <w:p w14:paraId="5E4E52EE"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Fatemah Al-Shatti</w:t>
            </w:r>
          </w:p>
        </w:tc>
        <w:tc>
          <w:tcPr>
            <w:tcW w:w="3827" w:type="dxa"/>
            <w:tcBorders>
              <w:top w:val="nil"/>
              <w:left w:val="nil"/>
              <w:bottom w:val="nil"/>
              <w:right w:val="nil"/>
            </w:tcBorders>
          </w:tcPr>
          <w:p w14:paraId="7DD0618E"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Kuwait Petroleum Corporation</w:t>
            </w:r>
          </w:p>
        </w:tc>
        <w:tc>
          <w:tcPr>
            <w:tcW w:w="1276" w:type="dxa"/>
            <w:tcBorders>
              <w:top w:val="nil"/>
              <w:left w:val="nil"/>
              <w:bottom w:val="nil"/>
              <w:right w:val="nil"/>
            </w:tcBorders>
          </w:tcPr>
          <w:p w14:paraId="3E3B7068"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Kuwait</w:t>
            </w:r>
          </w:p>
        </w:tc>
        <w:tc>
          <w:tcPr>
            <w:tcW w:w="1417" w:type="dxa"/>
            <w:tcBorders>
              <w:top w:val="nil"/>
              <w:left w:val="nil"/>
              <w:bottom w:val="nil"/>
              <w:right w:val="nil"/>
            </w:tcBorders>
          </w:tcPr>
          <w:p w14:paraId="09542E4F" w14:textId="77777777" w:rsidR="00AD4B2A" w:rsidRDefault="009963E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F21FFB">
              <w:rPr>
                <w:sz w:val="20"/>
              </w:rPr>
              <w:t>8</w:t>
            </w:r>
          </w:p>
        </w:tc>
      </w:tr>
      <w:tr w:rsidR="00AD4B2A" w14:paraId="4F85BD40" w14:textId="77777777" w:rsidTr="003A706C">
        <w:tc>
          <w:tcPr>
            <w:tcW w:w="2127" w:type="dxa"/>
            <w:tcBorders>
              <w:top w:val="nil"/>
              <w:left w:val="nil"/>
              <w:bottom w:val="nil"/>
              <w:right w:val="nil"/>
            </w:tcBorders>
          </w:tcPr>
          <w:p w14:paraId="64C3D648"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lang w:val="nl-NL"/>
              </w:rPr>
            </w:pPr>
            <w:r>
              <w:rPr>
                <w:sz w:val="20"/>
                <w:lang w:val="nl-NL"/>
              </w:rPr>
              <w:t>Nee Sun Choong Kwet Yive (Robert)</w:t>
            </w:r>
          </w:p>
        </w:tc>
        <w:tc>
          <w:tcPr>
            <w:tcW w:w="3827" w:type="dxa"/>
            <w:tcBorders>
              <w:top w:val="nil"/>
              <w:left w:val="nil"/>
              <w:bottom w:val="nil"/>
              <w:right w:val="nil"/>
            </w:tcBorders>
          </w:tcPr>
          <w:p w14:paraId="48007986"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University of Mauritius</w:t>
            </w:r>
          </w:p>
        </w:tc>
        <w:tc>
          <w:tcPr>
            <w:tcW w:w="1276" w:type="dxa"/>
            <w:tcBorders>
              <w:top w:val="nil"/>
              <w:left w:val="nil"/>
              <w:bottom w:val="nil"/>
              <w:right w:val="nil"/>
            </w:tcBorders>
          </w:tcPr>
          <w:p w14:paraId="5542DCB3" w14:textId="77777777" w:rsidR="00AD4B2A" w:rsidRDefault="00591AA8"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Mauritius</w:t>
            </w:r>
          </w:p>
        </w:tc>
        <w:tc>
          <w:tcPr>
            <w:tcW w:w="1417" w:type="dxa"/>
            <w:tcBorders>
              <w:top w:val="nil"/>
              <w:left w:val="nil"/>
              <w:bottom w:val="nil"/>
              <w:right w:val="nil"/>
            </w:tcBorders>
          </w:tcPr>
          <w:p w14:paraId="0119A2C3" w14:textId="77777777" w:rsidR="00AD4B2A" w:rsidRDefault="009963E3" w:rsidP="003A706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F21FFB">
              <w:rPr>
                <w:sz w:val="20"/>
              </w:rPr>
              <w:t>8</w:t>
            </w:r>
          </w:p>
        </w:tc>
      </w:tr>
    </w:tbl>
    <w:p w14:paraId="58BA12BF" w14:textId="1A69D580" w:rsidR="00AD4B2A" w:rsidRDefault="00591AA8" w:rsidP="00B25ED1">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rPr>
      </w:pPr>
      <w:r>
        <w:rPr>
          <w:b/>
        </w:rPr>
        <w:br w:type="page"/>
      </w:r>
      <w:r w:rsidRPr="009B3CF6">
        <w:rPr>
          <w:b/>
        </w:rPr>
        <w:t>TEAP Flexible and Rigid Foams Technical Options Committee (FTOC)</w:t>
      </w:r>
    </w:p>
    <w:p w14:paraId="756E0E2A"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16"/>
        </w:rPr>
      </w:pPr>
    </w:p>
    <w:p w14:paraId="1A2246DD"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12"/>
        </w:rPr>
      </w:pPr>
    </w:p>
    <w:tbl>
      <w:tblPr>
        <w:tblW w:w="8789" w:type="dxa"/>
        <w:tblInd w:w="108" w:type="dxa"/>
        <w:tblLayout w:type="fixed"/>
        <w:tblLook w:val="0000" w:firstRow="0" w:lastRow="0" w:firstColumn="0" w:lastColumn="0" w:noHBand="0" w:noVBand="0"/>
      </w:tblPr>
      <w:tblGrid>
        <w:gridCol w:w="2127"/>
        <w:gridCol w:w="3827"/>
        <w:gridCol w:w="1417"/>
        <w:gridCol w:w="1418"/>
      </w:tblGrid>
      <w:tr w:rsidR="00AD4B2A" w14:paraId="1D280F76" w14:textId="77777777" w:rsidTr="00FD2654">
        <w:tc>
          <w:tcPr>
            <w:tcW w:w="2127" w:type="dxa"/>
            <w:tcBorders>
              <w:top w:val="nil"/>
              <w:left w:val="nil"/>
              <w:bottom w:val="nil"/>
              <w:right w:val="nil"/>
            </w:tcBorders>
          </w:tcPr>
          <w:p w14:paraId="30054B7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Pr>
                <w:b/>
                <w:sz w:val="20"/>
              </w:rPr>
              <w:t>Co-chairs</w:t>
            </w:r>
          </w:p>
        </w:tc>
        <w:tc>
          <w:tcPr>
            <w:tcW w:w="3827" w:type="dxa"/>
            <w:tcBorders>
              <w:top w:val="nil"/>
              <w:left w:val="nil"/>
              <w:bottom w:val="nil"/>
              <w:right w:val="nil"/>
            </w:tcBorders>
          </w:tcPr>
          <w:p w14:paraId="562C595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417" w:type="dxa"/>
            <w:tcBorders>
              <w:top w:val="nil"/>
              <w:left w:val="nil"/>
              <w:bottom w:val="nil"/>
              <w:right w:val="nil"/>
            </w:tcBorders>
          </w:tcPr>
          <w:p w14:paraId="7E6C1AE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418" w:type="dxa"/>
            <w:tcBorders>
              <w:top w:val="nil"/>
              <w:left w:val="nil"/>
              <w:bottom w:val="nil"/>
              <w:right w:val="nil"/>
            </w:tcBorders>
          </w:tcPr>
          <w:p w14:paraId="1451B20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b/>
                <w:sz w:val="20"/>
              </w:rPr>
            </w:pPr>
            <w:r>
              <w:rPr>
                <w:b/>
                <w:sz w:val="20"/>
              </w:rPr>
              <w:t>Appointment through</w:t>
            </w:r>
          </w:p>
        </w:tc>
      </w:tr>
      <w:tr w:rsidR="00AD4B2A" w14:paraId="131BD90F" w14:textId="77777777" w:rsidTr="00FD2654">
        <w:tc>
          <w:tcPr>
            <w:tcW w:w="2127" w:type="dxa"/>
            <w:tcBorders>
              <w:top w:val="nil"/>
              <w:left w:val="nil"/>
              <w:bottom w:val="nil"/>
              <w:right w:val="nil"/>
            </w:tcBorders>
          </w:tcPr>
          <w:p w14:paraId="24E5F5F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Paul Ashford</w:t>
            </w:r>
          </w:p>
        </w:tc>
        <w:tc>
          <w:tcPr>
            <w:tcW w:w="3827" w:type="dxa"/>
            <w:tcBorders>
              <w:top w:val="nil"/>
              <w:left w:val="nil"/>
              <w:bottom w:val="nil"/>
              <w:right w:val="nil"/>
            </w:tcBorders>
          </w:tcPr>
          <w:p w14:paraId="2518CA6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Caleb Management Services</w:t>
            </w:r>
          </w:p>
        </w:tc>
        <w:tc>
          <w:tcPr>
            <w:tcW w:w="1417" w:type="dxa"/>
            <w:tcBorders>
              <w:top w:val="nil"/>
              <w:left w:val="nil"/>
              <w:bottom w:val="nil"/>
              <w:right w:val="nil"/>
            </w:tcBorders>
          </w:tcPr>
          <w:p w14:paraId="4318F56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418" w:type="dxa"/>
            <w:tcBorders>
              <w:top w:val="nil"/>
              <w:left w:val="nil"/>
              <w:bottom w:val="nil"/>
              <w:right w:val="nil"/>
            </w:tcBorders>
          </w:tcPr>
          <w:p w14:paraId="2F8B6E86" w14:textId="626AF12F" w:rsidR="00AD4B2A"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Resigned 2015</w:t>
            </w:r>
          </w:p>
        </w:tc>
      </w:tr>
      <w:tr w:rsidR="00AD4B2A" w14:paraId="5C483372" w14:textId="77777777" w:rsidTr="00FD2654">
        <w:tc>
          <w:tcPr>
            <w:tcW w:w="2127" w:type="dxa"/>
            <w:tcBorders>
              <w:top w:val="nil"/>
              <w:left w:val="nil"/>
              <w:bottom w:val="nil"/>
              <w:right w:val="nil"/>
            </w:tcBorders>
          </w:tcPr>
          <w:p w14:paraId="2E62C7C7"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Miguel Quintero</w:t>
            </w:r>
          </w:p>
        </w:tc>
        <w:tc>
          <w:tcPr>
            <w:tcW w:w="3827" w:type="dxa"/>
            <w:tcBorders>
              <w:top w:val="nil"/>
              <w:left w:val="nil"/>
              <w:bottom w:val="nil"/>
              <w:right w:val="nil"/>
            </w:tcBorders>
          </w:tcPr>
          <w:p w14:paraId="1E96E10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val="es-ES"/>
              </w:rPr>
            </w:pPr>
            <w:r>
              <w:rPr>
                <w:sz w:val="20"/>
                <w:lang w:val="es-ES"/>
              </w:rPr>
              <w:t>Consultant</w:t>
            </w:r>
          </w:p>
        </w:tc>
        <w:tc>
          <w:tcPr>
            <w:tcW w:w="1417" w:type="dxa"/>
            <w:tcBorders>
              <w:top w:val="nil"/>
              <w:left w:val="nil"/>
              <w:bottom w:val="nil"/>
              <w:right w:val="nil"/>
            </w:tcBorders>
          </w:tcPr>
          <w:p w14:paraId="1D43AB2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Colombia</w:t>
            </w:r>
          </w:p>
        </w:tc>
        <w:tc>
          <w:tcPr>
            <w:tcW w:w="1418" w:type="dxa"/>
            <w:tcBorders>
              <w:top w:val="nil"/>
              <w:left w:val="nil"/>
              <w:bottom w:val="nil"/>
              <w:right w:val="nil"/>
            </w:tcBorders>
          </w:tcPr>
          <w:p w14:paraId="480AAAD3" w14:textId="70F48F58" w:rsidR="00AD4B2A"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Resigned 2015</w:t>
            </w:r>
          </w:p>
        </w:tc>
      </w:tr>
      <w:tr w:rsidR="00AD4B2A" w14:paraId="01461287" w14:textId="77777777" w:rsidTr="00FD2654">
        <w:tc>
          <w:tcPr>
            <w:tcW w:w="2127" w:type="dxa"/>
            <w:tcBorders>
              <w:top w:val="nil"/>
              <w:left w:val="nil"/>
              <w:bottom w:val="nil"/>
              <w:right w:val="nil"/>
            </w:tcBorders>
          </w:tcPr>
          <w:p w14:paraId="58EA919A"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16"/>
              </w:rPr>
            </w:pPr>
          </w:p>
        </w:tc>
        <w:tc>
          <w:tcPr>
            <w:tcW w:w="3827" w:type="dxa"/>
            <w:tcBorders>
              <w:top w:val="nil"/>
              <w:left w:val="nil"/>
              <w:bottom w:val="nil"/>
              <w:right w:val="nil"/>
            </w:tcBorders>
          </w:tcPr>
          <w:p w14:paraId="39E09E15"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p>
        </w:tc>
        <w:tc>
          <w:tcPr>
            <w:tcW w:w="1417" w:type="dxa"/>
            <w:tcBorders>
              <w:top w:val="nil"/>
              <w:left w:val="nil"/>
              <w:bottom w:val="nil"/>
              <w:right w:val="nil"/>
            </w:tcBorders>
          </w:tcPr>
          <w:p w14:paraId="791D5CFF"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p>
        </w:tc>
        <w:tc>
          <w:tcPr>
            <w:tcW w:w="1418" w:type="dxa"/>
            <w:tcBorders>
              <w:top w:val="nil"/>
              <w:left w:val="nil"/>
              <w:bottom w:val="nil"/>
              <w:right w:val="nil"/>
            </w:tcBorders>
          </w:tcPr>
          <w:p w14:paraId="7685ACE0"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p>
        </w:tc>
      </w:tr>
      <w:tr w:rsidR="00AD4B2A" w14:paraId="53210CE0" w14:textId="77777777" w:rsidTr="00FD2654">
        <w:tc>
          <w:tcPr>
            <w:tcW w:w="2127" w:type="dxa"/>
            <w:tcBorders>
              <w:top w:val="nil"/>
              <w:left w:val="nil"/>
              <w:bottom w:val="nil"/>
              <w:right w:val="nil"/>
            </w:tcBorders>
          </w:tcPr>
          <w:p w14:paraId="78416FF9"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Pr>
                <w:b/>
                <w:sz w:val="20"/>
              </w:rPr>
              <w:t>Members</w:t>
            </w:r>
          </w:p>
        </w:tc>
        <w:tc>
          <w:tcPr>
            <w:tcW w:w="3827" w:type="dxa"/>
            <w:tcBorders>
              <w:top w:val="nil"/>
              <w:left w:val="nil"/>
              <w:bottom w:val="nil"/>
              <w:right w:val="nil"/>
            </w:tcBorders>
          </w:tcPr>
          <w:p w14:paraId="0171A6B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417" w:type="dxa"/>
            <w:tcBorders>
              <w:top w:val="nil"/>
              <w:left w:val="nil"/>
              <w:bottom w:val="nil"/>
              <w:right w:val="nil"/>
            </w:tcBorders>
          </w:tcPr>
          <w:p w14:paraId="0016424F"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418" w:type="dxa"/>
            <w:tcBorders>
              <w:top w:val="nil"/>
              <w:left w:val="nil"/>
              <w:bottom w:val="nil"/>
              <w:right w:val="nil"/>
            </w:tcBorders>
          </w:tcPr>
          <w:p w14:paraId="70FA732A" w14:textId="4521BA14" w:rsidR="00AD4B2A" w:rsidRDefault="00165E8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Appointed through</w:t>
            </w:r>
          </w:p>
        </w:tc>
      </w:tr>
      <w:tr w:rsidR="00AD4B2A" w14:paraId="64447E0F" w14:textId="77777777" w:rsidTr="00FD2654">
        <w:trPr>
          <w:trHeight w:val="115"/>
        </w:trPr>
        <w:tc>
          <w:tcPr>
            <w:tcW w:w="2127" w:type="dxa"/>
            <w:tcBorders>
              <w:top w:val="nil"/>
              <w:left w:val="nil"/>
              <w:bottom w:val="nil"/>
              <w:right w:val="nil"/>
            </w:tcBorders>
          </w:tcPr>
          <w:p w14:paraId="35F7CF7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Samir Arora</w:t>
            </w:r>
          </w:p>
        </w:tc>
        <w:tc>
          <w:tcPr>
            <w:tcW w:w="3827" w:type="dxa"/>
            <w:tcBorders>
              <w:top w:val="nil"/>
              <w:left w:val="nil"/>
              <w:bottom w:val="nil"/>
              <w:right w:val="nil"/>
            </w:tcBorders>
          </w:tcPr>
          <w:p w14:paraId="7EDE8C6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Industrial Foams</w:t>
            </w:r>
          </w:p>
        </w:tc>
        <w:tc>
          <w:tcPr>
            <w:tcW w:w="1417" w:type="dxa"/>
            <w:tcBorders>
              <w:top w:val="nil"/>
              <w:left w:val="nil"/>
              <w:bottom w:val="nil"/>
              <w:right w:val="nil"/>
            </w:tcBorders>
          </w:tcPr>
          <w:p w14:paraId="3ABE120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India</w:t>
            </w:r>
          </w:p>
        </w:tc>
        <w:tc>
          <w:tcPr>
            <w:tcW w:w="1418" w:type="dxa"/>
            <w:tcBorders>
              <w:top w:val="nil"/>
              <w:left w:val="nil"/>
              <w:bottom w:val="nil"/>
              <w:right w:val="nil"/>
            </w:tcBorders>
          </w:tcPr>
          <w:p w14:paraId="28C68E0E" w14:textId="57D35841" w:rsidR="00AD4B2A" w:rsidRDefault="008A683D"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9B3CF6">
              <w:rPr>
                <w:sz w:val="20"/>
              </w:rPr>
              <w:t>6</w:t>
            </w:r>
          </w:p>
        </w:tc>
      </w:tr>
      <w:tr w:rsidR="00AD4B2A" w14:paraId="4189BEED" w14:textId="77777777" w:rsidTr="00FD2654">
        <w:tc>
          <w:tcPr>
            <w:tcW w:w="2127" w:type="dxa"/>
            <w:tcBorders>
              <w:top w:val="nil"/>
              <w:left w:val="nil"/>
              <w:bottom w:val="nil"/>
              <w:right w:val="nil"/>
            </w:tcBorders>
          </w:tcPr>
          <w:p w14:paraId="32A4F08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Terry Arrmitt</w:t>
            </w:r>
          </w:p>
        </w:tc>
        <w:tc>
          <w:tcPr>
            <w:tcW w:w="3827" w:type="dxa"/>
            <w:tcBorders>
              <w:top w:val="nil"/>
              <w:left w:val="nil"/>
              <w:bottom w:val="nil"/>
              <w:right w:val="nil"/>
            </w:tcBorders>
          </w:tcPr>
          <w:p w14:paraId="7CAC0DC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Hennecke</w:t>
            </w:r>
          </w:p>
        </w:tc>
        <w:tc>
          <w:tcPr>
            <w:tcW w:w="1417" w:type="dxa"/>
            <w:tcBorders>
              <w:top w:val="nil"/>
              <w:left w:val="nil"/>
              <w:bottom w:val="nil"/>
              <w:right w:val="nil"/>
            </w:tcBorders>
          </w:tcPr>
          <w:p w14:paraId="6F9AA2D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418" w:type="dxa"/>
            <w:tcBorders>
              <w:top w:val="nil"/>
              <w:left w:val="nil"/>
              <w:bottom w:val="nil"/>
              <w:right w:val="nil"/>
            </w:tcBorders>
          </w:tcPr>
          <w:p w14:paraId="1A6576C2" w14:textId="72519F0D" w:rsidR="00AD4B2A" w:rsidRDefault="008A683D"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9B3CF6">
              <w:rPr>
                <w:sz w:val="20"/>
              </w:rPr>
              <w:t>8</w:t>
            </w:r>
          </w:p>
        </w:tc>
      </w:tr>
      <w:tr w:rsidR="00AD4B2A" w14:paraId="49CD5020" w14:textId="77777777" w:rsidTr="00FD2654">
        <w:tc>
          <w:tcPr>
            <w:tcW w:w="2127" w:type="dxa"/>
            <w:tcBorders>
              <w:top w:val="nil"/>
              <w:left w:val="nil"/>
              <w:bottom w:val="nil"/>
              <w:right w:val="nil"/>
            </w:tcBorders>
          </w:tcPr>
          <w:p w14:paraId="1A6C82A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Roy Chowdhury</w:t>
            </w:r>
          </w:p>
        </w:tc>
        <w:tc>
          <w:tcPr>
            <w:tcW w:w="3827" w:type="dxa"/>
            <w:tcBorders>
              <w:top w:val="nil"/>
              <w:left w:val="nil"/>
              <w:bottom w:val="nil"/>
              <w:right w:val="nil"/>
            </w:tcBorders>
          </w:tcPr>
          <w:p w14:paraId="4FDE18B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Pr>
                <w:sz w:val="20"/>
              </w:rPr>
              <w:t>Foam Supplies</w:t>
            </w:r>
          </w:p>
        </w:tc>
        <w:tc>
          <w:tcPr>
            <w:tcW w:w="1417" w:type="dxa"/>
            <w:tcBorders>
              <w:top w:val="nil"/>
              <w:left w:val="nil"/>
              <w:bottom w:val="nil"/>
              <w:right w:val="nil"/>
            </w:tcBorders>
          </w:tcPr>
          <w:p w14:paraId="1667E819"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Australia</w:t>
            </w:r>
          </w:p>
        </w:tc>
        <w:tc>
          <w:tcPr>
            <w:tcW w:w="1418" w:type="dxa"/>
            <w:tcBorders>
              <w:top w:val="nil"/>
              <w:left w:val="nil"/>
              <w:bottom w:val="nil"/>
              <w:right w:val="nil"/>
            </w:tcBorders>
          </w:tcPr>
          <w:p w14:paraId="2B3FCDF7" w14:textId="7352AA9F" w:rsidR="00AD4B2A" w:rsidRDefault="008A683D"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9B3CF6">
              <w:rPr>
                <w:sz w:val="20"/>
              </w:rPr>
              <w:t>8</w:t>
            </w:r>
          </w:p>
        </w:tc>
      </w:tr>
      <w:tr w:rsidR="009B3CF6" w14:paraId="1A36C6B5" w14:textId="77777777" w:rsidTr="00FD2654">
        <w:tc>
          <w:tcPr>
            <w:tcW w:w="2127" w:type="dxa"/>
            <w:tcBorders>
              <w:top w:val="nil"/>
              <w:left w:val="nil"/>
              <w:bottom w:val="nil"/>
              <w:right w:val="nil"/>
            </w:tcBorders>
          </w:tcPr>
          <w:p w14:paraId="1401A40C" w14:textId="4271DFF3"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Rick Duncan</w:t>
            </w:r>
          </w:p>
        </w:tc>
        <w:tc>
          <w:tcPr>
            <w:tcW w:w="3827" w:type="dxa"/>
            <w:tcBorders>
              <w:top w:val="nil"/>
              <w:left w:val="nil"/>
              <w:bottom w:val="nil"/>
              <w:right w:val="nil"/>
            </w:tcBorders>
          </w:tcPr>
          <w:p w14:paraId="1DFF1CAE" w14:textId="25A95115"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Pr>
                <w:sz w:val="20"/>
              </w:rPr>
              <w:t>Spray Polyurethane Association</w:t>
            </w:r>
          </w:p>
        </w:tc>
        <w:tc>
          <w:tcPr>
            <w:tcW w:w="1417" w:type="dxa"/>
            <w:tcBorders>
              <w:top w:val="nil"/>
              <w:left w:val="nil"/>
              <w:bottom w:val="nil"/>
              <w:right w:val="nil"/>
            </w:tcBorders>
          </w:tcPr>
          <w:p w14:paraId="5EFBFB27" w14:textId="6B986A5E"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8" w:type="dxa"/>
            <w:tcBorders>
              <w:top w:val="nil"/>
              <w:left w:val="nil"/>
              <w:bottom w:val="nil"/>
              <w:right w:val="nil"/>
            </w:tcBorders>
          </w:tcPr>
          <w:p w14:paraId="03DEED00" w14:textId="51358CE3"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2018</w:t>
            </w:r>
          </w:p>
        </w:tc>
      </w:tr>
      <w:tr w:rsidR="00AD4B2A" w14:paraId="12E9D838" w14:textId="77777777" w:rsidTr="00FD2654">
        <w:tc>
          <w:tcPr>
            <w:tcW w:w="2127" w:type="dxa"/>
            <w:tcBorders>
              <w:top w:val="nil"/>
              <w:left w:val="nil"/>
              <w:bottom w:val="nil"/>
              <w:right w:val="nil"/>
            </w:tcBorders>
          </w:tcPr>
          <w:p w14:paraId="6487BBD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Koichi Wada</w:t>
            </w:r>
          </w:p>
        </w:tc>
        <w:tc>
          <w:tcPr>
            <w:tcW w:w="3827" w:type="dxa"/>
            <w:tcBorders>
              <w:top w:val="nil"/>
              <w:left w:val="nil"/>
              <w:bottom w:val="nil"/>
              <w:right w:val="nil"/>
            </w:tcBorders>
          </w:tcPr>
          <w:p w14:paraId="463DBCE9"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Bayer Material Science/JUFA</w:t>
            </w:r>
          </w:p>
        </w:tc>
        <w:tc>
          <w:tcPr>
            <w:tcW w:w="1417" w:type="dxa"/>
            <w:tcBorders>
              <w:top w:val="nil"/>
              <w:left w:val="nil"/>
              <w:bottom w:val="nil"/>
              <w:right w:val="nil"/>
            </w:tcBorders>
          </w:tcPr>
          <w:p w14:paraId="49850B0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Japan</w:t>
            </w:r>
          </w:p>
        </w:tc>
        <w:tc>
          <w:tcPr>
            <w:tcW w:w="1418" w:type="dxa"/>
            <w:tcBorders>
              <w:top w:val="nil"/>
              <w:left w:val="nil"/>
              <w:bottom w:val="nil"/>
              <w:right w:val="nil"/>
            </w:tcBorders>
          </w:tcPr>
          <w:p w14:paraId="1004602A" w14:textId="5700857A" w:rsidR="00AD4B2A" w:rsidRDefault="008A683D"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9B3CF6">
              <w:rPr>
                <w:sz w:val="20"/>
              </w:rPr>
              <w:t>8</w:t>
            </w:r>
          </w:p>
        </w:tc>
      </w:tr>
      <w:tr w:rsidR="00AD4B2A" w14:paraId="24787C31" w14:textId="77777777" w:rsidTr="00FD2654">
        <w:tc>
          <w:tcPr>
            <w:tcW w:w="2127" w:type="dxa"/>
            <w:tcBorders>
              <w:top w:val="nil"/>
              <w:left w:val="nil"/>
              <w:bottom w:val="nil"/>
              <w:right w:val="nil"/>
            </w:tcBorders>
          </w:tcPr>
          <w:p w14:paraId="30188F39"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Mike Jeffs</w:t>
            </w:r>
          </w:p>
        </w:tc>
        <w:tc>
          <w:tcPr>
            <w:tcW w:w="3827" w:type="dxa"/>
            <w:tcBorders>
              <w:top w:val="nil"/>
              <w:left w:val="nil"/>
              <w:bottom w:val="nil"/>
              <w:right w:val="nil"/>
            </w:tcBorders>
          </w:tcPr>
          <w:p w14:paraId="393B3DFF"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417" w:type="dxa"/>
            <w:tcBorders>
              <w:top w:val="nil"/>
              <w:left w:val="nil"/>
              <w:bottom w:val="nil"/>
              <w:right w:val="nil"/>
            </w:tcBorders>
          </w:tcPr>
          <w:p w14:paraId="30C633A2"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418" w:type="dxa"/>
            <w:tcBorders>
              <w:top w:val="nil"/>
              <w:left w:val="nil"/>
              <w:bottom w:val="nil"/>
              <w:right w:val="nil"/>
            </w:tcBorders>
          </w:tcPr>
          <w:p w14:paraId="3EB79914" w14:textId="04A833CC" w:rsidR="00AD4B2A" w:rsidRDefault="00841011"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9B3CF6">
              <w:rPr>
                <w:sz w:val="20"/>
              </w:rPr>
              <w:t>5</w:t>
            </w:r>
          </w:p>
        </w:tc>
      </w:tr>
      <w:tr w:rsidR="009B3CF6" w14:paraId="1874AC88" w14:textId="77777777" w:rsidTr="00FD2654">
        <w:tc>
          <w:tcPr>
            <w:tcW w:w="2127" w:type="dxa"/>
            <w:tcBorders>
              <w:top w:val="nil"/>
              <w:left w:val="nil"/>
              <w:bottom w:val="nil"/>
              <w:right w:val="nil"/>
            </w:tcBorders>
          </w:tcPr>
          <w:p w14:paraId="0FBAAC64" w14:textId="4F0B8CE0"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Rajaran Joshi</w:t>
            </w:r>
          </w:p>
        </w:tc>
        <w:tc>
          <w:tcPr>
            <w:tcW w:w="3827" w:type="dxa"/>
            <w:tcBorders>
              <w:top w:val="nil"/>
              <w:left w:val="nil"/>
              <w:bottom w:val="nil"/>
              <w:right w:val="nil"/>
            </w:tcBorders>
          </w:tcPr>
          <w:p w14:paraId="077428BD" w14:textId="09284233"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Owens Corning</w:t>
            </w:r>
          </w:p>
        </w:tc>
        <w:tc>
          <w:tcPr>
            <w:tcW w:w="1417" w:type="dxa"/>
            <w:tcBorders>
              <w:top w:val="nil"/>
              <w:left w:val="nil"/>
              <w:bottom w:val="nil"/>
              <w:right w:val="nil"/>
            </w:tcBorders>
          </w:tcPr>
          <w:p w14:paraId="0E4B8051" w14:textId="68804351"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India</w:t>
            </w:r>
          </w:p>
        </w:tc>
        <w:tc>
          <w:tcPr>
            <w:tcW w:w="1418" w:type="dxa"/>
            <w:tcBorders>
              <w:top w:val="nil"/>
              <w:left w:val="nil"/>
              <w:bottom w:val="nil"/>
              <w:right w:val="nil"/>
            </w:tcBorders>
          </w:tcPr>
          <w:p w14:paraId="01864E40" w14:textId="1BA35B63" w:rsidR="009B3CF6" w:rsidRDefault="009B3CF6"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2018</w:t>
            </w:r>
          </w:p>
        </w:tc>
      </w:tr>
      <w:tr w:rsidR="00AD4B2A" w14:paraId="6E28DA69" w14:textId="77777777" w:rsidTr="00FD2654">
        <w:tc>
          <w:tcPr>
            <w:tcW w:w="2127" w:type="dxa"/>
            <w:tcBorders>
              <w:top w:val="nil"/>
              <w:left w:val="nil"/>
              <w:bottom w:val="nil"/>
              <w:right w:val="nil"/>
            </w:tcBorders>
          </w:tcPr>
          <w:p w14:paraId="3D413B2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Ilhan Karaağaç</w:t>
            </w:r>
          </w:p>
        </w:tc>
        <w:tc>
          <w:tcPr>
            <w:tcW w:w="3827" w:type="dxa"/>
            <w:tcBorders>
              <w:top w:val="nil"/>
              <w:left w:val="nil"/>
              <w:bottom w:val="nil"/>
              <w:right w:val="nil"/>
            </w:tcBorders>
          </w:tcPr>
          <w:p w14:paraId="0A87B28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Izocam</w:t>
            </w:r>
          </w:p>
        </w:tc>
        <w:tc>
          <w:tcPr>
            <w:tcW w:w="1417" w:type="dxa"/>
            <w:tcBorders>
              <w:top w:val="nil"/>
              <w:left w:val="nil"/>
              <w:bottom w:val="nil"/>
              <w:right w:val="nil"/>
            </w:tcBorders>
          </w:tcPr>
          <w:p w14:paraId="12D8604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Turkey</w:t>
            </w:r>
          </w:p>
        </w:tc>
        <w:tc>
          <w:tcPr>
            <w:tcW w:w="1418" w:type="dxa"/>
            <w:tcBorders>
              <w:top w:val="nil"/>
              <w:left w:val="nil"/>
              <w:bottom w:val="nil"/>
              <w:right w:val="nil"/>
            </w:tcBorders>
          </w:tcPr>
          <w:p w14:paraId="11F1391D" w14:textId="4A7CB4E5" w:rsidR="00AD4B2A" w:rsidRDefault="00841011"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9B3CF6">
              <w:rPr>
                <w:sz w:val="20"/>
              </w:rPr>
              <w:t>6</w:t>
            </w:r>
          </w:p>
        </w:tc>
      </w:tr>
      <w:tr w:rsidR="00302856" w14:paraId="00132127" w14:textId="77777777" w:rsidTr="00FD2654">
        <w:tc>
          <w:tcPr>
            <w:tcW w:w="2127" w:type="dxa"/>
            <w:tcBorders>
              <w:top w:val="nil"/>
              <w:left w:val="nil"/>
              <w:bottom w:val="nil"/>
              <w:right w:val="nil"/>
            </w:tcBorders>
          </w:tcPr>
          <w:p w14:paraId="3CF8334E" w14:textId="61439847" w:rsidR="00302856" w:rsidRDefault="00302856"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Shpresa Kotaji</w:t>
            </w:r>
          </w:p>
        </w:tc>
        <w:tc>
          <w:tcPr>
            <w:tcW w:w="3827" w:type="dxa"/>
            <w:tcBorders>
              <w:top w:val="nil"/>
              <w:left w:val="nil"/>
              <w:bottom w:val="nil"/>
              <w:right w:val="nil"/>
            </w:tcBorders>
          </w:tcPr>
          <w:p w14:paraId="18D50830" w14:textId="7935B4E1" w:rsidR="00302856" w:rsidRDefault="0030285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Huntsman</w:t>
            </w:r>
          </w:p>
        </w:tc>
        <w:tc>
          <w:tcPr>
            <w:tcW w:w="1417" w:type="dxa"/>
            <w:tcBorders>
              <w:top w:val="nil"/>
              <w:left w:val="nil"/>
              <w:bottom w:val="nil"/>
              <w:right w:val="nil"/>
            </w:tcBorders>
          </w:tcPr>
          <w:p w14:paraId="3FA7CC8A" w14:textId="1C691AD2" w:rsidR="00302856" w:rsidRDefault="0030285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Belgium</w:t>
            </w:r>
          </w:p>
        </w:tc>
        <w:tc>
          <w:tcPr>
            <w:tcW w:w="1418" w:type="dxa"/>
            <w:tcBorders>
              <w:top w:val="nil"/>
              <w:left w:val="nil"/>
              <w:bottom w:val="nil"/>
              <w:right w:val="nil"/>
            </w:tcBorders>
          </w:tcPr>
          <w:p w14:paraId="235E9F54" w14:textId="0736A02B" w:rsidR="00302856" w:rsidRDefault="00302856"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2018</w:t>
            </w:r>
          </w:p>
        </w:tc>
      </w:tr>
      <w:tr w:rsidR="00AD4B2A" w14:paraId="1C95D946" w14:textId="77777777" w:rsidTr="00FD2654">
        <w:tc>
          <w:tcPr>
            <w:tcW w:w="2127" w:type="dxa"/>
            <w:tcBorders>
              <w:top w:val="nil"/>
              <w:left w:val="nil"/>
              <w:bottom w:val="nil"/>
              <w:right w:val="nil"/>
            </w:tcBorders>
          </w:tcPr>
          <w:p w14:paraId="304FD5EC" w14:textId="3619CF20" w:rsidR="00AD4B2A" w:rsidRDefault="009B3CF6"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Simon</w:t>
            </w:r>
            <w:r w:rsidR="00591AA8">
              <w:rPr>
                <w:sz w:val="20"/>
              </w:rPr>
              <w:t xml:space="preserve"> L</w:t>
            </w:r>
            <w:r>
              <w:rPr>
                <w:sz w:val="20"/>
              </w:rPr>
              <w:t>ee</w:t>
            </w:r>
          </w:p>
        </w:tc>
        <w:tc>
          <w:tcPr>
            <w:tcW w:w="3827" w:type="dxa"/>
            <w:tcBorders>
              <w:top w:val="nil"/>
              <w:left w:val="nil"/>
              <w:bottom w:val="nil"/>
              <w:right w:val="nil"/>
            </w:tcBorders>
          </w:tcPr>
          <w:p w14:paraId="01CE883E" w14:textId="05FFB738" w:rsidR="00AD4B2A"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Dow</w:t>
            </w:r>
          </w:p>
        </w:tc>
        <w:tc>
          <w:tcPr>
            <w:tcW w:w="1417" w:type="dxa"/>
            <w:tcBorders>
              <w:top w:val="nil"/>
              <w:left w:val="nil"/>
              <w:bottom w:val="nil"/>
              <w:right w:val="nil"/>
            </w:tcBorders>
          </w:tcPr>
          <w:p w14:paraId="6B4D6D44" w14:textId="1D2F87CF" w:rsidR="00AD4B2A"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8" w:type="dxa"/>
            <w:tcBorders>
              <w:top w:val="nil"/>
              <w:left w:val="nil"/>
              <w:bottom w:val="nil"/>
              <w:right w:val="nil"/>
            </w:tcBorders>
          </w:tcPr>
          <w:p w14:paraId="1465B322" w14:textId="30B39CC3" w:rsidR="00AD4B2A" w:rsidRDefault="00841011"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9B3CF6">
              <w:rPr>
                <w:sz w:val="20"/>
              </w:rPr>
              <w:t>8</w:t>
            </w:r>
          </w:p>
        </w:tc>
      </w:tr>
      <w:tr w:rsidR="00AD4B2A" w14:paraId="4D564D39" w14:textId="77777777" w:rsidTr="00FD2654">
        <w:tc>
          <w:tcPr>
            <w:tcW w:w="2127" w:type="dxa"/>
            <w:tcBorders>
              <w:top w:val="nil"/>
              <w:left w:val="nil"/>
              <w:bottom w:val="nil"/>
              <w:right w:val="nil"/>
            </w:tcBorders>
          </w:tcPr>
          <w:p w14:paraId="3BBD159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Yehia Lotfi</w:t>
            </w:r>
          </w:p>
        </w:tc>
        <w:tc>
          <w:tcPr>
            <w:tcW w:w="3827" w:type="dxa"/>
            <w:tcBorders>
              <w:top w:val="nil"/>
              <w:left w:val="nil"/>
              <w:bottom w:val="nil"/>
              <w:right w:val="nil"/>
            </w:tcBorders>
          </w:tcPr>
          <w:p w14:paraId="5FF12BE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Technocom</w:t>
            </w:r>
          </w:p>
        </w:tc>
        <w:tc>
          <w:tcPr>
            <w:tcW w:w="1417" w:type="dxa"/>
            <w:tcBorders>
              <w:top w:val="nil"/>
              <w:left w:val="nil"/>
              <w:bottom w:val="nil"/>
              <w:right w:val="nil"/>
            </w:tcBorders>
          </w:tcPr>
          <w:p w14:paraId="422EEB2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Egypt</w:t>
            </w:r>
          </w:p>
        </w:tc>
        <w:tc>
          <w:tcPr>
            <w:tcW w:w="1418" w:type="dxa"/>
            <w:tcBorders>
              <w:top w:val="nil"/>
              <w:left w:val="nil"/>
              <w:bottom w:val="nil"/>
              <w:right w:val="nil"/>
            </w:tcBorders>
          </w:tcPr>
          <w:p w14:paraId="1D011383" w14:textId="544618BE" w:rsidR="00AD4B2A" w:rsidRDefault="00841011"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9B3CF6">
              <w:rPr>
                <w:sz w:val="20"/>
              </w:rPr>
              <w:t>8</w:t>
            </w:r>
          </w:p>
        </w:tc>
      </w:tr>
      <w:tr w:rsidR="00AD4B2A" w14:paraId="69CC706E" w14:textId="77777777" w:rsidTr="00FD2654">
        <w:tc>
          <w:tcPr>
            <w:tcW w:w="2127" w:type="dxa"/>
            <w:tcBorders>
              <w:top w:val="nil"/>
              <w:left w:val="nil"/>
              <w:bottom w:val="nil"/>
              <w:right w:val="nil"/>
            </w:tcBorders>
          </w:tcPr>
          <w:p w14:paraId="551B946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Christoph Meurer</w:t>
            </w:r>
          </w:p>
        </w:tc>
        <w:tc>
          <w:tcPr>
            <w:tcW w:w="3827" w:type="dxa"/>
            <w:tcBorders>
              <w:top w:val="nil"/>
              <w:left w:val="nil"/>
              <w:bottom w:val="nil"/>
              <w:right w:val="nil"/>
            </w:tcBorders>
          </w:tcPr>
          <w:p w14:paraId="1E18AF99"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Solvay</w:t>
            </w:r>
          </w:p>
        </w:tc>
        <w:tc>
          <w:tcPr>
            <w:tcW w:w="1417" w:type="dxa"/>
            <w:tcBorders>
              <w:top w:val="nil"/>
              <w:left w:val="nil"/>
              <w:bottom w:val="nil"/>
              <w:right w:val="nil"/>
            </w:tcBorders>
          </w:tcPr>
          <w:p w14:paraId="3415504F"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Germany</w:t>
            </w:r>
          </w:p>
        </w:tc>
        <w:tc>
          <w:tcPr>
            <w:tcW w:w="1418" w:type="dxa"/>
            <w:tcBorders>
              <w:top w:val="nil"/>
              <w:left w:val="nil"/>
              <w:bottom w:val="nil"/>
              <w:right w:val="nil"/>
            </w:tcBorders>
          </w:tcPr>
          <w:p w14:paraId="30B6A45E" w14:textId="3D2535E1" w:rsidR="00AD4B2A" w:rsidRDefault="00841011" w:rsidP="009B3CF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9B3CF6">
              <w:rPr>
                <w:sz w:val="20"/>
              </w:rPr>
              <w:t>8</w:t>
            </w:r>
          </w:p>
        </w:tc>
      </w:tr>
      <w:tr w:rsidR="009B3CF6" w14:paraId="0D93BA53" w14:textId="77777777" w:rsidTr="00FD2654">
        <w:tc>
          <w:tcPr>
            <w:tcW w:w="2127" w:type="dxa"/>
            <w:tcBorders>
              <w:top w:val="nil"/>
              <w:left w:val="nil"/>
              <w:bottom w:val="nil"/>
              <w:right w:val="nil"/>
            </w:tcBorders>
          </w:tcPr>
          <w:p w14:paraId="66283EAD" w14:textId="103F1BC4"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Sascha Rulhoff</w:t>
            </w:r>
          </w:p>
        </w:tc>
        <w:tc>
          <w:tcPr>
            <w:tcW w:w="3827" w:type="dxa"/>
            <w:tcBorders>
              <w:top w:val="nil"/>
              <w:left w:val="nil"/>
              <w:bottom w:val="nil"/>
              <w:right w:val="nil"/>
            </w:tcBorders>
          </w:tcPr>
          <w:p w14:paraId="30F969FC" w14:textId="6018D996"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Haltermann</w:t>
            </w:r>
          </w:p>
        </w:tc>
        <w:tc>
          <w:tcPr>
            <w:tcW w:w="1417" w:type="dxa"/>
            <w:tcBorders>
              <w:top w:val="nil"/>
              <w:left w:val="nil"/>
              <w:bottom w:val="nil"/>
              <w:right w:val="nil"/>
            </w:tcBorders>
          </w:tcPr>
          <w:p w14:paraId="6B63BB0A" w14:textId="34602FDA"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Germany</w:t>
            </w:r>
          </w:p>
        </w:tc>
        <w:tc>
          <w:tcPr>
            <w:tcW w:w="1418" w:type="dxa"/>
            <w:tcBorders>
              <w:top w:val="nil"/>
              <w:left w:val="nil"/>
              <w:bottom w:val="nil"/>
              <w:right w:val="nil"/>
            </w:tcBorders>
          </w:tcPr>
          <w:p w14:paraId="6C0B6E4F" w14:textId="6918884C" w:rsidR="009B3CF6" w:rsidRDefault="009B3CF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2018</w:t>
            </w:r>
          </w:p>
        </w:tc>
      </w:tr>
      <w:tr w:rsidR="00AD4B2A" w14:paraId="35795BD1" w14:textId="77777777" w:rsidTr="00FD2654">
        <w:tc>
          <w:tcPr>
            <w:tcW w:w="2127" w:type="dxa"/>
            <w:tcBorders>
              <w:top w:val="nil"/>
              <w:left w:val="nil"/>
              <w:bottom w:val="nil"/>
              <w:right w:val="nil"/>
            </w:tcBorders>
          </w:tcPr>
          <w:p w14:paraId="5E58536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Enshan Sheng</w:t>
            </w:r>
          </w:p>
        </w:tc>
        <w:tc>
          <w:tcPr>
            <w:tcW w:w="3827" w:type="dxa"/>
            <w:tcBorders>
              <w:top w:val="nil"/>
              <w:left w:val="nil"/>
              <w:bottom w:val="nil"/>
              <w:right w:val="nil"/>
            </w:tcBorders>
          </w:tcPr>
          <w:p w14:paraId="7D839B02"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Huntsman Co</w:t>
            </w:r>
          </w:p>
        </w:tc>
        <w:tc>
          <w:tcPr>
            <w:tcW w:w="1417" w:type="dxa"/>
            <w:tcBorders>
              <w:top w:val="nil"/>
              <w:left w:val="nil"/>
              <w:bottom w:val="nil"/>
              <w:right w:val="nil"/>
            </w:tcBorders>
          </w:tcPr>
          <w:p w14:paraId="3CDE95B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China</w:t>
            </w:r>
          </w:p>
        </w:tc>
        <w:tc>
          <w:tcPr>
            <w:tcW w:w="1418" w:type="dxa"/>
            <w:tcBorders>
              <w:top w:val="nil"/>
              <w:left w:val="nil"/>
              <w:bottom w:val="nil"/>
              <w:right w:val="nil"/>
            </w:tcBorders>
          </w:tcPr>
          <w:p w14:paraId="422235DE" w14:textId="4046416D" w:rsidR="00AD4B2A" w:rsidRDefault="00841011" w:rsidP="0030285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02856">
              <w:rPr>
                <w:sz w:val="20"/>
              </w:rPr>
              <w:t>8</w:t>
            </w:r>
          </w:p>
        </w:tc>
      </w:tr>
      <w:tr w:rsidR="00AD4B2A" w14:paraId="493C64D0" w14:textId="77777777" w:rsidTr="00FD2654">
        <w:tc>
          <w:tcPr>
            <w:tcW w:w="2127" w:type="dxa"/>
            <w:tcBorders>
              <w:top w:val="nil"/>
              <w:left w:val="nil"/>
              <w:bottom w:val="nil"/>
              <w:right w:val="nil"/>
            </w:tcBorders>
          </w:tcPr>
          <w:p w14:paraId="0BC4366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Helen Walter-Terrinoni</w:t>
            </w:r>
          </w:p>
        </w:tc>
        <w:tc>
          <w:tcPr>
            <w:tcW w:w="3827" w:type="dxa"/>
            <w:tcBorders>
              <w:top w:val="nil"/>
              <w:left w:val="nil"/>
              <w:bottom w:val="nil"/>
              <w:right w:val="nil"/>
            </w:tcBorders>
          </w:tcPr>
          <w:p w14:paraId="01688A6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DuPont</w:t>
            </w:r>
          </w:p>
        </w:tc>
        <w:tc>
          <w:tcPr>
            <w:tcW w:w="1417" w:type="dxa"/>
            <w:tcBorders>
              <w:top w:val="nil"/>
              <w:left w:val="nil"/>
              <w:bottom w:val="nil"/>
              <w:right w:val="nil"/>
            </w:tcBorders>
          </w:tcPr>
          <w:p w14:paraId="2291671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8" w:type="dxa"/>
            <w:tcBorders>
              <w:top w:val="nil"/>
              <w:left w:val="nil"/>
              <w:bottom w:val="nil"/>
              <w:right w:val="nil"/>
            </w:tcBorders>
          </w:tcPr>
          <w:p w14:paraId="3F2D55AB" w14:textId="1FB4E0E5" w:rsidR="00AD4B2A" w:rsidRDefault="00841011" w:rsidP="0030285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02856">
              <w:rPr>
                <w:sz w:val="20"/>
              </w:rPr>
              <w:t>8</w:t>
            </w:r>
          </w:p>
        </w:tc>
      </w:tr>
      <w:tr w:rsidR="00AD4B2A" w14:paraId="7A149CA0" w14:textId="77777777" w:rsidTr="00FD2654">
        <w:tc>
          <w:tcPr>
            <w:tcW w:w="2127" w:type="dxa"/>
            <w:tcBorders>
              <w:top w:val="nil"/>
              <w:left w:val="nil"/>
              <w:bottom w:val="nil"/>
              <w:right w:val="nil"/>
            </w:tcBorders>
          </w:tcPr>
          <w:p w14:paraId="2CF46012"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Dave Williams</w:t>
            </w:r>
          </w:p>
        </w:tc>
        <w:tc>
          <w:tcPr>
            <w:tcW w:w="3827" w:type="dxa"/>
            <w:tcBorders>
              <w:top w:val="nil"/>
              <w:left w:val="nil"/>
              <w:bottom w:val="nil"/>
              <w:right w:val="nil"/>
            </w:tcBorders>
          </w:tcPr>
          <w:p w14:paraId="36166A9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Honeywell</w:t>
            </w:r>
          </w:p>
        </w:tc>
        <w:tc>
          <w:tcPr>
            <w:tcW w:w="1417" w:type="dxa"/>
            <w:tcBorders>
              <w:top w:val="nil"/>
              <w:left w:val="nil"/>
              <w:bottom w:val="nil"/>
              <w:right w:val="nil"/>
            </w:tcBorders>
          </w:tcPr>
          <w:p w14:paraId="15039A0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8" w:type="dxa"/>
            <w:tcBorders>
              <w:top w:val="nil"/>
              <w:left w:val="nil"/>
              <w:bottom w:val="nil"/>
              <w:right w:val="nil"/>
            </w:tcBorders>
          </w:tcPr>
          <w:p w14:paraId="463854A8" w14:textId="051CBB73" w:rsidR="00AD4B2A" w:rsidRDefault="00841011" w:rsidP="0030285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02856">
              <w:rPr>
                <w:sz w:val="20"/>
              </w:rPr>
              <w:t>8</w:t>
            </w:r>
          </w:p>
        </w:tc>
      </w:tr>
      <w:tr w:rsidR="00AD4B2A" w14:paraId="04E68A7D" w14:textId="77777777" w:rsidTr="00FD2654">
        <w:tc>
          <w:tcPr>
            <w:tcW w:w="2127" w:type="dxa"/>
            <w:tcBorders>
              <w:top w:val="nil"/>
              <w:left w:val="nil"/>
              <w:bottom w:val="nil"/>
              <w:right w:val="nil"/>
            </w:tcBorders>
          </w:tcPr>
          <w:p w14:paraId="03C9A00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Allen Zhang</w:t>
            </w:r>
          </w:p>
        </w:tc>
        <w:tc>
          <w:tcPr>
            <w:tcW w:w="3827" w:type="dxa"/>
            <w:tcBorders>
              <w:top w:val="nil"/>
              <w:left w:val="nil"/>
              <w:bottom w:val="nil"/>
              <w:right w:val="nil"/>
            </w:tcBorders>
          </w:tcPr>
          <w:p w14:paraId="690D412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417" w:type="dxa"/>
            <w:tcBorders>
              <w:top w:val="nil"/>
              <w:left w:val="nil"/>
              <w:bottom w:val="nil"/>
              <w:right w:val="nil"/>
            </w:tcBorders>
          </w:tcPr>
          <w:p w14:paraId="3C8849E2"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China</w:t>
            </w:r>
          </w:p>
        </w:tc>
        <w:tc>
          <w:tcPr>
            <w:tcW w:w="1418" w:type="dxa"/>
            <w:tcBorders>
              <w:top w:val="nil"/>
              <w:left w:val="nil"/>
              <w:bottom w:val="nil"/>
              <w:right w:val="nil"/>
            </w:tcBorders>
          </w:tcPr>
          <w:p w14:paraId="53873419" w14:textId="27589AE8" w:rsidR="00AD4B2A" w:rsidRDefault="00841011" w:rsidP="0030285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02856">
              <w:rPr>
                <w:sz w:val="20"/>
              </w:rPr>
              <w:t>8</w:t>
            </w:r>
          </w:p>
        </w:tc>
      </w:tr>
    </w:tbl>
    <w:p w14:paraId="20E3BC62" w14:textId="77777777" w:rsidR="00326F62" w:rsidRPr="00326F62"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szCs w:val="22"/>
        </w:rPr>
      </w:pPr>
      <w:r>
        <w:rPr>
          <w:b/>
        </w:rPr>
        <w:br w:type="page"/>
      </w:r>
      <w:r w:rsidR="00326F62" w:rsidRPr="00326F62">
        <w:rPr>
          <w:b/>
          <w:szCs w:val="22"/>
        </w:rPr>
        <w:t>TEAP Halons Technical Options Committee (HTOC)</w:t>
      </w:r>
    </w:p>
    <w:p w14:paraId="5BBEC0E9" w14:textId="77777777" w:rsidR="00326F62" w:rsidRDefault="00326F62"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16"/>
        </w:rPr>
      </w:pPr>
    </w:p>
    <w:tbl>
      <w:tblPr>
        <w:tblpPr w:leftFromText="180" w:rightFromText="180" w:vertAnchor="text" w:tblpY="1"/>
        <w:tblOverlap w:val="never"/>
        <w:tblW w:w="8505" w:type="dxa"/>
        <w:tblInd w:w="25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261"/>
        <w:gridCol w:w="1701"/>
        <w:gridCol w:w="1417"/>
      </w:tblGrid>
      <w:tr w:rsidR="00FD2654" w14:paraId="626105F5" w14:textId="77777777" w:rsidTr="00FD2654">
        <w:tc>
          <w:tcPr>
            <w:tcW w:w="2126" w:type="dxa"/>
            <w:tcBorders>
              <w:top w:val="nil"/>
              <w:left w:val="nil"/>
              <w:bottom w:val="nil"/>
              <w:right w:val="nil"/>
            </w:tcBorders>
          </w:tcPr>
          <w:p w14:paraId="3FFB8529"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071E26">
              <w:rPr>
                <w:b/>
                <w:sz w:val="20"/>
              </w:rPr>
              <w:t xml:space="preserve">Co-chairs </w:t>
            </w:r>
          </w:p>
        </w:tc>
        <w:tc>
          <w:tcPr>
            <w:tcW w:w="3261" w:type="dxa"/>
            <w:tcBorders>
              <w:top w:val="nil"/>
              <w:left w:val="nil"/>
              <w:bottom w:val="nil"/>
              <w:right w:val="nil"/>
            </w:tcBorders>
          </w:tcPr>
          <w:p w14:paraId="2F30398E"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071E26">
              <w:rPr>
                <w:b/>
                <w:sz w:val="20"/>
              </w:rPr>
              <w:t>Affiliation</w:t>
            </w:r>
          </w:p>
        </w:tc>
        <w:tc>
          <w:tcPr>
            <w:tcW w:w="1701" w:type="dxa"/>
            <w:tcBorders>
              <w:top w:val="nil"/>
              <w:left w:val="nil"/>
              <w:bottom w:val="nil"/>
              <w:right w:val="nil"/>
            </w:tcBorders>
          </w:tcPr>
          <w:p w14:paraId="681CD73F"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071E26">
              <w:rPr>
                <w:b/>
                <w:sz w:val="20"/>
              </w:rPr>
              <w:t>Country</w:t>
            </w:r>
          </w:p>
        </w:tc>
        <w:tc>
          <w:tcPr>
            <w:tcW w:w="1417" w:type="dxa"/>
            <w:tcBorders>
              <w:top w:val="nil"/>
              <w:left w:val="nil"/>
              <w:bottom w:val="nil"/>
              <w:right w:val="nil"/>
            </w:tcBorders>
          </w:tcPr>
          <w:p w14:paraId="357A83D9" w14:textId="712C2843"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Appointed through</w:t>
            </w:r>
          </w:p>
        </w:tc>
      </w:tr>
      <w:tr w:rsidR="00FD2654" w14:paraId="07FC76C1" w14:textId="77777777" w:rsidTr="00FD2654">
        <w:tc>
          <w:tcPr>
            <w:tcW w:w="2126" w:type="dxa"/>
            <w:tcBorders>
              <w:top w:val="nil"/>
              <w:left w:val="nil"/>
              <w:bottom w:val="nil"/>
              <w:right w:val="nil"/>
            </w:tcBorders>
          </w:tcPr>
          <w:p w14:paraId="3F2E79BF"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David V. Catchpole</w:t>
            </w:r>
          </w:p>
        </w:tc>
        <w:tc>
          <w:tcPr>
            <w:tcW w:w="3261" w:type="dxa"/>
            <w:tcBorders>
              <w:top w:val="nil"/>
              <w:left w:val="nil"/>
              <w:bottom w:val="nil"/>
              <w:right w:val="nil"/>
            </w:tcBorders>
          </w:tcPr>
          <w:p w14:paraId="750163E2"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Petrotechnical Resources Alaska</w:t>
            </w:r>
          </w:p>
        </w:tc>
        <w:tc>
          <w:tcPr>
            <w:tcW w:w="1701" w:type="dxa"/>
            <w:tcBorders>
              <w:top w:val="nil"/>
              <w:left w:val="nil"/>
              <w:bottom w:val="nil"/>
              <w:right w:val="nil"/>
            </w:tcBorders>
          </w:tcPr>
          <w:p w14:paraId="5161CA97"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417" w:type="dxa"/>
            <w:tcBorders>
              <w:top w:val="nil"/>
              <w:left w:val="nil"/>
              <w:bottom w:val="nil"/>
              <w:right w:val="nil"/>
            </w:tcBorders>
          </w:tcPr>
          <w:p w14:paraId="2FA5D581"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2016</w:t>
            </w:r>
          </w:p>
        </w:tc>
      </w:tr>
      <w:tr w:rsidR="00FD2654" w14:paraId="6F0826CC" w14:textId="77777777" w:rsidTr="00FD2654">
        <w:tc>
          <w:tcPr>
            <w:tcW w:w="2126" w:type="dxa"/>
            <w:tcBorders>
              <w:top w:val="nil"/>
              <w:left w:val="nil"/>
              <w:bottom w:val="nil"/>
              <w:right w:val="nil"/>
            </w:tcBorders>
          </w:tcPr>
          <w:p w14:paraId="7B648920"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Sergey N. Kopylov</w:t>
            </w:r>
          </w:p>
        </w:tc>
        <w:tc>
          <w:tcPr>
            <w:tcW w:w="3261" w:type="dxa"/>
            <w:tcBorders>
              <w:top w:val="nil"/>
              <w:left w:val="nil"/>
              <w:bottom w:val="nil"/>
              <w:right w:val="nil"/>
            </w:tcBorders>
          </w:tcPr>
          <w:p w14:paraId="5AED879C"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All Russian Research Institute for Fire Protection</w:t>
            </w:r>
          </w:p>
        </w:tc>
        <w:tc>
          <w:tcPr>
            <w:tcW w:w="1701" w:type="dxa"/>
            <w:tcBorders>
              <w:top w:val="nil"/>
              <w:left w:val="nil"/>
              <w:bottom w:val="nil"/>
              <w:right w:val="nil"/>
            </w:tcBorders>
          </w:tcPr>
          <w:p w14:paraId="65785698"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Russian Federation</w:t>
            </w:r>
          </w:p>
        </w:tc>
        <w:tc>
          <w:tcPr>
            <w:tcW w:w="1417" w:type="dxa"/>
            <w:tcBorders>
              <w:top w:val="nil"/>
              <w:left w:val="nil"/>
              <w:bottom w:val="nil"/>
              <w:right w:val="nil"/>
            </w:tcBorders>
          </w:tcPr>
          <w:p w14:paraId="549EE6C6"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2017</w:t>
            </w:r>
          </w:p>
        </w:tc>
      </w:tr>
      <w:tr w:rsidR="00FD2654" w14:paraId="60BD105C" w14:textId="77777777" w:rsidTr="00FD2654">
        <w:tc>
          <w:tcPr>
            <w:tcW w:w="2126" w:type="dxa"/>
            <w:tcBorders>
              <w:top w:val="nil"/>
              <w:left w:val="nil"/>
              <w:bottom w:val="nil"/>
              <w:right w:val="nil"/>
            </w:tcBorders>
          </w:tcPr>
          <w:p w14:paraId="26C55D64"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Daniel P. Verdonik</w:t>
            </w:r>
          </w:p>
        </w:tc>
        <w:tc>
          <w:tcPr>
            <w:tcW w:w="3261" w:type="dxa"/>
            <w:tcBorders>
              <w:top w:val="nil"/>
              <w:left w:val="nil"/>
              <w:bottom w:val="nil"/>
              <w:right w:val="nil"/>
            </w:tcBorders>
          </w:tcPr>
          <w:p w14:paraId="7C9C93C6"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Jensen Hughes</w:t>
            </w:r>
          </w:p>
        </w:tc>
        <w:tc>
          <w:tcPr>
            <w:tcW w:w="1701" w:type="dxa"/>
            <w:tcBorders>
              <w:top w:val="nil"/>
              <w:left w:val="nil"/>
              <w:bottom w:val="nil"/>
              <w:right w:val="nil"/>
            </w:tcBorders>
          </w:tcPr>
          <w:p w14:paraId="1DDE19F4"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7" w:type="dxa"/>
            <w:tcBorders>
              <w:top w:val="nil"/>
              <w:left w:val="nil"/>
              <w:bottom w:val="nil"/>
              <w:right w:val="nil"/>
            </w:tcBorders>
          </w:tcPr>
          <w:p w14:paraId="6C966567"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2016</w:t>
            </w:r>
          </w:p>
        </w:tc>
      </w:tr>
      <w:tr w:rsidR="00FD2654" w14:paraId="24C5BFAC" w14:textId="77777777" w:rsidTr="00FD2654">
        <w:tc>
          <w:tcPr>
            <w:tcW w:w="2126" w:type="dxa"/>
            <w:tcBorders>
              <w:top w:val="nil"/>
              <w:left w:val="nil"/>
              <w:bottom w:val="nil"/>
              <w:right w:val="nil"/>
            </w:tcBorders>
          </w:tcPr>
          <w:p w14:paraId="2B9D0C12"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071E26">
              <w:rPr>
                <w:b/>
                <w:sz w:val="20"/>
              </w:rPr>
              <w:t>Members</w:t>
            </w:r>
          </w:p>
        </w:tc>
        <w:tc>
          <w:tcPr>
            <w:tcW w:w="3261" w:type="dxa"/>
            <w:tcBorders>
              <w:top w:val="nil"/>
              <w:left w:val="nil"/>
              <w:bottom w:val="nil"/>
              <w:right w:val="nil"/>
            </w:tcBorders>
          </w:tcPr>
          <w:p w14:paraId="42E4D772" w14:textId="3EC698C6" w:rsidR="00FD2654" w:rsidRPr="00071E26" w:rsidRDefault="00165E8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701" w:type="dxa"/>
            <w:tcBorders>
              <w:top w:val="nil"/>
              <w:left w:val="nil"/>
              <w:bottom w:val="nil"/>
              <w:right w:val="nil"/>
            </w:tcBorders>
          </w:tcPr>
          <w:p w14:paraId="602A0023" w14:textId="63DFB7EC" w:rsidR="00FD2654" w:rsidRPr="00071E26" w:rsidRDefault="00165E8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417" w:type="dxa"/>
            <w:tcBorders>
              <w:top w:val="nil"/>
              <w:left w:val="nil"/>
              <w:bottom w:val="nil"/>
              <w:right w:val="nil"/>
            </w:tcBorders>
          </w:tcPr>
          <w:p w14:paraId="465422BE" w14:textId="189FCA54" w:rsidR="00FD2654" w:rsidRPr="00071E26" w:rsidRDefault="00165E8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Appointed through</w:t>
            </w:r>
          </w:p>
        </w:tc>
      </w:tr>
      <w:tr w:rsidR="00FD2654" w14:paraId="2AC8E31F" w14:textId="77777777" w:rsidTr="00FD2654">
        <w:tc>
          <w:tcPr>
            <w:tcW w:w="2126" w:type="dxa"/>
            <w:tcBorders>
              <w:top w:val="nil"/>
              <w:left w:val="nil"/>
              <w:bottom w:val="nil"/>
              <w:right w:val="nil"/>
            </w:tcBorders>
          </w:tcPr>
          <w:p w14:paraId="5156EB7F"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Tareq K. Al-Awad</w:t>
            </w:r>
          </w:p>
        </w:tc>
        <w:tc>
          <w:tcPr>
            <w:tcW w:w="3261" w:type="dxa"/>
            <w:tcBorders>
              <w:top w:val="nil"/>
              <w:left w:val="nil"/>
              <w:bottom w:val="nil"/>
              <w:right w:val="nil"/>
            </w:tcBorders>
          </w:tcPr>
          <w:p w14:paraId="0E9541F4"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King Abdullah II Design &amp; Development Bureau</w:t>
            </w:r>
          </w:p>
        </w:tc>
        <w:tc>
          <w:tcPr>
            <w:tcW w:w="1701" w:type="dxa"/>
            <w:tcBorders>
              <w:top w:val="nil"/>
              <w:left w:val="nil"/>
              <w:bottom w:val="nil"/>
              <w:right w:val="nil"/>
            </w:tcBorders>
          </w:tcPr>
          <w:p w14:paraId="0F0FE6D0"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Jordan</w:t>
            </w:r>
          </w:p>
        </w:tc>
        <w:tc>
          <w:tcPr>
            <w:tcW w:w="1417" w:type="dxa"/>
            <w:tcBorders>
              <w:top w:val="nil"/>
              <w:left w:val="nil"/>
              <w:bottom w:val="nil"/>
              <w:right w:val="nil"/>
            </w:tcBorders>
          </w:tcPr>
          <w:p w14:paraId="701683BD"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2016</w:t>
            </w:r>
          </w:p>
        </w:tc>
      </w:tr>
      <w:tr w:rsidR="00FD2654" w14:paraId="28FE1465" w14:textId="77777777" w:rsidTr="00FD2654">
        <w:tc>
          <w:tcPr>
            <w:tcW w:w="2126" w:type="dxa"/>
            <w:tcBorders>
              <w:top w:val="nil"/>
              <w:left w:val="nil"/>
              <w:bottom w:val="nil"/>
              <w:right w:val="nil"/>
            </w:tcBorders>
          </w:tcPr>
          <w:p w14:paraId="77BDE0AB"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Jamal Alfuzaie</w:t>
            </w:r>
          </w:p>
        </w:tc>
        <w:tc>
          <w:tcPr>
            <w:tcW w:w="3261" w:type="dxa"/>
            <w:tcBorders>
              <w:top w:val="nil"/>
              <w:left w:val="nil"/>
              <w:bottom w:val="nil"/>
              <w:right w:val="nil"/>
            </w:tcBorders>
          </w:tcPr>
          <w:p w14:paraId="4A60FA1B"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Consultant - Retired</w:t>
            </w:r>
          </w:p>
        </w:tc>
        <w:tc>
          <w:tcPr>
            <w:tcW w:w="1701" w:type="dxa"/>
            <w:tcBorders>
              <w:top w:val="nil"/>
              <w:left w:val="nil"/>
              <w:bottom w:val="nil"/>
              <w:right w:val="nil"/>
            </w:tcBorders>
          </w:tcPr>
          <w:p w14:paraId="0567AC90"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Kuwait</w:t>
            </w:r>
          </w:p>
        </w:tc>
        <w:tc>
          <w:tcPr>
            <w:tcW w:w="1417" w:type="dxa"/>
            <w:tcBorders>
              <w:top w:val="nil"/>
              <w:left w:val="nil"/>
              <w:bottom w:val="nil"/>
              <w:right w:val="nil"/>
            </w:tcBorders>
          </w:tcPr>
          <w:p w14:paraId="7553C01D"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2018</w:t>
            </w:r>
          </w:p>
        </w:tc>
      </w:tr>
      <w:tr w:rsidR="00FD2654" w14:paraId="57AF56C6" w14:textId="77777777" w:rsidTr="00FD2654">
        <w:tc>
          <w:tcPr>
            <w:tcW w:w="2126" w:type="dxa"/>
            <w:tcBorders>
              <w:top w:val="nil"/>
              <w:left w:val="nil"/>
              <w:bottom w:val="nil"/>
              <w:right w:val="nil"/>
            </w:tcBorders>
          </w:tcPr>
          <w:p w14:paraId="366123E9"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Johan Åqvist</w:t>
            </w:r>
          </w:p>
        </w:tc>
        <w:tc>
          <w:tcPr>
            <w:tcW w:w="3261" w:type="dxa"/>
            <w:tcBorders>
              <w:top w:val="nil"/>
              <w:left w:val="nil"/>
              <w:bottom w:val="nil"/>
              <w:right w:val="nil"/>
            </w:tcBorders>
          </w:tcPr>
          <w:p w14:paraId="47AB647B"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Åqvist Consulting Group</w:t>
            </w:r>
          </w:p>
        </w:tc>
        <w:tc>
          <w:tcPr>
            <w:tcW w:w="1701" w:type="dxa"/>
            <w:tcBorders>
              <w:top w:val="nil"/>
              <w:left w:val="nil"/>
              <w:bottom w:val="nil"/>
              <w:right w:val="nil"/>
            </w:tcBorders>
          </w:tcPr>
          <w:p w14:paraId="153A9D6D"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Sweden</w:t>
            </w:r>
          </w:p>
        </w:tc>
        <w:tc>
          <w:tcPr>
            <w:tcW w:w="1417" w:type="dxa"/>
            <w:tcBorders>
              <w:top w:val="nil"/>
              <w:left w:val="nil"/>
              <w:bottom w:val="nil"/>
              <w:right w:val="nil"/>
            </w:tcBorders>
          </w:tcPr>
          <w:p w14:paraId="04B610CE"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2019</w:t>
            </w:r>
          </w:p>
        </w:tc>
      </w:tr>
      <w:tr w:rsidR="00FD2654" w14:paraId="5A0EE35D" w14:textId="77777777" w:rsidTr="00FD2654">
        <w:tc>
          <w:tcPr>
            <w:tcW w:w="2126" w:type="dxa"/>
            <w:tcBorders>
              <w:top w:val="nil"/>
              <w:left w:val="nil"/>
              <w:bottom w:val="nil"/>
              <w:right w:val="nil"/>
            </w:tcBorders>
          </w:tcPr>
          <w:p w14:paraId="7CA0BCA6"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Youri Auroque</w:t>
            </w:r>
          </w:p>
        </w:tc>
        <w:tc>
          <w:tcPr>
            <w:tcW w:w="3261" w:type="dxa"/>
            <w:tcBorders>
              <w:top w:val="nil"/>
              <w:left w:val="nil"/>
              <w:bottom w:val="nil"/>
              <w:right w:val="nil"/>
            </w:tcBorders>
          </w:tcPr>
          <w:p w14:paraId="3D721A86"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European Aviation Safety Agency</w:t>
            </w:r>
          </w:p>
        </w:tc>
        <w:tc>
          <w:tcPr>
            <w:tcW w:w="1701" w:type="dxa"/>
            <w:tcBorders>
              <w:top w:val="nil"/>
              <w:left w:val="nil"/>
              <w:bottom w:val="nil"/>
              <w:right w:val="nil"/>
            </w:tcBorders>
          </w:tcPr>
          <w:p w14:paraId="5D706803"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France</w:t>
            </w:r>
          </w:p>
        </w:tc>
        <w:tc>
          <w:tcPr>
            <w:tcW w:w="1417" w:type="dxa"/>
            <w:tcBorders>
              <w:top w:val="nil"/>
              <w:left w:val="nil"/>
              <w:bottom w:val="nil"/>
              <w:right w:val="nil"/>
            </w:tcBorders>
          </w:tcPr>
          <w:p w14:paraId="3C53130E"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2019</w:t>
            </w:r>
          </w:p>
        </w:tc>
      </w:tr>
      <w:tr w:rsidR="00FD2654" w14:paraId="1390C69F" w14:textId="77777777" w:rsidTr="00FD2654">
        <w:tc>
          <w:tcPr>
            <w:tcW w:w="2126" w:type="dxa"/>
            <w:tcBorders>
              <w:top w:val="nil"/>
              <w:left w:val="nil"/>
              <w:bottom w:val="nil"/>
              <w:right w:val="nil"/>
            </w:tcBorders>
          </w:tcPr>
          <w:p w14:paraId="08355A7A"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Seunghwan (Charles) Choi</w:t>
            </w:r>
          </w:p>
        </w:tc>
        <w:tc>
          <w:tcPr>
            <w:tcW w:w="3261" w:type="dxa"/>
            <w:tcBorders>
              <w:top w:val="nil"/>
              <w:left w:val="nil"/>
              <w:bottom w:val="nil"/>
              <w:right w:val="nil"/>
            </w:tcBorders>
          </w:tcPr>
          <w:p w14:paraId="01DCBF2F"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Hanju Chemical Co., Ltd.</w:t>
            </w:r>
          </w:p>
        </w:tc>
        <w:tc>
          <w:tcPr>
            <w:tcW w:w="1701" w:type="dxa"/>
            <w:tcBorders>
              <w:top w:val="nil"/>
              <w:left w:val="nil"/>
              <w:bottom w:val="nil"/>
              <w:right w:val="nil"/>
            </w:tcBorders>
          </w:tcPr>
          <w:p w14:paraId="0C9F1EC8"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South Korea</w:t>
            </w:r>
          </w:p>
        </w:tc>
        <w:tc>
          <w:tcPr>
            <w:tcW w:w="1417" w:type="dxa"/>
            <w:tcBorders>
              <w:top w:val="nil"/>
              <w:left w:val="nil"/>
              <w:bottom w:val="nil"/>
              <w:right w:val="nil"/>
            </w:tcBorders>
          </w:tcPr>
          <w:p w14:paraId="4F6C94AE"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2018</w:t>
            </w:r>
          </w:p>
        </w:tc>
      </w:tr>
      <w:tr w:rsidR="00FD2654" w14:paraId="07AD95F9" w14:textId="77777777" w:rsidTr="00FD2654">
        <w:tc>
          <w:tcPr>
            <w:tcW w:w="2126" w:type="dxa"/>
            <w:tcBorders>
              <w:top w:val="nil"/>
              <w:left w:val="nil"/>
              <w:bottom w:val="nil"/>
              <w:right w:val="nil"/>
            </w:tcBorders>
          </w:tcPr>
          <w:p w14:paraId="34209023"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Adam Chattaway</w:t>
            </w:r>
          </w:p>
        </w:tc>
        <w:tc>
          <w:tcPr>
            <w:tcW w:w="3261" w:type="dxa"/>
            <w:tcBorders>
              <w:top w:val="nil"/>
              <w:left w:val="nil"/>
              <w:bottom w:val="nil"/>
              <w:right w:val="nil"/>
            </w:tcBorders>
          </w:tcPr>
          <w:p w14:paraId="60466867"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UTC Areospace Systems</w:t>
            </w:r>
          </w:p>
        </w:tc>
        <w:tc>
          <w:tcPr>
            <w:tcW w:w="1701" w:type="dxa"/>
            <w:tcBorders>
              <w:top w:val="nil"/>
              <w:left w:val="nil"/>
              <w:bottom w:val="nil"/>
              <w:right w:val="nil"/>
            </w:tcBorders>
          </w:tcPr>
          <w:p w14:paraId="08202185"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417" w:type="dxa"/>
            <w:tcBorders>
              <w:top w:val="nil"/>
              <w:left w:val="nil"/>
              <w:bottom w:val="nil"/>
              <w:right w:val="nil"/>
            </w:tcBorders>
          </w:tcPr>
          <w:p w14:paraId="53B2A695"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2016</w:t>
            </w:r>
          </w:p>
        </w:tc>
      </w:tr>
      <w:tr w:rsidR="00FD2654" w14:paraId="3D2E8A22" w14:textId="77777777" w:rsidTr="00FD2654">
        <w:tc>
          <w:tcPr>
            <w:tcW w:w="2126" w:type="dxa"/>
            <w:tcBorders>
              <w:top w:val="nil"/>
              <w:left w:val="nil"/>
              <w:bottom w:val="nil"/>
              <w:right w:val="nil"/>
            </w:tcBorders>
          </w:tcPr>
          <w:p w14:paraId="295F1DE4"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Michelle M. Collins</w:t>
            </w:r>
          </w:p>
        </w:tc>
        <w:tc>
          <w:tcPr>
            <w:tcW w:w="3261" w:type="dxa"/>
            <w:tcBorders>
              <w:top w:val="nil"/>
              <w:left w:val="nil"/>
              <w:bottom w:val="nil"/>
              <w:right w:val="nil"/>
            </w:tcBorders>
          </w:tcPr>
          <w:p w14:paraId="410A82A7"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Consultant- EECO International</w:t>
            </w:r>
          </w:p>
        </w:tc>
        <w:tc>
          <w:tcPr>
            <w:tcW w:w="1701" w:type="dxa"/>
            <w:tcBorders>
              <w:top w:val="nil"/>
              <w:left w:val="nil"/>
              <w:bottom w:val="nil"/>
              <w:right w:val="nil"/>
            </w:tcBorders>
          </w:tcPr>
          <w:p w14:paraId="4B431DCE"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7" w:type="dxa"/>
            <w:tcBorders>
              <w:top w:val="nil"/>
              <w:left w:val="nil"/>
              <w:bottom w:val="nil"/>
              <w:right w:val="nil"/>
            </w:tcBorders>
          </w:tcPr>
          <w:p w14:paraId="68DB3935"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2018</w:t>
            </w:r>
          </w:p>
        </w:tc>
      </w:tr>
      <w:tr w:rsidR="00FD2654" w14:paraId="3556F06E" w14:textId="77777777" w:rsidTr="00FD2654">
        <w:tc>
          <w:tcPr>
            <w:tcW w:w="2126" w:type="dxa"/>
            <w:tcBorders>
              <w:top w:val="nil"/>
              <w:left w:val="nil"/>
              <w:bottom w:val="nil"/>
              <w:right w:val="nil"/>
            </w:tcBorders>
          </w:tcPr>
          <w:p w14:paraId="3D761910"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Carlos Grandi</w:t>
            </w:r>
          </w:p>
        </w:tc>
        <w:tc>
          <w:tcPr>
            <w:tcW w:w="3261" w:type="dxa"/>
            <w:tcBorders>
              <w:top w:val="nil"/>
              <w:left w:val="nil"/>
              <w:bottom w:val="nil"/>
              <w:right w:val="nil"/>
            </w:tcBorders>
          </w:tcPr>
          <w:p w14:paraId="76AC4510"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Embraer</w:t>
            </w:r>
          </w:p>
        </w:tc>
        <w:tc>
          <w:tcPr>
            <w:tcW w:w="1701" w:type="dxa"/>
            <w:tcBorders>
              <w:top w:val="nil"/>
              <w:left w:val="nil"/>
              <w:bottom w:val="nil"/>
              <w:right w:val="nil"/>
            </w:tcBorders>
          </w:tcPr>
          <w:p w14:paraId="49E2773D"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Brasil</w:t>
            </w:r>
          </w:p>
        </w:tc>
        <w:tc>
          <w:tcPr>
            <w:tcW w:w="1417" w:type="dxa"/>
            <w:tcBorders>
              <w:top w:val="nil"/>
              <w:left w:val="nil"/>
              <w:bottom w:val="nil"/>
              <w:right w:val="nil"/>
            </w:tcBorders>
          </w:tcPr>
          <w:p w14:paraId="100545E4"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2017</w:t>
            </w:r>
          </w:p>
        </w:tc>
      </w:tr>
      <w:tr w:rsidR="00FD2654" w14:paraId="499993AF" w14:textId="77777777" w:rsidTr="00FD2654">
        <w:tc>
          <w:tcPr>
            <w:tcW w:w="2126" w:type="dxa"/>
            <w:tcBorders>
              <w:top w:val="nil"/>
              <w:left w:val="nil"/>
              <w:bottom w:val="nil"/>
              <w:right w:val="nil"/>
            </w:tcBorders>
          </w:tcPr>
          <w:p w14:paraId="63527311"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H. S. Kaprwan</w:t>
            </w:r>
          </w:p>
        </w:tc>
        <w:tc>
          <w:tcPr>
            <w:tcW w:w="3261" w:type="dxa"/>
            <w:tcBorders>
              <w:top w:val="nil"/>
              <w:left w:val="nil"/>
              <w:bottom w:val="nil"/>
              <w:right w:val="nil"/>
            </w:tcBorders>
          </w:tcPr>
          <w:p w14:paraId="6D153B79"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Consultant – Retired</w:t>
            </w:r>
          </w:p>
        </w:tc>
        <w:tc>
          <w:tcPr>
            <w:tcW w:w="1701" w:type="dxa"/>
            <w:tcBorders>
              <w:top w:val="nil"/>
              <w:left w:val="nil"/>
              <w:bottom w:val="nil"/>
              <w:right w:val="nil"/>
            </w:tcBorders>
          </w:tcPr>
          <w:p w14:paraId="62978B2A"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India</w:t>
            </w:r>
          </w:p>
        </w:tc>
        <w:tc>
          <w:tcPr>
            <w:tcW w:w="1417" w:type="dxa"/>
            <w:tcBorders>
              <w:top w:val="nil"/>
              <w:left w:val="nil"/>
              <w:bottom w:val="nil"/>
              <w:right w:val="nil"/>
            </w:tcBorders>
          </w:tcPr>
          <w:p w14:paraId="6AC2ADFC"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2017</w:t>
            </w:r>
          </w:p>
        </w:tc>
      </w:tr>
      <w:tr w:rsidR="00FD2654" w14:paraId="61D97339" w14:textId="77777777" w:rsidTr="00FD2654">
        <w:tc>
          <w:tcPr>
            <w:tcW w:w="2126" w:type="dxa"/>
            <w:tcBorders>
              <w:top w:val="nil"/>
              <w:left w:val="nil"/>
              <w:bottom w:val="nil"/>
              <w:right w:val="nil"/>
            </w:tcBorders>
          </w:tcPr>
          <w:p w14:paraId="23C37313"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John J. O’Sullivan</w:t>
            </w:r>
          </w:p>
        </w:tc>
        <w:tc>
          <w:tcPr>
            <w:tcW w:w="3261" w:type="dxa"/>
            <w:tcBorders>
              <w:top w:val="nil"/>
              <w:left w:val="nil"/>
              <w:bottom w:val="nil"/>
              <w:right w:val="nil"/>
            </w:tcBorders>
          </w:tcPr>
          <w:p w14:paraId="1C2252DB"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Bureau Veriitas</w:t>
            </w:r>
          </w:p>
        </w:tc>
        <w:tc>
          <w:tcPr>
            <w:tcW w:w="1701" w:type="dxa"/>
            <w:tcBorders>
              <w:top w:val="nil"/>
              <w:left w:val="nil"/>
              <w:bottom w:val="nil"/>
              <w:right w:val="nil"/>
            </w:tcBorders>
          </w:tcPr>
          <w:p w14:paraId="6BD162D0"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417" w:type="dxa"/>
            <w:tcBorders>
              <w:top w:val="nil"/>
              <w:left w:val="nil"/>
              <w:bottom w:val="nil"/>
              <w:right w:val="nil"/>
            </w:tcBorders>
          </w:tcPr>
          <w:p w14:paraId="5AC8BBCC"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2015</w:t>
            </w:r>
          </w:p>
        </w:tc>
      </w:tr>
      <w:tr w:rsidR="00FD2654" w14:paraId="263CB38D" w14:textId="77777777" w:rsidTr="00FD2654">
        <w:tc>
          <w:tcPr>
            <w:tcW w:w="2126" w:type="dxa"/>
            <w:tcBorders>
              <w:top w:val="nil"/>
              <w:left w:val="nil"/>
              <w:bottom w:val="nil"/>
              <w:right w:val="nil"/>
            </w:tcBorders>
          </w:tcPr>
          <w:p w14:paraId="6E26440C"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Emma Palumbo</w:t>
            </w:r>
          </w:p>
        </w:tc>
        <w:tc>
          <w:tcPr>
            <w:tcW w:w="3261" w:type="dxa"/>
            <w:tcBorders>
              <w:top w:val="nil"/>
              <w:left w:val="nil"/>
              <w:bottom w:val="nil"/>
              <w:right w:val="nil"/>
            </w:tcBorders>
          </w:tcPr>
          <w:p w14:paraId="4D0D613E"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Safety Hi-tech srl</w:t>
            </w:r>
          </w:p>
        </w:tc>
        <w:tc>
          <w:tcPr>
            <w:tcW w:w="1701" w:type="dxa"/>
            <w:tcBorders>
              <w:top w:val="nil"/>
              <w:left w:val="nil"/>
              <w:bottom w:val="nil"/>
              <w:right w:val="nil"/>
            </w:tcBorders>
          </w:tcPr>
          <w:p w14:paraId="15585C1F"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Italy</w:t>
            </w:r>
          </w:p>
        </w:tc>
        <w:tc>
          <w:tcPr>
            <w:tcW w:w="1417" w:type="dxa"/>
            <w:tcBorders>
              <w:top w:val="nil"/>
              <w:left w:val="nil"/>
              <w:bottom w:val="nil"/>
              <w:right w:val="nil"/>
            </w:tcBorders>
          </w:tcPr>
          <w:p w14:paraId="79D2C782"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2018</w:t>
            </w:r>
          </w:p>
        </w:tc>
      </w:tr>
      <w:tr w:rsidR="00FD2654" w14:paraId="7785E428" w14:textId="77777777" w:rsidTr="00FD2654">
        <w:tc>
          <w:tcPr>
            <w:tcW w:w="2126" w:type="dxa"/>
            <w:tcBorders>
              <w:top w:val="nil"/>
              <w:left w:val="nil"/>
              <w:bottom w:val="nil"/>
              <w:right w:val="nil"/>
            </w:tcBorders>
          </w:tcPr>
          <w:p w14:paraId="01C0DC4D"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Erik Pedersen</w:t>
            </w:r>
          </w:p>
        </w:tc>
        <w:tc>
          <w:tcPr>
            <w:tcW w:w="3261" w:type="dxa"/>
            <w:tcBorders>
              <w:top w:val="nil"/>
              <w:left w:val="nil"/>
              <w:bottom w:val="nil"/>
              <w:right w:val="nil"/>
            </w:tcBorders>
          </w:tcPr>
          <w:p w14:paraId="5ED032AA"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Consultant – World Bank</w:t>
            </w:r>
          </w:p>
        </w:tc>
        <w:tc>
          <w:tcPr>
            <w:tcW w:w="1701" w:type="dxa"/>
            <w:tcBorders>
              <w:top w:val="nil"/>
              <w:left w:val="nil"/>
              <w:bottom w:val="nil"/>
              <w:right w:val="nil"/>
            </w:tcBorders>
          </w:tcPr>
          <w:p w14:paraId="7434828B"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Denmark</w:t>
            </w:r>
          </w:p>
        </w:tc>
        <w:tc>
          <w:tcPr>
            <w:tcW w:w="1417" w:type="dxa"/>
            <w:tcBorders>
              <w:top w:val="nil"/>
              <w:left w:val="nil"/>
              <w:bottom w:val="nil"/>
              <w:right w:val="nil"/>
            </w:tcBorders>
          </w:tcPr>
          <w:p w14:paraId="1D80F6B9"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2016</w:t>
            </w:r>
          </w:p>
        </w:tc>
      </w:tr>
      <w:tr w:rsidR="00FD2654" w14:paraId="256C999D" w14:textId="77777777" w:rsidTr="00FD2654">
        <w:tc>
          <w:tcPr>
            <w:tcW w:w="2126" w:type="dxa"/>
            <w:tcBorders>
              <w:top w:val="nil"/>
              <w:left w:val="nil"/>
              <w:bottom w:val="nil"/>
              <w:right w:val="nil"/>
            </w:tcBorders>
          </w:tcPr>
          <w:p w14:paraId="668EC146"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Donald Thomson</w:t>
            </w:r>
          </w:p>
        </w:tc>
        <w:tc>
          <w:tcPr>
            <w:tcW w:w="3261" w:type="dxa"/>
            <w:tcBorders>
              <w:top w:val="nil"/>
              <w:left w:val="nil"/>
              <w:bottom w:val="nil"/>
              <w:right w:val="nil"/>
            </w:tcBorders>
          </w:tcPr>
          <w:p w14:paraId="0D998641"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MOPIA</w:t>
            </w:r>
          </w:p>
        </w:tc>
        <w:tc>
          <w:tcPr>
            <w:tcW w:w="1701" w:type="dxa"/>
            <w:tcBorders>
              <w:top w:val="nil"/>
              <w:left w:val="nil"/>
              <w:bottom w:val="nil"/>
              <w:right w:val="nil"/>
            </w:tcBorders>
          </w:tcPr>
          <w:p w14:paraId="55C02DB3"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Canada</w:t>
            </w:r>
          </w:p>
        </w:tc>
        <w:tc>
          <w:tcPr>
            <w:tcW w:w="1417" w:type="dxa"/>
            <w:tcBorders>
              <w:top w:val="nil"/>
              <w:left w:val="nil"/>
              <w:bottom w:val="nil"/>
              <w:right w:val="nil"/>
            </w:tcBorders>
          </w:tcPr>
          <w:p w14:paraId="48A60DCF"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2017</w:t>
            </w:r>
          </w:p>
        </w:tc>
      </w:tr>
      <w:tr w:rsidR="00FD2654" w14:paraId="13BB8B4D" w14:textId="77777777" w:rsidTr="00FD2654">
        <w:tc>
          <w:tcPr>
            <w:tcW w:w="2126" w:type="dxa"/>
            <w:tcBorders>
              <w:top w:val="nil"/>
              <w:left w:val="nil"/>
              <w:bottom w:val="nil"/>
              <w:right w:val="nil"/>
            </w:tcBorders>
          </w:tcPr>
          <w:p w14:paraId="524DE697"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Robert T. Wickham</w:t>
            </w:r>
          </w:p>
        </w:tc>
        <w:tc>
          <w:tcPr>
            <w:tcW w:w="3261" w:type="dxa"/>
            <w:tcBorders>
              <w:top w:val="nil"/>
              <w:left w:val="nil"/>
              <w:bottom w:val="nil"/>
              <w:right w:val="nil"/>
            </w:tcBorders>
          </w:tcPr>
          <w:p w14:paraId="1193FE6F"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Consultant-Wickham Associates</w:t>
            </w:r>
          </w:p>
        </w:tc>
        <w:tc>
          <w:tcPr>
            <w:tcW w:w="1701" w:type="dxa"/>
            <w:tcBorders>
              <w:top w:val="nil"/>
              <w:left w:val="nil"/>
              <w:bottom w:val="nil"/>
              <w:right w:val="nil"/>
            </w:tcBorders>
          </w:tcPr>
          <w:p w14:paraId="7594980D"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7" w:type="dxa"/>
            <w:tcBorders>
              <w:top w:val="nil"/>
              <w:left w:val="nil"/>
              <w:bottom w:val="nil"/>
              <w:right w:val="nil"/>
            </w:tcBorders>
          </w:tcPr>
          <w:p w14:paraId="609A1F9C"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2018</w:t>
            </w:r>
          </w:p>
        </w:tc>
      </w:tr>
      <w:tr w:rsidR="00FD2654" w14:paraId="6DA57211" w14:textId="77777777" w:rsidTr="00FD2654">
        <w:tc>
          <w:tcPr>
            <w:tcW w:w="2126" w:type="dxa"/>
            <w:tcBorders>
              <w:top w:val="nil"/>
              <w:left w:val="nil"/>
              <w:bottom w:val="nil"/>
              <w:right w:val="nil"/>
            </w:tcBorders>
          </w:tcPr>
          <w:p w14:paraId="1CDBC478"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Mitsuru Yagi</w:t>
            </w:r>
          </w:p>
        </w:tc>
        <w:tc>
          <w:tcPr>
            <w:tcW w:w="3261" w:type="dxa"/>
            <w:tcBorders>
              <w:top w:val="nil"/>
              <w:left w:val="nil"/>
              <w:bottom w:val="nil"/>
              <w:right w:val="nil"/>
            </w:tcBorders>
          </w:tcPr>
          <w:p w14:paraId="360CEB9D"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Nohmi Bosai Ltd &amp; Fire and Environment Prot. Network</w:t>
            </w:r>
          </w:p>
        </w:tc>
        <w:tc>
          <w:tcPr>
            <w:tcW w:w="1701" w:type="dxa"/>
            <w:tcBorders>
              <w:top w:val="nil"/>
              <w:left w:val="nil"/>
              <w:bottom w:val="nil"/>
              <w:right w:val="nil"/>
            </w:tcBorders>
          </w:tcPr>
          <w:p w14:paraId="28B7AC78"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Japan</w:t>
            </w:r>
          </w:p>
        </w:tc>
        <w:tc>
          <w:tcPr>
            <w:tcW w:w="1417" w:type="dxa"/>
            <w:tcBorders>
              <w:top w:val="nil"/>
              <w:left w:val="nil"/>
              <w:bottom w:val="nil"/>
              <w:right w:val="nil"/>
            </w:tcBorders>
          </w:tcPr>
          <w:p w14:paraId="2960478B"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2017</w:t>
            </w:r>
          </w:p>
        </w:tc>
      </w:tr>
      <w:tr w:rsidR="00FD2654" w14:paraId="75B68A3B" w14:textId="77777777" w:rsidTr="00FD2654">
        <w:tc>
          <w:tcPr>
            <w:tcW w:w="2126" w:type="dxa"/>
            <w:tcBorders>
              <w:top w:val="nil"/>
              <w:left w:val="nil"/>
              <w:bottom w:val="nil"/>
              <w:right w:val="nil"/>
            </w:tcBorders>
          </w:tcPr>
          <w:p w14:paraId="4C501A3C"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071E26">
              <w:rPr>
                <w:b/>
                <w:sz w:val="20"/>
              </w:rPr>
              <w:t>Consulting Experts</w:t>
            </w:r>
          </w:p>
        </w:tc>
        <w:tc>
          <w:tcPr>
            <w:tcW w:w="3261" w:type="dxa"/>
            <w:tcBorders>
              <w:top w:val="nil"/>
              <w:left w:val="nil"/>
              <w:bottom w:val="nil"/>
              <w:right w:val="nil"/>
            </w:tcBorders>
          </w:tcPr>
          <w:p w14:paraId="380B4032" w14:textId="2DBAC0A1" w:rsidR="00FD2654" w:rsidRPr="00071E26" w:rsidRDefault="00D44C95"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701" w:type="dxa"/>
            <w:tcBorders>
              <w:top w:val="nil"/>
              <w:left w:val="nil"/>
              <w:bottom w:val="nil"/>
              <w:right w:val="nil"/>
            </w:tcBorders>
          </w:tcPr>
          <w:p w14:paraId="22AA942F" w14:textId="102D5E87" w:rsidR="00FD2654" w:rsidRPr="00071E26" w:rsidRDefault="00D44C95"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417" w:type="dxa"/>
            <w:tcBorders>
              <w:top w:val="nil"/>
              <w:left w:val="nil"/>
              <w:bottom w:val="nil"/>
              <w:right w:val="nil"/>
            </w:tcBorders>
          </w:tcPr>
          <w:p w14:paraId="050396A2" w14:textId="37901678" w:rsidR="00FD2654" w:rsidRPr="00071E26" w:rsidRDefault="00D44C95"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Appointed trhough</w:t>
            </w:r>
          </w:p>
        </w:tc>
      </w:tr>
      <w:tr w:rsidR="00FD2654" w14:paraId="7DCA3B80" w14:textId="77777777" w:rsidTr="00FD2654">
        <w:tc>
          <w:tcPr>
            <w:tcW w:w="2126" w:type="dxa"/>
            <w:tcBorders>
              <w:top w:val="nil"/>
              <w:left w:val="nil"/>
              <w:bottom w:val="nil"/>
              <w:right w:val="nil"/>
            </w:tcBorders>
          </w:tcPr>
          <w:p w14:paraId="76E20147"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Thomas Cortina</w:t>
            </w:r>
          </w:p>
        </w:tc>
        <w:tc>
          <w:tcPr>
            <w:tcW w:w="3261" w:type="dxa"/>
            <w:tcBorders>
              <w:top w:val="nil"/>
              <w:left w:val="nil"/>
              <w:bottom w:val="nil"/>
              <w:right w:val="nil"/>
            </w:tcBorders>
          </w:tcPr>
          <w:p w14:paraId="5757E6C5" w14:textId="77777777" w:rsidR="00FD2654" w:rsidRPr="00071E26" w:rsidRDefault="00FD2654" w:rsidP="00B25ED1">
            <w:pPr>
              <w:pStyle w:val="MainTextNon-indent"/>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line="240" w:lineRule="auto"/>
              <w:rPr>
                <w:rFonts w:ascii="Times New Roman" w:hAnsi="Times New Roman"/>
                <w:lang w:val="en-GB"/>
              </w:rPr>
            </w:pPr>
            <w:r w:rsidRPr="00071E26">
              <w:rPr>
                <w:rFonts w:ascii="Times New Roman" w:hAnsi="Times New Roman"/>
                <w:lang w:val="en-GB"/>
              </w:rPr>
              <w:t>Halon Alternatives Research Corporation</w:t>
            </w:r>
          </w:p>
        </w:tc>
        <w:tc>
          <w:tcPr>
            <w:tcW w:w="1701" w:type="dxa"/>
            <w:tcBorders>
              <w:top w:val="nil"/>
              <w:left w:val="nil"/>
              <w:bottom w:val="nil"/>
              <w:right w:val="nil"/>
            </w:tcBorders>
          </w:tcPr>
          <w:p w14:paraId="623CF5A5" w14:textId="77777777" w:rsidR="00FD2654" w:rsidRPr="00071E26" w:rsidRDefault="00FD2654" w:rsidP="00B25ED1">
            <w:pPr>
              <w:pStyle w:val="MainTextNon-indent"/>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line="240" w:lineRule="auto"/>
              <w:rPr>
                <w:rFonts w:ascii="Times New Roman" w:hAnsi="Times New Roman"/>
                <w:lang w:val="en-GB"/>
              </w:rPr>
            </w:pPr>
            <w:r>
              <w:rPr>
                <w:rFonts w:ascii="Times New Roman" w:hAnsi="Times New Roman"/>
                <w:lang w:val="en-GB"/>
              </w:rPr>
              <w:t>USA</w:t>
            </w:r>
          </w:p>
        </w:tc>
        <w:tc>
          <w:tcPr>
            <w:tcW w:w="1417" w:type="dxa"/>
            <w:tcBorders>
              <w:top w:val="nil"/>
              <w:left w:val="nil"/>
              <w:bottom w:val="nil"/>
              <w:right w:val="nil"/>
            </w:tcBorders>
          </w:tcPr>
          <w:p w14:paraId="57A8B23A" w14:textId="77777777" w:rsidR="00FD2654" w:rsidRDefault="00FD2654" w:rsidP="00B25ED1">
            <w:pPr>
              <w:pStyle w:val="MainTextNon-indent"/>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line="240" w:lineRule="auto"/>
              <w:rPr>
                <w:rFonts w:ascii="Times New Roman" w:hAnsi="Times New Roman"/>
                <w:lang w:val="en-GB"/>
              </w:rPr>
            </w:pPr>
            <w:r>
              <w:rPr>
                <w:rFonts w:ascii="Times New Roman" w:hAnsi="Times New Roman"/>
                <w:lang w:val="en-GB"/>
              </w:rPr>
              <w:t>All one year renewable terms</w:t>
            </w:r>
          </w:p>
        </w:tc>
      </w:tr>
      <w:tr w:rsidR="00FD2654" w14:paraId="5987ACF5" w14:textId="77777777" w:rsidTr="00FD2654">
        <w:tc>
          <w:tcPr>
            <w:tcW w:w="2126" w:type="dxa"/>
            <w:tcBorders>
              <w:top w:val="nil"/>
              <w:left w:val="nil"/>
              <w:bottom w:val="nil"/>
              <w:right w:val="nil"/>
            </w:tcBorders>
          </w:tcPr>
          <w:p w14:paraId="525994EF"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Matsuo Ishiyama</w:t>
            </w:r>
          </w:p>
        </w:tc>
        <w:tc>
          <w:tcPr>
            <w:tcW w:w="3261" w:type="dxa"/>
            <w:tcBorders>
              <w:top w:val="nil"/>
              <w:left w:val="nil"/>
              <w:bottom w:val="nil"/>
              <w:right w:val="nil"/>
            </w:tcBorders>
          </w:tcPr>
          <w:p w14:paraId="51B38358" w14:textId="77777777" w:rsidR="00FD2654" w:rsidRPr="00071E26" w:rsidRDefault="00FD2654" w:rsidP="00B25ED1">
            <w:pPr>
              <w:pStyle w:val="MainTextNon-indent"/>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line="240" w:lineRule="auto"/>
              <w:rPr>
                <w:rFonts w:ascii="Times New Roman" w:hAnsi="Times New Roman"/>
                <w:lang w:val="en-GB"/>
              </w:rPr>
            </w:pPr>
            <w:r w:rsidRPr="00071E26">
              <w:rPr>
                <w:rFonts w:ascii="Times New Roman" w:hAnsi="Times New Roman"/>
                <w:lang w:val="en-GB"/>
              </w:rPr>
              <w:t>Nohmi Bosai Ltd &amp; Fire and Environment Prot. Network</w:t>
            </w:r>
          </w:p>
        </w:tc>
        <w:tc>
          <w:tcPr>
            <w:tcW w:w="1701" w:type="dxa"/>
            <w:tcBorders>
              <w:top w:val="nil"/>
              <w:left w:val="nil"/>
              <w:bottom w:val="nil"/>
              <w:right w:val="nil"/>
            </w:tcBorders>
          </w:tcPr>
          <w:p w14:paraId="6EC29DBC" w14:textId="77777777" w:rsidR="00FD2654" w:rsidRPr="00071E26" w:rsidRDefault="00FD2654" w:rsidP="00B25ED1">
            <w:pPr>
              <w:pStyle w:val="MainTextNon-indent"/>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line="240" w:lineRule="auto"/>
              <w:rPr>
                <w:rFonts w:ascii="Times New Roman" w:hAnsi="Times New Roman"/>
                <w:lang w:val="en-GB"/>
              </w:rPr>
            </w:pPr>
            <w:r>
              <w:rPr>
                <w:rFonts w:ascii="Times New Roman" w:hAnsi="Times New Roman"/>
                <w:lang w:val="en-GB"/>
              </w:rPr>
              <w:t>Japan</w:t>
            </w:r>
          </w:p>
        </w:tc>
        <w:tc>
          <w:tcPr>
            <w:tcW w:w="1417" w:type="dxa"/>
            <w:tcBorders>
              <w:top w:val="nil"/>
              <w:left w:val="nil"/>
              <w:bottom w:val="nil"/>
              <w:right w:val="nil"/>
            </w:tcBorders>
          </w:tcPr>
          <w:p w14:paraId="3B2A1C2D" w14:textId="77777777" w:rsidR="00FD2654" w:rsidRDefault="00FD2654" w:rsidP="00B25ED1">
            <w:pPr>
              <w:pStyle w:val="MainTextNon-indent"/>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line="240" w:lineRule="auto"/>
              <w:rPr>
                <w:rFonts w:ascii="Times New Roman" w:hAnsi="Times New Roman"/>
                <w:lang w:val="en-GB"/>
              </w:rPr>
            </w:pPr>
          </w:p>
        </w:tc>
      </w:tr>
      <w:tr w:rsidR="00FD2654" w14:paraId="50EAD072" w14:textId="77777777" w:rsidTr="00FD2654">
        <w:tc>
          <w:tcPr>
            <w:tcW w:w="2126" w:type="dxa"/>
            <w:tcBorders>
              <w:top w:val="nil"/>
              <w:left w:val="nil"/>
              <w:bottom w:val="nil"/>
              <w:right w:val="nil"/>
            </w:tcBorders>
          </w:tcPr>
          <w:p w14:paraId="45031F33"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Nikolai Kopylov</w:t>
            </w:r>
          </w:p>
        </w:tc>
        <w:tc>
          <w:tcPr>
            <w:tcW w:w="3261" w:type="dxa"/>
            <w:tcBorders>
              <w:top w:val="nil"/>
              <w:left w:val="nil"/>
              <w:bottom w:val="nil"/>
              <w:right w:val="nil"/>
            </w:tcBorders>
          </w:tcPr>
          <w:p w14:paraId="23D0CC75"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All Russian Research Institute for Fire Protection</w:t>
            </w:r>
          </w:p>
        </w:tc>
        <w:tc>
          <w:tcPr>
            <w:tcW w:w="1701" w:type="dxa"/>
            <w:tcBorders>
              <w:top w:val="nil"/>
              <w:left w:val="nil"/>
              <w:bottom w:val="nil"/>
              <w:right w:val="nil"/>
            </w:tcBorders>
          </w:tcPr>
          <w:p w14:paraId="1C4071AF"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Russian Federation</w:t>
            </w:r>
          </w:p>
        </w:tc>
        <w:tc>
          <w:tcPr>
            <w:tcW w:w="1417" w:type="dxa"/>
            <w:tcBorders>
              <w:top w:val="nil"/>
              <w:left w:val="nil"/>
              <w:bottom w:val="nil"/>
              <w:right w:val="nil"/>
            </w:tcBorders>
          </w:tcPr>
          <w:p w14:paraId="6F55FD7E"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r>
      <w:tr w:rsidR="00FD2654" w14:paraId="48E16A7E" w14:textId="77777777" w:rsidTr="00FD2654">
        <w:tc>
          <w:tcPr>
            <w:tcW w:w="2126" w:type="dxa"/>
            <w:tcBorders>
              <w:top w:val="nil"/>
              <w:left w:val="nil"/>
              <w:bottom w:val="nil"/>
              <w:right w:val="nil"/>
            </w:tcBorders>
          </w:tcPr>
          <w:p w14:paraId="5B4B810D"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David Liddy</w:t>
            </w:r>
          </w:p>
        </w:tc>
        <w:tc>
          <w:tcPr>
            <w:tcW w:w="3261" w:type="dxa"/>
            <w:tcBorders>
              <w:top w:val="nil"/>
              <w:left w:val="nil"/>
              <w:bottom w:val="nil"/>
              <w:right w:val="nil"/>
            </w:tcBorders>
          </w:tcPr>
          <w:p w14:paraId="7AA2AF2E"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Consultant – Retired</w:t>
            </w:r>
          </w:p>
        </w:tc>
        <w:tc>
          <w:tcPr>
            <w:tcW w:w="1701" w:type="dxa"/>
            <w:tcBorders>
              <w:top w:val="nil"/>
              <w:left w:val="nil"/>
              <w:bottom w:val="nil"/>
              <w:right w:val="nil"/>
            </w:tcBorders>
          </w:tcPr>
          <w:p w14:paraId="4E276149"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417" w:type="dxa"/>
            <w:tcBorders>
              <w:top w:val="nil"/>
              <w:left w:val="nil"/>
              <w:bottom w:val="nil"/>
              <w:right w:val="nil"/>
            </w:tcBorders>
          </w:tcPr>
          <w:p w14:paraId="57CC04CF"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r>
      <w:tr w:rsidR="00FD2654" w14:paraId="4EC4FAFA" w14:textId="77777777" w:rsidTr="00FD2654">
        <w:tc>
          <w:tcPr>
            <w:tcW w:w="2126" w:type="dxa"/>
            <w:tcBorders>
              <w:top w:val="nil"/>
              <w:left w:val="nil"/>
              <w:bottom w:val="nil"/>
              <w:right w:val="nil"/>
            </w:tcBorders>
          </w:tcPr>
          <w:p w14:paraId="0ABF2FD4"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Steve McCormick</w:t>
            </w:r>
          </w:p>
        </w:tc>
        <w:tc>
          <w:tcPr>
            <w:tcW w:w="3261" w:type="dxa"/>
            <w:tcBorders>
              <w:top w:val="nil"/>
              <w:left w:val="nil"/>
              <w:bottom w:val="nil"/>
              <w:right w:val="nil"/>
            </w:tcBorders>
          </w:tcPr>
          <w:p w14:paraId="639A9980"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United States Army</w:t>
            </w:r>
          </w:p>
        </w:tc>
        <w:tc>
          <w:tcPr>
            <w:tcW w:w="1701" w:type="dxa"/>
            <w:tcBorders>
              <w:top w:val="nil"/>
              <w:left w:val="nil"/>
              <w:bottom w:val="nil"/>
              <w:right w:val="nil"/>
            </w:tcBorders>
          </w:tcPr>
          <w:p w14:paraId="3CFFBA43"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7" w:type="dxa"/>
            <w:tcBorders>
              <w:top w:val="nil"/>
              <w:left w:val="nil"/>
              <w:bottom w:val="nil"/>
              <w:right w:val="nil"/>
            </w:tcBorders>
          </w:tcPr>
          <w:p w14:paraId="3999725C"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r>
      <w:tr w:rsidR="00FD2654" w14:paraId="72DF14C0" w14:textId="77777777" w:rsidTr="00FD2654">
        <w:tc>
          <w:tcPr>
            <w:tcW w:w="2126" w:type="dxa"/>
            <w:tcBorders>
              <w:top w:val="nil"/>
              <w:left w:val="nil"/>
              <w:bottom w:val="nil"/>
              <w:right w:val="nil"/>
            </w:tcBorders>
          </w:tcPr>
          <w:p w14:paraId="75DD3490"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John G. Owens</w:t>
            </w:r>
          </w:p>
        </w:tc>
        <w:tc>
          <w:tcPr>
            <w:tcW w:w="3261" w:type="dxa"/>
            <w:tcBorders>
              <w:top w:val="nil"/>
              <w:left w:val="nil"/>
              <w:bottom w:val="nil"/>
              <w:right w:val="nil"/>
            </w:tcBorders>
          </w:tcPr>
          <w:p w14:paraId="42368028"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3M Company</w:t>
            </w:r>
          </w:p>
        </w:tc>
        <w:tc>
          <w:tcPr>
            <w:tcW w:w="1701" w:type="dxa"/>
            <w:tcBorders>
              <w:top w:val="nil"/>
              <w:left w:val="nil"/>
              <w:bottom w:val="nil"/>
              <w:right w:val="nil"/>
            </w:tcBorders>
          </w:tcPr>
          <w:p w14:paraId="3FDF6482"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7" w:type="dxa"/>
            <w:tcBorders>
              <w:top w:val="nil"/>
              <w:left w:val="nil"/>
              <w:bottom w:val="nil"/>
              <w:right w:val="nil"/>
            </w:tcBorders>
          </w:tcPr>
          <w:p w14:paraId="781FB13B"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r>
      <w:tr w:rsidR="00FD2654" w14:paraId="62299D26" w14:textId="77777777" w:rsidTr="00FD2654">
        <w:tc>
          <w:tcPr>
            <w:tcW w:w="2126" w:type="dxa"/>
            <w:tcBorders>
              <w:top w:val="nil"/>
              <w:left w:val="nil"/>
              <w:bottom w:val="nil"/>
              <w:right w:val="nil"/>
            </w:tcBorders>
          </w:tcPr>
          <w:p w14:paraId="732BEE60"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Mark L. Robin</w:t>
            </w:r>
          </w:p>
        </w:tc>
        <w:tc>
          <w:tcPr>
            <w:tcW w:w="3261" w:type="dxa"/>
            <w:tcBorders>
              <w:top w:val="nil"/>
              <w:left w:val="nil"/>
              <w:bottom w:val="nil"/>
              <w:right w:val="nil"/>
            </w:tcBorders>
          </w:tcPr>
          <w:p w14:paraId="7764D6FA"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DuPont</w:t>
            </w:r>
          </w:p>
        </w:tc>
        <w:tc>
          <w:tcPr>
            <w:tcW w:w="1701" w:type="dxa"/>
            <w:tcBorders>
              <w:top w:val="nil"/>
              <w:left w:val="nil"/>
              <w:bottom w:val="nil"/>
              <w:right w:val="nil"/>
            </w:tcBorders>
          </w:tcPr>
          <w:p w14:paraId="729829A1"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7" w:type="dxa"/>
            <w:tcBorders>
              <w:top w:val="nil"/>
              <w:left w:val="nil"/>
              <w:bottom w:val="nil"/>
              <w:right w:val="nil"/>
            </w:tcBorders>
          </w:tcPr>
          <w:p w14:paraId="52820C95"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r>
      <w:tr w:rsidR="00FD2654" w14:paraId="523C2189" w14:textId="77777777" w:rsidTr="00FD2654">
        <w:tc>
          <w:tcPr>
            <w:tcW w:w="2126" w:type="dxa"/>
            <w:tcBorders>
              <w:top w:val="nil"/>
              <w:left w:val="nil"/>
              <w:bottom w:val="nil"/>
              <w:right w:val="nil"/>
            </w:tcBorders>
          </w:tcPr>
          <w:p w14:paraId="717E9FA8"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Joseph A. Senecal</w:t>
            </w:r>
          </w:p>
        </w:tc>
        <w:tc>
          <w:tcPr>
            <w:tcW w:w="3261" w:type="dxa"/>
            <w:tcBorders>
              <w:top w:val="nil"/>
              <w:left w:val="nil"/>
              <w:bottom w:val="nil"/>
              <w:right w:val="nil"/>
            </w:tcBorders>
          </w:tcPr>
          <w:p w14:paraId="21BFDC9B"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Kidde-Fenwal Inc.</w:t>
            </w:r>
          </w:p>
        </w:tc>
        <w:tc>
          <w:tcPr>
            <w:tcW w:w="1701" w:type="dxa"/>
            <w:tcBorders>
              <w:top w:val="nil"/>
              <w:left w:val="nil"/>
              <w:bottom w:val="nil"/>
              <w:right w:val="nil"/>
            </w:tcBorders>
          </w:tcPr>
          <w:p w14:paraId="587EE16D"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7" w:type="dxa"/>
            <w:tcBorders>
              <w:top w:val="nil"/>
              <w:left w:val="nil"/>
              <w:bottom w:val="nil"/>
              <w:right w:val="nil"/>
            </w:tcBorders>
          </w:tcPr>
          <w:p w14:paraId="169AF881"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r>
      <w:tr w:rsidR="00FD2654" w14:paraId="3F4C0F0E" w14:textId="77777777" w:rsidTr="00FD2654">
        <w:tc>
          <w:tcPr>
            <w:tcW w:w="2126" w:type="dxa"/>
            <w:tcBorders>
              <w:top w:val="nil"/>
              <w:left w:val="nil"/>
              <w:bottom w:val="nil"/>
              <w:right w:val="nil"/>
            </w:tcBorders>
          </w:tcPr>
          <w:p w14:paraId="67DF7935"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Ronald S. Sheinson</w:t>
            </w:r>
          </w:p>
        </w:tc>
        <w:tc>
          <w:tcPr>
            <w:tcW w:w="3261" w:type="dxa"/>
            <w:tcBorders>
              <w:top w:val="nil"/>
              <w:left w:val="nil"/>
              <w:bottom w:val="nil"/>
              <w:right w:val="nil"/>
            </w:tcBorders>
          </w:tcPr>
          <w:p w14:paraId="0339CA70"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071E26">
              <w:rPr>
                <w:sz w:val="20"/>
              </w:rPr>
              <w:t>Consultant - Retired</w:t>
            </w:r>
          </w:p>
        </w:tc>
        <w:tc>
          <w:tcPr>
            <w:tcW w:w="1701" w:type="dxa"/>
            <w:tcBorders>
              <w:top w:val="nil"/>
              <w:left w:val="nil"/>
              <w:bottom w:val="nil"/>
              <w:right w:val="nil"/>
            </w:tcBorders>
          </w:tcPr>
          <w:p w14:paraId="5B17D88B" w14:textId="77777777" w:rsidR="00FD2654" w:rsidRPr="00071E26"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417" w:type="dxa"/>
            <w:tcBorders>
              <w:top w:val="nil"/>
              <w:left w:val="nil"/>
              <w:bottom w:val="nil"/>
              <w:right w:val="nil"/>
            </w:tcBorders>
          </w:tcPr>
          <w:p w14:paraId="3CDB2CA2" w14:textId="77777777" w:rsidR="00FD2654" w:rsidRDefault="00FD2654"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r>
    </w:tbl>
    <w:p w14:paraId="30C578BF" w14:textId="77777777" w:rsidR="00D243B1" w:rsidRDefault="00D243B1" w:rsidP="00D243B1">
      <w:pPr>
        <w:spacing w:after="0"/>
      </w:pPr>
    </w:p>
    <w:p w14:paraId="7AD40A82" w14:textId="77777777" w:rsidR="00B25ED1" w:rsidRDefault="00B25ED1" w:rsidP="00D243B1">
      <w:pPr>
        <w:spacing w:after="0"/>
        <w:rPr>
          <w:b/>
        </w:rPr>
      </w:pPr>
    </w:p>
    <w:p w14:paraId="33A40FF1" w14:textId="77777777" w:rsidR="00B25ED1" w:rsidRDefault="00B25ED1" w:rsidP="00D243B1">
      <w:pPr>
        <w:spacing w:after="0"/>
        <w:rPr>
          <w:b/>
        </w:rPr>
      </w:pPr>
    </w:p>
    <w:p w14:paraId="38046DFD" w14:textId="77777777" w:rsidR="00B25ED1" w:rsidRDefault="00B25ED1" w:rsidP="00D243B1">
      <w:pPr>
        <w:spacing w:after="0"/>
        <w:rPr>
          <w:b/>
        </w:rPr>
      </w:pPr>
    </w:p>
    <w:p w14:paraId="1CFC49CB" w14:textId="77777777" w:rsidR="00B25ED1" w:rsidRDefault="00B25ED1" w:rsidP="00D243B1">
      <w:pPr>
        <w:spacing w:after="0"/>
        <w:rPr>
          <w:b/>
        </w:rPr>
      </w:pPr>
    </w:p>
    <w:p w14:paraId="22B60E28"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b/>
          <w:szCs w:val="24"/>
        </w:rPr>
      </w:pPr>
      <w:r w:rsidRPr="00D243B1">
        <w:rPr>
          <w:b/>
        </w:rPr>
        <w:t xml:space="preserve">TEAP </w:t>
      </w:r>
      <w:r w:rsidRPr="00557802">
        <w:rPr>
          <w:b/>
          <w:szCs w:val="24"/>
        </w:rPr>
        <w:t>Medical Technical Options Committee (MTOC)</w:t>
      </w:r>
    </w:p>
    <w:p w14:paraId="3D49D50C"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Cs w:val="24"/>
        </w:rPr>
      </w:pPr>
    </w:p>
    <w:tbl>
      <w:tblPr>
        <w:tblW w:w="8957" w:type="dxa"/>
        <w:tblInd w:w="-108" w:type="dxa"/>
        <w:tblLayout w:type="fixed"/>
        <w:tblLook w:val="0000" w:firstRow="0" w:lastRow="0" w:firstColumn="0" w:lastColumn="0" w:noHBand="0" w:noVBand="0"/>
      </w:tblPr>
      <w:tblGrid>
        <w:gridCol w:w="1276"/>
        <w:gridCol w:w="850"/>
        <w:gridCol w:w="3999"/>
        <w:gridCol w:w="187"/>
        <w:gridCol w:w="1134"/>
        <w:gridCol w:w="1479"/>
        <w:gridCol w:w="32"/>
      </w:tblGrid>
      <w:tr w:rsidR="00D243B1" w:rsidRPr="00557802" w14:paraId="72691093" w14:textId="77777777" w:rsidTr="00D243B1">
        <w:tc>
          <w:tcPr>
            <w:tcW w:w="2126" w:type="dxa"/>
            <w:gridSpan w:val="2"/>
            <w:tcBorders>
              <w:top w:val="nil"/>
              <w:left w:val="nil"/>
              <w:bottom w:val="nil"/>
              <w:right w:val="nil"/>
            </w:tcBorders>
          </w:tcPr>
          <w:p w14:paraId="547EEFE5"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b/>
                <w:sz w:val="20"/>
                <w:szCs w:val="24"/>
              </w:rPr>
            </w:pPr>
            <w:r w:rsidRPr="00557802">
              <w:rPr>
                <w:b/>
                <w:sz w:val="20"/>
                <w:szCs w:val="24"/>
              </w:rPr>
              <w:t>Co-chairs</w:t>
            </w:r>
          </w:p>
        </w:tc>
        <w:tc>
          <w:tcPr>
            <w:tcW w:w="4186" w:type="dxa"/>
            <w:gridSpan w:val="2"/>
            <w:tcBorders>
              <w:top w:val="nil"/>
              <w:left w:val="nil"/>
              <w:bottom w:val="nil"/>
              <w:right w:val="nil"/>
            </w:tcBorders>
          </w:tcPr>
          <w:p w14:paraId="24C6096C"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b/>
                <w:sz w:val="20"/>
                <w:szCs w:val="24"/>
              </w:rPr>
            </w:pPr>
            <w:r w:rsidRPr="00557802">
              <w:rPr>
                <w:b/>
                <w:sz w:val="20"/>
                <w:szCs w:val="24"/>
              </w:rPr>
              <w:t>Affiliation</w:t>
            </w:r>
          </w:p>
        </w:tc>
        <w:tc>
          <w:tcPr>
            <w:tcW w:w="1134" w:type="dxa"/>
            <w:tcBorders>
              <w:top w:val="nil"/>
              <w:left w:val="nil"/>
              <w:bottom w:val="nil"/>
              <w:right w:val="nil"/>
            </w:tcBorders>
          </w:tcPr>
          <w:p w14:paraId="5C6436EB" w14:textId="74EB9920" w:rsidR="00D243B1" w:rsidRPr="00557802"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b/>
                <w:sz w:val="20"/>
                <w:szCs w:val="24"/>
              </w:rPr>
            </w:pPr>
            <w:r>
              <w:rPr>
                <w:b/>
                <w:sz w:val="20"/>
                <w:szCs w:val="24"/>
              </w:rPr>
              <w:t>Country</w:t>
            </w:r>
          </w:p>
        </w:tc>
        <w:tc>
          <w:tcPr>
            <w:tcW w:w="1511" w:type="dxa"/>
            <w:gridSpan w:val="2"/>
            <w:tcBorders>
              <w:top w:val="nil"/>
              <w:left w:val="nil"/>
              <w:bottom w:val="nil"/>
              <w:right w:val="nil"/>
            </w:tcBorders>
          </w:tcPr>
          <w:p w14:paraId="0B9BC88A" w14:textId="48F56CCB" w:rsidR="00D243B1" w:rsidRPr="00557802"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b/>
                <w:sz w:val="20"/>
                <w:szCs w:val="24"/>
              </w:rPr>
            </w:pPr>
            <w:r>
              <w:rPr>
                <w:b/>
                <w:sz w:val="20"/>
                <w:szCs w:val="24"/>
              </w:rPr>
              <w:t>Appointed through</w:t>
            </w:r>
          </w:p>
        </w:tc>
      </w:tr>
      <w:tr w:rsidR="00D243B1" w:rsidRPr="00557802" w14:paraId="6028C8AB" w14:textId="77777777" w:rsidTr="00D243B1">
        <w:trPr>
          <w:gridAfter w:val="1"/>
          <w:wAfter w:w="32" w:type="dxa"/>
        </w:trPr>
        <w:tc>
          <w:tcPr>
            <w:tcW w:w="2126" w:type="dxa"/>
            <w:gridSpan w:val="2"/>
            <w:tcBorders>
              <w:top w:val="nil"/>
              <w:left w:val="nil"/>
              <w:bottom w:val="nil"/>
              <w:right w:val="nil"/>
            </w:tcBorders>
          </w:tcPr>
          <w:p w14:paraId="43ADCB51"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Jose Pons Pons</w:t>
            </w:r>
          </w:p>
        </w:tc>
        <w:tc>
          <w:tcPr>
            <w:tcW w:w="4186" w:type="dxa"/>
            <w:gridSpan w:val="2"/>
            <w:tcBorders>
              <w:top w:val="nil"/>
              <w:left w:val="nil"/>
              <w:bottom w:val="nil"/>
              <w:right w:val="nil"/>
            </w:tcBorders>
          </w:tcPr>
          <w:p w14:paraId="7D5DBC43"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 xml:space="preserve">Spray Quimica </w:t>
            </w:r>
          </w:p>
        </w:tc>
        <w:tc>
          <w:tcPr>
            <w:tcW w:w="1134" w:type="dxa"/>
            <w:tcBorders>
              <w:top w:val="nil"/>
              <w:left w:val="nil"/>
              <w:bottom w:val="nil"/>
              <w:right w:val="nil"/>
            </w:tcBorders>
          </w:tcPr>
          <w:p w14:paraId="100C4E61" w14:textId="7BB4F6B4" w:rsidR="00D243B1" w:rsidRPr="00557802" w:rsidRDefault="00766033" w:rsidP="00766033">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 xml:space="preserve">Venezuela </w:t>
            </w:r>
          </w:p>
        </w:tc>
        <w:tc>
          <w:tcPr>
            <w:tcW w:w="1479" w:type="dxa"/>
            <w:tcBorders>
              <w:top w:val="nil"/>
              <w:left w:val="nil"/>
              <w:bottom w:val="nil"/>
              <w:right w:val="nil"/>
            </w:tcBorders>
          </w:tcPr>
          <w:p w14:paraId="4327926A" w14:textId="686942F2" w:rsidR="00D243B1" w:rsidRPr="00557802"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2017</w:t>
            </w:r>
          </w:p>
        </w:tc>
      </w:tr>
      <w:tr w:rsidR="00D243B1" w:rsidRPr="00557802" w14:paraId="02A50B81" w14:textId="77777777" w:rsidTr="00D243B1">
        <w:trPr>
          <w:gridAfter w:val="1"/>
          <w:wAfter w:w="32" w:type="dxa"/>
        </w:trPr>
        <w:tc>
          <w:tcPr>
            <w:tcW w:w="2126" w:type="dxa"/>
            <w:gridSpan w:val="2"/>
            <w:tcBorders>
              <w:top w:val="nil"/>
              <w:left w:val="nil"/>
              <w:bottom w:val="nil"/>
              <w:right w:val="nil"/>
            </w:tcBorders>
          </w:tcPr>
          <w:p w14:paraId="17A731FF"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Helen Tope</w:t>
            </w:r>
          </w:p>
        </w:tc>
        <w:tc>
          <w:tcPr>
            <w:tcW w:w="4186" w:type="dxa"/>
            <w:gridSpan w:val="2"/>
            <w:tcBorders>
              <w:top w:val="nil"/>
              <w:left w:val="nil"/>
              <w:bottom w:val="nil"/>
              <w:right w:val="nil"/>
            </w:tcBorders>
          </w:tcPr>
          <w:p w14:paraId="0435D05E"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Energy International Australia</w:t>
            </w:r>
          </w:p>
        </w:tc>
        <w:tc>
          <w:tcPr>
            <w:tcW w:w="1134" w:type="dxa"/>
            <w:tcBorders>
              <w:top w:val="nil"/>
              <w:left w:val="nil"/>
              <w:bottom w:val="nil"/>
              <w:right w:val="nil"/>
            </w:tcBorders>
          </w:tcPr>
          <w:p w14:paraId="1F8759A0" w14:textId="475FAF7C" w:rsidR="00D243B1" w:rsidRPr="00557802" w:rsidRDefault="00766033" w:rsidP="00766033">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 xml:space="preserve">Australia </w:t>
            </w:r>
          </w:p>
        </w:tc>
        <w:tc>
          <w:tcPr>
            <w:tcW w:w="1479" w:type="dxa"/>
            <w:tcBorders>
              <w:top w:val="nil"/>
              <w:left w:val="nil"/>
              <w:bottom w:val="nil"/>
              <w:right w:val="nil"/>
            </w:tcBorders>
          </w:tcPr>
          <w:p w14:paraId="268620CC" w14:textId="3CDC081B" w:rsidR="00D243B1" w:rsidRPr="00557802"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2017</w:t>
            </w:r>
          </w:p>
        </w:tc>
      </w:tr>
      <w:tr w:rsidR="00D243B1" w:rsidRPr="00557802" w14:paraId="6323E3F6" w14:textId="77777777" w:rsidTr="00D243B1">
        <w:trPr>
          <w:gridAfter w:val="1"/>
          <w:wAfter w:w="32" w:type="dxa"/>
        </w:trPr>
        <w:tc>
          <w:tcPr>
            <w:tcW w:w="2126" w:type="dxa"/>
            <w:gridSpan w:val="2"/>
            <w:tcBorders>
              <w:top w:val="nil"/>
              <w:left w:val="nil"/>
              <w:bottom w:val="nil"/>
              <w:right w:val="nil"/>
            </w:tcBorders>
          </w:tcPr>
          <w:p w14:paraId="10B6FBBA"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Ashley Woodcock</w:t>
            </w:r>
          </w:p>
        </w:tc>
        <w:tc>
          <w:tcPr>
            <w:tcW w:w="4186" w:type="dxa"/>
            <w:gridSpan w:val="2"/>
            <w:tcBorders>
              <w:top w:val="nil"/>
              <w:left w:val="nil"/>
              <w:bottom w:val="nil"/>
              <w:right w:val="nil"/>
            </w:tcBorders>
          </w:tcPr>
          <w:p w14:paraId="56E3DA53"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University Hospital of South Manchester</w:t>
            </w:r>
          </w:p>
        </w:tc>
        <w:tc>
          <w:tcPr>
            <w:tcW w:w="1134" w:type="dxa"/>
            <w:tcBorders>
              <w:top w:val="nil"/>
              <w:left w:val="nil"/>
              <w:bottom w:val="nil"/>
              <w:right w:val="nil"/>
            </w:tcBorders>
          </w:tcPr>
          <w:p w14:paraId="7E3B8521" w14:textId="3853A5EF" w:rsidR="00D243B1" w:rsidRPr="00557802"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UK</w:t>
            </w:r>
          </w:p>
        </w:tc>
        <w:tc>
          <w:tcPr>
            <w:tcW w:w="1479" w:type="dxa"/>
            <w:tcBorders>
              <w:top w:val="nil"/>
              <w:left w:val="nil"/>
              <w:bottom w:val="nil"/>
              <w:right w:val="nil"/>
            </w:tcBorders>
          </w:tcPr>
          <w:p w14:paraId="4C6F412B" w14:textId="43A1FC2A" w:rsidR="00D243B1" w:rsidRPr="00557802"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2016</w:t>
            </w:r>
          </w:p>
        </w:tc>
      </w:tr>
      <w:tr w:rsidR="00D243B1" w:rsidRPr="00557802" w14:paraId="2EDC29D1" w14:textId="77777777" w:rsidTr="00D243B1">
        <w:trPr>
          <w:gridAfter w:val="1"/>
          <w:wAfter w:w="32" w:type="dxa"/>
        </w:trPr>
        <w:tc>
          <w:tcPr>
            <w:tcW w:w="1276" w:type="dxa"/>
            <w:tcBorders>
              <w:top w:val="nil"/>
              <w:left w:val="nil"/>
              <w:bottom w:val="nil"/>
              <w:right w:val="nil"/>
            </w:tcBorders>
          </w:tcPr>
          <w:p w14:paraId="72ED504C"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p>
        </w:tc>
        <w:tc>
          <w:tcPr>
            <w:tcW w:w="7649" w:type="dxa"/>
            <w:gridSpan w:val="5"/>
            <w:tcBorders>
              <w:top w:val="nil"/>
              <w:left w:val="nil"/>
              <w:bottom w:val="nil"/>
              <w:right w:val="nil"/>
            </w:tcBorders>
          </w:tcPr>
          <w:p w14:paraId="152E5E16"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p>
        </w:tc>
      </w:tr>
      <w:tr w:rsidR="00D243B1" w:rsidRPr="00557802" w14:paraId="416FAD7D" w14:textId="77777777" w:rsidTr="00B41212">
        <w:trPr>
          <w:gridAfter w:val="1"/>
          <w:wAfter w:w="32" w:type="dxa"/>
        </w:trPr>
        <w:tc>
          <w:tcPr>
            <w:tcW w:w="2126" w:type="dxa"/>
            <w:gridSpan w:val="2"/>
            <w:tcBorders>
              <w:top w:val="nil"/>
              <w:left w:val="nil"/>
              <w:bottom w:val="nil"/>
              <w:right w:val="nil"/>
            </w:tcBorders>
          </w:tcPr>
          <w:p w14:paraId="4F3CF6C4"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b/>
                <w:sz w:val="20"/>
                <w:szCs w:val="24"/>
              </w:rPr>
            </w:pPr>
            <w:r w:rsidRPr="00557802">
              <w:rPr>
                <w:b/>
                <w:sz w:val="20"/>
                <w:szCs w:val="24"/>
              </w:rPr>
              <w:t>Members</w:t>
            </w:r>
          </w:p>
        </w:tc>
        <w:tc>
          <w:tcPr>
            <w:tcW w:w="3999" w:type="dxa"/>
            <w:tcBorders>
              <w:top w:val="nil"/>
              <w:left w:val="nil"/>
              <w:bottom w:val="nil"/>
              <w:right w:val="nil"/>
            </w:tcBorders>
          </w:tcPr>
          <w:p w14:paraId="70D38DC0"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b/>
                <w:sz w:val="20"/>
                <w:szCs w:val="24"/>
              </w:rPr>
            </w:pPr>
            <w:r w:rsidRPr="00557802">
              <w:rPr>
                <w:b/>
                <w:sz w:val="20"/>
                <w:szCs w:val="24"/>
              </w:rPr>
              <w:t>Affiliation</w:t>
            </w:r>
          </w:p>
        </w:tc>
        <w:tc>
          <w:tcPr>
            <w:tcW w:w="1321" w:type="dxa"/>
            <w:gridSpan w:val="2"/>
            <w:tcBorders>
              <w:top w:val="nil"/>
              <w:left w:val="nil"/>
              <w:bottom w:val="nil"/>
              <w:right w:val="nil"/>
            </w:tcBorders>
          </w:tcPr>
          <w:p w14:paraId="7EF1E2B3" w14:textId="1EC7AD0F"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ind w:left="-46"/>
              <w:jc w:val="center"/>
              <w:rPr>
                <w:b/>
                <w:sz w:val="20"/>
                <w:szCs w:val="24"/>
              </w:rPr>
            </w:pPr>
            <w:r>
              <w:rPr>
                <w:b/>
                <w:sz w:val="20"/>
                <w:szCs w:val="24"/>
              </w:rPr>
              <w:t>Country</w:t>
            </w:r>
          </w:p>
        </w:tc>
        <w:tc>
          <w:tcPr>
            <w:tcW w:w="1479" w:type="dxa"/>
            <w:tcBorders>
              <w:top w:val="nil"/>
              <w:left w:val="nil"/>
              <w:bottom w:val="nil"/>
              <w:right w:val="nil"/>
            </w:tcBorders>
          </w:tcPr>
          <w:p w14:paraId="2092F938" w14:textId="53B60A7B"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b/>
                <w:sz w:val="20"/>
                <w:szCs w:val="24"/>
              </w:rPr>
            </w:pPr>
            <w:r>
              <w:rPr>
                <w:b/>
                <w:sz w:val="20"/>
                <w:szCs w:val="24"/>
              </w:rPr>
              <w:t>Appointed through</w:t>
            </w:r>
          </w:p>
        </w:tc>
      </w:tr>
      <w:tr w:rsidR="00D243B1" w:rsidRPr="00557802" w14:paraId="2237E885" w14:textId="77777777" w:rsidTr="00B41212">
        <w:trPr>
          <w:gridAfter w:val="1"/>
          <w:wAfter w:w="32" w:type="dxa"/>
        </w:trPr>
        <w:tc>
          <w:tcPr>
            <w:tcW w:w="2126" w:type="dxa"/>
            <w:gridSpan w:val="2"/>
            <w:tcBorders>
              <w:top w:val="nil"/>
              <w:left w:val="nil"/>
              <w:bottom w:val="nil"/>
              <w:right w:val="nil"/>
            </w:tcBorders>
          </w:tcPr>
          <w:p w14:paraId="745F6D92"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Emmanuel Addo-Yobo</w:t>
            </w:r>
          </w:p>
        </w:tc>
        <w:tc>
          <w:tcPr>
            <w:tcW w:w="3999" w:type="dxa"/>
            <w:tcBorders>
              <w:top w:val="nil"/>
              <w:left w:val="nil"/>
              <w:bottom w:val="nil"/>
              <w:right w:val="nil"/>
            </w:tcBorders>
          </w:tcPr>
          <w:p w14:paraId="0BFB8017"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Kwame Nkrumah University of Science and Technology</w:t>
            </w:r>
          </w:p>
        </w:tc>
        <w:tc>
          <w:tcPr>
            <w:tcW w:w="1321" w:type="dxa"/>
            <w:gridSpan w:val="2"/>
            <w:tcBorders>
              <w:top w:val="nil"/>
              <w:left w:val="nil"/>
              <w:bottom w:val="nil"/>
              <w:right w:val="nil"/>
            </w:tcBorders>
          </w:tcPr>
          <w:p w14:paraId="4A6DA42F" w14:textId="1976A312" w:rsidR="00D243B1" w:rsidRPr="00557802" w:rsidRDefault="00766033" w:rsidP="00766033">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Ghana</w:t>
            </w:r>
            <w:r>
              <w:rPr>
                <w:sz w:val="20"/>
                <w:szCs w:val="24"/>
              </w:rPr>
              <w:t xml:space="preserve"> </w:t>
            </w:r>
          </w:p>
        </w:tc>
        <w:tc>
          <w:tcPr>
            <w:tcW w:w="1479" w:type="dxa"/>
            <w:tcBorders>
              <w:top w:val="nil"/>
              <w:left w:val="nil"/>
              <w:bottom w:val="nil"/>
              <w:right w:val="nil"/>
            </w:tcBorders>
          </w:tcPr>
          <w:p w14:paraId="6B4070E5" w14:textId="775A97EB" w:rsidR="00D243B1" w:rsidRPr="00557802"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65E37DF0" w14:textId="77777777" w:rsidTr="00B41212">
        <w:trPr>
          <w:gridAfter w:val="1"/>
          <w:wAfter w:w="32" w:type="dxa"/>
        </w:trPr>
        <w:tc>
          <w:tcPr>
            <w:tcW w:w="2126" w:type="dxa"/>
            <w:gridSpan w:val="2"/>
            <w:tcBorders>
              <w:top w:val="nil"/>
              <w:left w:val="nil"/>
              <w:bottom w:val="nil"/>
              <w:right w:val="nil"/>
            </w:tcBorders>
          </w:tcPr>
          <w:p w14:paraId="55DFFC60"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Paul Atkins</w:t>
            </w:r>
          </w:p>
        </w:tc>
        <w:tc>
          <w:tcPr>
            <w:tcW w:w="3999" w:type="dxa"/>
            <w:tcBorders>
              <w:top w:val="nil"/>
              <w:left w:val="nil"/>
              <w:bottom w:val="nil"/>
              <w:right w:val="nil"/>
            </w:tcBorders>
          </w:tcPr>
          <w:p w14:paraId="0CE1C259"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Oriel Therapeutics Inc.</w:t>
            </w:r>
          </w:p>
        </w:tc>
        <w:tc>
          <w:tcPr>
            <w:tcW w:w="1321" w:type="dxa"/>
            <w:gridSpan w:val="2"/>
            <w:tcBorders>
              <w:top w:val="nil"/>
              <w:left w:val="nil"/>
              <w:bottom w:val="nil"/>
              <w:right w:val="nil"/>
            </w:tcBorders>
          </w:tcPr>
          <w:p w14:paraId="4BE99125" w14:textId="612DA899" w:rsidR="00D243B1" w:rsidRPr="00557802"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Pr>
                <w:sz w:val="20"/>
                <w:szCs w:val="24"/>
              </w:rPr>
              <w:t>USA</w:t>
            </w:r>
          </w:p>
        </w:tc>
        <w:tc>
          <w:tcPr>
            <w:tcW w:w="1479" w:type="dxa"/>
            <w:tcBorders>
              <w:top w:val="nil"/>
              <w:left w:val="nil"/>
              <w:bottom w:val="nil"/>
              <w:right w:val="nil"/>
            </w:tcBorders>
          </w:tcPr>
          <w:p w14:paraId="5A7216DA" w14:textId="22CEB9A8" w:rsidR="00D243B1" w:rsidRPr="00557802" w:rsidRDefault="00766033"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632B1AB2" w14:textId="77777777" w:rsidTr="00B41212">
        <w:trPr>
          <w:gridAfter w:val="1"/>
          <w:wAfter w:w="32" w:type="dxa"/>
        </w:trPr>
        <w:tc>
          <w:tcPr>
            <w:tcW w:w="2126" w:type="dxa"/>
            <w:gridSpan w:val="2"/>
            <w:tcBorders>
              <w:top w:val="nil"/>
              <w:left w:val="nil"/>
              <w:bottom w:val="nil"/>
              <w:right w:val="nil"/>
            </w:tcBorders>
          </w:tcPr>
          <w:p w14:paraId="63634ABC"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Jorge Caneva</w:t>
            </w:r>
          </w:p>
        </w:tc>
        <w:tc>
          <w:tcPr>
            <w:tcW w:w="3999" w:type="dxa"/>
            <w:tcBorders>
              <w:top w:val="nil"/>
              <w:left w:val="nil"/>
              <w:bottom w:val="nil"/>
              <w:right w:val="nil"/>
            </w:tcBorders>
          </w:tcPr>
          <w:p w14:paraId="7336F35F"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Favaloro Foundation</w:t>
            </w:r>
          </w:p>
        </w:tc>
        <w:tc>
          <w:tcPr>
            <w:tcW w:w="1321" w:type="dxa"/>
            <w:gridSpan w:val="2"/>
            <w:tcBorders>
              <w:top w:val="nil"/>
              <w:left w:val="nil"/>
              <w:bottom w:val="nil"/>
              <w:right w:val="nil"/>
            </w:tcBorders>
          </w:tcPr>
          <w:p w14:paraId="1E2384FD" w14:textId="70E8F66B" w:rsidR="00D243B1" w:rsidRPr="00557802" w:rsidRDefault="00B41212" w:rsidP="00B4121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Argentina</w:t>
            </w:r>
            <w:r>
              <w:rPr>
                <w:sz w:val="20"/>
                <w:szCs w:val="24"/>
              </w:rPr>
              <w:t xml:space="preserve"> </w:t>
            </w:r>
          </w:p>
        </w:tc>
        <w:tc>
          <w:tcPr>
            <w:tcW w:w="1479" w:type="dxa"/>
            <w:tcBorders>
              <w:top w:val="nil"/>
              <w:left w:val="nil"/>
              <w:bottom w:val="nil"/>
              <w:right w:val="nil"/>
            </w:tcBorders>
          </w:tcPr>
          <w:p w14:paraId="53B1B2F4" w14:textId="3442650D"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6F0CCFFA" w14:textId="77777777" w:rsidTr="00B41212">
        <w:trPr>
          <w:gridAfter w:val="1"/>
          <w:wAfter w:w="32" w:type="dxa"/>
        </w:trPr>
        <w:tc>
          <w:tcPr>
            <w:tcW w:w="2126" w:type="dxa"/>
            <w:gridSpan w:val="2"/>
            <w:tcBorders>
              <w:top w:val="nil"/>
              <w:left w:val="nil"/>
              <w:bottom w:val="nil"/>
              <w:right w:val="nil"/>
            </w:tcBorders>
          </w:tcPr>
          <w:p w14:paraId="07AC19A0"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Davide Dalle Fusine</w:t>
            </w:r>
          </w:p>
        </w:tc>
        <w:tc>
          <w:tcPr>
            <w:tcW w:w="3999" w:type="dxa"/>
            <w:tcBorders>
              <w:top w:val="nil"/>
              <w:left w:val="nil"/>
              <w:bottom w:val="nil"/>
              <w:right w:val="nil"/>
            </w:tcBorders>
          </w:tcPr>
          <w:p w14:paraId="705FC55F"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Chiesi Farmaceutici</w:t>
            </w:r>
          </w:p>
        </w:tc>
        <w:tc>
          <w:tcPr>
            <w:tcW w:w="1321" w:type="dxa"/>
            <w:gridSpan w:val="2"/>
            <w:tcBorders>
              <w:top w:val="nil"/>
              <w:left w:val="nil"/>
              <w:bottom w:val="nil"/>
              <w:right w:val="nil"/>
            </w:tcBorders>
          </w:tcPr>
          <w:p w14:paraId="2523BAD6" w14:textId="1EA643E2" w:rsidR="00D243B1" w:rsidRPr="00557802" w:rsidRDefault="00B41212" w:rsidP="00B4121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Italy</w:t>
            </w:r>
            <w:r>
              <w:rPr>
                <w:sz w:val="20"/>
                <w:szCs w:val="24"/>
              </w:rPr>
              <w:t xml:space="preserve"> </w:t>
            </w:r>
          </w:p>
        </w:tc>
        <w:tc>
          <w:tcPr>
            <w:tcW w:w="1479" w:type="dxa"/>
            <w:tcBorders>
              <w:top w:val="nil"/>
              <w:left w:val="nil"/>
              <w:bottom w:val="nil"/>
              <w:right w:val="nil"/>
            </w:tcBorders>
          </w:tcPr>
          <w:p w14:paraId="66C357D1" w14:textId="6B87056C"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37CE5E27" w14:textId="77777777" w:rsidTr="00B41212">
        <w:trPr>
          <w:gridAfter w:val="1"/>
          <w:wAfter w:w="32" w:type="dxa"/>
        </w:trPr>
        <w:tc>
          <w:tcPr>
            <w:tcW w:w="2126" w:type="dxa"/>
            <w:gridSpan w:val="2"/>
            <w:tcBorders>
              <w:top w:val="nil"/>
              <w:left w:val="nil"/>
              <w:bottom w:val="nil"/>
              <w:right w:val="nil"/>
            </w:tcBorders>
          </w:tcPr>
          <w:p w14:paraId="5993AEF7"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Eamonn Hoxey</w:t>
            </w:r>
          </w:p>
        </w:tc>
        <w:tc>
          <w:tcPr>
            <w:tcW w:w="3999" w:type="dxa"/>
            <w:tcBorders>
              <w:top w:val="nil"/>
              <w:left w:val="nil"/>
              <w:bottom w:val="nil"/>
              <w:right w:val="nil"/>
            </w:tcBorders>
          </w:tcPr>
          <w:p w14:paraId="11AC3165"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Johnson &amp; Johnson</w:t>
            </w:r>
          </w:p>
        </w:tc>
        <w:tc>
          <w:tcPr>
            <w:tcW w:w="1321" w:type="dxa"/>
            <w:gridSpan w:val="2"/>
            <w:tcBorders>
              <w:top w:val="nil"/>
              <w:left w:val="nil"/>
              <w:bottom w:val="nil"/>
              <w:right w:val="nil"/>
            </w:tcBorders>
          </w:tcPr>
          <w:p w14:paraId="15EFA63E" w14:textId="11C9037E"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UK</w:t>
            </w:r>
          </w:p>
        </w:tc>
        <w:tc>
          <w:tcPr>
            <w:tcW w:w="1479" w:type="dxa"/>
            <w:tcBorders>
              <w:top w:val="nil"/>
              <w:left w:val="nil"/>
              <w:bottom w:val="nil"/>
              <w:right w:val="nil"/>
            </w:tcBorders>
          </w:tcPr>
          <w:p w14:paraId="25C954FE" w14:textId="77B26491"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1B67A31B" w14:textId="77777777" w:rsidTr="00B41212">
        <w:trPr>
          <w:gridAfter w:val="1"/>
          <w:wAfter w:w="32" w:type="dxa"/>
        </w:trPr>
        <w:tc>
          <w:tcPr>
            <w:tcW w:w="2126" w:type="dxa"/>
            <w:gridSpan w:val="2"/>
            <w:tcBorders>
              <w:top w:val="nil"/>
              <w:left w:val="nil"/>
              <w:bottom w:val="nil"/>
              <w:right w:val="nil"/>
            </w:tcBorders>
          </w:tcPr>
          <w:p w14:paraId="02FEDBC2"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Javaid Khan</w:t>
            </w:r>
          </w:p>
        </w:tc>
        <w:tc>
          <w:tcPr>
            <w:tcW w:w="3999" w:type="dxa"/>
            <w:tcBorders>
              <w:top w:val="nil"/>
              <w:left w:val="nil"/>
              <w:bottom w:val="nil"/>
              <w:right w:val="nil"/>
            </w:tcBorders>
          </w:tcPr>
          <w:p w14:paraId="06414FF0"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The Aga Khan University</w:t>
            </w:r>
          </w:p>
        </w:tc>
        <w:tc>
          <w:tcPr>
            <w:tcW w:w="1321" w:type="dxa"/>
            <w:gridSpan w:val="2"/>
            <w:tcBorders>
              <w:top w:val="nil"/>
              <w:left w:val="nil"/>
              <w:bottom w:val="nil"/>
              <w:right w:val="nil"/>
            </w:tcBorders>
          </w:tcPr>
          <w:p w14:paraId="12A44EFC" w14:textId="3C17BA6F"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Pakistan</w:t>
            </w:r>
          </w:p>
        </w:tc>
        <w:tc>
          <w:tcPr>
            <w:tcW w:w="1479" w:type="dxa"/>
            <w:tcBorders>
              <w:top w:val="nil"/>
              <w:left w:val="nil"/>
              <w:bottom w:val="nil"/>
              <w:right w:val="nil"/>
            </w:tcBorders>
          </w:tcPr>
          <w:p w14:paraId="4476C4C5" w14:textId="1BBCFBE1"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167662C3" w14:textId="77777777" w:rsidTr="00B41212">
        <w:trPr>
          <w:gridAfter w:val="1"/>
          <w:wAfter w:w="32" w:type="dxa"/>
        </w:trPr>
        <w:tc>
          <w:tcPr>
            <w:tcW w:w="2126" w:type="dxa"/>
            <w:gridSpan w:val="2"/>
            <w:tcBorders>
              <w:top w:val="nil"/>
              <w:left w:val="nil"/>
              <w:bottom w:val="nil"/>
              <w:right w:val="nil"/>
            </w:tcBorders>
          </w:tcPr>
          <w:p w14:paraId="71E90365"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Robert Meyer</w:t>
            </w:r>
          </w:p>
        </w:tc>
        <w:tc>
          <w:tcPr>
            <w:tcW w:w="3999" w:type="dxa"/>
            <w:tcBorders>
              <w:top w:val="nil"/>
              <w:left w:val="nil"/>
              <w:bottom w:val="nil"/>
              <w:right w:val="nil"/>
            </w:tcBorders>
          </w:tcPr>
          <w:p w14:paraId="13342990"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0B290B">
              <w:rPr>
                <w:sz w:val="20"/>
                <w:szCs w:val="24"/>
              </w:rPr>
              <w:t>Virginia Center for Translational and</w:t>
            </w:r>
            <w:r>
              <w:rPr>
                <w:sz w:val="20"/>
                <w:szCs w:val="24"/>
              </w:rPr>
              <w:t xml:space="preserve"> </w:t>
            </w:r>
            <w:r w:rsidRPr="000B290B">
              <w:rPr>
                <w:sz w:val="20"/>
                <w:szCs w:val="24"/>
              </w:rPr>
              <w:t>Regulatory Sciences</w:t>
            </w:r>
          </w:p>
        </w:tc>
        <w:tc>
          <w:tcPr>
            <w:tcW w:w="1321" w:type="dxa"/>
            <w:gridSpan w:val="2"/>
            <w:tcBorders>
              <w:top w:val="nil"/>
              <w:left w:val="nil"/>
              <w:bottom w:val="nil"/>
              <w:right w:val="nil"/>
            </w:tcBorders>
          </w:tcPr>
          <w:p w14:paraId="532B3421" w14:textId="06724343"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Pr>
                <w:sz w:val="20"/>
                <w:szCs w:val="24"/>
              </w:rPr>
              <w:t>USA</w:t>
            </w:r>
          </w:p>
        </w:tc>
        <w:tc>
          <w:tcPr>
            <w:tcW w:w="1479" w:type="dxa"/>
            <w:tcBorders>
              <w:top w:val="nil"/>
              <w:left w:val="nil"/>
              <w:bottom w:val="nil"/>
              <w:right w:val="nil"/>
            </w:tcBorders>
          </w:tcPr>
          <w:p w14:paraId="3B7BC662" w14:textId="35C5F5C4"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7A4D6270" w14:textId="77777777" w:rsidTr="00B41212">
        <w:trPr>
          <w:gridAfter w:val="1"/>
          <w:wAfter w:w="32" w:type="dxa"/>
        </w:trPr>
        <w:tc>
          <w:tcPr>
            <w:tcW w:w="2126" w:type="dxa"/>
            <w:gridSpan w:val="2"/>
            <w:tcBorders>
              <w:top w:val="nil"/>
              <w:left w:val="nil"/>
              <w:bottom w:val="nil"/>
              <w:right w:val="nil"/>
            </w:tcBorders>
          </w:tcPr>
          <w:p w14:paraId="56B79F6A"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Gerald McDonnell</w:t>
            </w:r>
          </w:p>
        </w:tc>
        <w:tc>
          <w:tcPr>
            <w:tcW w:w="3999" w:type="dxa"/>
            <w:tcBorders>
              <w:top w:val="nil"/>
              <w:left w:val="nil"/>
              <w:bottom w:val="nil"/>
              <w:right w:val="nil"/>
            </w:tcBorders>
          </w:tcPr>
          <w:p w14:paraId="5D6B97C6"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STERIS</w:t>
            </w:r>
          </w:p>
        </w:tc>
        <w:tc>
          <w:tcPr>
            <w:tcW w:w="1321" w:type="dxa"/>
            <w:gridSpan w:val="2"/>
            <w:tcBorders>
              <w:top w:val="nil"/>
              <w:left w:val="nil"/>
              <w:bottom w:val="nil"/>
              <w:right w:val="nil"/>
            </w:tcBorders>
          </w:tcPr>
          <w:p w14:paraId="03AA60D9" w14:textId="3B80527E"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UK</w:t>
            </w:r>
          </w:p>
        </w:tc>
        <w:tc>
          <w:tcPr>
            <w:tcW w:w="1479" w:type="dxa"/>
            <w:tcBorders>
              <w:top w:val="nil"/>
              <w:left w:val="nil"/>
              <w:bottom w:val="nil"/>
              <w:right w:val="nil"/>
            </w:tcBorders>
          </w:tcPr>
          <w:p w14:paraId="3A52171C" w14:textId="71C8B2CD"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78A2E5C3" w14:textId="77777777" w:rsidTr="00B41212">
        <w:trPr>
          <w:gridAfter w:val="1"/>
          <w:wAfter w:w="32" w:type="dxa"/>
        </w:trPr>
        <w:tc>
          <w:tcPr>
            <w:tcW w:w="2126" w:type="dxa"/>
            <w:gridSpan w:val="2"/>
            <w:tcBorders>
              <w:top w:val="nil"/>
              <w:left w:val="nil"/>
              <w:bottom w:val="nil"/>
              <w:right w:val="nil"/>
            </w:tcBorders>
          </w:tcPr>
          <w:p w14:paraId="05C657A8"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Hideo Mori</w:t>
            </w:r>
          </w:p>
        </w:tc>
        <w:tc>
          <w:tcPr>
            <w:tcW w:w="3999" w:type="dxa"/>
            <w:tcBorders>
              <w:top w:val="nil"/>
              <w:left w:val="nil"/>
              <w:bottom w:val="nil"/>
              <w:right w:val="nil"/>
            </w:tcBorders>
          </w:tcPr>
          <w:p w14:paraId="251D69FA"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Private Consultant</w:t>
            </w:r>
          </w:p>
        </w:tc>
        <w:tc>
          <w:tcPr>
            <w:tcW w:w="1321" w:type="dxa"/>
            <w:gridSpan w:val="2"/>
            <w:tcBorders>
              <w:top w:val="nil"/>
              <w:left w:val="nil"/>
              <w:bottom w:val="nil"/>
              <w:right w:val="nil"/>
            </w:tcBorders>
          </w:tcPr>
          <w:p w14:paraId="74775A28" w14:textId="007A185B"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Japan</w:t>
            </w:r>
          </w:p>
        </w:tc>
        <w:tc>
          <w:tcPr>
            <w:tcW w:w="1479" w:type="dxa"/>
            <w:tcBorders>
              <w:top w:val="nil"/>
              <w:left w:val="nil"/>
              <w:bottom w:val="nil"/>
              <w:right w:val="nil"/>
            </w:tcBorders>
          </w:tcPr>
          <w:p w14:paraId="21CAB588" w14:textId="21F99FF4"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5E11F7CD" w14:textId="77777777" w:rsidTr="00B41212">
        <w:trPr>
          <w:gridAfter w:val="1"/>
          <w:wAfter w:w="32" w:type="dxa"/>
        </w:trPr>
        <w:tc>
          <w:tcPr>
            <w:tcW w:w="2126" w:type="dxa"/>
            <w:gridSpan w:val="2"/>
            <w:tcBorders>
              <w:top w:val="nil"/>
              <w:left w:val="nil"/>
              <w:bottom w:val="nil"/>
              <w:right w:val="nil"/>
            </w:tcBorders>
          </w:tcPr>
          <w:p w14:paraId="1C55755C"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Tunde Otulana</w:t>
            </w:r>
          </w:p>
        </w:tc>
        <w:tc>
          <w:tcPr>
            <w:tcW w:w="3999" w:type="dxa"/>
            <w:tcBorders>
              <w:top w:val="nil"/>
              <w:left w:val="nil"/>
              <w:bottom w:val="nil"/>
              <w:right w:val="nil"/>
            </w:tcBorders>
          </w:tcPr>
          <w:p w14:paraId="1584064B"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Boehringer Ingelheim Pharmaceuticals Inc.</w:t>
            </w:r>
          </w:p>
        </w:tc>
        <w:tc>
          <w:tcPr>
            <w:tcW w:w="1321" w:type="dxa"/>
            <w:gridSpan w:val="2"/>
            <w:tcBorders>
              <w:top w:val="nil"/>
              <w:left w:val="nil"/>
              <w:bottom w:val="nil"/>
              <w:right w:val="nil"/>
            </w:tcBorders>
          </w:tcPr>
          <w:p w14:paraId="04F223BF" w14:textId="07A4C950"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USA</w:t>
            </w:r>
          </w:p>
        </w:tc>
        <w:tc>
          <w:tcPr>
            <w:tcW w:w="1479" w:type="dxa"/>
            <w:tcBorders>
              <w:top w:val="nil"/>
              <w:left w:val="nil"/>
              <w:bottom w:val="nil"/>
              <w:right w:val="nil"/>
            </w:tcBorders>
          </w:tcPr>
          <w:p w14:paraId="58520836" w14:textId="3B38A87E"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786EDF35" w14:textId="77777777" w:rsidTr="00B41212">
        <w:trPr>
          <w:gridAfter w:val="1"/>
          <w:wAfter w:w="32" w:type="dxa"/>
        </w:trPr>
        <w:tc>
          <w:tcPr>
            <w:tcW w:w="2126" w:type="dxa"/>
            <w:gridSpan w:val="2"/>
            <w:tcBorders>
              <w:top w:val="nil"/>
              <w:left w:val="nil"/>
              <w:bottom w:val="nil"/>
              <w:right w:val="nil"/>
            </w:tcBorders>
          </w:tcPr>
          <w:p w14:paraId="725C5ACC"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John Pritchard</w:t>
            </w:r>
          </w:p>
        </w:tc>
        <w:tc>
          <w:tcPr>
            <w:tcW w:w="3999" w:type="dxa"/>
            <w:tcBorders>
              <w:top w:val="nil"/>
              <w:left w:val="nil"/>
              <w:bottom w:val="nil"/>
              <w:right w:val="nil"/>
            </w:tcBorders>
          </w:tcPr>
          <w:p w14:paraId="5C143074"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Philips Home Healthcare Solutions</w:t>
            </w:r>
          </w:p>
        </w:tc>
        <w:tc>
          <w:tcPr>
            <w:tcW w:w="1321" w:type="dxa"/>
            <w:gridSpan w:val="2"/>
            <w:tcBorders>
              <w:top w:val="nil"/>
              <w:left w:val="nil"/>
              <w:bottom w:val="nil"/>
              <w:right w:val="nil"/>
            </w:tcBorders>
          </w:tcPr>
          <w:p w14:paraId="0D93C529" w14:textId="7EB21072"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UK</w:t>
            </w:r>
          </w:p>
        </w:tc>
        <w:tc>
          <w:tcPr>
            <w:tcW w:w="1479" w:type="dxa"/>
            <w:tcBorders>
              <w:top w:val="nil"/>
              <w:left w:val="nil"/>
              <w:bottom w:val="nil"/>
              <w:right w:val="nil"/>
            </w:tcBorders>
          </w:tcPr>
          <w:p w14:paraId="78FF6266" w14:textId="59391A48"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481FDBCE" w14:textId="77777777" w:rsidTr="00B41212">
        <w:trPr>
          <w:gridAfter w:val="1"/>
          <w:wAfter w:w="32" w:type="dxa"/>
        </w:trPr>
        <w:tc>
          <w:tcPr>
            <w:tcW w:w="2126" w:type="dxa"/>
            <w:gridSpan w:val="2"/>
            <w:tcBorders>
              <w:top w:val="nil"/>
              <w:left w:val="nil"/>
              <w:bottom w:val="nil"/>
              <w:right w:val="nil"/>
            </w:tcBorders>
          </w:tcPr>
          <w:p w14:paraId="5075F3B5"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Rabbur Reza</w:t>
            </w:r>
          </w:p>
        </w:tc>
        <w:tc>
          <w:tcPr>
            <w:tcW w:w="3999" w:type="dxa"/>
            <w:tcBorders>
              <w:top w:val="nil"/>
              <w:left w:val="nil"/>
              <w:bottom w:val="nil"/>
              <w:right w:val="nil"/>
            </w:tcBorders>
          </w:tcPr>
          <w:p w14:paraId="58133F8B"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Beximco Pharmaceuticals</w:t>
            </w:r>
          </w:p>
        </w:tc>
        <w:tc>
          <w:tcPr>
            <w:tcW w:w="1321" w:type="dxa"/>
            <w:gridSpan w:val="2"/>
            <w:tcBorders>
              <w:top w:val="nil"/>
              <w:left w:val="nil"/>
              <w:bottom w:val="nil"/>
              <w:right w:val="nil"/>
            </w:tcBorders>
          </w:tcPr>
          <w:p w14:paraId="75799AB3" w14:textId="45E70550" w:rsidR="00D243B1" w:rsidRPr="00557802" w:rsidRDefault="00B41212" w:rsidP="00B4121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Bangladesh</w:t>
            </w:r>
            <w:r>
              <w:rPr>
                <w:sz w:val="20"/>
                <w:szCs w:val="24"/>
              </w:rPr>
              <w:t xml:space="preserve"> </w:t>
            </w:r>
          </w:p>
        </w:tc>
        <w:tc>
          <w:tcPr>
            <w:tcW w:w="1479" w:type="dxa"/>
            <w:tcBorders>
              <w:top w:val="nil"/>
              <w:left w:val="nil"/>
              <w:bottom w:val="nil"/>
              <w:right w:val="nil"/>
            </w:tcBorders>
          </w:tcPr>
          <w:p w14:paraId="5530B1BF" w14:textId="4AC3AECB"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60D06CC2" w14:textId="77777777" w:rsidTr="00B41212">
        <w:trPr>
          <w:gridAfter w:val="1"/>
          <w:wAfter w:w="32" w:type="dxa"/>
        </w:trPr>
        <w:tc>
          <w:tcPr>
            <w:tcW w:w="2126" w:type="dxa"/>
            <w:gridSpan w:val="2"/>
            <w:tcBorders>
              <w:top w:val="nil"/>
              <w:left w:val="nil"/>
              <w:bottom w:val="nil"/>
              <w:right w:val="nil"/>
            </w:tcBorders>
          </w:tcPr>
          <w:p w14:paraId="09404B80"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Roland Stechert</w:t>
            </w:r>
          </w:p>
        </w:tc>
        <w:tc>
          <w:tcPr>
            <w:tcW w:w="3999" w:type="dxa"/>
            <w:tcBorders>
              <w:top w:val="nil"/>
              <w:left w:val="nil"/>
              <w:bottom w:val="nil"/>
              <w:right w:val="nil"/>
            </w:tcBorders>
          </w:tcPr>
          <w:p w14:paraId="029D22EE"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 xml:space="preserve">Boehringer Ingelheim </w:t>
            </w:r>
          </w:p>
        </w:tc>
        <w:tc>
          <w:tcPr>
            <w:tcW w:w="1321" w:type="dxa"/>
            <w:gridSpan w:val="2"/>
            <w:tcBorders>
              <w:top w:val="nil"/>
              <w:left w:val="nil"/>
              <w:bottom w:val="nil"/>
              <w:right w:val="nil"/>
            </w:tcBorders>
          </w:tcPr>
          <w:p w14:paraId="6151A521" w14:textId="46B0A3DC"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Germany</w:t>
            </w:r>
          </w:p>
        </w:tc>
        <w:tc>
          <w:tcPr>
            <w:tcW w:w="1479" w:type="dxa"/>
            <w:tcBorders>
              <w:top w:val="nil"/>
              <w:left w:val="nil"/>
              <w:bottom w:val="nil"/>
              <w:right w:val="nil"/>
            </w:tcBorders>
          </w:tcPr>
          <w:p w14:paraId="1438C453" w14:textId="1C821D74"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2FAB04AC" w14:textId="77777777" w:rsidTr="00B41212">
        <w:trPr>
          <w:gridAfter w:val="1"/>
          <w:wAfter w:w="32" w:type="dxa"/>
        </w:trPr>
        <w:tc>
          <w:tcPr>
            <w:tcW w:w="2126" w:type="dxa"/>
            <w:gridSpan w:val="2"/>
            <w:tcBorders>
              <w:top w:val="nil"/>
              <w:left w:val="nil"/>
              <w:bottom w:val="nil"/>
              <w:right w:val="nil"/>
            </w:tcBorders>
          </w:tcPr>
          <w:p w14:paraId="36E928B1"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Kristine Whorlow</w:t>
            </w:r>
          </w:p>
        </w:tc>
        <w:tc>
          <w:tcPr>
            <w:tcW w:w="3999" w:type="dxa"/>
            <w:tcBorders>
              <w:top w:val="nil"/>
              <w:left w:val="nil"/>
              <w:bottom w:val="nil"/>
              <w:right w:val="nil"/>
            </w:tcBorders>
          </w:tcPr>
          <w:p w14:paraId="29CADC74"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National Asthma Council Australia</w:t>
            </w:r>
          </w:p>
        </w:tc>
        <w:tc>
          <w:tcPr>
            <w:tcW w:w="1321" w:type="dxa"/>
            <w:gridSpan w:val="2"/>
            <w:tcBorders>
              <w:top w:val="nil"/>
              <w:left w:val="nil"/>
              <w:bottom w:val="nil"/>
              <w:right w:val="nil"/>
            </w:tcBorders>
          </w:tcPr>
          <w:p w14:paraId="667812EC" w14:textId="4109779B"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sidRPr="00557802">
              <w:rPr>
                <w:sz w:val="20"/>
                <w:szCs w:val="24"/>
              </w:rPr>
              <w:t>Australia</w:t>
            </w:r>
          </w:p>
        </w:tc>
        <w:tc>
          <w:tcPr>
            <w:tcW w:w="1479" w:type="dxa"/>
            <w:tcBorders>
              <w:top w:val="nil"/>
              <w:left w:val="nil"/>
              <w:bottom w:val="nil"/>
              <w:right w:val="nil"/>
            </w:tcBorders>
          </w:tcPr>
          <w:p w14:paraId="277ADE33" w14:textId="2F6E99A7"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r w:rsidR="00D243B1" w:rsidRPr="00557802" w14:paraId="226D1A9B" w14:textId="77777777" w:rsidTr="00B41212">
        <w:trPr>
          <w:gridAfter w:val="1"/>
          <w:wAfter w:w="32" w:type="dxa"/>
        </w:trPr>
        <w:tc>
          <w:tcPr>
            <w:tcW w:w="2126" w:type="dxa"/>
            <w:gridSpan w:val="2"/>
            <w:tcBorders>
              <w:top w:val="nil"/>
              <w:left w:val="nil"/>
              <w:bottom w:val="nil"/>
              <w:right w:val="nil"/>
            </w:tcBorders>
          </w:tcPr>
          <w:p w14:paraId="4EDF1286"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You Yizhong</w:t>
            </w:r>
          </w:p>
        </w:tc>
        <w:tc>
          <w:tcPr>
            <w:tcW w:w="3999" w:type="dxa"/>
            <w:tcBorders>
              <w:top w:val="nil"/>
              <w:left w:val="nil"/>
              <w:bottom w:val="nil"/>
              <w:right w:val="nil"/>
            </w:tcBorders>
          </w:tcPr>
          <w:p w14:paraId="5ED688ED" w14:textId="77777777" w:rsidR="00D243B1" w:rsidRPr="00557802" w:rsidRDefault="00D243B1"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sidRPr="00557802">
              <w:rPr>
                <w:sz w:val="20"/>
                <w:szCs w:val="24"/>
              </w:rPr>
              <w:t>Journal of Aerosol Communication</w:t>
            </w:r>
          </w:p>
        </w:tc>
        <w:tc>
          <w:tcPr>
            <w:tcW w:w="1321" w:type="dxa"/>
            <w:gridSpan w:val="2"/>
            <w:tcBorders>
              <w:top w:val="nil"/>
              <w:left w:val="nil"/>
              <w:bottom w:val="nil"/>
              <w:right w:val="nil"/>
            </w:tcBorders>
          </w:tcPr>
          <w:p w14:paraId="674FDBAA" w14:textId="238E497C"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sz w:val="20"/>
                <w:szCs w:val="24"/>
              </w:rPr>
            </w:pPr>
            <w:r>
              <w:rPr>
                <w:sz w:val="20"/>
                <w:szCs w:val="24"/>
              </w:rPr>
              <w:t xml:space="preserve">P.R. </w:t>
            </w:r>
            <w:r w:rsidRPr="00557802">
              <w:rPr>
                <w:sz w:val="20"/>
                <w:szCs w:val="24"/>
              </w:rPr>
              <w:t>China</w:t>
            </w:r>
          </w:p>
        </w:tc>
        <w:tc>
          <w:tcPr>
            <w:tcW w:w="1479" w:type="dxa"/>
            <w:tcBorders>
              <w:top w:val="nil"/>
              <w:left w:val="nil"/>
              <w:bottom w:val="nil"/>
              <w:right w:val="nil"/>
            </w:tcBorders>
          </w:tcPr>
          <w:p w14:paraId="7DAAF45A" w14:textId="090BC4EC" w:rsidR="00D243B1" w:rsidRPr="00557802" w:rsidRDefault="00B41212" w:rsidP="00B25ED1">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sz w:val="20"/>
                <w:szCs w:val="24"/>
              </w:rPr>
            </w:pPr>
            <w:r>
              <w:rPr>
                <w:sz w:val="20"/>
                <w:szCs w:val="24"/>
              </w:rPr>
              <w:t>2018</w:t>
            </w:r>
          </w:p>
        </w:tc>
      </w:tr>
    </w:tbl>
    <w:p w14:paraId="494F508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rPr>
      </w:pPr>
      <w:r>
        <w:rPr>
          <w:b/>
        </w:rPr>
        <w:br w:type="page"/>
        <w:t>TEAP Methyl Bromide Technical Options Committee (MBTOC)</w:t>
      </w:r>
    </w:p>
    <w:p w14:paraId="02D0A8F4"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pPr>
    </w:p>
    <w:tbl>
      <w:tblPr>
        <w:tblW w:w="8647" w:type="dxa"/>
        <w:tblInd w:w="108" w:type="dxa"/>
        <w:tblLayout w:type="fixed"/>
        <w:tblLook w:val="0000" w:firstRow="0" w:lastRow="0" w:firstColumn="0" w:lastColumn="0" w:noHBand="0" w:noVBand="0"/>
      </w:tblPr>
      <w:tblGrid>
        <w:gridCol w:w="2127"/>
        <w:gridCol w:w="4110"/>
        <w:gridCol w:w="1276"/>
        <w:gridCol w:w="1134"/>
      </w:tblGrid>
      <w:tr w:rsidR="00AD4B2A" w14:paraId="7D69C769" w14:textId="77777777" w:rsidTr="00687DCE">
        <w:tc>
          <w:tcPr>
            <w:tcW w:w="2127" w:type="dxa"/>
            <w:tcBorders>
              <w:top w:val="nil"/>
              <w:left w:val="nil"/>
              <w:bottom w:val="nil"/>
              <w:right w:val="nil"/>
            </w:tcBorders>
          </w:tcPr>
          <w:p w14:paraId="19EE59A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Pr>
                <w:b/>
                <w:sz w:val="20"/>
              </w:rPr>
              <w:t>Co-chairs</w:t>
            </w:r>
          </w:p>
        </w:tc>
        <w:tc>
          <w:tcPr>
            <w:tcW w:w="4110" w:type="dxa"/>
            <w:tcBorders>
              <w:top w:val="nil"/>
              <w:left w:val="nil"/>
              <w:bottom w:val="nil"/>
              <w:right w:val="nil"/>
            </w:tcBorders>
          </w:tcPr>
          <w:p w14:paraId="67F3352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276" w:type="dxa"/>
            <w:tcBorders>
              <w:top w:val="nil"/>
              <w:left w:val="nil"/>
              <w:bottom w:val="nil"/>
              <w:right w:val="nil"/>
            </w:tcBorders>
          </w:tcPr>
          <w:p w14:paraId="784B6BA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134" w:type="dxa"/>
            <w:tcBorders>
              <w:top w:val="nil"/>
              <w:left w:val="nil"/>
              <w:bottom w:val="nil"/>
              <w:right w:val="nil"/>
            </w:tcBorders>
          </w:tcPr>
          <w:p w14:paraId="006D5530" w14:textId="40CB9DC2"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b/>
                <w:sz w:val="20"/>
              </w:rPr>
            </w:pPr>
            <w:r>
              <w:rPr>
                <w:b/>
                <w:sz w:val="20"/>
              </w:rPr>
              <w:t>Appoi</w:t>
            </w:r>
            <w:r w:rsidR="00687DCE">
              <w:rPr>
                <w:b/>
                <w:sz w:val="20"/>
              </w:rPr>
              <w:t>nted</w:t>
            </w:r>
            <w:r>
              <w:rPr>
                <w:b/>
                <w:sz w:val="20"/>
              </w:rPr>
              <w:t xml:space="preserve"> through</w:t>
            </w:r>
          </w:p>
        </w:tc>
      </w:tr>
      <w:tr w:rsidR="00AD4B2A" w14:paraId="34B7C6CD" w14:textId="77777777" w:rsidTr="00687DCE">
        <w:tc>
          <w:tcPr>
            <w:tcW w:w="2127" w:type="dxa"/>
            <w:tcBorders>
              <w:top w:val="nil"/>
              <w:left w:val="nil"/>
              <w:bottom w:val="nil"/>
              <w:right w:val="nil"/>
            </w:tcBorders>
          </w:tcPr>
          <w:p w14:paraId="40E80E0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Mohamed Besri</w:t>
            </w:r>
          </w:p>
        </w:tc>
        <w:tc>
          <w:tcPr>
            <w:tcW w:w="4110" w:type="dxa"/>
            <w:tcBorders>
              <w:top w:val="nil"/>
              <w:left w:val="nil"/>
              <w:bottom w:val="nil"/>
              <w:right w:val="nil"/>
            </w:tcBorders>
          </w:tcPr>
          <w:p w14:paraId="216E61A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val="pt-BR"/>
              </w:rPr>
            </w:pPr>
            <w:r>
              <w:rPr>
                <w:sz w:val="20"/>
                <w:lang w:val="pt-BR"/>
              </w:rPr>
              <w:t>Institut Agronomique et Vétérinaire Hassan II</w:t>
            </w:r>
          </w:p>
        </w:tc>
        <w:tc>
          <w:tcPr>
            <w:tcW w:w="1276" w:type="dxa"/>
            <w:tcBorders>
              <w:top w:val="nil"/>
              <w:left w:val="nil"/>
              <w:bottom w:val="nil"/>
              <w:right w:val="nil"/>
            </w:tcBorders>
          </w:tcPr>
          <w:p w14:paraId="22A5385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Morocco</w:t>
            </w:r>
          </w:p>
        </w:tc>
        <w:tc>
          <w:tcPr>
            <w:tcW w:w="1134" w:type="dxa"/>
            <w:tcBorders>
              <w:top w:val="nil"/>
              <w:left w:val="nil"/>
              <w:bottom w:val="nil"/>
              <w:right w:val="nil"/>
            </w:tcBorders>
          </w:tcPr>
          <w:p w14:paraId="376EE79A" w14:textId="77777777" w:rsidR="00AD4B2A" w:rsidRPr="00BB5ABE"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2017</w:t>
            </w:r>
          </w:p>
        </w:tc>
      </w:tr>
      <w:tr w:rsidR="00AD4B2A" w14:paraId="3082898B" w14:textId="77777777" w:rsidTr="00687DCE">
        <w:tc>
          <w:tcPr>
            <w:tcW w:w="2127" w:type="dxa"/>
            <w:tcBorders>
              <w:top w:val="nil"/>
              <w:left w:val="nil"/>
              <w:bottom w:val="nil"/>
              <w:right w:val="nil"/>
            </w:tcBorders>
          </w:tcPr>
          <w:p w14:paraId="095287B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Marta Pizano</w:t>
            </w:r>
          </w:p>
        </w:tc>
        <w:tc>
          <w:tcPr>
            <w:tcW w:w="4110" w:type="dxa"/>
            <w:tcBorders>
              <w:top w:val="nil"/>
              <w:left w:val="nil"/>
              <w:bottom w:val="nil"/>
              <w:right w:val="nil"/>
            </w:tcBorders>
          </w:tcPr>
          <w:p w14:paraId="3E2DE1E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 - Hortitecnia Ltda</w:t>
            </w:r>
          </w:p>
        </w:tc>
        <w:tc>
          <w:tcPr>
            <w:tcW w:w="1276" w:type="dxa"/>
            <w:tcBorders>
              <w:top w:val="nil"/>
              <w:left w:val="nil"/>
              <w:bottom w:val="nil"/>
              <w:right w:val="nil"/>
            </w:tcBorders>
          </w:tcPr>
          <w:p w14:paraId="01414ED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Colombia</w:t>
            </w:r>
          </w:p>
        </w:tc>
        <w:tc>
          <w:tcPr>
            <w:tcW w:w="1134" w:type="dxa"/>
            <w:tcBorders>
              <w:top w:val="nil"/>
              <w:left w:val="nil"/>
              <w:bottom w:val="nil"/>
              <w:right w:val="nil"/>
            </w:tcBorders>
          </w:tcPr>
          <w:p w14:paraId="417B413D" w14:textId="77777777" w:rsidR="00AD4B2A" w:rsidRPr="00BB5ABE" w:rsidRDefault="00BB5ABE"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BB5ABE">
              <w:rPr>
                <w:sz w:val="20"/>
              </w:rPr>
              <w:t>2017</w:t>
            </w:r>
          </w:p>
        </w:tc>
      </w:tr>
      <w:tr w:rsidR="00AD4B2A" w14:paraId="1B274656" w14:textId="77777777" w:rsidTr="00687DCE">
        <w:tc>
          <w:tcPr>
            <w:tcW w:w="2127" w:type="dxa"/>
            <w:tcBorders>
              <w:top w:val="nil"/>
              <w:left w:val="nil"/>
              <w:bottom w:val="nil"/>
              <w:right w:val="nil"/>
            </w:tcBorders>
          </w:tcPr>
          <w:p w14:paraId="1AE36A4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Ian Porter</w:t>
            </w:r>
          </w:p>
        </w:tc>
        <w:tc>
          <w:tcPr>
            <w:tcW w:w="4110" w:type="dxa"/>
            <w:tcBorders>
              <w:top w:val="nil"/>
              <w:left w:val="nil"/>
              <w:bottom w:val="nil"/>
              <w:right w:val="nil"/>
            </w:tcBorders>
          </w:tcPr>
          <w:p w14:paraId="2170AB91" w14:textId="4307BEC2" w:rsidR="00AD4B2A" w:rsidRDefault="00687DCE"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La Trobe University</w:t>
            </w:r>
          </w:p>
        </w:tc>
        <w:tc>
          <w:tcPr>
            <w:tcW w:w="1276" w:type="dxa"/>
            <w:tcBorders>
              <w:top w:val="nil"/>
              <w:left w:val="nil"/>
              <w:bottom w:val="nil"/>
              <w:right w:val="nil"/>
            </w:tcBorders>
          </w:tcPr>
          <w:p w14:paraId="7A728CA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Australia</w:t>
            </w:r>
          </w:p>
        </w:tc>
        <w:tc>
          <w:tcPr>
            <w:tcW w:w="1134" w:type="dxa"/>
            <w:tcBorders>
              <w:top w:val="nil"/>
              <w:left w:val="nil"/>
              <w:bottom w:val="nil"/>
              <w:right w:val="nil"/>
            </w:tcBorders>
          </w:tcPr>
          <w:p w14:paraId="1789C3BF" w14:textId="77777777" w:rsidR="00AD4B2A" w:rsidRPr="00BB5ABE" w:rsidRDefault="00BB5ABE"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BB5ABE">
              <w:rPr>
                <w:sz w:val="20"/>
              </w:rPr>
              <w:t>2017</w:t>
            </w:r>
          </w:p>
        </w:tc>
      </w:tr>
      <w:tr w:rsidR="00AD4B2A" w14:paraId="4C5D530D" w14:textId="77777777" w:rsidTr="00687DCE">
        <w:trPr>
          <w:trHeight w:val="115"/>
        </w:trPr>
        <w:tc>
          <w:tcPr>
            <w:tcW w:w="2127" w:type="dxa"/>
            <w:tcBorders>
              <w:top w:val="nil"/>
              <w:left w:val="nil"/>
              <w:bottom w:val="nil"/>
              <w:right w:val="nil"/>
            </w:tcBorders>
          </w:tcPr>
          <w:p w14:paraId="4CC223D0"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
        </w:tc>
        <w:tc>
          <w:tcPr>
            <w:tcW w:w="4110" w:type="dxa"/>
            <w:tcBorders>
              <w:top w:val="nil"/>
              <w:left w:val="nil"/>
              <w:bottom w:val="nil"/>
              <w:right w:val="nil"/>
            </w:tcBorders>
          </w:tcPr>
          <w:p w14:paraId="4EE4C2D8"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c>
          <w:tcPr>
            <w:tcW w:w="1276" w:type="dxa"/>
            <w:tcBorders>
              <w:top w:val="nil"/>
              <w:left w:val="nil"/>
              <w:bottom w:val="nil"/>
              <w:right w:val="nil"/>
            </w:tcBorders>
          </w:tcPr>
          <w:p w14:paraId="3913C1F8"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c>
          <w:tcPr>
            <w:tcW w:w="1134" w:type="dxa"/>
            <w:tcBorders>
              <w:top w:val="nil"/>
              <w:left w:val="nil"/>
              <w:bottom w:val="nil"/>
              <w:right w:val="nil"/>
            </w:tcBorders>
          </w:tcPr>
          <w:p w14:paraId="46051758"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r>
      <w:tr w:rsidR="00AD4B2A" w14:paraId="32E05BD1" w14:textId="77777777" w:rsidTr="00687DCE">
        <w:tc>
          <w:tcPr>
            <w:tcW w:w="2127" w:type="dxa"/>
            <w:tcBorders>
              <w:top w:val="nil"/>
              <w:left w:val="nil"/>
              <w:bottom w:val="nil"/>
              <w:right w:val="nil"/>
            </w:tcBorders>
          </w:tcPr>
          <w:p w14:paraId="3347E98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Pr>
                <w:b/>
                <w:sz w:val="20"/>
              </w:rPr>
              <w:t>Members</w:t>
            </w:r>
          </w:p>
        </w:tc>
        <w:tc>
          <w:tcPr>
            <w:tcW w:w="4110" w:type="dxa"/>
            <w:tcBorders>
              <w:top w:val="nil"/>
              <w:left w:val="nil"/>
              <w:bottom w:val="nil"/>
              <w:right w:val="nil"/>
            </w:tcBorders>
          </w:tcPr>
          <w:p w14:paraId="68D67E5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276" w:type="dxa"/>
            <w:tcBorders>
              <w:top w:val="nil"/>
              <w:left w:val="nil"/>
              <w:bottom w:val="nil"/>
              <w:right w:val="nil"/>
            </w:tcBorders>
          </w:tcPr>
          <w:p w14:paraId="07B8AB97"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134" w:type="dxa"/>
            <w:tcBorders>
              <w:top w:val="nil"/>
              <w:left w:val="nil"/>
              <w:bottom w:val="nil"/>
              <w:right w:val="nil"/>
            </w:tcBorders>
          </w:tcPr>
          <w:p w14:paraId="529B823E" w14:textId="1498EDAF" w:rsidR="00AD4B2A" w:rsidRPr="00165E88" w:rsidRDefault="00165E8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165E88">
              <w:rPr>
                <w:b/>
                <w:sz w:val="20"/>
              </w:rPr>
              <w:t>Appointed through</w:t>
            </w:r>
          </w:p>
        </w:tc>
      </w:tr>
      <w:tr w:rsidR="00AD4B2A" w14:paraId="5F00C5BF" w14:textId="77777777" w:rsidTr="00687DCE">
        <w:tc>
          <w:tcPr>
            <w:tcW w:w="2127" w:type="dxa"/>
            <w:tcBorders>
              <w:top w:val="nil"/>
              <w:left w:val="nil"/>
              <w:bottom w:val="nil"/>
              <w:right w:val="nil"/>
            </w:tcBorders>
          </w:tcPr>
          <w:p w14:paraId="642F2BD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Jonathan Banks</w:t>
            </w:r>
          </w:p>
        </w:tc>
        <w:tc>
          <w:tcPr>
            <w:tcW w:w="4110" w:type="dxa"/>
            <w:tcBorders>
              <w:top w:val="nil"/>
              <w:left w:val="nil"/>
              <w:bottom w:val="nil"/>
              <w:right w:val="nil"/>
            </w:tcBorders>
          </w:tcPr>
          <w:p w14:paraId="00B23C9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276" w:type="dxa"/>
            <w:tcBorders>
              <w:top w:val="nil"/>
              <w:left w:val="nil"/>
              <w:bottom w:val="nil"/>
              <w:right w:val="nil"/>
            </w:tcBorders>
          </w:tcPr>
          <w:p w14:paraId="50CC148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Australia</w:t>
            </w:r>
          </w:p>
        </w:tc>
        <w:tc>
          <w:tcPr>
            <w:tcW w:w="1134" w:type="dxa"/>
            <w:tcBorders>
              <w:top w:val="nil"/>
              <w:left w:val="nil"/>
              <w:bottom w:val="nil"/>
              <w:right w:val="nil"/>
            </w:tcBorders>
          </w:tcPr>
          <w:p w14:paraId="403C2914" w14:textId="77777777" w:rsidR="00AD4B2A" w:rsidRDefault="0033796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2016</w:t>
            </w:r>
          </w:p>
        </w:tc>
      </w:tr>
      <w:tr w:rsidR="00AD4B2A" w14:paraId="46C07075" w14:textId="77777777" w:rsidTr="00687DCE">
        <w:tc>
          <w:tcPr>
            <w:tcW w:w="2127" w:type="dxa"/>
            <w:tcBorders>
              <w:top w:val="nil"/>
              <w:left w:val="nil"/>
              <w:bottom w:val="nil"/>
              <w:right w:val="nil"/>
            </w:tcBorders>
          </w:tcPr>
          <w:p w14:paraId="3BAF164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Fred Bergwerff</w:t>
            </w:r>
          </w:p>
        </w:tc>
        <w:tc>
          <w:tcPr>
            <w:tcW w:w="4110" w:type="dxa"/>
            <w:tcBorders>
              <w:top w:val="nil"/>
              <w:left w:val="nil"/>
              <w:bottom w:val="nil"/>
              <w:right w:val="nil"/>
            </w:tcBorders>
          </w:tcPr>
          <w:p w14:paraId="46F6EFE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 xml:space="preserve">Oxylow BV </w:t>
            </w:r>
          </w:p>
        </w:tc>
        <w:tc>
          <w:tcPr>
            <w:tcW w:w="1276" w:type="dxa"/>
            <w:tcBorders>
              <w:top w:val="nil"/>
              <w:left w:val="nil"/>
              <w:bottom w:val="nil"/>
              <w:right w:val="nil"/>
            </w:tcBorders>
          </w:tcPr>
          <w:p w14:paraId="0A5EFED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The Netherlands</w:t>
            </w:r>
          </w:p>
        </w:tc>
        <w:tc>
          <w:tcPr>
            <w:tcW w:w="1134" w:type="dxa"/>
            <w:tcBorders>
              <w:top w:val="nil"/>
              <w:left w:val="nil"/>
              <w:bottom w:val="nil"/>
              <w:right w:val="nil"/>
            </w:tcBorders>
          </w:tcPr>
          <w:p w14:paraId="79622F60"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A47D9E">
              <w:rPr>
                <w:sz w:val="20"/>
              </w:rPr>
              <w:t>8</w:t>
            </w:r>
          </w:p>
        </w:tc>
      </w:tr>
      <w:tr w:rsidR="00AD4B2A" w14:paraId="53E25B89" w14:textId="77777777" w:rsidTr="00687DCE">
        <w:tc>
          <w:tcPr>
            <w:tcW w:w="2127" w:type="dxa"/>
            <w:tcBorders>
              <w:top w:val="nil"/>
              <w:left w:val="nil"/>
              <w:bottom w:val="nil"/>
              <w:right w:val="nil"/>
            </w:tcBorders>
          </w:tcPr>
          <w:p w14:paraId="5FA718A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 xml:space="preserve">Aocheng Cao </w:t>
            </w:r>
          </w:p>
        </w:tc>
        <w:tc>
          <w:tcPr>
            <w:tcW w:w="4110" w:type="dxa"/>
            <w:tcBorders>
              <w:top w:val="nil"/>
              <w:left w:val="nil"/>
              <w:bottom w:val="nil"/>
              <w:right w:val="nil"/>
            </w:tcBorders>
          </w:tcPr>
          <w:p w14:paraId="286900C7"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Chinese Academy of Agricultural Sciences</w:t>
            </w:r>
          </w:p>
        </w:tc>
        <w:tc>
          <w:tcPr>
            <w:tcW w:w="1276" w:type="dxa"/>
            <w:tcBorders>
              <w:top w:val="nil"/>
              <w:left w:val="nil"/>
              <w:bottom w:val="nil"/>
              <w:right w:val="nil"/>
            </w:tcBorders>
          </w:tcPr>
          <w:p w14:paraId="5F4FAAC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China</w:t>
            </w:r>
          </w:p>
        </w:tc>
        <w:tc>
          <w:tcPr>
            <w:tcW w:w="1134" w:type="dxa"/>
            <w:tcBorders>
              <w:top w:val="nil"/>
              <w:left w:val="nil"/>
              <w:bottom w:val="nil"/>
              <w:right w:val="nil"/>
            </w:tcBorders>
          </w:tcPr>
          <w:p w14:paraId="0E57A85B"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8</w:t>
            </w:r>
          </w:p>
        </w:tc>
      </w:tr>
      <w:tr w:rsidR="00AD4B2A" w14:paraId="7D7DA193" w14:textId="77777777" w:rsidTr="00687DCE">
        <w:tc>
          <w:tcPr>
            <w:tcW w:w="2127" w:type="dxa"/>
            <w:tcBorders>
              <w:top w:val="nil"/>
              <w:left w:val="nil"/>
              <w:bottom w:val="nil"/>
              <w:right w:val="nil"/>
            </w:tcBorders>
          </w:tcPr>
          <w:p w14:paraId="2DDE849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Raquel Ghini</w:t>
            </w:r>
          </w:p>
        </w:tc>
        <w:tc>
          <w:tcPr>
            <w:tcW w:w="4110" w:type="dxa"/>
            <w:tcBorders>
              <w:top w:val="nil"/>
              <w:left w:val="nil"/>
              <w:bottom w:val="nil"/>
              <w:right w:val="nil"/>
            </w:tcBorders>
          </w:tcPr>
          <w:p w14:paraId="4C925FD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EMBRAPA</w:t>
            </w:r>
          </w:p>
        </w:tc>
        <w:tc>
          <w:tcPr>
            <w:tcW w:w="1276" w:type="dxa"/>
            <w:tcBorders>
              <w:top w:val="nil"/>
              <w:left w:val="nil"/>
              <w:bottom w:val="nil"/>
              <w:right w:val="nil"/>
            </w:tcBorders>
          </w:tcPr>
          <w:p w14:paraId="2672942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Brasil</w:t>
            </w:r>
          </w:p>
        </w:tc>
        <w:tc>
          <w:tcPr>
            <w:tcW w:w="1134" w:type="dxa"/>
            <w:tcBorders>
              <w:top w:val="nil"/>
              <w:left w:val="nil"/>
              <w:bottom w:val="nil"/>
              <w:right w:val="nil"/>
            </w:tcBorders>
          </w:tcPr>
          <w:p w14:paraId="14AAF4CA"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6</w:t>
            </w:r>
          </w:p>
        </w:tc>
      </w:tr>
      <w:tr w:rsidR="00AD4B2A" w14:paraId="17D683FD" w14:textId="77777777" w:rsidTr="00687DCE">
        <w:tc>
          <w:tcPr>
            <w:tcW w:w="2127" w:type="dxa"/>
            <w:tcBorders>
              <w:top w:val="nil"/>
              <w:left w:val="nil"/>
              <w:bottom w:val="nil"/>
              <w:right w:val="nil"/>
            </w:tcBorders>
          </w:tcPr>
          <w:p w14:paraId="57AC8D72"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Ken Glassey</w:t>
            </w:r>
          </w:p>
        </w:tc>
        <w:tc>
          <w:tcPr>
            <w:tcW w:w="4110" w:type="dxa"/>
            <w:tcBorders>
              <w:top w:val="nil"/>
              <w:left w:val="nil"/>
              <w:bottom w:val="nil"/>
              <w:right w:val="nil"/>
            </w:tcBorders>
          </w:tcPr>
          <w:p w14:paraId="11BB30C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MAFF – NZ</w:t>
            </w:r>
          </w:p>
        </w:tc>
        <w:tc>
          <w:tcPr>
            <w:tcW w:w="1276" w:type="dxa"/>
            <w:tcBorders>
              <w:top w:val="nil"/>
              <w:left w:val="nil"/>
              <w:bottom w:val="nil"/>
              <w:right w:val="nil"/>
            </w:tcBorders>
          </w:tcPr>
          <w:p w14:paraId="554BC88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New Zealand</w:t>
            </w:r>
          </w:p>
        </w:tc>
        <w:tc>
          <w:tcPr>
            <w:tcW w:w="1134" w:type="dxa"/>
            <w:tcBorders>
              <w:top w:val="nil"/>
              <w:left w:val="nil"/>
              <w:bottom w:val="nil"/>
              <w:right w:val="nil"/>
            </w:tcBorders>
          </w:tcPr>
          <w:p w14:paraId="57594C72"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8</w:t>
            </w:r>
          </w:p>
        </w:tc>
      </w:tr>
      <w:tr w:rsidR="00AD4B2A" w14:paraId="35AD4268" w14:textId="77777777" w:rsidTr="00687DCE">
        <w:tc>
          <w:tcPr>
            <w:tcW w:w="2127" w:type="dxa"/>
            <w:tcBorders>
              <w:top w:val="nil"/>
              <w:left w:val="nil"/>
              <w:bottom w:val="nil"/>
              <w:right w:val="nil"/>
            </w:tcBorders>
          </w:tcPr>
          <w:p w14:paraId="1B923AD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Eduardo Gonzalez</w:t>
            </w:r>
          </w:p>
        </w:tc>
        <w:tc>
          <w:tcPr>
            <w:tcW w:w="4110" w:type="dxa"/>
            <w:tcBorders>
              <w:top w:val="nil"/>
              <w:left w:val="nil"/>
              <w:bottom w:val="nil"/>
              <w:right w:val="nil"/>
            </w:tcBorders>
          </w:tcPr>
          <w:p w14:paraId="53E7C08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Fumigator</w:t>
            </w:r>
          </w:p>
        </w:tc>
        <w:tc>
          <w:tcPr>
            <w:tcW w:w="1276" w:type="dxa"/>
            <w:tcBorders>
              <w:top w:val="nil"/>
              <w:left w:val="nil"/>
              <w:bottom w:val="nil"/>
              <w:right w:val="nil"/>
            </w:tcBorders>
          </w:tcPr>
          <w:p w14:paraId="7CD1583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Philippines</w:t>
            </w:r>
          </w:p>
        </w:tc>
        <w:tc>
          <w:tcPr>
            <w:tcW w:w="1134" w:type="dxa"/>
            <w:tcBorders>
              <w:top w:val="nil"/>
              <w:left w:val="nil"/>
              <w:bottom w:val="nil"/>
              <w:right w:val="nil"/>
            </w:tcBorders>
          </w:tcPr>
          <w:p w14:paraId="06318AFA"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8</w:t>
            </w:r>
          </w:p>
        </w:tc>
      </w:tr>
      <w:tr w:rsidR="00AD4B2A" w14:paraId="25C0E7B7" w14:textId="77777777" w:rsidTr="00687DCE">
        <w:tc>
          <w:tcPr>
            <w:tcW w:w="2127" w:type="dxa"/>
            <w:tcBorders>
              <w:top w:val="nil"/>
              <w:left w:val="nil"/>
              <w:bottom w:val="nil"/>
              <w:right w:val="nil"/>
            </w:tcBorders>
          </w:tcPr>
          <w:p w14:paraId="52D9625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Takashi Misumi</w:t>
            </w:r>
          </w:p>
        </w:tc>
        <w:tc>
          <w:tcPr>
            <w:tcW w:w="4110" w:type="dxa"/>
            <w:tcBorders>
              <w:top w:val="nil"/>
              <w:left w:val="nil"/>
              <w:bottom w:val="nil"/>
              <w:right w:val="nil"/>
            </w:tcBorders>
          </w:tcPr>
          <w:p w14:paraId="789EF6F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MAFF – Japan</w:t>
            </w:r>
          </w:p>
        </w:tc>
        <w:tc>
          <w:tcPr>
            <w:tcW w:w="1276" w:type="dxa"/>
            <w:tcBorders>
              <w:top w:val="nil"/>
              <w:left w:val="nil"/>
              <w:bottom w:val="nil"/>
              <w:right w:val="nil"/>
            </w:tcBorders>
          </w:tcPr>
          <w:p w14:paraId="0575BE5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Japan</w:t>
            </w:r>
          </w:p>
        </w:tc>
        <w:tc>
          <w:tcPr>
            <w:tcW w:w="1134" w:type="dxa"/>
            <w:tcBorders>
              <w:top w:val="nil"/>
              <w:left w:val="nil"/>
              <w:bottom w:val="nil"/>
              <w:right w:val="nil"/>
            </w:tcBorders>
          </w:tcPr>
          <w:p w14:paraId="1113200A"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8</w:t>
            </w:r>
          </w:p>
        </w:tc>
      </w:tr>
      <w:tr w:rsidR="00AD4B2A" w14:paraId="4AC9D533" w14:textId="77777777" w:rsidTr="00687DCE">
        <w:tc>
          <w:tcPr>
            <w:tcW w:w="2127" w:type="dxa"/>
            <w:tcBorders>
              <w:top w:val="nil"/>
              <w:left w:val="nil"/>
              <w:bottom w:val="nil"/>
              <w:right w:val="nil"/>
            </w:tcBorders>
          </w:tcPr>
          <w:p w14:paraId="74862747" w14:textId="77777777" w:rsidR="00AD4B2A" w:rsidRDefault="0033796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Eunice Mutitu</w:t>
            </w:r>
          </w:p>
        </w:tc>
        <w:tc>
          <w:tcPr>
            <w:tcW w:w="4110" w:type="dxa"/>
            <w:tcBorders>
              <w:top w:val="nil"/>
              <w:left w:val="nil"/>
              <w:bottom w:val="nil"/>
              <w:right w:val="nil"/>
            </w:tcBorders>
          </w:tcPr>
          <w:p w14:paraId="599DB9CA" w14:textId="77777777" w:rsidR="00AD4B2A" w:rsidRDefault="0033796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University of Nairobi</w:t>
            </w:r>
          </w:p>
        </w:tc>
        <w:tc>
          <w:tcPr>
            <w:tcW w:w="1276" w:type="dxa"/>
            <w:tcBorders>
              <w:top w:val="nil"/>
              <w:left w:val="nil"/>
              <w:bottom w:val="nil"/>
              <w:right w:val="nil"/>
            </w:tcBorders>
          </w:tcPr>
          <w:p w14:paraId="12ED62E9"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Kenya</w:t>
            </w:r>
          </w:p>
        </w:tc>
        <w:tc>
          <w:tcPr>
            <w:tcW w:w="1134" w:type="dxa"/>
            <w:tcBorders>
              <w:top w:val="nil"/>
              <w:left w:val="nil"/>
              <w:bottom w:val="nil"/>
              <w:right w:val="nil"/>
            </w:tcBorders>
          </w:tcPr>
          <w:p w14:paraId="37F84708"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6</w:t>
            </w:r>
          </w:p>
        </w:tc>
      </w:tr>
      <w:tr w:rsidR="00AD4B2A" w14:paraId="59E61202" w14:textId="77777777" w:rsidTr="00687DCE">
        <w:tc>
          <w:tcPr>
            <w:tcW w:w="2127" w:type="dxa"/>
            <w:tcBorders>
              <w:top w:val="nil"/>
              <w:left w:val="nil"/>
              <w:bottom w:val="nil"/>
              <w:right w:val="nil"/>
            </w:tcBorders>
          </w:tcPr>
          <w:p w14:paraId="3C04D07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Christoph Reichmuth</w:t>
            </w:r>
          </w:p>
        </w:tc>
        <w:tc>
          <w:tcPr>
            <w:tcW w:w="4110" w:type="dxa"/>
            <w:tcBorders>
              <w:top w:val="nil"/>
              <w:left w:val="nil"/>
              <w:bottom w:val="nil"/>
              <w:right w:val="nil"/>
            </w:tcBorders>
          </w:tcPr>
          <w:p w14:paraId="1FBDE48F"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Honorary Professor</w:t>
            </w:r>
          </w:p>
        </w:tc>
        <w:tc>
          <w:tcPr>
            <w:tcW w:w="1276" w:type="dxa"/>
            <w:tcBorders>
              <w:top w:val="nil"/>
              <w:left w:val="nil"/>
              <w:bottom w:val="nil"/>
              <w:right w:val="nil"/>
            </w:tcBorders>
          </w:tcPr>
          <w:p w14:paraId="52F6037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Germany</w:t>
            </w:r>
          </w:p>
        </w:tc>
        <w:tc>
          <w:tcPr>
            <w:tcW w:w="1134" w:type="dxa"/>
            <w:tcBorders>
              <w:top w:val="nil"/>
              <w:left w:val="nil"/>
              <w:bottom w:val="nil"/>
              <w:right w:val="nil"/>
            </w:tcBorders>
          </w:tcPr>
          <w:p w14:paraId="42EEB016"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8</w:t>
            </w:r>
          </w:p>
        </w:tc>
      </w:tr>
      <w:tr w:rsidR="00AD4B2A" w14:paraId="0ECD42F9" w14:textId="77777777" w:rsidTr="00687DCE">
        <w:tc>
          <w:tcPr>
            <w:tcW w:w="2127" w:type="dxa"/>
            <w:tcBorders>
              <w:top w:val="nil"/>
              <w:left w:val="nil"/>
              <w:bottom w:val="nil"/>
              <w:right w:val="nil"/>
            </w:tcBorders>
          </w:tcPr>
          <w:p w14:paraId="6A4DC4A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Jordi Riudavets</w:t>
            </w:r>
          </w:p>
        </w:tc>
        <w:tc>
          <w:tcPr>
            <w:tcW w:w="4110" w:type="dxa"/>
            <w:tcBorders>
              <w:top w:val="nil"/>
              <w:left w:val="nil"/>
              <w:bottom w:val="nil"/>
              <w:right w:val="nil"/>
            </w:tcBorders>
          </w:tcPr>
          <w:p w14:paraId="447DD9B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IRTA – Department of Plant Protection</w:t>
            </w:r>
          </w:p>
        </w:tc>
        <w:tc>
          <w:tcPr>
            <w:tcW w:w="1276" w:type="dxa"/>
            <w:tcBorders>
              <w:top w:val="nil"/>
              <w:left w:val="nil"/>
              <w:bottom w:val="nil"/>
              <w:right w:val="nil"/>
            </w:tcBorders>
          </w:tcPr>
          <w:p w14:paraId="2B15166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Spain</w:t>
            </w:r>
          </w:p>
        </w:tc>
        <w:tc>
          <w:tcPr>
            <w:tcW w:w="1134" w:type="dxa"/>
            <w:tcBorders>
              <w:top w:val="nil"/>
              <w:left w:val="nil"/>
              <w:bottom w:val="nil"/>
              <w:right w:val="nil"/>
            </w:tcBorders>
          </w:tcPr>
          <w:p w14:paraId="6309ECC6"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216FF">
              <w:rPr>
                <w:sz w:val="20"/>
              </w:rPr>
              <w:t>7</w:t>
            </w:r>
          </w:p>
        </w:tc>
      </w:tr>
      <w:tr w:rsidR="00AD4B2A" w14:paraId="7B3F1CC6" w14:textId="77777777" w:rsidTr="00687DCE">
        <w:tc>
          <w:tcPr>
            <w:tcW w:w="2127" w:type="dxa"/>
            <w:tcBorders>
              <w:top w:val="nil"/>
              <w:left w:val="nil"/>
              <w:bottom w:val="nil"/>
              <w:right w:val="nil"/>
            </w:tcBorders>
          </w:tcPr>
          <w:p w14:paraId="738EF22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JL Staphorst</w:t>
            </w:r>
          </w:p>
        </w:tc>
        <w:tc>
          <w:tcPr>
            <w:tcW w:w="4110" w:type="dxa"/>
            <w:tcBorders>
              <w:top w:val="nil"/>
              <w:left w:val="nil"/>
              <w:bottom w:val="nil"/>
              <w:right w:val="nil"/>
            </w:tcBorders>
          </w:tcPr>
          <w:p w14:paraId="4DED3FC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276" w:type="dxa"/>
            <w:tcBorders>
              <w:top w:val="nil"/>
              <w:left w:val="nil"/>
              <w:bottom w:val="nil"/>
              <w:right w:val="nil"/>
            </w:tcBorders>
          </w:tcPr>
          <w:p w14:paraId="21B56FC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South Africa</w:t>
            </w:r>
          </w:p>
        </w:tc>
        <w:tc>
          <w:tcPr>
            <w:tcW w:w="1134" w:type="dxa"/>
            <w:tcBorders>
              <w:top w:val="nil"/>
              <w:left w:val="nil"/>
              <w:bottom w:val="nil"/>
              <w:right w:val="nil"/>
            </w:tcBorders>
          </w:tcPr>
          <w:p w14:paraId="488D994E"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6</w:t>
            </w:r>
          </w:p>
        </w:tc>
      </w:tr>
      <w:tr w:rsidR="00AD4B2A" w14:paraId="69172123" w14:textId="77777777" w:rsidTr="00687DCE">
        <w:tc>
          <w:tcPr>
            <w:tcW w:w="2127" w:type="dxa"/>
            <w:tcBorders>
              <w:top w:val="nil"/>
              <w:left w:val="nil"/>
              <w:bottom w:val="nil"/>
              <w:right w:val="nil"/>
            </w:tcBorders>
          </w:tcPr>
          <w:p w14:paraId="3F3FD729"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Akio Tateya</w:t>
            </w:r>
          </w:p>
        </w:tc>
        <w:tc>
          <w:tcPr>
            <w:tcW w:w="4110" w:type="dxa"/>
            <w:tcBorders>
              <w:top w:val="nil"/>
              <w:left w:val="nil"/>
              <w:bottom w:val="nil"/>
              <w:right w:val="nil"/>
            </w:tcBorders>
          </w:tcPr>
          <w:p w14:paraId="0F2E03D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lang w:eastAsia="ja-JP"/>
              </w:rPr>
              <w:t xml:space="preserve">Technical Adviser, Syngenta </w:t>
            </w:r>
          </w:p>
        </w:tc>
        <w:tc>
          <w:tcPr>
            <w:tcW w:w="1276" w:type="dxa"/>
            <w:tcBorders>
              <w:top w:val="nil"/>
              <w:left w:val="nil"/>
              <w:bottom w:val="nil"/>
              <w:right w:val="nil"/>
            </w:tcBorders>
          </w:tcPr>
          <w:p w14:paraId="7356B8B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Japan</w:t>
            </w:r>
          </w:p>
        </w:tc>
        <w:tc>
          <w:tcPr>
            <w:tcW w:w="1134" w:type="dxa"/>
            <w:tcBorders>
              <w:top w:val="nil"/>
              <w:left w:val="nil"/>
              <w:bottom w:val="nil"/>
              <w:right w:val="nil"/>
            </w:tcBorders>
          </w:tcPr>
          <w:p w14:paraId="60F9C568"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8</w:t>
            </w:r>
          </w:p>
        </w:tc>
      </w:tr>
      <w:tr w:rsidR="00AD4B2A" w14:paraId="148BB99A" w14:textId="77777777" w:rsidTr="00687DCE">
        <w:tc>
          <w:tcPr>
            <w:tcW w:w="2127" w:type="dxa"/>
            <w:tcBorders>
              <w:top w:val="nil"/>
              <w:left w:val="nil"/>
              <w:bottom w:val="nil"/>
              <w:right w:val="nil"/>
            </w:tcBorders>
          </w:tcPr>
          <w:p w14:paraId="375F2D4F"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Alejandro Valeiro</w:t>
            </w:r>
          </w:p>
        </w:tc>
        <w:tc>
          <w:tcPr>
            <w:tcW w:w="4110" w:type="dxa"/>
            <w:tcBorders>
              <w:top w:val="nil"/>
              <w:left w:val="nil"/>
              <w:bottom w:val="nil"/>
              <w:right w:val="nil"/>
            </w:tcBorders>
          </w:tcPr>
          <w:p w14:paraId="5959F14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National Institute for Agriculture Technology</w:t>
            </w:r>
          </w:p>
        </w:tc>
        <w:tc>
          <w:tcPr>
            <w:tcW w:w="1276" w:type="dxa"/>
            <w:tcBorders>
              <w:top w:val="nil"/>
              <w:left w:val="nil"/>
              <w:bottom w:val="nil"/>
              <w:right w:val="nil"/>
            </w:tcBorders>
          </w:tcPr>
          <w:p w14:paraId="6A896EB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Argentina</w:t>
            </w:r>
          </w:p>
        </w:tc>
        <w:tc>
          <w:tcPr>
            <w:tcW w:w="1134" w:type="dxa"/>
            <w:tcBorders>
              <w:top w:val="nil"/>
              <w:left w:val="nil"/>
              <w:bottom w:val="nil"/>
              <w:right w:val="nil"/>
            </w:tcBorders>
          </w:tcPr>
          <w:p w14:paraId="3568E7A7"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8</w:t>
            </w:r>
          </w:p>
        </w:tc>
      </w:tr>
      <w:tr w:rsidR="00AD4B2A" w14:paraId="491E5DB7" w14:textId="77777777" w:rsidTr="00687DCE">
        <w:tc>
          <w:tcPr>
            <w:tcW w:w="2127" w:type="dxa"/>
            <w:tcBorders>
              <w:top w:val="nil"/>
              <w:left w:val="nil"/>
              <w:bottom w:val="nil"/>
              <w:right w:val="nil"/>
            </w:tcBorders>
          </w:tcPr>
          <w:p w14:paraId="4F5C0ACF"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Ken Vick</w:t>
            </w:r>
          </w:p>
        </w:tc>
        <w:tc>
          <w:tcPr>
            <w:tcW w:w="4110" w:type="dxa"/>
            <w:tcBorders>
              <w:top w:val="nil"/>
              <w:left w:val="nil"/>
              <w:bottom w:val="nil"/>
              <w:right w:val="nil"/>
            </w:tcBorders>
          </w:tcPr>
          <w:p w14:paraId="1917741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276" w:type="dxa"/>
            <w:tcBorders>
              <w:top w:val="nil"/>
              <w:left w:val="nil"/>
              <w:bottom w:val="nil"/>
              <w:right w:val="nil"/>
            </w:tcBorders>
          </w:tcPr>
          <w:p w14:paraId="33CCE4A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134" w:type="dxa"/>
            <w:tcBorders>
              <w:top w:val="nil"/>
              <w:left w:val="nil"/>
              <w:bottom w:val="nil"/>
              <w:right w:val="nil"/>
            </w:tcBorders>
          </w:tcPr>
          <w:p w14:paraId="566DB0A4"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6</w:t>
            </w:r>
          </w:p>
        </w:tc>
      </w:tr>
      <w:tr w:rsidR="00AD4B2A" w14:paraId="266610B1" w14:textId="77777777" w:rsidTr="00687DCE">
        <w:tc>
          <w:tcPr>
            <w:tcW w:w="2127" w:type="dxa"/>
            <w:tcBorders>
              <w:top w:val="nil"/>
              <w:left w:val="nil"/>
              <w:bottom w:val="nil"/>
              <w:right w:val="nil"/>
            </w:tcBorders>
          </w:tcPr>
          <w:p w14:paraId="2CFE2307"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Nick Vink</w:t>
            </w:r>
          </w:p>
        </w:tc>
        <w:tc>
          <w:tcPr>
            <w:tcW w:w="4110" w:type="dxa"/>
            <w:tcBorders>
              <w:top w:val="nil"/>
              <w:left w:val="nil"/>
              <w:bottom w:val="nil"/>
              <w:right w:val="nil"/>
            </w:tcBorders>
          </w:tcPr>
          <w:p w14:paraId="2C928C7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University of Stellenbosch</w:t>
            </w:r>
          </w:p>
        </w:tc>
        <w:tc>
          <w:tcPr>
            <w:tcW w:w="1276" w:type="dxa"/>
            <w:tcBorders>
              <w:top w:val="nil"/>
              <w:left w:val="nil"/>
              <w:bottom w:val="nil"/>
              <w:right w:val="nil"/>
            </w:tcBorders>
          </w:tcPr>
          <w:p w14:paraId="0D22E78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South Africa</w:t>
            </w:r>
          </w:p>
        </w:tc>
        <w:tc>
          <w:tcPr>
            <w:tcW w:w="1134" w:type="dxa"/>
            <w:tcBorders>
              <w:top w:val="nil"/>
              <w:left w:val="nil"/>
              <w:bottom w:val="nil"/>
              <w:right w:val="nil"/>
            </w:tcBorders>
          </w:tcPr>
          <w:p w14:paraId="0F17FD88"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33796A">
              <w:rPr>
                <w:sz w:val="20"/>
              </w:rPr>
              <w:t>8</w:t>
            </w:r>
          </w:p>
        </w:tc>
      </w:tr>
      <w:tr w:rsidR="00AD4B2A" w14:paraId="3E1990C0" w14:textId="77777777" w:rsidTr="00687DCE">
        <w:tc>
          <w:tcPr>
            <w:tcW w:w="2127" w:type="dxa"/>
            <w:tcBorders>
              <w:top w:val="nil"/>
              <w:left w:val="nil"/>
              <w:bottom w:val="nil"/>
              <w:right w:val="nil"/>
            </w:tcBorders>
          </w:tcPr>
          <w:p w14:paraId="349B185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Eduardo Willink</w:t>
            </w:r>
          </w:p>
        </w:tc>
        <w:tc>
          <w:tcPr>
            <w:tcW w:w="4110" w:type="dxa"/>
            <w:tcBorders>
              <w:top w:val="nil"/>
              <w:left w:val="nil"/>
              <w:bottom w:val="nil"/>
              <w:right w:val="nil"/>
            </w:tcBorders>
          </w:tcPr>
          <w:p w14:paraId="3D008FE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Ministerio de Agricultura</w:t>
            </w:r>
          </w:p>
        </w:tc>
        <w:tc>
          <w:tcPr>
            <w:tcW w:w="1276" w:type="dxa"/>
            <w:tcBorders>
              <w:top w:val="nil"/>
              <w:left w:val="nil"/>
              <w:bottom w:val="nil"/>
              <w:right w:val="nil"/>
            </w:tcBorders>
          </w:tcPr>
          <w:p w14:paraId="599C63E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Argentina</w:t>
            </w:r>
          </w:p>
        </w:tc>
        <w:tc>
          <w:tcPr>
            <w:tcW w:w="1134" w:type="dxa"/>
            <w:tcBorders>
              <w:top w:val="nil"/>
              <w:left w:val="nil"/>
              <w:bottom w:val="nil"/>
              <w:right w:val="nil"/>
            </w:tcBorders>
          </w:tcPr>
          <w:p w14:paraId="5FB1ABD2"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A47D9E">
              <w:rPr>
                <w:sz w:val="20"/>
              </w:rPr>
              <w:t>6</w:t>
            </w:r>
          </w:p>
        </w:tc>
      </w:tr>
      <w:tr w:rsidR="00AD4B2A" w14:paraId="1644A0F8" w14:textId="77777777" w:rsidTr="00687DCE">
        <w:tc>
          <w:tcPr>
            <w:tcW w:w="2127" w:type="dxa"/>
            <w:tcBorders>
              <w:top w:val="nil"/>
              <w:left w:val="nil"/>
              <w:bottom w:val="nil"/>
              <w:right w:val="nil"/>
            </w:tcBorders>
          </w:tcPr>
          <w:p w14:paraId="75D2DA1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Pr>
                <w:sz w:val="20"/>
              </w:rPr>
              <w:t>Suat Yilmaz</w:t>
            </w:r>
          </w:p>
        </w:tc>
        <w:tc>
          <w:tcPr>
            <w:tcW w:w="4110" w:type="dxa"/>
            <w:tcBorders>
              <w:top w:val="nil"/>
              <w:left w:val="nil"/>
              <w:bottom w:val="nil"/>
              <w:right w:val="nil"/>
            </w:tcBorders>
          </w:tcPr>
          <w:p w14:paraId="35054AA5" w14:textId="77777777" w:rsidR="00AD4B2A" w:rsidRDefault="00591AA8" w:rsidP="00B25ED1">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uppressAutoHyphens/>
              <w:spacing w:after="0"/>
              <w:ind w:right="113"/>
              <w:rPr>
                <w:b/>
                <w:sz w:val="20"/>
              </w:rPr>
            </w:pPr>
            <w:r>
              <w:rPr>
                <w:sz w:val="20"/>
              </w:rPr>
              <w:t xml:space="preserve">Ministry of Food, Agriculture and Livestock </w:t>
            </w:r>
          </w:p>
        </w:tc>
        <w:tc>
          <w:tcPr>
            <w:tcW w:w="1276" w:type="dxa"/>
            <w:tcBorders>
              <w:top w:val="nil"/>
              <w:left w:val="nil"/>
              <w:bottom w:val="nil"/>
              <w:right w:val="nil"/>
            </w:tcBorders>
          </w:tcPr>
          <w:p w14:paraId="270D6EE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Turkey</w:t>
            </w:r>
          </w:p>
        </w:tc>
        <w:tc>
          <w:tcPr>
            <w:tcW w:w="1134" w:type="dxa"/>
            <w:tcBorders>
              <w:top w:val="nil"/>
              <w:left w:val="nil"/>
              <w:bottom w:val="nil"/>
              <w:right w:val="nil"/>
            </w:tcBorders>
          </w:tcPr>
          <w:p w14:paraId="4963D73A" w14:textId="77777777" w:rsidR="00AD4B2A" w:rsidRDefault="009403A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A47D9E">
              <w:rPr>
                <w:sz w:val="20"/>
              </w:rPr>
              <w:t>6</w:t>
            </w:r>
          </w:p>
        </w:tc>
      </w:tr>
    </w:tbl>
    <w:p w14:paraId="61DFF5DA" w14:textId="0CC5239D"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rPr>
      </w:pPr>
      <w:r>
        <w:rPr>
          <w:b/>
        </w:rPr>
        <w:br w:type="page"/>
      </w:r>
      <w:r w:rsidRPr="00035756">
        <w:rPr>
          <w:b/>
        </w:rPr>
        <w:t xml:space="preserve">TEAP Refrigeration, Air Conditioning and Heat Pumps Technical Options Committee </w:t>
      </w:r>
    </w:p>
    <w:p w14:paraId="67E78908" w14:textId="77777777" w:rsidR="00AD4B2A" w:rsidRDefault="00AD4B2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pPr>
    </w:p>
    <w:tbl>
      <w:tblPr>
        <w:tblW w:w="8744" w:type="dxa"/>
        <w:tblInd w:w="108" w:type="dxa"/>
        <w:tblLayout w:type="fixed"/>
        <w:tblLook w:val="0000" w:firstRow="0" w:lastRow="0" w:firstColumn="0" w:lastColumn="0" w:noHBand="0" w:noVBand="0"/>
      </w:tblPr>
      <w:tblGrid>
        <w:gridCol w:w="2127"/>
        <w:gridCol w:w="3640"/>
        <w:gridCol w:w="1701"/>
        <w:gridCol w:w="1276"/>
      </w:tblGrid>
      <w:tr w:rsidR="00AD4B2A" w14:paraId="483A1B98" w14:textId="77777777" w:rsidTr="008530E3">
        <w:tc>
          <w:tcPr>
            <w:tcW w:w="2127" w:type="dxa"/>
            <w:tcBorders>
              <w:top w:val="nil"/>
              <w:left w:val="nil"/>
              <w:bottom w:val="nil"/>
              <w:right w:val="nil"/>
            </w:tcBorders>
          </w:tcPr>
          <w:p w14:paraId="3880D3C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Pr>
                <w:b/>
                <w:sz w:val="20"/>
              </w:rPr>
              <w:t>Co-chairs</w:t>
            </w:r>
          </w:p>
        </w:tc>
        <w:tc>
          <w:tcPr>
            <w:tcW w:w="3640" w:type="dxa"/>
            <w:tcBorders>
              <w:top w:val="nil"/>
              <w:left w:val="nil"/>
              <w:bottom w:val="nil"/>
              <w:right w:val="nil"/>
            </w:tcBorders>
          </w:tcPr>
          <w:p w14:paraId="4148FA9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701" w:type="dxa"/>
            <w:tcBorders>
              <w:top w:val="nil"/>
              <w:left w:val="nil"/>
              <w:bottom w:val="nil"/>
              <w:right w:val="nil"/>
            </w:tcBorders>
          </w:tcPr>
          <w:p w14:paraId="27C169E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276" w:type="dxa"/>
            <w:tcBorders>
              <w:top w:val="nil"/>
              <w:left w:val="nil"/>
              <w:bottom w:val="nil"/>
              <w:right w:val="nil"/>
            </w:tcBorders>
          </w:tcPr>
          <w:p w14:paraId="420801CE" w14:textId="6E0E5116" w:rsidR="00AD4B2A" w:rsidRDefault="00591AA8" w:rsidP="00165E8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b/>
                <w:sz w:val="20"/>
              </w:rPr>
            </w:pPr>
            <w:r>
              <w:rPr>
                <w:b/>
                <w:sz w:val="20"/>
              </w:rPr>
              <w:t>Appoi</w:t>
            </w:r>
            <w:r w:rsidR="00165E88">
              <w:rPr>
                <w:b/>
                <w:sz w:val="20"/>
              </w:rPr>
              <w:t>nted</w:t>
            </w:r>
            <w:r>
              <w:rPr>
                <w:b/>
                <w:sz w:val="20"/>
              </w:rPr>
              <w:t xml:space="preserve"> through</w:t>
            </w:r>
          </w:p>
        </w:tc>
      </w:tr>
      <w:tr w:rsidR="00AD4B2A" w14:paraId="6331CEC6" w14:textId="77777777" w:rsidTr="008530E3">
        <w:tc>
          <w:tcPr>
            <w:tcW w:w="2127" w:type="dxa"/>
            <w:tcBorders>
              <w:top w:val="nil"/>
              <w:left w:val="nil"/>
              <w:bottom w:val="nil"/>
              <w:right w:val="nil"/>
            </w:tcBorders>
          </w:tcPr>
          <w:p w14:paraId="7841754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Lambert Kuijpers</w:t>
            </w:r>
          </w:p>
        </w:tc>
        <w:tc>
          <w:tcPr>
            <w:tcW w:w="3640" w:type="dxa"/>
            <w:tcBorders>
              <w:top w:val="nil"/>
              <w:left w:val="nil"/>
              <w:bottom w:val="nil"/>
              <w:right w:val="nil"/>
            </w:tcBorders>
          </w:tcPr>
          <w:p w14:paraId="023DF813" w14:textId="4C8FD9EC" w:rsidR="00AD4B2A" w:rsidRDefault="0003575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A/genT Consultancy (TUE Eindhoven)</w:t>
            </w:r>
          </w:p>
        </w:tc>
        <w:tc>
          <w:tcPr>
            <w:tcW w:w="1701" w:type="dxa"/>
            <w:tcBorders>
              <w:top w:val="nil"/>
              <w:left w:val="nil"/>
              <w:bottom w:val="nil"/>
              <w:right w:val="nil"/>
            </w:tcBorders>
          </w:tcPr>
          <w:p w14:paraId="1E62900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Netherlands</w:t>
            </w:r>
          </w:p>
        </w:tc>
        <w:tc>
          <w:tcPr>
            <w:tcW w:w="1276" w:type="dxa"/>
            <w:tcBorders>
              <w:top w:val="nil"/>
              <w:left w:val="nil"/>
              <w:bottom w:val="nil"/>
              <w:right w:val="nil"/>
            </w:tcBorders>
          </w:tcPr>
          <w:p w14:paraId="463B1217" w14:textId="77777777" w:rsidR="00AD4B2A" w:rsidRDefault="000C1A0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A47D9E">
              <w:rPr>
                <w:sz w:val="20"/>
              </w:rPr>
              <w:t>5</w:t>
            </w:r>
          </w:p>
        </w:tc>
      </w:tr>
      <w:tr w:rsidR="00AD4B2A" w14:paraId="143C198F" w14:textId="77777777" w:rsidTr="008530E3">
        <w:tc>
          <w:tcPr>
            <w:tcW w:w="2127" w:type="dxa"/>
            <w:tcBorders>
              <w:top w:val="nil"/>
              <w:left w:val="nil"/>
              <w:bottom w:val="nil"/>
              <w:right w:val="nil"/>
            </w:tcBorders>
          </w:tcPr>
          <w:p w14:paraId="08D67AA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 xml:space="preserve">Roberto de A. Peixoto </w:t>
            </w:r>
          </w:p>
        </w:tc>
        <w:tc>
          <w:tcPr>
            <w:tcW w:w="3640" w:type="dxa"/>
            <w:tcBorders>
              <w:top w:val="nil"/>
              <w:left w:val="nil"/>
              <w:bottom w:val="nil"/>
              <w:right w:val="nil"/>
            </w:tcBorders>
          </w:tcPr>
          <w:p w14:paraId="272BB0F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val="pt-BR"/>
              </w:rPr>
            </w:pPr>
            <w:r>
              <w:rPr>
                <w:sz w:val="20"/>
                <w:lang w:val="pt-BR"/>
              </w:rPr>
              <w:t>Maua Institute, IMT, Sao Paulo</w:t>
            </w:r>
          </w:p>
        </w:tc>
        <w:tc>
          <w:tcPr>
            <w:tcW w:w="1701" w:type="dxa"/>
            <w:tcBorders>
              <w:top w:val="nil"/>
              <w:left w:val="nil"/>
              <w:bottom w:val="nil"/>
              <w:right w:val="nil"/>
            </w:tcBorders>
          </w:tcPr>
          <w:p w14:paraId="5230768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Brazil</w:t>
            </w:r>
          </w:p>
        </w:tc>
        <w:tc>
          <w:tcPr>
            <w:tcW w:w="1276" w:type="dxa"/>
            <w:tcBorders>
              <w:top w:val="nil"/>
              <w:left w:val="nil"/>
              <w:bottom w:val="nil"/>
              <w:right w:val="nil"/>
            </w:tcBorders>
          </w:tcPr>
          <w:p w14:paraId="283F01FD" w14:textId="77777777" w:rsidR="00AD4B2A" w:rsidRDefault="000C1A06"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2017</w:t>
            </w:r>
          </w:p>
        </w:tc>
      </w:tr>
      <w:tr w:rsidR="00A47D9E" w14:paraId="1D3A2FD0" w14:textId="77777777" w:rsidTr="008530E3">
        <w:tc>
          <w:tcPr>
            <w:tcW w:w="2127" w:type="dxa"/>
            <w:tcBorders>
              <w:top w:val="nil"/>
              <w:left w:val="nil"/>
              <w:bottom w:val="nil"/>
              <w:right w:val="nil"/>
            </w:tcBorders>
          </w:tcPr>
          <w:p w14:paraId="60AD43D6" w14:textId="77777777" w:rsidR="00A47D9E" w:rsidRDefault="00A47D9E"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Fabio Polonara</w:t>
            </w:r>
          </w:p>
        </w:tc>
        <w:tc>
          <w:tcPr>
            <w:tcW w:w="3640" w:type="dxa"/>
            <w:tcBorders>
              <w:top w:val="nil"/>
              <w:left w:val="nil"/>
              <w:bottom w:val="nil"/>
              <w:right w:val="nil"/>
            </w:tcBorders>
          </w:tcPr>
          <w:p w14:paraId="72104E1E" w14:textId="0E624974" w:rsidR="00A47D9E" w:rsidRPr="000A35BA" w:rsidRDefault="000A35BA"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val="pt-BR"/>
              </w:rPr>
            </w:pPr>
            <w:r w:rsidRPr="000A35BA">
              <w:rPr>
                <w:color w:val="auto"/>
                <w:sz w:val="20"/>
                <w:lang w:val="en-US" w:eastAsia="en-US"/>
              </w:rPr>
              <w:t>Universita' Politecnica delle Marche</w:t>
            </w:r>
          </w:p>
        </w:tc>
        <w:tc>
          <w:tcPr>
            <w:tcW w:w="1701" w:type="dxa"/>
            <w:tcBorders>
              <w:top w:val="nil"/>
              <w:left w:val="nil"/>
              <w:bottom w:val="nil"/>
              <w:right w:val="nil"/>
            </w:tcBorders>
          </w:tcPr>
          <w:p w14:paraId="7691CBE2" w14:textId="77777777" w:rsidR="00A47D9E" w:rsidRDefault="00A47D9E"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Italy</w:t>
            </w:r>
          </w:p>
        </w:tc>
        <w:tc>
          <w:tcPr>
            <w:tcW w:w="1276" w:type="dxa"/>
            <w:tcBorders>
              <w:top w:val="nil"/>
              <w:left w:val="nil"/>
              <w:bottom w:val="nil"/>
              <w:right w:val="nil"/>
            </w:tcBorders>
          </w:tcPr>
          <w:p w14:paraId="52478806" w14:textId="77777777" w:rsidR="00A47D9E" w:rsidRDefault="00A47D9E"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2018</w:t>
            </w:r>
          </w:p>
        </w:tc>
      </w:tr>
      <w:tr w:rsidR="00AD4B2A" w14:paraId="50517C65" w14:textId="77777777" w:rsidTr="008530E3">
        <w:tc>
          <w:tcPr>
            <w:tcW w:w="2127" w:type="dxa"/>
            <w:tcBorders>
              <w:top w:val="nil"/>
              <w:left w:val="nil"/>
              <w:bottom w:val="nil"/>
              <w:right w:val="nil"/>
            </w:tcBorders>
          </w:tcPr>
          <w:p w14:paraId="0E0C10C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b/>
                <w:sz w:val="20"/>
              </w:rPr>
            </w:pPr>
            <w:r>
              <w:rPr>
                <w:b/>
                <w:sz w:val="20"/>
              </w:rPr>
              <w:t>Members</w:t>
            </w:r>
          </w:p>
        </w:tc>
        <w:tc>
          <w:tcPr>
            <w:tcW w:w="3640" w:type="dxa"/>
            <w:tcBorders>
              <w:top w:val="nil"/>
              <w:left w:val="nil"/>
              <w:bottom w:val="nil"/>
              <w:right w:val="nil"/>
            </w:tcBorders>
          </w:tcPr>
          <w:p w14:paraId="7FED40D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Affiliation</w:t>
            </w:r>
          </w:p>
        </w:tc>
        <w:tc>
          <w:tcPr>
            <w:tcW w:w="1701" w:type="dxa"/>
            <w:tcBorders>
              <w:top w:val="nil"/>
              <w:left w:val="nil"/>
              <w:bottom w:val="nil"/>
              <w:right w:val="nil"/>
            </w:tcBorders>
          </w:tcPr>
          <w:p w14:paraId="4BDC828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Country</w:t>
            </w:r>
          </w:p>
        </w:tc>
        <w:tc>
          <w:tcPr>
            <w:tcW w:w="1276" w:type="dxa"/>
            <w:tcBorders>
              <w:top w:val="nil"/>
              <w:left w:val="nil"/>
              <w:bottom w:val="nil"/>
              <w:right w:val="nil"/>
            </w:tcBorders>
          </w:tcPr>
          <w:p w14:paraId="6588E8A2" w14:textId="49E31470" w:rsidR="00AD4B2A" w:rsidRDefault="00165E8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Pr>
                <w:b/>
                <w:sz w:val="20"/>
              </w:rPr>
              <w:t>Appointed through</w:t>
            </w:r>
          </w:p>
        </w:tc>
      </w:tr>
      <w:tr w:rsidR="00AD4B2A" w14:paraId="21A4D545" w14:textId="77777777" w:rsidTr="008530E3">
        <w:tc>
          <w:tcPr>
            <w:tcW w:w="2127" w:type="dxa"/>
            <w:tcBorders>
              <w:top w:val="nil"/>
              <w:left w:val="nil"/>
              <w:bottom w:val="nil"/>
              <w:right w:val="nil"/>
            </w:tcBorders>
          </w:tcPr>
          <w:p w14:paraId="0B2239E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James M. Calm</w:t>
            </w:r>
          </w:p>
        </w:tc>
        <w:tc>
          <w:tcPr>
            <w:tcW w:w="3640" w:type="dxa"/>
            <w:tcBorders>
              <w:top w:val="nil"/>
              <w:left w:val="nil"/>
              <w:bottom w:val="nil"/>
              <w:right w:val="nil"/>
            </w:tcBorders>
          </w:tcPr>
          <w:p w14:paraId="3B13DDA2"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Engineering Consultant</w:t>
            </w:r>
          </w:p>
        </w:tc>
        <w:tc>
          <w:tcPr>
            <w:tcW w:w="1701" w:type="dxa"/>
            <w:tcBorders>
              <w:top w:val="nil"/>
              <w:left w:val="nil"/>
              <w:bottom w:val="nil"/>
              <w:right w:val="nil"/>
            </w:tcBorders>
          </w:tcPr>
          <w:p w14:paraId="042A68B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276" w:type="dxa"/>
            <w:tcBorders>
              <w:top w:val="nil"/>
              <w:left w:val="nil"/>
              <w:bottom w:val="nil"/>
              <w:right w:val="nil"/>
            </w:tcBorders>
          </w:tcPr>
          <w:p w14:paraId="6A001EA7" w14:textId="534C0408"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29BCAFED" w14:textId="77777777" w:rsidTr="008530E3">
        <w:tc>
          <w:tcPr>
            <w:tcW w:w="2127" w:type="dxa"/>
            <w:tcBorders>
              <w:top w:val="nil"/>
              <w:left w:val="nil"/>
              <w:bottom w:val="nil"/>
              <w:right w:val="nil"/>
            </w:tcBorders>
          </w:tcPr>
          <w:p w14:paraId="4B96816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Radim Cermak</w:t>
            </w:r>
          </w:p>
        </w:tc>
        <w:tc>
          <w:tcPr>
            <w:tcW w:w="3640" w:type="dxa"/>
            <w:tcBorders>
              <w:top w:val="nil"/>
              <w:left w:val="nil"/>
              <w:bottom w:val="nil"/>
              <w:right w:val="nil"/>
            </w:tcBorders>
          </w:tcPr>
          <w:p w14:paraId="67EFDF67"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Ingersoll Rand</w:t>
            </w:r>
          </w:p>
        </w:tc>
        <w:tc>
          <w:tcPr>
            <w:tcW w:w="1701" w:type="dxa"/>
            <w:tcBorders>
              <w:top w:val="nil"/>
              <w:left w:val="nil"/>
              <w:bottom w:val="nil"/>
              <w:right w:val="nil"/>
            </w:tcBorders>
          </w:tcPr>
          <w:p w14:paraId="785A641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Czech Republic</w:t>
            </w:r>
          </w:p>
        </w:tc>
        <w:tc>
          <w:tcPr>
            <w:tcW w:w="1276" w:type="dxa"/>
            <w:tcBorders>
              <w:top w:val="nil"/>
              <w:left w:val="nil"/>
              <w:bottom w:val="nil"/>
              <w:right w:val="nil"/>
            </w:tcBorders>
          </w:tcPr>
          <w:p w14:paraId="3EBE6886" w14:textId="095272AC"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07599A5F" w14:textId="77777777" w:rsidTr="008530E3">
        <w:tc>
          <w:tcPr>
            <w:tcW w:w="2127" w:type="dxa"/>
            <w:tcBorders>
              <w:top w:val="nil"/>
              <w:left w:val="nil"/>
              <w:bottom w:val="nil"/>
              <w:right w:val="nil"/>
            </w:tcBorders>
          </w:tcPr>
          <w:p w14:paraId="46B5E95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Guangming Chen</w:t>
            </w:r>
          </w:p>
        </w:tc>
        <w:tc>
          <w:tcPr>
            <w:tcW w:w="3640" w:type="dxa"/>
            <w:tcBorders>
              <w:top w:val="nil"/>
              <w:left w:val="nil"/>
              <w:bottom w:val="nil"/>
              <w:right w:val="nil"/>
            </w:tcBorders>
          </w:tcPr>
          <w:p w14:paraId="4BC6A5E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 xml:space="preserve">Zhejiang University, Hangzhou </w:t>
            </w:r>
          </w:p>
        </w:tc>
        <w:tc>
          <w:tcPr>
            <w:tcW w:w="1701" w:type="dxa"/>
            <w:tcBorders>
              <w:top w:val="nil"/>
              <w:left w:val="nil"/>
              <w:bottom w:val="nil"/>
              <w:right w:val="nil"/>
            </w:tcBorders>
          </w:tcPr>
          <w:p w14:paraId="1ED8225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China</w:t>
            </w:r>
          </w:p>
        </w:tc>
        <w:tc>
          <w:tcPr>
            <w:tcW w:w="1276" w:type="dxa"/>
            <w:tcBorders>
              <w:top w:val="nil"/>
              <w:left w:val="nil"/>
              <w:bottom w:val="nil"/>
              <w:right w:val="nil"/>
            </w:tcBorders>
          </w:tcPr>
          <w:p w14:paraId="64AACBCE" w14:textId="6A8E96FA"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149BCDDA" w14:textId="77777777" w:rsidTr="008530E3">
        <w:tc>
          <w:tcPr>
            <w:tcW w:w="2127" w:type="dxa"/>
            <w:tcBorders>
              <w:top w:val="nil"/>
              <w:left w:val="nil"/>
              <w:bottom w:val="nil"/>
              <w:right w:val="nil"/>
            </w:tcBorders>
          </w:tcPr>
          <w:p w14:paraId="1383DDA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Jiangpin Chen</w:t>
            </w:r>
          </w:p>
        </w:tc>
        <w:tc>
          <w:tcPr>
            <w:tcW w:w="3640" w:type="dxa"/>
            <w:tcBorders>
              <w:top w:val="nil"/>
              <w:left w:val="nil"/>
              <w:bottom w:val="nil"/>
              <w:right w:val="nil"/>
            </w:tcBorders>
          </w:tcPr>
          <w:p w14:paraId="44DAC01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Shanghai University</w:t>
            </w:r>
          </w:p>
        </w:tc>
        <w:tc>
          <w:tcPr>
            <w:tcW w:w="1701" w:type="dxa"/>
            <w:tcBorders>
              <w:top w:val="nil"/>
              <w:left w:val="nil"/>
              <w:bottom w:val="nil"/>
              <w:right w:val="nil"/>
            </w:tcBorders>
          </w:tcPr>
          <w:p w14:paraId="1707C7D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China</w:t>
            </w:r>
          </w:p>
        </w:tc>
        <w:tc>
          <w:tcPr>
            <w:tcW w:w="1276" w:type="dxa"/>
            <w:tcBorders>
              <w:top w:val="nil"/>
              <w:left w:val="nil"/>
              <w:bottom w:val="nil"/>
              <w:right w:val="nil"/>
            </w:tcBorders>
          </w:tcPr>
          <w:p w14:paraId="208B21C9" w14:textId="5317D4D7"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57CB9CFE" w14:textId="77777777" w:rsidTr="008530E3">
        <w:tc>
          <w:tcPr>
            <w:tcW w:w="2127" w:type="dxa"/>
            <w:tcBorders>
              <w:top w:val="nil"/>
              <w:left w:val="nil"/>
              <w:bottom w:val="nil"/>
              <w:right w:val="nil"/>
            </w:tcBorders>
          </w:tcPr>
          <w:p w14:paraId="34D3F84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Daniel Colbourne</w:t>
            </w:r>
          </w:p>
        </w:tc>
        <w:tc>
          <w:tcPr>
            <w:tcW w:w="3640" w:type="dxa"/>
            <w:tcBorders>
              <w:top w:val="nil"/>
              <w:left w:val="nil"/>
              <w:bottom w:val="nil"/>
              <w:right w:val="nil"/>
            </w:tcBorders>
          </w:tcPr>
          <w:p w14:paraId="42E78797" w14:textId="7A8675A8" w:rsidR="00AD4B2A" w:rsidRDefault="00035756" w:rsidP="0003575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 xml:space="preserve">Re-phridge </w:t>
            </w:r>
            <w:r w:rsidR="00591AA8">
              <w:rPr>
                <w:sz w:val="20"/>
              </w:rPr>
              <w:t>Consultan</w:t>
            </w:r>
            <w:r>
              <w:rPr>
                <w:sz w:val="20"/>
              </w:rPr>
              <w:t>cy</w:t>
            </w:r>
          </w:p>
        </w:tc>
        <w:tc>
          <w:tcPr>
            <w:tcW w:w="1701" w:type="dxa"/>
            <w:tcBorders>
              <w:top w:val="nil"/>
              <w:left w:val="nil"/>
              <w:bottom w:val="nil"/>
              <w:right w:val="nil"/>
            </w:tcBorders>
          </w:tcPr>
          <w:p w14:paraId="47498B9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276" w:type="dxa"/>
            <w:tcBorders>
              <w:top w:val="nil"/>
              <w:left w:val="nil"/>
              <w:bottom w:val="nil"/>
              <w:right w:val="nil"/>
            </w:tcBorders>
          </w:tcPr>
          <w:p w14:paraId="6B7DE51E" w14:textId="301B4AE0"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68106FEE" w14:textId="77777777" w:rsidTr="008530E3">
        <w:tc>
          <w:tcPr>
            <w:tcW w:w="2127" w:type="dxa"/>
            <w:tcBorders>
              <w:top w:val="nil"/>
              <w:left w:val="nil"/>
              <w:bottom w:val="nil"/>
              <w:right w:val="nil"/>
            </w:tcBorders>
          </w:tcPr>
          <w:p w14:paraId="3952A819"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Richard DeVos</w:t>
            </w:r>
          </w:p>
        </w:tc>
        <w:tc>
          <w:tcPr>
            <w:tcW w:w="3640" w:type="dxa"/>
            <w:tcBorders>
              <w:top w:val="nil"/>
              <w:left w:val="nil"/>
              <w:bottom w:val="nil"/>
              <w:right w:val="nil"/>
            </w:tcBorders>
          </w:tcPr>
          <w:p w14:paraId="3307892B" w14:textId="65E861B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G</w:t>
            </w:r>
            <w:r w:rsidR="00035756">
              <w:rPr>
                <w:sz w:val="20"/>
              </w:rPr>
              <w:t xml:space="preserve">eneral </w:t>
            </w:r>
            <w:r>
              <w:rPr>
                <w:sz w:val="20"/>
              </w:rPr>
              <w:t>E</w:t>
            </w:r>
            <w:r w:rsidR="00035756">
              <w:rPr>
                <w:sz w:val="20"/>
              </w:rPr>
              <w:t>lectric</w:t>
            </w:r>
          </w:p>
        </w:tc>
        <w:tc>
          <w:tcPr>
            <w:tcW w:w="1701" w:type="dxa"/>
            <w:tcBorders>
              <w:top w:val="nil"/>
              <w:left w:val="nil"/>
              <w:bottom w:val="nil"/>
              <w:right w:val="nil"/>
            </w:tcBorders>
          </w:tcPr>
          <w:p w14:paraId="43261867"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276" w:type="dxa"/>
            <w:tcBorders>
              <w:top w:val="nil"/>
              <w:left w:val="nil"/>
              <w:bottom w:val="nil"/>
              <w:right w:val="nil"/>
            </w:tcBorders>
          </w:tcPr>
          <w:p w14:paraId="278302D5" w14:textId="7E0B9DDC"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50A18AEF" w14:textId="77777777" w:rsidTr="008530E3">
        <w:tc>
          <w:tcPr>
            <w:tcW w:w="2127" w:type="dxa"/>
            <w:tcBorders>
              <w:top w:val="nil"/>
              <w:left w:val="nil"/>
              <w:bottom w:val="nil"/>
              <w:right w:val="nil"/>
            </w:tcBorders>
          </w:tcPr>
          <w:p w14:paraId="59A2F36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Sukumar Devotta</w:t>
            </w:r>
          </w:p>
        </w:tc>
        <w:tc>
          <w:tcPr>
            <w:tcW w:w="3640" w:type="dxa"/>
            <w:tcBorders>
              <w:top w:val="nil"/>
              <w:left w:val="nil"/>
              <w:bottom w:val="nil"/>
              <w:right w:val="nil"/>
            </w:tcBorders>
          </w:tcPr>
          <w:p w14:paraId="5B60662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701" w:type="dxa"/>
            <w:tcBorders>
              <w:top w:val="nil"/>
              <w:left w:val="nil"/>
              <w:bottom w:val="nil"/>
              <w:right w:val="nil"/>
            </w:tcBorders>
          </w:tcPr>
          <w:p w14:paraId="1C3B8E5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India</w:t>
            </w:r>
          </w:p>
        </w:tc>
        <w:tc>
          <w:tcPr>
            <w:tcW w:w="1276" w:type="dxa"/>
            <w:tcBorders>
              <w:top w:val="nil"/>
              <w:left w:val="nil"/>
              <w:bottom w:val="nil"/>
              <w:right w:val="nil"/>
            </w:tcBorders>
          </w:tcPr>
          <w:p w14:paraId="33D01424" w14:textId="7857547E"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087EB38E" w14:textId="77777777" w:rsidTr="008530E3">
        <w:tc>
          <w:tcPr>
            <w:tcW w:w="2127" w:type="dxa"/>
            <w:tcBorders>
              <w:top w:val="nil"/>
              <w:left w:val="nil"/>
              <w:bottom w:val="nil"/>
              <w:right w:val="nil"/>
            </w:tcBorders>
          </w:tcPr>
          <w:p w14:paraId="605BD53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Martin</w:t>
            </w:r>
            <w:r>
              <w:rPr>
                <w:snapToGrid w:val="0"/>
                <w:sz w:val="20"/>
                <w:lang w:eastAsia="en-US"/>
              </w:rPr>
              <w:t xml:space="preserve"> Dieryckx</w:t>
            </w:r>
          </w:p>
        </w:tc>
        <w:tc>
          <w:tcPr>
            <w:tcW w:w="3640" w:type="dxa"/>
            <w:tcBorders>
              <w:top w:val="nil"/>
              <w:left w:val="nil"/>
              <w:bottom w:val="nil"/>
              <w:right w:val="nil"/>
            </w:tcBorders>
          </w:tcPr>
          <w:p w14:paraId="3E0F18B0"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Daikin Europe</w:t>
            </w:r>
          </w:p>
        </w:tc>
        <w:tc>
          <w:tcPr>
            <w:tcW w:w="1701" w:type="dxa"/>
            <w:tcBorders>
              <w:top w:val="nil"/>
              <w:left w:val="nil"/>
              <w:bottom w:val="nil"/>
              <w:right w:val="nil"/>
            </w:tcBorders>
          </w:tcPr>
          <w:p w14:paraId="6432E7E2"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Belgium</w:t>
            </w:r>
          </w:p>
        </w:tc>
        <w:tc>
          <w:tcPr>
            <w:tcW w:w="1276" w:type="dxa"/>
            <w:tcBorders>
              <w:top w:val="nil"/>
              <w:left w:val="nil"/>
              <w:bottom w:val="nil"/>
              <w:right w:val="nil"/>
            </w:tcBorders>
          </w:tcPr>
          <w:p w14:paraId="0FF6C20A" w14:textId="52016228"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476BABC5" w14:textId="77777777" w:rsidTr="008530E3">
        <w:tc>
          <w:tcPr>
            <w:tcW w:w="2127" w:type="dxa"/>
            <w:tcBorders>
              <w:top w:val="nil"/>
              <w:left w:val="nil"/>
              <w:bottom w:val="nil"/>
              <w:right w:val="nil"/>
            </w:tcBorders>
          </w:tcPr>
          <w:p w14:paraId="7FBB11B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Dennis Dorman</w:t>
            </w:r>
          </w:p>
        </w:tc>
        <w:tc>
          <w:tcPr>
            <w:tcW w:w="3640" w:type="dxa"/>
            <w:tcBorders>
              <w:top w:val="nil"/>
              <w:left w:val="nil"/>
              <w:bottom w:val="nil"/>
              <w:right w:val="nil"/>
            </w:tcBorders>
          </w:tcPr>
          <w:p w14:paraId="46A3B67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Trane</w:t>
            </w:r>
          </w:p>
        </w:tc>
        <w:tc>
          <w:tcPr>
            <w:tcW w:w="1701" w:type="dxa"/>
            <w:tcBorders>
              <w:top w:val="nil"/>
              <w:left w:val="nil"/>
              <w:bottom w:val="nil"/>
              <w:right w:val="nil"/>
            </w:tcBorders>
          </w:tcPr>
          <w:p w14:paraId="119B6EA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276" w:type="dxa"/>
            <w:tcBorders>
              <w:top w:val="nil"/>
              <w:left w:val="nil"/>
              <w:bottom w:val="nil"/>
              <w:right w:val="nil"/>
            </w:tcBorders>
          </w:tcPr>
          <w:p w14:paraId="12F1202A" w14:textId="44848BE6"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59DF3283" w14:textId="77777777" w:rsidTr="008530E3">
        <w:tc>
          <w:tcPr>
            <w:tcW w:w="2127" w:type="dxa"/>
            <w:tcBorders>
              <w:top w:val="nil"/>
              <w:left w:val="nil"/>
              <w:bottom w:val="nil"/>
              <w:right w:val="nil"/>
            </w:tcBorders>
          </w:tcPr>
          <w:p w14:paraId="08A98D7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Bassam Elassaad</w:t>
            </w:r>
          </w:p>
        </w:tc>
        <w:tc>
          <w:tcPr>
            <w:tcW w:w="3640" w:type="dxa"/>
            <w:tcBorders>
              <w:top w:val="nil"/>
              <w:left w:val="nil"/>
              <w:bottom w:val="nil"/>
              <w:right w:val="nil"/>
            </w:tcBorders>
          </w:tcPr>
          <w:p w14:paraId="6BA4F37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701" w:type="dxa"/>
            <w:tcBorders>
              <w:top w:val="nil"/>
              <w:left w:val="nil"/>
              <w:bottom w:val="nil"/>
              <w:right w:val="nil"/>
            </w:tcBorders>
          </w:tcPr>
          <w:p w14:paraId="321CB88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Lebanon</w:t>
            </w:r>
          </w:p>
        </w:tc>
        <w:tc>
          <w:tcPr>
            <w:tcW w:w="1276" w:type="dxa"/>
            <w:tcBorders>
              <w:top w:val="nil"/>
              <w:left w:val="nil"/>
              <w:bottom w:val="nil"/>
              <w:right w:val="nil"/>
            </w:tcBorders>
          </w:tcPr>
          <w:p w14:paraId="12E0EC8A" w14:textId="5BC372B8"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0E26B933" w14:textId="77777777" w:rsidTr="008530E3">
        <w:tc>
          <w:tcPr>
            <w:tcW w:w="2127" w:type="dxa"/>
            <w:tcBorders>
              <w:top w:val="nil"/>
              <w:left w:val="nil"/>
              <w:bottom w:val="nil"/>
              <w:right w:val="nil"/>
            </w:tcBorders>
          </w:tcPr>
          <w:p w14:paraId="62A1B74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Dave Godwin</w:t>
            </w:r>
          </w:p>
        </w:tc>
        <w:tc>
          <w:tcPr>
            <w:tcW w:w="3640" w:type="dxa"/>
            <w:tcBorders>
              <w:top w:val="nil"/>
              <w:left w:val="nil"/>
              <w:bottom w:val="nil"/>
              <w:right w:val="nil"/>
            </w:tcBorders>
          </w:tcPr>
          <w:p w14:paraId="71005FD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 EPA</w:t>
            </w:r>
          </w:p>
        </w:tc>
        <w:tc>
          <w:tcPr>
            <w:tcW w:w="1701" w:type="dxa"/>
            <w:tcBorders>
              <w:top w:val="nil"/>
              <w:left w:val="nil"/>
              <w:bottom w:val="nil"/>
              <w:right w:val="nil"/>
            </w:tcBorders>
          </w:tcPr>
          <w:p w14:paraId="366A183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276" w:type="dxa"/>
            <w:tcBorders>
              <w:top w:val="nil"/>
              <w:left w:val="nil"/>
              <w:bottom w:val="nil"/>
              <w:right w:val="nil"/>
            </w:tcBorders>
          </w:tcPr>
          <w:p w14:paraId="1F2FF716" w14:textId="5DFB6F10"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4EEC44D7" w14:textId="77777777" w:rsidTr="008530E3">
        <w:tc>
          <w:tcPr>
            <w:tcW w:w="2127" w:type="dxa"/>
            <w:tcBorders>
              <w:top w:val="nil"/>
              <w:left w:val="nil"/>
              <w:bottom w:val="nil"/>
              <w:right w:val="nil"/>
            </w:tcBorders>
          </w:tcPr>
          <w:p w14:paraId="7E9B817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Marino Grozdek</w:t>
            </w:r>
          </w:p>
        </w:tc>
        <w:tc>
          <w:tcPr>
            <w:tcW w:w="3640" w:type="dxa"/>
            <w:tcBorders>
              <w:top w:val="nil"/>
              <w:left w:val="nil"/>
              <w:bottom w:val="nil"/>
              <w:right w:val="nil"/>
            </w:tcBorders>
          </w:tcPr>
          <w:p w14:paraId="2EC284F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University of Zagreb</w:t>
            </w:r>
          </w:p>
        </w:tc>
        <w:tc>
          <w:tcPr>
            <w:tcW w:w="1701" w:type="dxa"/>
            <w:tcBorders>
              <w:top w:val="nil"/>
              <w:left w:val="nil"/>
              <w:bottom w:val="nil"/>
              <w:right w:val="nil"/>
            </w:tcBorders>
          </w:tcPr>
          <w:p w14:paraId="77734C7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Croatia</w:t>
            </w:r>
          </w:p>
        </w:tc>
        <w:tc>
          <w:tcPr>
            <w:tcW w:w="1276" w:type="dxa"/>
            <w:tcBorders>
              <w:top w:val="nil"/>
              <w:left w:val="nil"/>
              <w:bottom w:val="nil"/>
              <w:right w:val="nil"/>
            </w:tcBorders>
          </w:tcPr>
          <w:p w14:paraId="1D4A8565" w14:textId="7423EBC3"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63294AC3" w14:textId="77777777" w:rsidTr="008530E3">
        <w:tc>
          <w:tcPr>
            <w:tcW w:w="2127" w:type="dxa"/>
            <w:tcBorders>
              <w:top w:val="nil"/>
              <w:left w:val="nil"/>
              <w:bottom w:val="nil"/>
              <w:right w:val="nil"/>
            </w:tcBorders>
          </w:tcPr>
          <w:p w14:paraId="5919BB1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Samir Hamed</w:t>
            </w:r>
          </w:p>
        </w:tc>
        <w:tc>
          <w:tcPr>
            <w:tcW w:w="3640" w:type="dxa"/>
            <w:tcBorders>
              <w:top w:val="nil"/>
              <w:left w:val="nil"/>
              <w:bottom w:val="nil"/>
              <w:right w:val="nil"/>
            </w:tcBorders>
          </w:tcPr>
          <w:p w14:paraId="4B2AD95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Petra Industries</w:t>
            </w:r>
          </w:p>
        </w:tc>
        <w:tc>
          <w:tcPr>
            <w:tcW w:w="1701" w:type="dxa"/>
            <w:tcBorders>
              <w:top w:val="nil"/>
              <w:left w:val="nil"/>
              <w:bottom w:val="nil"/>
              <w:right w:val="nil"/>
            </w:tcBorders>
          </w:tcPr>
          <w:p w14:paraId="45E0A7B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Jordan</w:t>
            </w:r>
          </w:p>
        </w:tc>
        <w:tc>
          <w:tcPr>
            <w:tcW w:w="1276" w:type="dxa"/>
            <w:tcBorders>
              <w:top w:val="nil"/>
              <w:left w:val="nil"/>
              <w:bottom w:val="nil"/>
              <w:right w:val="nil"/>
            </w:tcBorders>
          </w:tcPr>
          <w:p w14:paraId="568FBBED" w14:textId="4593C681"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0A4A9419" w14:textId="77777777" w:rsidTr="008530E3">
        <w:tc>
          <w:tcPr>
            <w:tcW w:w="2127" w:type="dxa"/>
            <w:tcBorders>
              <w:top w:val="nil"/>
              <w:left w:val="nil"/>
              <w:bottom w:val="nil"/>
              <w:right w:val="nil"/>
            </w:tcBorders>
          </w:tcPr>
          <w:p w14:paraId="30B4C73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Martien Janssen</w:t>
            </w:r>
          </w:p>
        </w:tc>
        <w:tc>
          <w:tcPr>
            <w:tcW w:w="3640" w:type="dxa"/>
            <w:tcBorders>
              <w:top w:val="nil"/>
              <w:left w:val="nil"/>
              <w:bottom w:val="nil"/>
              <w:right w:val="nil"/>
            </w:tcBorders>
          </w:tcPr>
          <w:p w14:paraId="224AF65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Re/genT</w:t>
            </w:r>
          </w:p>
        </w:tc>
        <w:tc>
          <w:tcPr>
            <w:tcW w:w="1701" w:type="dxa"/>
            <w:tcBorders>
              <w:top w:val="nil"/>
              <w:left w:val="nil"/>
              <w:bottom w:val="nil"/>
              <w:right w:val="nil"/>
            </w:tcBorders>
          </w:tcPr>
          <w:p w14:paraId="30D89F3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Netherlands</w:t>
            </w:r>
          </w:p>
        </w:tc>
        <w:tc>
          <w:tcPr>
            <w:tcW w:w="1276" w:type="dxa"/>
            <w:tcBorders>
              <w:top w:val="nil"/>
              <w:left w:val="nil"/>
              <w:bottom w:val="nil"/>
              <w:right w:val="nil"/>
            </w:tcBorders>
          </w:tcPr>
          <w:p w14:paraId="01613C15" w14:textId="31511205"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1982316C" w14:textId="77777777" w:rsidTr="008530E3">
        <w:tc>
          <w:tcPr>
            <w:tcW w:w="2127" w:type="dxa"/>
            <w:tcBorders>
              <w:top w:val="nil"/>
              <w:left w:val="nil"/>
              <w:bottom w:val="nil"/>
              <w:right w:val="nil"/>
            </w:tcBorders>
          </w:tcPr>
          <w:p w14:paraId="6A204BD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Makoto Kaibara</w:t>
            </w:r>
          </w:p>
        </w:tc>
        <w:tc>
          <w:tcPr>
            <w:tcW w:w="3640" w:type="dxa"/>
            <w:tcBorders>
              <w:top w:val="nil"/>
              <w:left w:val="nil"/>
              <w:bottom w:val="nil"/>
              <w:right w:val="nil"/>
            </w:tcBorders>
          </w:tcPr>
          <w:p w14:paraId="740A4464" w14:textId="77777777" w:rsidR="00AD4B2A" w:rsidRDefault="00591AA8" w:rsidP="00B25ED1">
            <w:pPr>
              <w:pStyle w:val="MainTextNon-indent"/>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line="240" w:lineRule="auto"/>
              <w:rPr>
                <w:rFonts w:ascii="Times New Roman" w:hAnsi="Times New Roman"/>
                <w:lang w:val="en-GB"/>
              </w:rPr>
            </w:pPr>
            <w:r>
              <w:rPr>
                <w:rFonts w:ascii="Times New Roman" w:hAnsi="Times New Roman"/>
                <w:lang w:val="en-GB"/>
              </w:rPr>
              <w:t>Panasonic, Research and Technology</w:t>
            </w:r>
          </w:p>
        </w:tc>
        <w:tc>
          <w:tcPr>
            <w:tcW w:w="1701" w:type="dxa"/>
            <w:tcBorders>
              <w:top w:val="nil"/>
              <w:left w:val="nil"/>
              <w:bottom w:val="nil"/>
              <w:right w:val="nil"/>
            </w:tcBorders>
          </w:tcPr>
          <w:p w14:paraId="48EEAB3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Japan</w:t>
            </w:r>
          </w:p>
        </w:tc>
        <w:tc>
          <w:tcPr>
            <w:tcW w:w="1276" w:type="dxa"/>
            <w:tcBorders>
              <w:top w:val="nil"/>
              <w:left w:val="nil"/>
              <w:bottom w:val="nil"/>
              <w:right w:val="nil"/>
            </w:tcBorders>
          </w:tcPr>
          <w:p w14:paraId="072B0C44" w14:textId="7395A305"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38A88AE5" w14:textId="77777777" w:rsidTr="008530E3">
        <w:tc>
          <w:tcPr>
            <w:tcW w:w="2127" w:type="dxa"/>
            <w:tcBorders>
              <w:top w:val="nil"/>
              <w:left w:val="nil"/>
              <w:bottom w:val="nil"/>
              <w:right w:val="nil"/>
            </w:tcBorders>
          </w:tcPr>
          <w:p w14:paraId="32AEAFD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Michael Kauffeld</w:t>
            </w:r>
          </w:p>
        </w:tc>
        <w:tc>
          <w:tcPr>
            <w:tcW w:w="3640" w:type="dxa"/>
            <w:tcBorders>
              <w:top w:val="nil"/>
              <w:left w:val="nil"/>
              <w:bottom w:val="nil"/>
              <w:right w:val="nil"/>
            </w:tcBorders>
          </w:tcPr>
          <w:p w14:paraId="729D6A87"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Fachhochschule Karlsruhe</w:t>
            </w:r>
          </w:p>
        </w:tc>
        <w:tc>
          <w:tcPr>
            <w:tcW w:w="1701" w:type="dxa"/>
            <w:tcBorders>
              <w:top w:val="nil"/>
              <w:left w:val="nil"/>
              <w:bottom w:val="nil"/>
              <w:right w:val="nil"/>
            </w:tcBorders>
          </w:tcPr>
          <w:p w14:paraId="1C0CB48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Germany</w:t>
            </w:r>
          </w:p>
        </w:tc>
        <w:tc>
          <w:tcPr>
            <w:tcW w:w="1276" w:type="dxa"/>
            <w:tcBorders>
              <w:top w:val="nil"/>
              <w:left w:val="nil"/>
              <w:bottom w:val="nil"/>
              <w:right w:val="nil"/>
            </w:tcBorders>
          </w:tcPr>
          <w:p w14:paraId="2E777AA3" w14:textId="50ADE925"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43DC89A6" w14:textId="77777777" w:rsidTr="008530E3">
        <w:tc>
          <w:tcPr>
            <w:tcW w:w="2127" w:type="dxa"/>
            <w:tcBorders>
              <w:top w:val="nil"/>
              <w:left w:val="nil"/>
              <w:bottom w:val="nil"/>
              <w:right w:val="nil"/>
            </w:tcBorders>
          </w:tcPr>
          <w:p w14:paraId="34E5383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Jürgen Köhler</w:t>
            </w:r>
          </w:p>
        </w:tc>
        <w:tc>
          <w:tcPr>
            <w:tcW w:w="3640" w:type="dxa"/>
            <w:tcBorders>
              <w:top w:val="nil"/>
              <w:left w:val="nil"/>
              <w:bottom w:val="nil"/>
              <w:right w:val="nil"/>
            </w:tcBorders>
          </w:tcPr>
          <w:p w14:paraId="58A9E18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University of Braunschweig</w:t>
            </w:r>
          </w:p>
        </w:tc>
        <w:tc>
          <w:tcPr>
            <w:tcW w:w="1701" w:type="dxa"/>
            <w:tcBorders>
              <w:top w:val="nil"/>
              <w:left w:val="nil"/>
              <w:bottom w:val="nil"/>
              <w:right w:val="nil"/>
            </w:tcBorders>
          </w:tcPr>
          <w:p w14:paraId="083DF28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Germany</w:t>
            </w:r>
          </w:p>
        </w:tc>
        <w:tc>
          <w:tcPr>
            <w:tcW w:w="1276" w:type="dxa"/>
            <w:tcBorders>
              <w:top w:val="nil"/>
              <w:left w:val="nil"/>
              <w:bottom w:val="nil"/>
              <w:right w:val="nil"/>
            </w:tcBorders>
          </w:tcPr>
          <w:p w14:paraId="4B8EE463" w14:textId="42ED3FF4"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02C00F50" w14:textId="77777777" w:rsidTr="008530E3">
        <w:tc>
          <w:tcPr>
            <w:tcW w:w="2127" w:type="dxa"/>
            <w:tcBorders>
              <w:top w:val="nil"/>
              <w:left w:val="nil"/>
              <w:bottom w:val="nil"/>
              <w:right w:val="nil"/>
            </w:tcBorders>
          </w:tcPr>
          <w:p w14:paraId="7E997D6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Holger König</w:t>
            </w:r>
          </w:p>
        </w:tc>
        <w:tc>
          <w:tcPr>
            <w:tcW w:w="3640" w:type="dxa"/>
            <w:tcBorders>
              <w:top w:val="nil"/>
              <w:left w:val="nil"/>
              <w:bottom w:val="nil"/>
              <w:right w:val="nil"/>
            </w:tcBorders>
          </w:tcPr>
          <w:p w14:paraId="616D6316" w14:textId="23F690A9" w:rsidR="00AD4B2A" w:rsidRDefault="00F96A33" w:rsidP="00F96A3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 xml:space="preserve">Ref-tech </w:t>
            </w:r>
            <w:r w:rsidR="00591AA8">
              <w:rPr>
                <w:sz w:val="20"/>
              </w:rPr>
              <w:t>Consultan</w:t>
            </w:r>
            <w:r>
              <w:rPr>
                <w:sz w:val="20"/>
              </w:rPr>
              <w:t>cy</w:t>
            </w:r>
          </w:p>
        </w:tc>
        <w:tc>
          <w:tcPr>
            <w:tcW w:w="1701" w:type="dxa"/>
            <w:tcBorders>
              <w:top w:val="nil"/>
              <w:left w:val="nil"/>
              <w:bottom w:val="nil"/>
              <w:right w:val="nil"/>
            </w:tcBorders>
          </w:tcPr>
          <w:p w14:paraId="3C7F2E8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Germany</w:t>
            </w:r>
          </w:p>
        </w:tc>
        <w:tc>
          <w:tcPr>
            <w:tcW w:w="1276" w:type="dxa"/>
            <w:tcBorders>
              <w:top w:val="nil"/>
              <w:left w:val="nil"/>
              <w:bottom w:val="nil"/>
              <w:right w:val="nil"/>
            </w:tcBorders>
          </w:tcPr>
          <w:p w14:paraId="76284A87" w14:textId="07980DD9"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0948838A" w14:textId="77777777" w:rsidTr="008530E3">
        <w:tc>
          <w:tcPr>
            <w:tcW w:w="2127" w:type="dxa"/>
            <w:tcBorders>
              <w:top w:val="nil"/>
              <w:left w:val="nil"/>
              <w:bottom w:val="nil"/>
              <w:right w:val="nil"/>
            </w:tcBorders>
          </w:tcPr>
          <w:p w14:paraId="1D1823B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Richard Lawton</w:t>
            </w:r>
          </w:p>
        </w:tc>
        <w:tc>
          <w:tcPr>
            <w:tcW w:w="3640" w:type="dxa"/>
            <w:tcBorders>
              <w:top w:val="nil"/>
              <w:left w:val="nil"/>
              <w:bottom w:val="nil"/>
              <w:right w:val="nil"/>
            </w:tcBorders>
          </w:tcPr>
          <w:p w14:paraId="421DF68C" w14:textId="451872F8"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CRT</w:t>
            </w:r>
            <w:r w:rsidR="00F96A33">
              <w:rPr>
                <w:sz w:val="20"/>
              </w:rPr>
              <w:t xml:space="preserve"> Cambridge</w:t>
            </w:r>
          </w:p>
        </w:tc>
        <w:tc>
          <w:tcPr>
            <w:tcW w:w="1701" w:type="dxa"/>
            <w:tcBorders>
              <w:top w:val="nil"/>
              <w:left w:val="nil"/>
              <w:bottom w:val="nil"/>
              <w:right w:val="nil"/>
            </w:tcBorders>
          </w:tcPr>
          <w:p w14:paraId="1288410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UK</w:t>
            </w:r>
          </w:p>
        </w:tc>
        <w:tc>
          <w:tcPr>
            <w:tcW w:w="1276" w:type="dxa"/>
            <w:tcBorders>
              <w:top w:val="nil"/>
              <w:left w:val="nil"/>
              <w:bottom w:val="nil"/>
              <w:right w:val="nil"/>
            </w:tcBorders>
          </w:tcPr>
          <w:p w14:paraId="1032D600" w14:textId="1E46B90D"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6BF67758" w14:textId="77777777" w:rsidTr="008530E3">
        <w:tc>
          <w:tcPr>
            <w:tcW w:w="2127" w:type="dxa"/>
            <w:tcBorders>
              <w:top w:val="nil"/>
              <w:left w:val="nil"/>
              <w:bottom w:val="nil"/>
              <w:right w:val="nil"/>
            </w:tcBorders>
          </w:tcPr>
          <w:p w14:paraId="3DEAE7D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Tingxun Li</w:t>
            </w:r>
          </w:p>
        </w:tc>
        <w:tc>
          <w:tcPr>
            <w:tcW w:w="3640" w:type="dxa"/>
            <w:tcBorders>
              <w:top w:val="nil"/>
              <w:left w:val="nil"/>
              <w:bottom w:val="nil"/>
              <w:right w:val="nil"/>
            </w:tcBorders>
          </w:tcPr>
          <w:p w14:paraId="77CC674F" w14:textId="55FF6A2F" w:rsidR="00AD4B2A" w:rsidRDefault="00591AA8" w:rsidP="00F96A3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Guangzhou University</w:t>
            </w:r>
          </w:p>
        </w:tc>
        <w:tc>
          <w:tcPr>
            <w:tcW w:w="1701" w:type="dxa"/>
            <w:tcBorders>
              <w:top w:val="nil"/>
              <w:left w:val="nil"/>
              <w:bottom w:val="nil"/>
              <w:right w:val="nil"/>
            </w:tcBorders>
          </w:tcPr>
          <w:p w14:paraId="77A443D9"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China</w:t>
            </w:r>
          </w:p>
        </w:tc>
        <w:tc>
          <w:tcPr>
            <w:tcW w:w="1276" w:type="dxa"/>
            <w:tcBorders>
              <w:top w:val="nil"/>
              <w:left w:val="nil"/>
              <w:bottom w:val="nil"/>
              <w:right w:val="nil"/>
            </w:tcBorders>
          </w:tcPr>
          <w:p w14:paraId="73CBC94D" w14:textId="21D3266C"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3A3F98FD" w14:textId="77777777" w:rsidTr="008530E3">
        <w:tc>
          <w:tcPr>
            <w:tcW w:w="2127" w:type="dxa"/>
            <w:tcBorders>
              <w:top w:val="nil"/>
              <w:left w:val="nil"/>
              <w:bottom w:val="nil"/>
              <w:right w:val="nil"/>
            </w:tcBorders>
          </w:tcPr>
          <w:p w14:paraId="694D6C38"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Petter Nekså</w:t>
            </w:r>
          </w:p>
        </w:tc>
        <w:tc>
          <w:tcPr>
            <w:tcW w:w="3640" w:type="dxa"/>
            <w:tcBorders>
              <w:top w:val="nil"/>
              <w:left w:val="nil"/>
              <w:bottom w:val="nil"/>
              <w:right w:val="nil"/>
            </w:tcBorders>
          </w:tcPr>
          <w:p w14:paraId="5A3D86E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SINTEF Energy Research</w:t>
            </w:r>
          </w:p>
        </w:tc>
        <w:tc>
          <w:tcPr>
            <w:tcW w:w="1701" w:type="dxa"/>
            <w:tcBorders>
              <w:top w:val="nil"/>
              <w:left w:val="nil"/>
              <w:bottom w:val="nil"/>
              <w:right w:val="nil"/>
            </w:tcBorders>
          </w:tcPr>
          <w:p w14:paraId="056DD8C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Norway</w:t>
            </w:r>
          </w:p>
        </w:tc>
        <w:tc>
          <w:tcPr>
            <w:tcW w:w="1276" w:type="dxa"/>
            <w:tcBorders>
              <w:top w:val="nil"/>
              <w:left w:val="nil"/>
              <w:bottom w:val="nil"/>
              <w:right w:val="nil"/>
            </w:tcBorders>
          </w:tcPr>
          <w:p w14:paraId="62218030" w14:textId="0C75EBDC"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66D3DD9D" w14:textId="77777777" w:rsidTr="008530E3">
        <w:tc>
          <w:tcPr>
            <w:tcW w:w="2127" w:type="dxa"/>
            <w:tcBorders>
              <w:top w:val="nil"/>
              <w:left w:val="nil"/>
              <w:bottom w:val="nil"/>
              <w:right w:val="nil"/>
            </w:tcBorders>
          </w:tcPr>
          <w:p w14:paraId="34DCFCC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Horace Nelson</w:t>
            </w:r>
          </w:p>
        </w:tc>
        <w:tc>
          <w:tcPr>
            <w:tcW w:w="3640" w:type="dxa"/>
            <w:tcBorders>
              <w:top w:val="nil"/>
              <w:left w:val="nil"/>
              <w:bottom w:val="nil"/>
              <w:right w:val="nil"/>
            </w:tcBorders>
          </w:tcPr>
          <w:p w14:paraId="1CDB049D" w14:textId="161BA1FF" w:rsidR="00AD4B2A" w:rsidRDefault="00F96A3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701" w:type="dxa"/>
            <w:tcBorders>
              <w:top w:val="nil"/>
              <w:left w:val="nil"/>
              <w:bottom w:val="nil"/>
              <w:right w:val="nil"/>
            </w:tcBorders>
          </w:tcPr>
          <w:p w14:paraId="194CC119"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Jamaica</w:t>
            </w:r>
          </w:p>
        </w:tc>
        <w:tc>
          <w:tcPr>
            <w:tcW w:w="1276" w:type="dxa"/>
            <w:tcBorders>
              <w:top w:val="nil"/>
              <w:left w:val="nil"/>
              <w:bottom w:val="nil"/>
              <w:right w:val="nil"/>
            </w:tcBorders>
          </w:tcPr>
          <w:p w14:paraId="30988931" w14:textId="6CED8AF3"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0AC47016" w14:textId="77777777" w:rsidTr="008530E3">
        <w:tc>
          <w:tcPr>
            <w:tcW w:w="2127" w:type="dxa"/>
            <w:tcBorders>
              <w:top w:val="nil"/>
              <w:left w:val="nil"/>
              <w:bottom w:val="nil"/>
              <w:right w:val="nil"/>
            </w:tcBorders>
          </w:tcPr>
          <w:p w14:paraId="68E9AE7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Carloandrea Malvicino</w:t>
            </w:r>
          </w:p>
        </w:tc>
        <w:tc>
          <w:tcPr>
            <w:tcW w:w="3640" w:type="dxa"/>
            <w:tcBorders>
              <w:top w:val="nil"/>
              <w:left w:val="nil"/>
              <w:bottom w:val="nil"/>
              <w:right w:val="nil"/>
            </w:tcBorders>
          </w:tcPr>
          <w:p w14:paraId="67D62028" w14:textId="3D226F21"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Fiat</w:t>
            </w:r>
            <w:r w:rsidR="00F96A33">
              <w:rPr>
                <w:sz w:val="20"/>
              </w:rPr>
              <w:t xml:space="preserve"> Ricerche</w:t>
            </w:r>
          </w:p>
        </w:tc>
        <w:tc>
          <w:tcPr>
            <w:tcW w:w="1701" w:type="dxa"/>
            <w:tcBorders>
              <w:top w:val="nil"/>
              <w:left w:val="nil"/>
              <w:bottom w:val="nil"/>
              <w:right w:val="nil"/>
            </w:tcBorders>
          </w:tcPr>
          <w:p w14:paraId="1C9C8915"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Italy</w:t>
            </w:r>
          </w:p>
        </w:tc>
        <w:tc>
          <w:tcPr>
            <w:tcW w:w="1276" w:type="dxa"/>
            <w:tcBorders>
              <w:top w:val="nil"/>
              <w:left w:val="nil"/>
              <w:bottom w:val="nil"/>
              <w:right w:val="nil"/>
            </w:tcBorders>
          </w:tcPr>
          <w:p w14:paraId="3C43A958" w14:textId="2C12A95D"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4513000D" w14:textId="77777777" w:rsidTr="008530E3">
        <w:tc>
          <w:tcPr>
            <w:tcW w:w="2127" w:type="dxa"/>
            <w:tcBorders>
              <w:top w:val="nil"/>
              <w:left w:val="nil"/>
              <w:bottom w:val="nil"/>
              <w:right w:val="nil"/>
            </w:tcBorders>
          </w:tcPr>
          <w:p w14:paraId="2D0CAAA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Tetsuji Okada</w:t>
            </w:r>
          </w:p>
        </w:tc>
        <w:tc>
          <w:tcPr>
            <w:tcW w:w="3640" w:type="dxa"/>
            <w:tcBorders>
              <w:top w:val="nil"/>
              <w:left w:val="nil"/>
              <w:bottom w:val="nil"/>
              <w:right w:val="nil"/>
            </w:tcBorders>
          </w:tcPr>
          <w:p w14:paraId="59FC688B" w14:textId="53092DF2" w:rsidR="00AD4B2A" w:rsidRDefault="00F96A33"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JRAIA</w:t>
            </w:r>
          </w:p>
        </w:tc>
        <w:tc>
          <w:tcPr>
            <w:tcW w:w="1701" w:type="dxa"/>
            <w:tcBorders>
              <w:top w:val="nil"/>
              <w:left w:val="nil"/>
              <w:bottom w:val="nil"/>
              <w:right w:val="nil"/>
            </w:tcBorders>
          </w:tcPr>
          <w:p w14:paraId="43437117"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Japan</w:t>
            </w:r>
          </w:p>
        </w:tc>
        <w:tc>
          <w:tcPr>
            <w:tcW w:w="1276" w:type="dxa"/>
            <w:tcBorders>
              <w:top w:val="nil"/>
              <w:left w:val="nil"/>
              <w:bottom w:val="nil"/>
              <w:right w:val="nil"/>
            </w:tcBorders>
          </w:tcPr>
          <w:p w14:paraId="0D565BF8" w14:textId="65A3077C"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1AB423D9" w14:textId="77777777" w:rsidTr="008530E3">
        <w:tc>
          <w:tcPr>
            <w:tcW w:w="2127" w:type="dxa"/>
            <w:tcBorders>
              <w:top w:val="nil"/>
              <w:left w:val="nil"/>
              <w:bottom w:val="nil"/>
              <w:right w:val="nil"/>
            </w:tcBorders>
          </w:tcPr>
          <w:p w14:paraId="04F5CD17"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Alaa A. Olama</w:t>
            </w:r>
          </w:p>
        </w:tc>
        <w:tc>
          <w:tcPr>
            <w:tcW w:w="3640" w:type="dxa"/>
            <w:tcBorders>
              <w:top w:val="nil"/>
              <w:left w:val="nil"/>
              <w:bottom w:val="nil"/>
              <w:right w:val="nil"/>
            </w:tcBorders>
          </w:tcPr>
          <w:p w14:paraId="64C9A11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701" w:type="dxa"/>
            <w:tcBorders>
              <w:top w:val="nil"/>
              <w:left w:val="nil"/>
              <w:bottom w:val="nil"/>
              <w:right w:val="nil"/>
            </w:tcBorders>
          </w:tcPr>
          <w:p w14:paraId="26355F2C"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Egypt</w:t>
            </w:r>
          </w:p>
        </w:tc>
        <w:tc>
          <w:tcPr>
            <w:tcW w:w="1276" w:type="dxa"/>
            <w:tcBorders>
              <w:top w:val="nil"/>
              <w:left w:val="nil"/>
              <w:bottom w:val="nil"/>
              <w:right w:val="nil"/>
            </w:tcBorders>
          </w:tcPr>
          <w:p w14:paraId="6890EBD4" w14:textId="06355BCF"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4CCB4E51" w14:textId="77777777" w:rsidTr="008530E3">
        <w:tc>
          <w:tcPr>
            <w:tcW w:w="2127" w:type="dxa"/>
            <w:tcBorders>
              <w:top w:val="nil"/>
              <w:left w:val="nil"/>
              <w:bottom w:val="nil"/>
              <w:right w:val="nil"/>
            </w:tcBorders>
          </w:tcPr>
          <w:p w14:paraId="0BCFEAAA"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Alexander C. Pachai</w:t>
            </w:r>
          </w:p>
        </w:tc>
        <w:tc>
          <w:tcPr>
            <w:tcW w:w="3640" w:type="dxa"/>
            <w:tcBorders>
              <w:top w:val="nil"/>
              <w:left w:val="nil"/>
              <w:bottom w:val="nil"/>
              <w:right w:val="nil"/>
            </w:tcBorders>
          </w:tcPr>
          <w:p w14:paraId="426A436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Johnson Controls</w:t>
            </w:r>
          </w:p>
        </w:tc>
        <w:tc>
          <w:tcPr>
            <w:tcW w:w="1701" w:type="dxa"/>
            <w:tcBorders>
              <w:top w:val="nil"/>
              <w:left w:val="nil"/>
              <w:bottom w:val="nil"/>
              <w:right w:val="nil"/>
            </w:tcBorders>
          </w:tcPr>
          <w:p w14:paraId="01A81FAF"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Denmark</w:t>
            </w:r>
          </w:p>
        </w:tc>
        <w:tc>
          <w:tcPr>
            <w:tcW w:w="1276" w:type="dxa"/>
            <w:tcBorders>
              <w:top w:val="nil"/>
              <w:left w:val="nil"/>
              <w:bottom w:val="nil"/>
              <w:right w:val="nil"/>
            </w:tcBorders>
          </w:tcPr>
          <w:p w14:paraId="29D43393" w14:textId="1E891F40"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5F8A4237" w14:textId="77777777" w:rsidTr="008530E3">
        <w:tc>
          <w:tcPr>
            <w:tcW w:w="2127" w:type="dxa"/>
            <w:tcBorders>
              <w:top w:val="nil"/>
              <w:left w:val="nil"/>
              <w:bottom w:val="nil"/>
              <w:right w:val="nil"/>
            </w:tcBorders>
          </w:tcPr>
          <w:p w14:paraId="0C8D935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Per Henrik Pedersen</w:t>
            </w:r>
          </w:p>
        </w:tc>
        <w:tc>
          <w:tcPr>
            <w:tcW w:w="3640" w:type="dxa"/>
            <w:tcBorders>
              <w:top w:val="nil"/>
              <w:left w:val="nil"/>
              <w:bottom w:val="nil"/>
              <w:right w:val="nil"/>
            </w:tcBorders>
          </w:tcPr>
          <w:p w14:paraId="2E593B5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Danish Technological Institute</w:t>
            </w:r>
          </w:p>
        </w:tc>
        <w:tc>
          <w:tcPr>
            <w:tcW w:w="1701" w:type="dxa"/>
            <w:tcBorders>
              <w:top w:val="nil"/>
              <w:left w:val="nil"/>
              <w:bottom w:val="nil"/>
              <w:right w:val="nil"/>
            </w:tcBorders>
          </w:tcPr>
          <w:p w14:paraId="3046DCFD"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Denmark</w:t>
            </w:r>
          </w:p>
        </w:tc>
        <w:tc>
          <w:tcPr>
            <w:tcW w:w="1276" w:type="dxa"/>
            <w:tcBorders>
              <w:top w:val="nil"/>
              <w:left w:val="nil"/>
              <w:bottom w:val="nil"/>
              <w:right w:val="nil"/>
            </w:tcBorders>
          </w:tcPr>
          <w:p w14:paraId="2998A1F7" w14:textId="17FDA7EB"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2260F573" w14:textId="77777777" w:rsidTr="008530E3">
        <w:tc>
          <w:tcPr>
            <w:tcW w:w="2127" w:type="dxa"/>
            <w:tcBorders>
              <w:top w:val="nil"/>
              <w:left w:val="nil"/>
              <w:bottom w:val="nil"/>
              <w:right w:val="nil"/>
            </w:tcBorders>
          </w:tcPr>
          <w:p w14:paraId="561B2EB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Rajan Rajendran</w:t>
            </w:r>
          </w:p>
        </w:tc>
        <w:tc>
          <w:tcPr>
            <w:tcW w:w="3640" w:type="dxa"/>
            <w:tcBorders>
              <w:top w:val="nil"/>
              <w:left w:val="nil"/>
              <w:bottom w:val="nil"/>
              <w:right w:val="nil"/>
            </w:tcBorders>
          </w:tcPr>
          <w:p w14:paraId="6BDD050A" w14:textId="22346CDD"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Emerson</w:t>
            </w:r>
            <w:r w:rsidR="00F96A33">
              <w:rPr>
                <w:sz w:val="20"/>
              </w:rPr>
              <w:t xml:space="preserve"> Climate Technologies</w:t>
            </w:r>
          </w:p>
        </w:tc>
        <w:tc>
          <w:tcPr>
            <w:tcW w:w="1701" w:type="dxa"/>
            <w:tcBorders>
              <w:top w:val="nil"/>
              <w:left w:val="nil"/>
              <w:bottom w:val="nil"/>
              <w:right w:val="nil"/>
            </w:tcBorders>
          </w:tcPr>
          <w:p w14:paraId="19173E8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276" w:type="dxa"/>
            <w:tcBorders>
              <w:top w:val="nil"/>
              <w:left w:val="nil"/>
              <w:bottom w:val="nil"/>
              <w:right w:val="nil"/>
            </w:tcBorders>
          </w:tcPr>
          <w:p w14:paraId="2BC7930C" w14:textId="4C14F3E2"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3BEFC7E1" w14:textId="77777777" w:rsidTr="008530E3">
        <w:tc>
          <w:tcPr>
            <w:tcW w:w="2127" w:type="dxa"/>
            <w:tcBorders>
              <w:top w:val="nil"/>
              <w:left w:val="nil"/>
              <w:bottom w:val="nil"/>
              <w:right w:val="nil"/>
            </w:tcBorders>
          </w:tcPr>
          <w:p w14:paraId="7CB4F831"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Giorgio Rusignuolo</w:t>
            </w:r>
          </w:p>
        </w:tc>
        <w:tc>
          <w:tcPr>
            <w:tcW w:w="3640" w:type="dxa"/>
            <w:tcBorders>
              <w:top w:val="nil"/>
              <w:left w:val="nil"/>
              <w:bottom w:val="nil"/>
              <w:right w:val="nil"/>
            </w:tcBorders>
          </w:tcPr>
          <w:p w14:paraId="45A2719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Carrier Transicold</w:t>
            </w:r>
          </w:p>
        </w:tc>
        <w:tc>
          <w:tcPr>
            <w:tcW w:w="1701" w:type="dxa"/>
            <w:tcBorders>
              <w:top w:val="nil"/>
              <w:left w:val="nil"/>
              <w:bottom w:val="nil"/>
              <w:right w:val="nil"/>
            </w:tcBorders>
          </w:tcPr>
          <w:p w14:paraId="03EC055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USA</w:t>
            </w:r>
          </w:p>
        </w:tc>
        <w:tc>
          <w:tcPr>
            <w:tcW w:w="1276" w:type="dxa"/>
            <w:tcBorders>
              <w:top w:val="nil"/>
              <w:left w:val="nil"/>
              <w:bottom w:val="nil"/>
              <w:right w:val="nil"/>
            </w:tcBorders>
          </w:tcPr>
          <w:p w14:paraId="1094EA5E" w14:textId="6B163641"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69E7E87B" w14:textId="77777777" w:rsidTr="008530E3">
        <w:tc>
          <w:tcPr>
            <w:tcW w:w="2127" w:type="dxa"/>
            <w:tcBorders>
              <w:top w:val="nil"/>
              <w:left w:val="nil"/>
              <w:bottom w:val="nil"/>
              <w:right w:val="nil"/>
            </w:tcBorders>
          </w:tcPr>
          <w:p w14:paraId="0D551D3F"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Paulo Vodianitskaia</w:t>
            </w:r>
          </w:p>
        </w:tc>
        <w:tc>
          <w:tcPr>
            <w:tcW w:w="3640" w:type="dxa"/>
            <w:tcBorders>
              <w:top w:val="nil"/>
              <w:left w:val="nil"/>
              <w:bottom w:val="nil"/>
              <w:right w:val="nil"/>
            </w:tcBorders>
          </w:tcPr>
          <w:p w14:paraId="154FB9F4"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Consultant</w:t>
            </w:r>
          </w:p>
        </w:tc>
        <w:tc>
          <w:tcPr>
            <w:tcW w:w="1701" w:type="dxa"/>
            <w:tcBorders>
              <w:top w:val="nil"/>
              <w:left w:val="nil"/>
              <w:bottom w:val="nil"/>
              <w:right w:val="nil"/>
            </w:tcBorders>
          </w:tcPr>
          <w:p w14:paraId="2E9D84BB"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Brazil</w:t>
            </w:r>
          </w:p>
        </w:tc>
        <w:tc>
          <w:tcPr>
            <w:tcW w:w="1276" w:type="dxa"/>
            <w:tcBorders>
              <w:top w:val="nil"/>
              <w:left w:val="nil"/>
              <w:bottom w:val="nil"/>
              <w:right w:val="nil"/>
            </w:tcBorders>
          </w:tcPr>
          <w:p w14:paraId="6BF9D186" w14:textId="15EAFCC3"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r w:rsidR="00AD4B2A" w14:paraId="16724E23" w14:textId="77777777" w:rsidTr="008530E3">
        <w:tc>
          <w:tcPr>
            <w:tcW w:w="2127" w:type="dxa"/>
            <w:tcBorders>
              <w:top w:val="nil"/>
              <w:left w:val="nil"/>
              <w:bottom w:val="nil"/>
              <w:right w:val="nil"/>
            </w:tcBorders>
          </w:tcPr>
          <w:p w14:paraId="00CE989E"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8"/>
              <w:rPr>
                <w:sz w:val="20"/>
              </w:rPr>
            </w:pPr>
            <w:r>
              <w:rPr>
                <w:sz w:val="20"/>
              </w:rPr>
              <w:t>Asbjorn Vonsild</w:t>
            </w:r>
          </w:p>
        </w:tc>
        <w:tc>
          <w:tcPr>
            <w:tcW w:w="3640" w:type="dxa"/>
            <w:tcBorders>
              <w:top w:val="nil"/>
              <w:left w:val="nil"/>
              <w:bottom w:val="nil"/>
              <w:right w:val="nil"/>
            </w:tcBorders>
          </w:tcPr>
          <w:p w14:paraId="10C1A863"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Danfoss</w:t>
            </w:r>
          </w:p>
        </w:tc>
        <w:tc>
          <w:tcPr>
            <w:tcW w:w="1701" w:type="dxa"/>
            <w:tcBorders>
              <w:top w:val="nil"/>
              <w:left w:val="nil"/>
              <w:bottom w:val="nil"/>
              <w:right w:val="nil"/>
            </w:tcBorders>
          </w:tcPr>
          <w:p w14:paraId="7065A046" w14:textId="77777777" w:rsidR="00AD4B2A" w:rsidRDefault="00591AA8" w:rsidP="00B25ED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Pr>
                <w:sz w:val="20"/>
              </w:rPr>
              <w:t>Denmark</w:t>
            </w:r>
          </w:p>
        </w:tc>
        <w:tc>
          <w:tcPr>
            <w:tcW w:w="1276" w:type="dxa"/>
            <w:tcBorders>
              <w:top w:val="nil"/>
              <w:left w:val="nil"/>
              <w:bottom w:val="nil"/>
              <w:right w:val="nil"/>
            </w:tcBorders>
          </w:tcPr>
          <w:p w14:paraId="05C29F9F" w14:textId="6B0F48C1" w:rsidR="00AD4B2A" w:rsidRDefault="000C1A06" w:rsidP="00214CD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Pr>
                <w:sz w:val="20"/>
              </w:rPr>
              <w:t>201</w:t>
            </w:r>
            <w:r w:rsidR="00214CD9">
              <w:rPr>
                <w:sz w:val="20"/>
              </w:rPr>
              <w:t>8</w:t>
            </w:r>
          </w:p>
        </w:tc>
      </w:tr>
    </w:tbl>
    <w:p w14:paraId="774B9E63" w14:textId="77777777" w:rsidR="00F96A33" w:rsidRDefault="00F96A33" w:rsidP="0030141E">
      <w:pPr>
        <w:pStyle w:val="Heading1"/>
        <w:rPr>
          <w:rStyle w:val="Heading1Char2"/>
          <w:b/>
        </w:rPr>
      </w:pPr>
    </w:p>
    <w:p w14:paraId="7335EF2E" w14:textId="77777777" w:rsidR="00F96A33" w:rsidRDefault="00F96A33">
      <w:pPr>
        <w:spacing w:after="0"/>
        <w:rPr>
          <w:rStyle w:val="Heading1Char2"/>
        </w:rPr>
      </w:pPr>
      <w:r>
        <w:rPr>
          <w:rStyle w:val="Heading1Char2"/>
          <w:b w:val="0"/>
        </w:rPr>
        <w:br w:type="page"/>
      </w:r>
    </w:p>
    <w:p w14:paraId="482FA156" w14:textId="2B0829BD" w:rsidR="00AD4B2A" w:rsidRPr="0030141E" w:rsidRDefault="00203E52" w:rsidP="0030141E">
      <w:pPr>
        <w:pStyle w:val="Heading1"/>
        <w:rPr>
          <w:rStyle w:val="Heading1Char2"/>
          <w:b/>
        </w:rPr>
      </w:pPr>
      <w:bookmarkStart w:id="218" w:name="_Toc295406185"/>
      <w:r w:rsidRPr="0030141E">
        <w:rPr>
          <w:rStyle w:val="Heading1Char2"/>
          <w:b/>
        </w:rPr>
        <w:t>A</w:t>
      </w:r>
      <w:r w:rsidR="003A706C" w:rsidRPr="0030141E">
        <w:rPr>
          <w:rStyle w:val="Heading1Char2"/>
          <w:b/>
        </w:rPr>
        <w:t>nnex</w:t>
      </w:r>
      <w:r w:rsidRPr="0030141E">
        <w:rPr>
          <w:rStyle w:val="Heading1Char2"/>
          <w:b/>
        </w:rPr>
        <w:t xml:space="preserve"> 2: Matrix of </w:t>
      </w:r>
      <w:r w:rsidR="00664765" w:rsidRPr="0030141E">
        <w:rPr>
          <w:rStyle w:val="Heading1Char2"/>
          <w:b/>
        </w:rPr>
        <w:t xml:space="preserve">Needed </w:t>
      </w:r>
      <w:r w:rsidRPr="0030141E">
        <w:rPr>
          <w:rStyle w:val="Heading1Char2"/>
          <w:b/>
        </w:rPr>
        <w:t>Expertise</w:t>
      </w:r>
      <w:bookmarkEnd w:id="218"/>
    </w:p>
    <w:p w14:paraId="664D34AF" w14:textId="68019CFE" w:rsidR="00203E52" w:rsidRDefault="00203E52">
      <w:r>
        <w:t xml:space="preserve">As required by the TEAP TOR an update of the matrix of </w:t>
      </w:r>
      <w:r w:rsidR="00664765">
        <w:t xml:space="preserve">needed </w:t>
      </w:r>
      <w:r>
        <w:t xml:space="preserve">expertise </w:t>
      </w:r>
      <w:r w:rsidR="00664765">
        <w:t xml:space="preserve">on the TEAP and its TOCs </w:t>
      </w:r>
      <w:r>
        <w:t>is provided below</w:t>
      </w:r>
      <w:r w:rsidR="00664765">
        <w:t xml:space="preserve"> valid as of June 2015</w:t>
      </w:r>
      <w:r>
        <w:t>.</w:t>
      </w:r>
    </w:p>
    <w:tbl>
      <w:tblPr>
        <w:tblW w:w="8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5040"/>
        <w:gridCol w:w="1890"/>
      </w:tblGrid>
      <w:tr w:rsidR="00BC1D91" w:rsidRPr="00B06A1A" w14:paraId="3C05552F" w14:textId="77777777" w:rsidTr="00BC1D91">
        <w:trPr>
          <w:trHeight w:val="458"/>
        </w:trPr>
        <w:tc>
          <w:tcPr>
            <w:tcW w:w="1548" w:type="dxa"/>
          </w:tcPr>
          <w:p w14:paraId="6735E03B" w14:textId="77777777" w:rsidR="00BC1D91" w:rsidRPr="00B06A1A" w:rsidRDefault="00BC1D91" w:rsidP="00BC1D91">
            <w:pPr>
              <w:widowControl w:val="0"/>
              <w:autoSpaceDE w:val="0"/>
              <w:autoSpaceDN w:val="0"/>
              <w:adjustRightInd w:val="0"/>
              <w:spacing w:after="220"/>
            </w:pPr>
            <w:r w:rsidRPr="00B06A1A">
              <w:rPr>
                <w:b/>
                <w:bCs/>
              </w:rPr>
              <w:t>Body</w:t>
            </w:r>
          </w:p>
        </w:tc>
        <w:tc>
          <w:tcPr>
            <w:tcW w:w="5040" w:type="dxa"/>
          </w:tcPr>
          <w:p w14:paraId="18E8376A" w14:textId="77777777" w:rsidR="00BC1D91" w:rsidRPr="00B06A1A" w:rsidRDefault="00BC1D91" w:rsidP="00BC1D91">
            <w:pPr>
              <w:widowControl w:val="0"/>
              <w:autoSpaceDE w:val="0"/>
              <w:autoSpaceDN w:val="0"/>
              <w:adjustRightInd w:val="0"/>
              <w:spacing w:after="220"/>
            </w:pPr>
            <w:r w:rsidRPr="00B06A1A">
              <w:rPr>
                <w:b/>
                <w:bCs/>
              </w:rPr>
              <w:t>Required Expertise</w:t>
            </w:r>
          </w:p>
        </w:tc>
        <w:tc>
          <w:tcPr>
            <w:tcW w:w="1890" w:type="dxa"/>
          </w:tcPr>
          <w:p w14:paraId="1FA29A47" w14:textId="77777777" w:rsidR="00BC1D91" w:rsidRPr="00B06A1A" w:rsidRDefault="00BC1D91" w:rsidP="00BC1D91">
            <w:pPr>
              <w:widowControl w:val="0"/>
              <w:autoSpaceDE w:val="0"/>
              <w:autoSpaceDN w:val="0"/>
              <w:adjustRightInd w:val="0"/>
              <w:spacing w:after="220"/>
            </w:pPr>
            <w:r>
              <w:rPr>
                <w:b/>
                <w:bCs/>
              </w:rPr>
              <w:t>A5/ Non-A5</w:t>
            </w:r>
          </w:p>
        </w:tc>
      </w:tr>
      <w:tr w:rsidR="00011693" w:rsidRPr="00B06A1A" w14:paraId="7A1B90F6" w14:textId="77777777" w:rsidTr="001016FF">
        <w:trPr>
          <w:trHeight w:val="1319"/>
        </w:trPr>
        <w:tc>
          <w:tcPr>
            <w:tcW w:w="1548" w:type="dxa"/>
          </w:tcPr>
          <w:p w14:paraId="43C7EAA7" w14:textId="19BD258A" w:rsidR="00011693" w:rsidRDefault="00011693" w:rsidP="00BC1D91">
            <w:pPr>
              <w:widowControl w:val="0"/>
              <w:autoSpaceDE w:val="0"/>
              <w:autoSpaceDN w:val="0"/>
              <w:adjustRightInd w:val="0"/>
              <w:spacing w:after="220"/>
              <w:rPr>
                <w:b/>
                <w:sz w:val="20"/>
              </w:rPr>
            </w:pPr>
            <w:r w:rsidRPr="00B06A1A">
              <w:rPr>
                <w:b/>
                <w:sz w:val="20"/>
              </w:rPr>
              <w:t>Chemicals TOC</w:t>
            </w:r>
          </w:p>
        </w:tc>
        <w:tc>
          <w:tcPr>
            <w:tcW w:w="5040" w:type="dxa"/>
          </w:tcPr>
          <w:p w14:paraId="0855DFF3" w14:textId="77777777" w:rsidR="00011693" w:rsidRDefault="00011693" w:rsidP="00011693">
            <w:pPr>
              <w:widowControl w:val="0"/>
              <w:autoSpaceDE w:val="0"/>
              <w:autoSpaceDN w:val="0"/>
              <w:adjustRightInd w:val="0"/>
              <w:spacing w:after="220"/>
              <w:rPr>
                <w:sz w:val="20"/>
              </w:rPr>
            </w:pPr>
            <w:r>
              <w:rPr>
                <w:sz w:val="20"/>
              </w:rPr>
              <w:t>Experts o</w:t>
            </w:r>
            <w:r w:rsidRPr="00B06A1A">
              <w:rPr>
                <w:sz w:val="20"/>
              </w:rPr>
              <w:t>n destruction technologies</w:t>
            </w:r>
          </w:p>
          <w:p w14:paraId="617D2552" w14:textId="77777777" w:rsidR="00011693" w:rsidRPr="00B06A1A" w:rsidRDefault="00011693" w:rsidP="00011693">
            <w:pPr>
              <w:widowControl w:val="0"/>
              <w:autoSpaceDE w:val="0"/>
              <w:autoSpaceDN w:val="0"/>
              <w:adjustRightInd w:val="0"/>
              <w:spacing w:after="220"/>
              <w:rPr>
                <w:sz w:val="20"/>
                <w:lang w:eastAsia="ja-JP"/>
              </w:rPr>
            </w:pPr>
            <w:r>
              <w:rPr>
                <w:sz w:val="20"/>
              </w:rPr>
              <w:t>Experts on Laboratory and analytical uses</w:t>
            </w:r>
          </w:p>
          <w:p w14:paraId="6781E7FA" w14:textId="190DB5E6" w:rsidR="00011693" w:rsidRDefault="00011693" w:rsidP="00BC1D91">
            <w:pPr>
              <w:widowControl w:val="0"/>
              <w:autoSpaceDE w:val="0"/>
              <w:autoSpaceDN w:val="0"/>
              <w:adjustRightInd w:val="0"/>
              <w:spacing w:after="220"/>
              <w:rPr>
                <w:sz w:val="20"/>
              </w:rPr>
            </w:pPr>
            <w:r>
              <w:rPr>
                <w:sz w:val="20"/>
                <w:lang w:eastAsia="ja-JP"/>
              </w:rPr>
              <w:t>Experts o</w:t>
            </w:r>
            <w:r w:rsidRPr="00B06A1A">
              <w:rPr>
                <w:sz w:val="20"/>
                <w:lang w:eastAsia="ja-JP"/>
              </w:rPr>
              <w:t xml:space="preserve">n </w:t>
            </w:r>
            <w:r>
              <w:rPr>
                <w:sz w:val="20"/>
                <w:lang w:eastAsia="ja-JP"/>
              </w:rPr>
              <w:t>solvents</w:t>
            </w:r>
          </w:p>
        </w:tc>
        <w:tc>
          <w:tcPr>
            <w:tcW w:w="1890" w:type="dxa"/>
          </w:tcPr>
          <w:p w14:paraId="3E07FCBD" w14:textId="77777777" w:rsidR="00011693" w:rsidRPr="00B06A1A" w:rsidRDefault="00011693" w:rsidP="00011693">
            <w:pPr>
              <w:widowControl w:val="0"/>
              <w:autoSpaceDE w:val="0"/>
              <w:autoSpaceDN w:val="0"/>
              <w:adjustRightInd w:val="0"/>
              <w:spacing w:after="220"/>
              <w:rPr>
                <w:sz w:val="20"/>
                <w:lang w:eastAsia="ja-JP"/>
              </w:rPr>
            </w:pPr>
            <w:r w:rsidRPr="00B06A1A">
              <w:rPr>
                <w:sz w:val="20"/>
              </w:rPr>
              <w:t xml:space="preserve">A5 </w:t>
            </w:r>
            <w:r>
              <w:rPr>
                <w:sz w:val="20"/>
              </w:rPr>
              <w:t>or</w:t>
            </w:r>
            <w:r w:rsidRPr="00B06A1A">
              <w:rPr>
                <w:sz w:val="20"/>
              </w:rPr>
              <w:t xml:space="preserve"> non-A5</w:t>
            </w:r>
          </w:p>
          <w:p w14:paraId="5377C3BD" w14:textId="77777777" w:rsidR="00011693" w:rsidRDefault="00011693" w:rsidP="00011693">
            <w:pPr>
              <w:widowControl w:val="0"/>
              <w:autoSpaceDE w:val="0"/>
              <w:autoSpaceDN w:val="0"/>
              <w:adjustRightInd w:val="0"/>
              <w:spacing w:after="220"/>
              <w:rPr>
                <w:sz w:val="20"/>
                <w:lang w:eastAsia="ja-JP"/>
              </w:rPr>
            </w:pPr>
            <w:r w:rsidRPr="00B06A1A">
              <w:rPr>
                <w:sz w:val="20"/>
                <w:lang w:eastAsia="ja-JP"/>
              </w:rPr>
              <w:t xml:space="preserve">A5 </w:t>
            </w:r>
            <w:r>
              <w:rPr>
                <w:sz w:val="20"/>
                <w:lang w:eastAsia="ja-JP"/>
              </w:rPr>
              <w:t>or</w:t>
            </w:r>
            <w:r w:rsidRPr="00B06A1A">
              <w:rPr>
                <w:sz w:val="20"/>
                <w:lang w:eastAsia="ja-JP"/>
              </w:rPr>
              <w:t xml:space="preserve"> non-A5</w:t>
            </w:r>
          </w:p>
          <w:p w14:paraId="7DAD3D74" w14:textId="349D04C6" w:rsidR="00011693" w:rsidRDefault="00011693" w:rsidP="00BC1D91">
            <w:pPr>
              <w:widowControl w:val="0"/>
              <w:autoSpaceDE w:val="0"/>
              <w:autoSpaceDN w:val="0"/>
              <w:adjustRightInd w:val="0"/>
              <w:spacing w:after="220"/>
              <w:rPr>
                <w:sz w:val="20"/>
              </w:rPr>
            </w:pPr>
            <w:r>
              <w:rPr>
                <w:sz w:val="20"/>
                <w:lang w:eastAsia="ja-JP"/>
              </w:rPr>
              <w:t>A5 or non-A5</w:t>
            </w:r>
          </w:p>
        </w:tc>
      </w:tr>
      <w:tr w:rsidR="00302856" w:rsidRPr="00B06A1A" w14:paraId="65EE1513" w14:textId="77777777" w:rsidTr="00BC1D91">
        <w:trPr>
          <w:trHeight w:val="1736"/>
        </w:trPr>
        <w:tc>
          <w:tcPr>
            <w:tcW w:w="1548" w:type="dxa"/>
          </w:tcPr>
          <w:p w14:paraId="5E49C9AA" w14:textId="48A97B2D" w:rsidR="00302856" w:rsidRPr="00B06A1A" w:rsidRDefault="00302856" w:rsidP="00BC1D91">
            <w:pPr>
              <w:widowControl w:val="0"/>
              <w:autoSpaceDE w:val="0"/>
              <w:autoSpaceDN w:val="0"/>
              <w:adjustRightInd w:val="0"/>
              <w:spacing w:after="220"/>
              <w:rPr>
                <w:b/>
                <w:sz w:val="20"/>
              </w:rPr>
            </w:pPr>
            <w:r w:rsidRPr="00302856">
              <w:rPr>
                <w:b/>
                <w:sz w:val="20"/>
              </w:rPr>
              <w:t>Foams TOC</w:t>
            </w:r>
          </w:p>
        </w:tc>
        <w:tc>
          <w:tcPr>
            <w:tcW w:w="5040" w:type="dxa"/>
          </w:tcPr>
          <w:p w14:paraId="6E3F607B" w14:textId="77777777" w:rsidR="00302856" w:rsidRPr="00B06A1A" w:rsidRDefault="00302856" w:rsidP="00640263">
            <w:pPr>
              <w:widowControl w:val="0"/>
              <w:autoSpaceDE w:val="0"/>
              <w:autoSpaceDN w:val="0"/>
              <w:adjustRightInd w:val="0"/>
              <w:rPr>
                <w:sz w:val="20"/>
              </w:rPr>
            </w:pPr>
            <w:r w:rsidRPr="00B06A1A">
              <w:rPr>
                <w:sz w:val="20"/>
              </w:rPr>
              <w:t>Additional polyurethane foam expertise</w:t>
            </w:r>
            <w:r>
              <w:rPr>
                <w:sz w:val="20"/>
              </w:rPr>
              <w:t xml:space="preserve"> in the appliance sector</w:t>
            </w:r>
            <w:r w:rsidRPr="00B06A1A">
              <w:rPr>
                <w:sz w:val="20"/>
              </w:rPr>
              <w:t xml:space="preserve"> </w:t>
            </w:r>
          </w:p>
          <w:p w14:paraId="103AA291" w14:textId="77777777" w:rsidR="00302856" w:rsidRPr="00B06A1A" w:rsidRDefault="00302856" w:rsidP="00640263">
            <w:pPr>
              <w:widowControl w:val="0"/>
              <w:autoSpaceDE w:val="0"/>
              <w:autoSpaceDN w:val="0"/>
              <w:adjustRightInd w:val="0"/>
              <w:rPr>
                <w:sz w:val="20"/>
                <w:lang w:eastAsia="ja-JP"/>
              </w:rPr>
            </w:pPr>
            <w:r>
              <w:rPr>
                <w:sz w:val="20"/>
                <w:lang w:eastAsia="ja-JP"/>
              </w:rPr>
              <w:t xml:space="preserve">Representation of smaller XPS producers </w:t>
            </w:r>
          </w:p>
          <w:p w14:paraId="7824567E" w14:textId="77777777" w:rsidR="00302856" w:rsidRPr="00B06A1A" w:rsidRDefault="00302856" w:rsidP="00640263">
            <w:pPr>
              <w:widowControl w:val="0"/>
              <w:autoSpaceDE w:val="0"/>
              <w:autoSpaceDN w:val="0"/>
              <w:adjustRightInd w:val="0"/>
              <w:rPr>
                <w:sz w:val="20"/>
              </w:rPr>
            </w:pPr>
            <w:r>
              <w:rPr>
                <w:sz w:val="20"/>
              </w:rPr>
              <w:t xml:space="preserve">XPS representation </w:t>
            </w:r>
          </w:p>
          <w:p w14:paraId="529B988B" w14:textId="25171A6F" w:rsidR="00302856" w:rsidRPr="00B06A1A" w:rsidRDefault="00302856" w:rsidP="00BC1D91">
            <w:pPr>
              <w:widowControl w:val="0"/>
              <w:tabs>
                <w:tab w:val="left" w:pos="3465"/>
              </w:tabs>
              <w:autoSpaceDE w:val="0"/>
              <w:autoSpaceDN w:val="0"/>
              <w:adjustRightInd w:val="0"/>
              <w:spacing w:after="220"/>
              <w:rPr>
                <w:sz w:val="20"/>
              </w:rPr>
            </w:pPr>
            <w:r>
              <w:rPr>
                <w:sz w:val="20"/>
              </w:rPr>
              <w:t>R</w:t>
            </w:r>
            <w:r w:rsidRPr="00B06A1A">
              <w:rPr>
                <w:sz w:val="20"/>
              </w:rPr>
              <w:t>epresentation on PU foams</w:t>
            </w:r>
            <w:r w:rsidRPr="00B06A1A">
              <w:rPr>
                <w:sz w:val="20"/>
                <w:lang w:eastAsia="ja-JP"/>
              </w:rPr>
              <w:t xml:space="preserve"> </w:t>
            </w:r>
          </w:p>
        </w:tc>
        <w:tc>
          <w:tcPr>
            <w:tcW w:w="1890" w:type="dxa"/>
          </w:tcPr>
          <w:p w14:paraId="64C67E1F" w14:textId="77777777" w:rsidR="00302856" w:rsidRDefault="00302856" w:rsidP="00640263">
            <w:pPr>
              <w:widowControl w:val="0"/>
              <w:autoSpaceDE w:val="0"/>
              <w:autoSpaceDN w:val="0"/>
              <w:adjustRightInd w:val="0"/>
              <w:spacing w:after="220"/>
              <w:rPr>
                <w:sz w:val="20"/>
              </w:rPr>
            </w:pPr>
            <w:r>
              <w:rPr>
                <w:sz w:val="20"/>
              </w:rPr>
              <w:t>Particularly North America</w:t>
            </w:r>
          </w:p>
          <w:p w14:paraId="3B2125B3" w14:textId="77777777" w:rsidR="00302856" w:rsidRPr="00B06A1A" w:rsidRDefault="00302856" w:rsidP="00640263">
            <w:pPr>
              <w:widowControl w:val="0"/>
              <w:autoSpaceDE w:val="0"/>
              <w:autoSpaceDN w:val="0"/>
              <w:adjustRightInd w:val="0"/>
              <w:spacing w:after="220"/>
              <w:rPr>
                <w:sz w:val="20"/>
                <w:lang w:eastAsia="ja-JP"/>
              </w:rPr>
            </w:pPr>
            <w:r w:rsidRPr="00B06A1A">
              <w:rPr>
                <w:sz w:val="20"/>
                <w:lang w:eastAsia="ja-JP"/>
              </w:rPr>
              <w:t>From Europe</w:t>
            </w:r>
          </w:p>
          <w:p w14:paraId="01B0200B" w14:textId="77777777" w:rsidR="00302856" w:rsidRPr="00B06A1A" w:rsidRDefault="00302856" w:rsidP="00640263">
            <w:pPr>
              <w:widowControl w:val="0"/>
              <w:autoSpaceDE w:val="0"/>
              <w:autoSpaceDN w:val="0"/>
              <w:adjustRightInd w:val="0"/>
              <w:spacing w:after="220"/>
              <w:rPr>
                <w:sz w:val="20"/>
                <w:lang w:eastAsia="ja-JP"/>
              </w:rPr>
            </w:pPr>
            <w:r w:rsidRPr="00B06A1A">
              <w:rPr>
                <w:sz w:val="20"/>
                <w:lang w:eastAsia="ja-JP"/>
              </w:rPr>
              <w:t>From Japan</w:t>
            </w:r>
          </w:p>
          <w:p w14:paraId="3C3F5D61" w14:textId="4BC4E502" w:rsidR="00302856" w:rsidRPr="00B06A1A" w:rsidRDefault="00302856" w:rsidP="00BC1D91">
            <w:pPr>
              <w:widowControl w:val="0"/>
              <w:autoSpaceDE w:val="0"/>
              <w:autoSpaceDN w:val="0"/>
              <w:adjustRightInd w:val="0"/>
              <w:spacing w:after="220"/>
              <w:rPr>
                <w:sz w:val="20"/>
              </w:rPr>
            </w:pPr>
            <w:r>
              <w:rPr>
                <w:sz w:val="20"/>
              </w:rPr>
              <w:t xml:space="preserve">From South East Asia and Sub-Saharan Africa </w:t>
            </w:r>
          </w:p>
        </w:tc>
      </w:tr>
      <w:tr w:rsidR="0095076E" w:rsidRPr="00B06A1A" w14:paraId="0F445D3A" w14:textId="77777777" w:rsidTr="00BC1D91">
        <w:tc>
          <w:tcPr>
            <w:tcW w:w="1548" w:type="dxa"/>
          </w:tcPr>
          <w:p w14:paraId="79AB54A3" w14:textId="57807513" w:rsidR="0095076E" w:rsidRPr="00B06A1A" w:rsidRDefault="0095076E" w:rsidP="00BC1D91">
            <w:pPr>
              <w:widowControl w:val="0"/>
              <w:autoSpaceDE w:val="0"/>
              <w:autoSpaceDN w:val="0"/>
              <w:adjustRightInd w:val="0"/>
              <w:spacing w:after="220"/>
              <w:rPr>
                <w:b/>
                <w:sz w:val="20"/>
              </w:rPr>
            </w:pPr>
            <w:r w:rsidRPr="00214CD9">
              <w:rPr>
                <w:b/>
                <w:sz w:val="20"/>
              </w:rPr>
              <w:t>Halons TOC</w:t>
            </w:r>
          </w:p>
        </w:tc>
        <w:tc>
          <w:tcPr>
            <w:tcW w:w="5040" w:type="dxa"/>
          </w:tcPr>
          <w:p w14:paraId="76182B92" w14:textId="4063C61B" w:rsidR="0095076E" w:rsidRPr="00B06A1A" w:rsidRDefault="00214CD9" w:rsidP="0095076E">
            <w:pPr>
              <w:rPr>
                <w:sz w:val="20"/>
              </w:rPr>
            </w:pPr>
            <w:r>
              <w:rPr>
                <w:sz w:val="20"/>
              </w:rPr>
              <w:t>Civil aviation</w:t>
            </w:r>
            <w:r w:rsidR="0095076E" w:rsidRPr="00B06A1A">
              <w:rPr>
                <w:sz w:val="20"/>
              </w:rPr>
              <w:t xml:space="preserve"> </w:t>
            </w:r>
          </w:p>
          <w:p w14:paraId="0B4BB32D" w14:textId="1FA74462" w:rsidR="0095076E" w:rsidRPr="00B06A1A" w:rsidRDefault="00214CD9" w:rsidP="0095076E">
            <w:pPr>
              <w:rPr>
                <w:sz w:val="20"/>
              </w:rPr>
            </w:pPr>
            <w:r>
              <w:rPr>
                <w:sz w:val="20"/>
              </w:rPr>
              <w:t>Halon Banking</w:t>
            </w:r>
          </w:p>
        </w:tc>
        <w:tc>
          <w:tcPr>
            <w:tcW w:w="1890" w:type="dxa"/>
          </w:tcPr>
          <w:p w14:paraId="4128076A" w14:textId="42DD0129" w:rsidR="0095076E" w:rsidRPr="00B06A1A" w:rsidRDefault="00214CD9" w:rsidP="0095076E">
            <w:pPr>
              <w:widowControl w:val="0"/>
              <w:autoSpaceDE w:val="0"/>
              <w:autoSpaceDN w:val="0"/>
              <w:adjustRightInd w:val="0"/>
              <w:spacing w:after="220"/>
              <w:rPr>
                <w:sz w:val="20"/>
                <w:lang w:eastAsia="ja-JP"/>
              </w:rPr>
            </w:pPr>
            <w:r>
              <w:rPr>
                <w:sz w:val="20"/>
              </w:rPr>
              <w:t xml:space="preserve">A5, </w:t>
            </w:r>
            <w:r w:rsidR="00165E88">
              <w:rPr>
                <w:sz w:val="20"/>
              </w:rPr>
              <w:t>South</w:t>
            </w:r>
            <w:r>
              <w:rPr>
                <w:sz w:val="20"/>
              </w:rPr>
              <w:t xml:space="preserve"> East Asia</w:t>
            </w:r>
          </w:p>
          <w:p w14:paraId="5636CC31" w14:textId="7CC4F1FF" w:rsidR="0095076E" w:rsidRPr="00B06A1A" w:rsidRDefault="0095076E" w:rsidP="00BC1D91">
            <w:pPr>
              <w:widowControl w:val="0"/>
              <w:autoSpaceDE w:val="0"/>
              <w:autoSpaceDN w:val="0"/>
              <w:adjustRightInd w:val="0"/>
              <w:spacing w:after="220"/>
              <w:rPr>
                <w:sz w:val="20"/>
                <w:lang w:eastAsia="ja-JP"/>
              </w:rPr>
            </w:pPr>
            <w:r w:rsidRPr="00B06A1A">
              <w:rPr>
                <w:sz w:val="20"/>
                <w:lang w:eastAsia="ja-JP"/>
              </w:rPr>
              <w:t>A5</w:t>
            </w:r>
            <w:r w:rsidR="00214CD9">
              <w:rPr>
                <w:sz w:val="20"/>
                <w:lang w:eastAsia="ja-JP"/>
              </w:rPr>
              <w:t xml:space="preserve">, Africa and </w:t>
            </w:r>
            <w:r w:rsidRPr="00B06A1A">
              <w:rPr>
                <w:sz w:val="20"/>
                <w:lang w:eastAsia="ja-JP"/>
              </w:rPr>
              <w:t>A5</w:t>
            </w:r>
            <w:r w:rsidR="00214CD9">
              <w:rPr>
                <w:sz w:val="20"/>
                <w:lang w:eastAsia="ja-JP"/>
              </w:rPr>
              <w:t>, South America</w:t>
            </w:r>
          </w:p>
        </w:tc>
      </w:tr>
      <w:tr w:rsidR="0095076E" w:rsidRPr="00B06A1A" w14:paraId="0E20F36F" w14:textId="77777777" w:rsidTr="00BC1D91">
        <w:trPr>
          <w:trHeight w:val="790"/>
        </w:trPr>
        <w:tc>
          <w:tcPr>
            <w:tcW w:w="1548" w:type="dxa"/>
          </w:tcPr>
          <w:p w14:paraId="3EFF6231" w14:textId="77777777" w:rsidR="0095076E" w:rsidRDefault="0095076E" w:rsidP="004463D8">
            <w:pPr>
              <w:widowControl w:val="0"/>
              <w:autoSpaceDE w:val="0"/>
              <w:autoSpaceDN w:val="0"/>
              <w:adjustRightInd w:val="0"/>
              <w:spacing w:after="220"/>
              <w:rPr>
                <w:b/>
                <w:sz w:val="20"/>
              </w:rPr>
            </w:pPr>
          </w:p>
          <w:p w14:paraId="4CB9435A" w14:textId="6666D0BC" w:rsidR="0095076E" w:rsidRPr="00B06A1A" w:rsidRDefault="0095076E" w:rsidP="00BC1D91">
            <w:pPr>
              <w:widowControl w:val="0"/>
              <w:autoSpaceDE w:val="0"/>
              <w:autoSpaceDN w:val="0"/>
              <w:adjustRightInd w:val="0"/>
              <w:spacing w:after="220"/>
              <w:rPr>
                <w:b/>
                <w:sz w:val="20"/>
              </w:rPr>
            </w:pPr>
            <w:r w:rsidRPr="00B06A1A">
              <w:rPr>
                <w:b/>
                <w:sz w:val="20"/>
              </w:rPr>
              <w:t>Methyl Bromide TOC</w:t>
            </w:r>
          </w:p>
        </w:tc>
        <w:tc>
          <w:tcPr>
            <w:tcW w:w="5040" w:type="dxa"/>
          </w:tcPr>
          <w:p w14:paraId="11629B75" w14:textId="77777777" w:rsidR="0095076E" w:rsidRDefault="0095076E" w:rsidP="004463D8">
            <w:pPr>
              <w:widowControl w:val="0"/>
              <w:autoSpaceDE w:val="0"/>
              <w:autoSpaceDN w:val="0"/>
              <w:adjustRightInd w:val="0"/>
              <w:spacing w:after="220"/>
              <w:rPr>
                <w:sz w:val="20"/>
              </w:rPr>
            </w:pPr>
            <w:r>
              <w:rPr>
                <w:sz w:val="20"/>
              </w:rPr>
              <w:t>Wide general expertise on alternatives for pre-plant soil fumigation.</w:t>
            </w:r>
          </w:p>
          <w:p w14:paraId="0EF2A535" w14:textId="19EC588B" w:rsidR="0095076E" w:rsidRDefault="0095076E" w:rsidP="004463D8">
            <w:pPr>
              <w:widowControl w:val="0"/>
              <w:autoSpaceDE w:val="0"/>
              <w:autoSpaceDN w:val="0"/>
              <w:adjustRightInd w:val="0"/>
              <w:spacing w:after="220"/>
              <w:rPr>
                <w:sz w:val="20"/>
              </w:rPr>
            </w:pPr>
            <w:r w:rsidRPr="00B06A1A">
              <w:rPr>
                <w:sz w:val="20"/>
              </w:rPr>
              <w:t>Issues related to the validation of alternatives to MB for certification of nursery plant materials related to movement across state and intern</w:t>
            </w:r>
            <w:r w:rsidR="001016FF">
              <w:rPr>
                <w:sz w:val="20"/>
              </w:rPr>
              <w:t xml:space="preserve">ational boundaries and related </w:t>
            </w:r>
            <w:r w:rsidRPr="00B06A1A">
              <w:rPr>
                <w:sz w:val="20"/>
              </w:rPr>
              <w:t xml:space="preserve">risk assessment </w:t>
            </w:r>
          </w:p>
          <w:p w14:paraId="0DB8A398" w14:textId="77777777" w:rsidR="0095076E" w:rsidRPr="00B06A1A" w:rsidRDefault="0095076E" w:rsidP="004463D8">
            <w:pPr>
              <w:widowControl w:val="0"/>
              <w:autoSpaceDE w:val="0"/>
              <w:autoSpaceDN w:val="0"/>
              <w:adjustRightInd w:val="0"/>
              <w:spacing w:after="220"/>
              <w:rPr>
                <w:sz w:val="20"/>
              </w:rPr>
            </w:pPr>
            <w:r w:rsidRPr="00B06A1A">
              <w:rPr>
                <w:sz w:val="20"/>
              </w:rPr>
              <w:t>Quarantine and pre-shipment</w:t>
            </w:r>
          </w:p>
          <w:p w14:paraId="345FACB1" w14:textId="7F68C0AD" w:rsidR="0095076E" w:rsidRPr="00B06A1A" w:rsidRDefault="0095076E" w:rsidP="00BC1D91">
            <w:pPr>
              <w:widowControl w:val="0"/>
              <w:autoSpaceDE w:val="0"/>
              <w:autoSpaceDN w:val="0"/>
              <w:adjustRightInd w:val="0"/>
              <w:spacing w:after="220"/>
              <w:rPr>
                <w:sz w:val="20"/>
              </w:rPr>
            </w:pPr>
            <w:r w:rsidRPr="00B06A1A">
              <w:rPr>
                <w:sz w:val="20"/>
              </w:rPr>
              <w:t>Expert in economic assessment of alternatives to MB</w:t>
            </w:r>
          </w:p>
        </w:tc>
        <w:tc>
          <w:tcPr>
            <w:tcW w:w="1890" w:type="dxa"/>
          </w:tcPr>
          <w:p w14:paraId="70B4B178" w14:textId="77777777" w:rsidR="0095076E" w:rsidRDefault="0095076E" w:rsidP="004463D8">
            <w:pPr>
              <w:widowControl w:val="0"/>
              <w:autoSpaceDE w:val="0"/>
              <w:autoSpaceDN w:val="0"/>
              <w:adjustRightInd w:val="0"/>
              <w:spacing w:after="220"/>
              <w:rPr>
                <w:sz w:val="20"/>
              </w:rPr>
            </w:pPr>
            <w:r>
              <w:rPr>
                <w:sz w:val="20"/>
              </w:rPr>
              <w:t>Non-A5</w:t>
            </w:r>
          </w:p>
          <w:p w14:paraId="5F0935EA" w14:textId="77777777" w:rsidR="0095076E" w:rsidRDefault="0095076E" w:rsidP="004463D8">
            <w:pPr>
              <w:widowControl w:val="0"/>
              <w:autoSpaceDE w:val="0"/>
              <w:autoSpaceDN w:val="0"/>
              <w:adjustRightInd w:val="0"/>
              <w:spacing w:after="220"/>
              <w:rPr>
                <w:sz w:val="20"/>
              </w:rPr>
            </w:pPr>
          </w:p>
          <w:p w14:paraId="7F662C71" w14:textId="77777777" w:rsidR="0095076E" w:rsidRDefault="0095076E" w:rsidP="004463D8">
            <w:pPr>
              <w:widowControl w:val="0"/>
              <w:autoSpaceDE w:val="0"/>
              <w:autoSpaceDN w:val="0"/>
              <w:adjustRightInd w:val="0"/>
              <w:spacing w:after="220"/>
              <w:rPr>
                <w:sz w:val="20"/>
              </w:rPr>
            </w:pPr>
            <w:r>
              <w:rPr>
                <w:sz w:val="20"/>
              </w:rPr>
              <w:t>Non-A5</w:t>
            </w:r>
          </w:p>
          <w:p w14:paraId="0DC3F479" w14:textId="77777777" w:rsidR="0095076E" w:rsidRDefault="0095076E" w:rsidP="004463D8">
            <w:pPr>
              <w:widowControl w:val="0"/>
              <w:autoSpaceDE w:val="0"/>
              <w:autoSpaceDN w:val="0"/>
              <w:adjustRightInd w:val="0"/>
              <w:spacing w:after="220"/>
              <w:rPr>
                <w:sz w:val="20"/>
              </w:rPr>
            </w:pPr>
            <w:r w:rsidRPr="00B06A1A">
              <w:rPr>
                <w:sz w:val="20"/>
              </w:rPr>
              <w:t xml:space="preserve"> </w:t>
            </w:r>
          </w:p>
          <w:p w14:paraId="31867E87" w14:textId="77777777" w:rsidR="0095076E" w:rsidRPr="00B06A1A" w:rsidRDefault="0095076E" w:rsidP="004463D8">
            <w:pPr>
              <w:widowControl w:val="0"/>
              <w:autoSpaceDE w:val="0"/>
              <w:autoSpaceDN w:val="0"/>
              <w:adjustRightInd w:val="0"/>
              <w:spacing w:after="220"/>
              <w:rPr>
                <w:sz w:val="20"/>
              </w:rPr>
            </w:pPr>
            <w:r>
              <w:rPr>
                <w:sz w:val="20"/>
              </w:rPr>
              <w:t>A5</w:t>
            </w:r>
            <w:r w:rsidRPr="00B06A1A">
              <w:rPr>
                <w:sz w:val="20"/>
              </w:rPr>
              <w:t xml:space="preserve"> from Asia</w:t>
            </w:r>
          </w:p>
          <w:p w14:paraId="0986A97E" w14:textId="47ABECDC" w:rsidR="0095076E" w:rsidRPr="00B06A1A" w:rsidRDefault="0095076E" w:rsidP="00BC1D91">
            <w:pPr>
              <w:widowControl w:val="0"/>
              <w:autoSpaceDE w:val="0"/>
              <w:autoSpaceDN w:val="0"/>
              <w:adjustRightInd w:val="0"/>
              <w:spacing w:after="220"/>
              <w:rPr>
                <w:sz w:val="20"/>
              </w:rPr>
            </w:pPr>
            <w:r>
              <w:rPr>
                <w:sz w:val="20"/>
              </w:rPr>
              <w:t>Non-A5</w:t>
            </w:r>
          </w:p>
        </w:tc>
      </w:tr>
      <w:tr w:rsidR="0095076E" w:rsidRPr="00B06A1A" w14:paraId="6314E2E5" w14:textId="77777777" w:rsidTr="00BC1D91">
        <w:tc>
          <w:tcPr>
            <w:tcW w:w="1548" w:type="dxa"/>
          </w:tcPr>
          <w:p w14:paraId="44D0D9C5" w14:textId="77777777" w:rsidR="0095076E" w:rsidRPr="00B06A1A" w:rsidRDefault="0095076E" w:rsidP="00BC1D91">
            <w:pPr>
              <w:widowControl w:val="0"/>
              <w:autoSpaceDE w:val="0"/>
              <w:autoSpaceDN w:val="0"/>
              <w:adjustRightInd w:val="0"/>
              <w:spacing w:after="220"/>
              <w:rPr>
                <w:b/>
                <w:sz w:val="20"/>
              </w:rPr>
            </w:pPr>
            <w:r w:rsidRPr="00B06A1A">
              <w:rPr>
                <w:b/>
                <w:sz w:val="20"/>
              </w:rPr>
              <w:t>Medical TOC</w:t>
            </w:r>
          </w:p>
        </w:tc>
        <w:tc>
          <w:tcPr>
            <w:tcW w:w="5040" w:type="dxa"/>
          </w:tcPr>
          <w:p w14:paraId="1B3F2A84" w14:textId="77777777" w:rsidR="0095076E" w:rsidRDefault="0095076E" w:rsidP="00BC1D91">
            <w:pPr>
              <w:widowControl w:val="0"/>
              <w:autoSpaceDE w:val="0"/>
              <w:autoSpaceDN w:val="0"/>
              <w:adjustRightInd w:val="0"/>
              <w:spacing w:after="220"/>
              <w:rPr>
                <w:sz w:val="20"/>
              </w:rPr>
            </w:pPr>
            <w:r>
              <w:rPr>
                <w:sz w:val="20"/>
              </w:rPr>
              <w:t>Expert on sterilants</w:t>
            </w:r>
          </w:p>
          <w:p w14:paraId="614EDC86" w14:textId="77777777" w:rsidR="0095076E" w:rsidRPr="00B06A1A" w:rsidRDefault="0095076E" w:rsidP="00BC1D91">
            <w:pPr>
              <w:widowControl w:val="0"/>
              <w:autoSpaceDE w:val="0"/>
              <w:autoSpaceDN w:val="0"/>
              <w:adjustRightInd w:val="0"/>
              <w:spacing w:after="220"/>
              <w:rPr>
                <w:sz w:val="20"/>
              </w:rPr>
            </w:pPr>
            <w:r>
              <w:rPr>
                <w:sz w:val="20"/>
              </w:rPr>
              <w:t>Expert on dry powder inhalers</w:t>
            </w:r>
          </w:p>
        </w:tc>
        <w:tc>
          <w:tcPr>
            <w:tcW w:w="1890" w:type="dxa"/>
          </w:tcPr>
          <w:p w14:paraId="296EE0F7" w14:textId="77777777" w:rsidR="0095076E" w:rsidRDefault="0095076E" w:rsidP="00DE227A">
            <w:pPr>
              <w:widowControl w:val="0"/>
              <w:autoSpaceDE w:val="0"/>
              <w:autoSpaceDN w:val="0"/>
              <w:adjustRightInd w:val="0"/>
              <w:spacing w:after="220"/>
              <w:rPr>
                <w:sz w:val="20"/>
              </w:rPr>
            </w:pPr>
            <w:r>
              <w:rPr>
                <w:sz w:val="20"/>
              </w:rPr>
              <w:t>A5 or non-A5</w:t>
            </w:r>
          </w:p>
          <w:p w14:paraId="1DB926DE" w14:textId="77777777" w:rsidR="0095076E" w:rsidRPr="00B06A1A" w:rsidRDefault="0095076E" w:rsidP="00DE227A">
            <w:pPr>
              <w:widowControl w:val="0"/>
              <w:autoSpaceDE w:val="0"/>
              <w:autoSpaceDN w:val="0"/>
              <w:adjustRightInd w:val="0"/>
              <w:spacing w:after="220"/>
              <w:rPr>
                <w:sz w:val="20"/>
              </w:rPr>
            </w:pPr>
            <w:r>
              <w:rPr>
                <w:sz w:val="20"/>
              </w:rPr>
              <w:t>A5 or non-A5</w:t>
            </w:r>
          </w:p>
        </w:tc>
      </w:tr>
      <w:tr w:rsidR="0095076E" w:rsidRPr="00B06A1A" w14:paraId="11BF10EB" w14:textId="77777777" w:rsidTr="00BC1D91">
        <w:tc>
          <w:tcPr>
            <w:tcW w:w="1548" w:type="dxa"/>
          </w:tcPr>
          <w:p w14:paraId="335159A3" w14:textId="074EF2EC" w:rsidR="0095076E" w:rsidRPr="00B06A1A" w:rsidRDefault="0095076E" w:rsidP="00BC1D91">
            <w:pPr>
              <w:widowControl w:val="0"/>
              <w:autoSpaceDE w:val="0"/>
              <w:autoSpaceDN w:val="0"/>
              <w:adjustRightInd w:val="0"/>
              <w:spacing w:after="220"/>
              <w:rPr>
                <w:b/>
                <w:sz w:val="20"/>
              </w:rPr>
            </w:pPr>
            <w:r w:rsidRPr="00B06A1A">
              <w:rPr>
                <w:b/>
                <w:sz w:val="20"/>
              </w:rPr>
              <w:t>Refrigeration TOC</w:t>
            </w:r>
          </w:p>
        </w:tc>
        <w:tc>
          <w:tcPr>
            <w:tcW w:w="5040" w:type="dxa"/>
          </w:tcPr>
          <w:p w14:paraId="2543FC85" w14:textId="20CCDC28" w:rsidR="0095076E" w:rsidRPr="00B06A1A" w:rsidRDefault="0095076E" w:rsidP="00F96A33">
            <w:pPr>
              <w:widowControl w:val="0"/>
              <w:autoSpaceDE w:val="0"/>
              <w:autoSpaceDN w:val="0"/>
              <w:adjustRightInd w:val="0"/>
              <w:spacing w:after="220"/>
              <w:rPr>
                <w:sz w:val="20"/>
              </w:rPr>
            </w:pPr>
            <w:r w:rsidRPr="00B06A1A">
              <w:rPr>
                <w:sz w:val="20"/>
              </w:rPr>
              <w:t>Additional experts not currently required (s</w:t>
            </w:r>
            <w:r w:rsidR="00F96A33">
              <w:rPr>
                <w:sz w:val="20"/>
              </w:rPr>
              <w:t>see note under section “Other TEAP issues”</w:t>
            </w:r>
            <w:r w:rsidRPr="00B06A1A">
              <w:rPr>
                <w:sz w:val="20"/>
              </w:rPr>
              <w:t>)</w:t>
            </w:r>
          </w:p>
        </w:tc>
        <w:tc>
          <w:tcPr>
            <w:tcW w:w="1890" w:type="dxa"/>
          </w:tcPr>
          <w:p w14:paraId="2B4BB081" w14:textId="70E0673A" w:rsidR="0095076E" w:rsidRPr="00B06A1A" w:rsidRDefault="0095076E" w:rsidP="00DE227A">
            <w:pPr>
              <w:widowControl w:val="0"/>
              <w:autoSpaceDE w:val="0"/>
              <w:autoSpaceDN w:val="0"/>
              <w:adjustRightInd w:val="0"/>
              <w:spacing w:after="220"/>
              <w:rPr>
                <w:sz w:val="20"/>
              </w:rPr>
            </w:pPr>
          </w:p>
        </w:tc>
      </w:tr>
      <w:tr w:rsidR="0095076E" w:rsidRPr="00B06A1A" w14:paraId="40C0625E" w14:textId="77777777" w:rsidTr="00BC1D91">
        <w:tc>
          <w:tcPr>
            <w:tcW w:w="1548" w:type="dxa"/>
          </w:tcPr>
          <w:p w14:paraId="1BBEEE69" w14:textId="00535E8A" w:rsidR="0095076E" w:rsidRPr="00664765" w:rsidRDefault="0095076E" w:rsidP="00BC1D91">
            <w:pPr>
              <w:widowControl w:val="0"/>
              <w:autoSpaceDE w:val="0"/>
              <w:autoSpaceDN w:val="0"/>
              <w:adjustRightInd w:val="0"/>
              <w:spacing w:after="220"/>
              <w:rPr>
                <w:b/>
                <w:sz w:val="20"/>
              </w:rPr>
            </w:pPr>
            <w:r w:rsidRPr="00115DB4">
              <w:rPr>
                <w:b/>
                <w:sz w:val="20"/>
                <w:lang w:eastAsia="en-US"/>
              </w:rPr>
              <w:t>Senior Experts]</w:t>
            </w:r>
          </w:p>
        </w:tc>
        <w:tc>
          <w:tcPr>
            <w:tcW w:w="5040" w:type="dxa"/>
          </w:tcPr>
          <w:p w14:paraId="7A1D71B3" w14:textId="195E93E6" w:rsidR="0095076E" w:rsidRPr="00115DB4" w:rsidRDefault="0095076E" w:rsidP="00115DB4">
            <w:pPr>
              <w:spacing w:after="120"/>
              <w:rPr>
                <w:sz w:val="20"/>
                <w:lang w:eastAsia="en-US"/>
              </w:rPr>
            </w:pPr>
            <w:r w:rsidRPr="00115DB4">
              <w:rPr>
                <w:sz w:val="20"/>
                <w:lang w:eastAsia="en-US"/>
              </w:rPr>
              <w:t>Economic analysis</w:t>
            </w:r>
          </w:p>
          <w:p w14:paraId="569FE88C" w14:textId="77777777" w:rsidR="0095076E" w:rsidRPr="00115DB4" w:rsidRDefault="0095076E" w:rsidP="00115DB4">
            <w:pPr>
              <w:spacing w:after="120"/>
              <w:rPr>
                <w:sz w:val="20"/>
                <w:lang w:eastAsia="en-US"/>
              </w:rPr>
            </w:pPr>
            <w:r w:rsidRPr="00115DB4">
              <w:rPr>
                <w:sz w:val="20"/>
                <w:lang w:eastAsia="en-US"/>
              </w:rPr>
              <w:t>Emissions analysis and modeling</w:t>
            </w:r>
          </w:p>
          <w:p w14:paraId="4FA91AE6" w14:textId="77777777" w:rsidR="0095076E" w:rsidRPr="00115DB4" w:rsidRDefault="0095076E" w:rsidP="00115DB4">
            <w:pPr>
              <w:spacing w:after="120"/>
              <w:rPr>
                <w:sz w:val="20"/>
                <w:lang w:eastAsia="en-US"/>
              </w:rPr>
            </w:pPr>
            <w:r w:rsidRPr="00115DB4">
              <w:rPr>
                <w:sz w:val="20"/>
                <w:lang w:eastAsia="en-US"/>
              </w:rPr>
              <w:t>ODS alternatives chemistry and production expertise</w:t>
            </w:r>
          </w:p>
          <w:p w14:paraId="06CCFC7A" w14:textId="283A4D2C" w:rsidR="0095076E" w:rsidRPr="00664765" w:rsidRDefault="0095076E" w:rsidP="00BC1D91">
            <w:pPr>
              <w:widowControl w:val="0"/>
              <w:autoSpaceDE w:val="0"/>
              <w:autoSpaceDN w:val="0"/>
              <w:adjustRightInd w:val="0"/>
              <w:spacing w:after="220"/>
              <w:rPr>
                <w:sz w:val="20"/>
              </w:rPr>
            </w:pPr>
            <w:r w:rsidRPr="00115DB4">
              <w:rPr>
                <w:sz w:val="20"/>
                <w:lang w:eastAsia="en-US"/>
              </w:rPr>
              <w:t>Legal expertise</w:t>
            </w:r>
            <w:r w:rsidR="00165E88">
              <w:rPr>
                <w:sz w:val="20"/>
                <w:lang w:eastAsia="en-US"/>
              </w:rPr>
              <w:t xml:space="preserve"> and experience</w:t>
            </w:r>
            <w:r w:rsidRPr="00115DB4">
              <w:rPr>
                <w:sz w:val="20"/>
                <w:lang w:eastAsia="en-US"/>
              </w:rPr>
              <w:t xml:space="preserve"> with Montreal Protocol</w:t>
            </w:r>
          </w:p>
        </w:tc>
        <w:tc>
          <w:tcPr>
            <w:tcW w:w="1890" w:type="dxa"/>
          </w:tcPr>
          <w:p w14:paraId="00FE8EFE" w14:textId="69AB16CB" w:rsidR="0095076E" w:rsidRPr="00664765" w:rsidRDefault="0095076E" w:rsidP="00BC1D91">
            <w:pPr>
              <w:widowControl w:val="0"/>
              <w:autoSpaceDE w:val="0"/>
              <w:autoSpaceDN w:val="0"/>
              <w:adjustRightInd w:val="0"/>
              <w:spacing w:after="220"/>
              <w:rPr>
                <w:sz w:val="20"/>
              </w:rPr>
            </w:pPr>
            <w:r w:rsidRPr="00115DB4">
              <w:rPr>
                <w:sz w:val="20"/>
                <w:lang w:eastAsia="en-US"/>
              </w:rPr>
              <w:t>A5 and non-A5</w:t>
            </w:r>
          </w:p>
        </w:tc>
      </w:tr>
    </w:tbl>
    <w:p w14:paraId="665B361C" w14:textId="1B0D7B2E" w:rsidR="003A706C" w:rsidRPr="00003F99" w:rsidRDefault="0095076E" w:rsidP="001016FF">
      <w:pPr>
        <w:spacing w:after="0"/>
        <w:rPr>
          <w:rStyle w:val="Heading1Char3"/>
          <w:b/>
        </w:rPr>
      </w:pPr>
      <w:r>
        <w:rPr>
          <w:rStyle w:val="Heading1Char2"/>
        </w:rPr>
        <w:br w:type="page"/>
      </w:r>
      <w:r w:rsidR="003A706C" w:rsidRPr="00003F99">
        <w:rPr>
          <w:rStyle w:val="Heading1Char3"/>
          <w:b/>
        </w:rPr>
        <w:t>Annex 3</w:t>
      </w:r>
      <w:r w:rsidR="00135F4F" w:rsidRPr="00003F99">
        <w:rPr>
          <w:rStyle w:val="Heading1Char3"/>
          <w:b/>
        </w:rPr>
        <w:t>.</w:t>
      </w:r>
      <w:r w:rsidR="003A706C" w:rsidRPr="00003F99">
        <w:rPr>
          <w:rStyle w:val="Heading1Char3"/>
          <w:b/>
        </w:rPr>
        <w:t xml:space="preserve"> Decision XXVI/7: Availability of recovered, recycled or reclaimed halons </w:t>
      </w:r>
    </w:p>
    <w:p w14:paraId="5437AA89" w14:textId="77777777" w:rsidR="003A706C" w:rsidRPr="002203A5" w:rsidRDefault="003A706C" w:rsidP="003A706C">
      <w:pPr>
        <w:pStyle w:val="Default"/>
        <w:ind w:firstLine="720"/>
        <w:rPr>
          <w:sz w:val="20"/>
        </w:rPr>
      </w:pPr>
      <w:r w:rsidRPr="002203A5">
        <w:rPr>
          <w:i/>
          <w:iCs/>
          <w:sz w:val="20"/>
        </w:rPr>
        <w:t xml:space="preserve">Recognizing </w:t>
      </w:r>
      <w:r w:rsidRPr="002203A5">
        <w:rPr>
          <w:sz w:val="20"/>
        </w:rPr>
        <w:t xml:space="preserve">that the global production of halons for controlled uses was eliminated in 2009, but that some remaining uses, in particular for civil aviation, continue to rely on stocks of recovered, recycled or reclaimed halons for fire safety, </w:t>
      </w:r>
    </w:p>
    <w:p w14:paraId="769625DA" w14:textId="77777777" w:rsidR="003A706C" w:rsidRPr="002203A5" w:rsidRDefault="003A706C" w:rsidP="003A706C">
      <w:pPr>
        <w:pStyle w:val="Default"/>
        <w:ind w:firstLine="720"/>
        <w:rPr>
          <w:sz w:val="20"/>
        </w:rPr>
      </w:pPr>
      <w:r w:rsidRPr="002203A5">
        <w:rPr>
          <w:i/>
          <w:iCs/>
          <w:sz w:val="20"/>
        </w:rPr>
        <w:t xml:space="preserve">Noting </w:t>
      </w:r>
      <w:r w:rsidRPr="002203A5">
        <w:rPr>
          <w:sz w:val="20"/>
        </w:rPr>
        <w:t xml:space="preserve">that, despite efforts to evaluate the extent of accessible stocks of recovered, recycled or reclaimed halons, there is still uncertainty about the quantity of recovered, recycled or reclaimed halons that is accessible for continuing uses, such as in civil aviation, </w:t>
      </w:r>
    </w:p>
    <w:p w14:paraId="79372576" w14:textId="77777777" w:rsidR="003A706C" w:rsidRPr="002203A5" w:rsidRDefault="003A706C" w:rsidP="003A706C">
      <w:pPr>
        <w:pStyle w:val="Default"/>
        <w:ind w:firstLine="720"/>
        <w:rPr>
          <w:sz w:val="20"/>
        </w:rPr>
      </w:pPr>
      <w:r w:rsidRPr="002203A5">
        <w:rPr>
          <w:i/>
          <w:iCs/>
          <w:sz w:val="20"/>
        </w:rPr>
        <w:t xml:space="preserve">Recalling </w:t>
      </w:r>
      <w:r w:rsidRPr="002203A5">
        <w:rPr>
          <w:sz w:val="20"/>
        </w:rPr>
        <w:t xml:space="preserve">the 1992 International Maritime Organization ban on the use of halons in new ships and noting that ships containing halons are now being decommissioned, </w:t>
      </w:r>
    </w:p>
    <w:p w14:paraId="53A51714" w14:textId="77777777" w:rsidR="003A706C" w:rsidRPr="002203A5" w:rsidRDefault="003A706C" w:rsidP="003A706C">
      <w:pPr>
        <w:pStyle w:val="Default"/>
        <w:ind w:firstLine="720"/>
        <w:rPr>
          <w:sz w:val="20"/>
        </w:rPr>
      </w:pPr>
      <w:r w:rsidRPr="002203A5">
        <w:rPr>
          <w:i/>
          <w:iCs/>
          <w:sz w:val="20"/>
        </w:rPr>
        <w:t xml:space="preserve">Recalling also </w:t>
      </w:r>
      <w:r w:rsidRPr="002203A5">
        <w:rPr>
          <w:sz w:val="20"/>
        </w:rPr>
        <w:t>the adoption by the Assembly of the International Civil Aviation Organization of resolutions A37-9 and A38-9, in which the Assembly expressed an urgent need to continue developing and implementing halon alternatives for civil aviation and called on manufacturers to use alternatives in lavatory fire extinguishing systems in newly designed and new production aircraft after 2011, in hand-held fire extinguishers in such aircraft after 2016, in engine and auxiliary power unit fire-extinguishing systems used in newly designed aircrafts after 2014 and in the cargo compartments of new aircraft by a date to be determined by the Assembly in 2016</w:t>
      </w:r>
    </w:p>
    <w:p w14:paraId="7F7333CD" w14:textId="77777777" w:rsidR="003A706C" w:rsidRPr="002203A5" w:rsidRDefault="003A706C" w:rsidP="003A706C">
      <w:pPr>
        <w:pStyle w:val="Default"/>
        <w:ind w:firstLine="720"/>
        <w:rPr>
          <w:sz w:val="20"/>
        </w:rPr>
      </w:pPr>
      <w:r w:rsidRPr="002203A5">
        <w:rPr>
          <w:i/>
          <w:iCs/>
          <w:sz w:val="20"/>
        </w:rPr>
        <w:t xml:space="preserve">Noting </w:t>
      </w:r>
      <w:r w:rsidRPr="002203A5">
        <w:rPr>
          <w:sz w:val="20"/>
        </w:rPr>
        <w:t xml:space="preserve">that the import and export of recovered, recycled or reclaimed halons is allowed under the Montreal Protocol and that the Technology and Economic Assessment Panel has found that the current distribution of recovered, recycled or reclaimed halon stocks potentially may not align with anticipated needs for such stocks, </w:t>
      </w:r>
    </w:p>
    <w:p w14:paraId="01974200" w14:textId="77777777" w:rsidR="003A706C" w:rsidRPr="002203A5" w:rsidRDefault="003A706C" w:rsidP="003A706C">
      <w:pPr>
        <w:pStyle w:val="Default"/>
        <w:ind w:firstLine="720"/>
        <w:rPr>
          <w:sz w:val="20"/>
        </w:rPr>
      </w:pPr>
      <w:r w:rsidRPr="002203A5">
        <w:rPr>
          <w:i/>
          <w:iCs/>
          <w:sz w:val="20"/>
        </w:rPr>
        <w:t xml:space="preserve">Recalling </w:t>
      </w:r>
      <w:r w:rsidRPr="002203A5">
        <w:rPr>
          <w:sz w:val="20"/>
        </w:rPr>
        <w:t xml:space="preserve">paragraph 3 of decision XXI/7, concerning the import and export of recovered, recycled or reclaimed halons, </w:t>
      </w:r>
    </w:p>
    <w:p w14:paraId="22CBBDAA" w14:textId="77777777" w:rsidR="003A706C" w:rsidRPr="002203A5" w:rsidRDefault="003A706C" w:rsidP="003A706C">
      <w:pPr>
        <w:pStyle w:val="Default"/>
        <w:ind w:firstLine="720"/>
        <w:rPr>
          <w:sz w:val="20"/>
        </w:rPr>
      </w:pPr>
      <w:r w:rsidRPr="002203A5">
        <w:rPr>
          <w:i/>
          <w:iCs/>
          <w:sz w:val="20"/>
        </w:rPr>
        <w:t xml:space="preserve">Taking note </w:t>
      </w:r>
      <w:r w:rsidRPr="002203A5">
        <w:rPr>
          <w:sz w:val="20"/>
        </w:rPr>
        <w:t xml:space="preserve">of the progress report of the Technology and Economic Assessment Panel provided to the parties before the thirty-fourth meeting of the Open-ended Working Group, including information on alternatives, </w:t>
      </w:r>
    </w:p>
    <w:p w14:paraId="7D37D70E" w14:textId="77777777" w:rsidR="003A706C" w:rsidRPr="002203A5" w:rsidRDefault="003A706C" w:rsidP="003A706C">
      <w:pPr>
        <w:pStyle w:val="Default"/>
        <w:ind w:firstLine="720"/>
        <w:rPr>
          <w:sz w:val="20"/>
        </w:rPr>
      </w:pPr>
      <w:r w:rsidRPr="002203A5">
        <w:rPr>
          <w:sz w:val="20"/>
        </w:rPr>
        <w:t xml:space="preserve">1. </w:t>
      </w:r>
      <w:r w:rsidRPr="002203A5">
        <w:rPr>
          <w:sz w:val="20"/>
        </w:rPr>
        <w:tab/>
        <w:t xml:space="preserve">To encourage parties, on a voluntary basis, to liaise, through their national ozone officers, with their national civil aviation authorities to gain an understanding of how halons are being recovered, recycled or reclaimed to meet purity standards for aviation use and supplied to air carriers to meet ongoing civil aviation needs and on any national actions being taken to expedite the replacement of halons in civil aviation uses as called for by the Assembly of the International Civil Aviation Organization in its resolutions A37-9 and A38-9; </w:t>
      </w:r>
    </w:p>
    <w:p w14:paraId="6242378C" w14:textId="77777777" w:rsidR="003A706C" w:rsidRPr="002203A5" w:rsidRDefault="003A706C" w:rsidP="003A706C">
      <w:pPr>
        <w:pStyle w:val="Default"/>
        <w:ind w:firstLine="720"/>
        <w:rPr>
          <w:sz w:val="20"/>
        </w:rPr>
      </w:pPr>
      <w:r w:rsidRPr="002203A5">
        <w:rPr>
          <w:sz w:val="20"/>
        </w:rPr>
        <w:t xml:space="preserve">2. </w:t>
      </w:r>
      <w:r w:rsidRPr="002203A5">
        <w:rPr>
          <w:sz w:val="20"/>
        </w:rPr>
        <w:tab/>
        <w:t xml:space="preserve">To also encourage parties, on a voluntary basis, to submit information provided in accordance with paragraph 1 of the present decision to the Ozone Secretariat by 1 September 2015; </w:t>
      </w:r>
    </w:p>
    <w:p w14:paraId="2159D70B" w14:textId="77777777" w:rsidR="003A706C" w:rsidRPr="002203A5" w:rsidRDefault="003A706C" w:rsidP="003A706C">
      <w:pPr>
        <w:pStyle w:val="Default"/>
        <w:ind w:firstLine="720"/>
        <w:rPr>
          <w:sz w:val="20"/>
        </w:rPr>
      </w:pPr>
      <w:r w:rsidRPr="002203A5">
        <w:rPr>
          <w:sz w:val="20"/>
        </w:rPr>
        <w:t xml:space="preserve">3. </w:t>
      </w:r>
      <w:r w:rsidRPr="002203A5">
        <w:rPr>
          <w:sz w:val="20"/>
        </w:rPr>
        <w:tab/>
        <w:t xml:space="preserve">To invite parties, on a voluntary basis, to reassess any national import and export restrictions other than licensing requirements with a view to facilitating the import and export of recovered, recycled or reclaimed halons and the management of stocks of such halons with the aim of enabling all parties to meet remaining needs in accordance with domestic regulations even as they transition to halon alternatives; </w:t>
      </w:r>
    </w:p>
    <w:p w14:paraId="0E9B8B07" w14:textId="77777777" w:rsidR="003A706C" w:rsidRPr="002203A5" w:rsidRDefault="003A706C" w:rsidP="003A706C">
      <w:pPr>
        <w:pStyle w:val="Default"/>
        <w:ind w:firstLine="720"/>
        <w:rPr>
          <w:sz w:val="20"/>
        </w:rPr>
      </w:pPr>
      <w:r w:rsidRPr="002203A5">
        <w:rPr>
          <w:sz w:val="20"/>
        </w:rPr>
        <w:t xml:space="preserve">4. </w:t>
      </w:r>
      <w:r w:rsidRPr="002203A5">
        <w:rPr>
          <w:sz w:val="20"/>
        </w:rPr>
        <w:tab/>
        <w:t xml:space="preserve">To request the Technology and Economic Assessment Panel, through its Halons Technical Options Committee: </w:t>
      </w:r>
    </w:p>
    <w:p w14:paraId="003150B5" w14:textId="77777777" w:rsidR="003A706C" w:rsidRPr="002203A5" w:rsidRDefault="003A706C" w:rsidP="003A706C">
      <w:pPr>
        <w:pStyle w:val="Default"/>
        <w:tabs>
          <w:tab w:val="left" w:pos="1440"/>
        </w:tabs>
        <w:ind w:firstLine="720"/>
        <w:rPr>
          <w:sz w:val="20"/>
        </w:rPr>
      </w:pPr>
      <w:r w:rsidRPr="002203A5">
        <w:rPr>
          <w:sz w:val="20"/>
        </w:rPr>
        <w:t xml:space="preserve">(a) </w:t>
      </w:r>
      <w:r w:rsidRPr="002203A5">
        <w:rPr>
          <w:sz w:val="20"/>
        </w:rPr>
        <w:tab/>
        <w:t xml:space="preserve">To continue to liaise with the International Civil Aviation Organization to facilitate the transition to halon alternatives, to approach the International Maritime Organization to estimate the amount and purity of halon 1211 and 1301 available from the breaking of ships and to report information on global stocks of recovered halons to the parties in its 2015 progress report; </w:t>
      </w:r>
    </w:p>
    <w:p w14:paraId="7EF1D5F7" w14:textId="77777777" w:rsidR="003A706C" w:rsidRPr="002203A5" w:rsidRDefault="003A706C" w:rsidP="003A706C">
      <w:pPr>
        <w:pStyle w:val="Default"/>
        <w:ind w:firstLine="720"/>
        <w:rPr>
          <w:sz w:val="20"/>
        </w:rPr>
      </w:pPr>
      <w:r w:rsidRPr="002203A5">
        <w:rPr>
          <w:sz w:val="20"/>
        </w:rPr>
        <w:t xml:space="preserve">(b) </w:t>
      </w:r>
      <w:r w:rsidRPr="002203A5">
        <w:rPr>
          <w:sz w:val="20"/>
        </w:rPr>
        <w:tab/>
        <w:t xml:space="preserve">To report on existing and emerging alternatives for halons, including information on their characteristics and their rate of adoption, in particular for aviation uses; </w:t>
      </w:r>
    </w:p>
    <w:p w14:paraId="1EAA5700" w14:textId="77777777" w:rsidR="003A706C" w:rsidRPr="002203A5" w:rsidRDefault="003A706C" w:rsidP="003A706C">
      <w:pPr>
        <w:pStyle w:val="Default"/>
        <w:ind w:firstLine="720"/>
        <w:rPr>
          <w:sz w:val="20"/>
        </w:rPr>
      </w:pPr>
      <w:r w:rsidRPr="002203A5">
        <w:rPr>
          <w:sz w:val="20"/>
        </w:rPr>
        <w:t xml:space="preserve">5. </w:t>
      </w:r>
      <w:r w:rsidRPr="002203A5">
        <w:rPr>
          <w:sz w:val="20"/>
        </w:rPr>
        <w:tab/>
        <w:t xml:space="preserve">To request the Ozone Secretariat to report to the parties, prior to the thirty-sixth meeting of the Open-ended Working Group, any information provided by parties in accordance with paragraph 1 of the present decision; </w:t>
      </w:r>
    </w:p>
    <w:p w14:paraId="07D85D04" w14:textId="77777777" w:rsidR="003A706C" w:rsidRPr="00EC1422" w:rsidRDefault="003A706C" w:rsidP="003A706C">
      <w:pPr>
        <w:pStyle w:val="Default"/>
        <w:spacing w:line="276" w:lineRule="auto"/>
      </w:pPr>
    </w:p>
    <w:p w14:paraId="77208FD7" w14:textId="77777777" w:rsidR="00BC1D91" w:rsidRPr="00203E52" w:rsidRDefault="00BC1D91">
      <w:pPr>
        <w:rPr>
          <w:rStyle w:val="Heading1Char2"/>
        </w:rPr>
      </w:pPr>
    </w:p>
    <w:sectPr w:rsidR="00BC1D91" w:rsidRPr="00203E52" w:rsidSect="007D7F62">
      <w:footnotePr>
        <w:numRestart w:val="eachSect"/>
      </w:footnotePr>
      <w:pgSz w:w="12240" w:h="15840" w:code="1"/>
      <w:pgMar w:top="1440" w:right="1797" w:bottom="1525" w:left="1797" w:header="720" w:footer="79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7C922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9B3FF" w14:textId="77777777" w:rsidR="00944592" w:rsidRDefault="00944592">
      <w:r>
        <w:separator/>
      </w:r>
    </w:p>
  </w:endnote>
  <w:endnote w:type="continuationSeparator" w:id="0">
    <w:p w14:paraId="3C47BA6D" w14:textId="77777777" w:rsidR="00944592" w:rsidRDefault="0094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ArialUnicodeMS">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Garamond">
    <w:panose1 w:val="020204040303010108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w:altName w:val="Cambria"/>
    <w:panose1 w:val="00000000000000000000"/>
    <w:charset w:val="FF"/>
    <w:family w:val="auto"/>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Chicago">
    <w:altName w:val="Arial"/>
    <w:charset w:val="00"/>
    <w:family w:val="auto"/>
    <w:pitch w:val="variable"/>
    <w:sig w:usb0="03000000"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Futura">
    <w:panose1 w:val="020B0602020204020303"/>
    <w:charset w:val="00"/>
    <w:family w:val="auto"/>
    <w:pitch w:val="variable"/>
    <w:sig w:usb0="80000067" w:usb1="00000000" w:usb2="00000000" w:usb3="00000000" w:csb0="000001FB" w:csb1="00000000"/>
  </w:font>
  <w:font w:name="Galliar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Times-Roman">
    <w:altName w:val="Time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Helv">
    <w:altName w:val="Helvetica"/>
    <w:panose1 w:val="00000000000000000000"/>
    <w:charset w:val="4D"/>
    <w:family w:val="swiss"/>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SimHei">
    <w:altName w:val="黑体"/>
    <w:panose1 w:val="00000000000000000000"/>
    <w:charset w:val="86"/>
    <w:family w:val="modern"/>
    <w:notTrueType/>
    <w:pitch w:val="fixed"/>
    <w:sig w:usb0="00000001" w:usb1="080E0000" w:usb2="00000010" w:usb3="00000000" w:csb0="00040000" w:csb1="00000000"/>
  </w:font>
  <w:font w:name="AdvOT2e364b11+fb">
    <w:altName w:val="Arial Unicode MS"/>
    <w:panose1 w:val="00000000000000000000"/>
    <w:charset w:val="86"/>
    <w:family w:val="auto"/>
    <w:notTrueType/>
    <w:pitch w:val="default"/>
    <w:sig w:usb0="00000000" w:usb1="080E0000" w:usb2="00000010" w:usb3="00000000" w:csb0="00040000" w:csb1="00000000"/>
  </w:font>
  <w:font w:name="AdvOTce3d9a73+fb">
    <w:altName w:val="方正舒体"/>
    <w:panose1 w:val="00000000000000000000"/>
    <w:charset w:val="86"/>
    <w:family w:val="auto"/>
    <w:notTrueType/>
    <w:pitch w:val="default"/>
    <w:sig w:usb0="00000001" w:usb1="080E0000" w:usb2="00000010" w:usb3="00000000" w:csb0="0004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4D877" w14:textId="77777777" w:rsidR="00944592" w:rsidRDefault="0094459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7EA139CC" w14:textId="77777777" w:rsidR="00944592" w:rsidRDefault="00944592">
    <w:pPr>
      <w:pStyle w:val="Footer"/>
      <w:spacing w:after="0"/>
      <w:ind w:right="993" w:firstLine="360"/>
      <w:rPr>
        <w:b/>
        <w:sz w:val="20"/>
      </w:rPr>
    </w:pPr>
    <w:r>
      <w:rPr>
        <w:rStyle w:val="PageNumber"/>
      </w:rPr>
      <w:tab/>
    </w:r>
    <w:r>
      <w:rPr>
        <w:rStyle w:val="PageNumber"/>
        <w:b/>
        <w:sz w:val="20"/>
      </w:rPr>
      <w:t>May 2004 TEAP Progress Report</w:t>
    </w:r>
    <w:r>
      <w:rPr>
        <w:rStyle w:val="PageNumber"/>
        <w:b/>
        <w:sz w:val="20"/>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5ECAC" w14:textId="77777777" w:rsidR="00944592" w:rsidRDefault="00944592">
    <w:pPr>
      <w:pStyle w:val="Footer"/>
      <w:ind w:right="360"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FC4CA" w14:textId="77777777" w:rsidR="00944592" w:rsidRDefault="0094459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cclxvii</w:t>
    </w:r>
    <w:r>
      <w:rPr>
        <w:rStyle w:val="PageNumber"/>
      </w:rPr>
      <w:fldChar w:fldCharType="end"/>
    </w:r>
  </w:p>
  <w:p w14:paraId="455D6F18" w14:textId="77777777" w:rsidR="00944592" w:rsidRDefault="00944592">
    <w:pPr>
      <w:pStyle w:val="Footer"/>
      <w:spacing w:after="0"/>
      <w:ind w:right="360" w:firstLine="360"/>
      <w:rPr>
        <w:b/>
        <w:sz w:val="20"/>
      </w:rPr>
    </w:pPr>
    <w:r>
      <w:rPr>
        <w:rStyle w:val="PageNumber"/>
      </w:rPr>
      <w:tab/>
    </w:r>
    <w:r>
      <w:rPr>
        <w:rStyle w:val="PageNumber"/>
        <w:b/>
        <w:sz w:val="20"/>
      </w:rPr>
      <w:t>May 2004 TEAP Progress Report</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B8D4" w14:textId="77777777" w:rsidR="00944592" w:rsidRDefault="00944592">
    <w:pPr>
      <w:pStyle w:val="Footer"/>
      <w:jc w:val="right"/>
    </w:pPr>
    <w:r>
      <w:fldChar w:fldCharType="begin"/>
    </w:r>
    <w:r>
      <w:instrText xml:space="preserve"> PAGE   \* MERGEFORMAT </w:instrText>
    </w:r>
    <w:r>
      <w:fldChar w:fldCharType="separate"/>
    </w:r>
    <w:r w:rsidR="00393F63">
      <w:rPr>
        <w:noProof/>
      </w:rPr>
      <w:t>ii</w:t>
    </w:r>
    <w:r>
      <w:rPr>
        <w:noProof/>
      </w:rPr>
      <w:fldChar w:fldCharType="end"/>
    </w:r>
  </w:p>
  <w:p w14:paraId="172A5909" w14:textId="77777777" w:rsidR="00944592" w:rsidRDefault="00944592">
    <w:pPr>
      <w:pStyle w:val="Footer"/>
      <w:spacing w:after="0"/>
      <w:ind w:right="993" w:firstLine="360"/>
      <w:jc w:val="cen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7ED56" w14:textId="77777777" w:rsidR="00944592" w:rsidRDefault="0094459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93F63">
      <w:rPr>
        <w:rStyle w:val="PageNumber"/>
        <w:noProof/>
      </w:rPr>
      <w:t>iii</w:t>
    </w:r>
    <w:r>
      <w:rPr>
        <w:rStyle w:val="PageNumber"/>
      </w:rPr>
      <w:fldChar w:fldCharType="end"/>
    </w:r>
  </w:p>
  <w:p w14:paraId="10B8F52E" w14:textId="1576D979" w:rsidR="00944592" w:rsidRDefault="00944592">
    <w:pPr>
      <w:pStyle w:val="Footer"/>
      <w:spacing w:after="0"/>
      <w:ind w:right="993" w:firstLine="360"/>
      <w:jc w:val="center"/>
      <w:rPr>
        <w:b/>
        <w:sz w:val="20"/>
      </w:rPr>
    </w:pPr>
    <w:bookmarkStart w:id="3" w:name="OLE_LINK18"/>
    <w:bookmarkStart w:id="4" w:name="OLE_LINK20"/>
    <w:bookmarkStart w:id="5" w:name="_Hlk294606800"/>
    <w:r>
      <w:rPr>
        <w:rStyle w:val="PageNumber"/>
        <w:b/>
        <w:sz w:val="20"/>
      </w:rPr>
      <w:t>June 2015 TEAP Progress Report</w:t>
    </w:r>
    <w:bookmarkEnd w:id="3"/>
    <w:bookmarkEnd w:id="4"/>
    <w:bookmarkEnd w:id="5"/>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0A5CE" w14:textId="77777777" w:rsidR="00944592" w:rsidRDefault="0094459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875AE19" w14:textId="77777777" w:rsidR="00944592" w:rsidRDefault="00944592">
    <w:pPr>
      <w:pStyle w:val="Footer"/>
      <w:spacing w:before="120" w:after="120"/>
      <w:ind w:right="360" w:firstLine="360"/>
      <w:jc w:val="center"/>
      <w:rPr>
        <w:sz w:val="20"/>
      </w:rPr>
    </w:pPr>
    <w:r>
      <w:rPr>
        <w:rStyle w:val="PageNumber"/>
        <w:sz w:val="20"/>
      </w:rPr>
      <w:t xml:space="preserve">Page </w:t>
    </w:r>
  </w:p>
  <w:p w14:paraId="45A4BBE4" w14:textId="77777777" w:rsidR="00944592" w:rsidRDefault="00944592">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DE14" w14:textId="77777777" w:rsidR="00944592" w:rsidRDefault="0094459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2FB50E0" w14:textId="77777777" w:rsidR="00944592" w:rsidRDefault="00944592">
    <w:pPr>
      <w:pStyle w:val="Footer"/>
      <w:spacing w:before="120" w:after="120"/>
      <w:ind w:right="360" w:firstLine="360"/>
      <w:jc w:val="center"/>
      <w:rPr>
        <w:sz w:val="20"/>
      </w:rPr>
    </w:pPr>
    <w:r>
      <w:rPr>
        <w:rStyle w:val="PageNumber"/>
        <w:sz w:val="20"/>
      </w:rPr>
      <w:t xml:space="preserve">Page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15B11" w14:textId="77777777" w:rsidR="00944592" w:rsidRDefault="00944592">
      <w:r>
        <w:separator/>
      </w:r>
    </w:p>
  </w:footnote>
  <w:footnote w:type="continuationSeparator" w:id="0">
    <w:p w14:paraId="2BD3F562" w14:textId="77777777" w:rsidR="00944592" w:rsidRDefault="00944592">
      <w:r>
        <w:continuationSeparator/>
      </w:r>
    </w:p>
  </w:footnote>
  <w:footnote w:id="1">
    <w:p w14:paraId="5E6DE946" w14:textId="38727D2B" w:rsidR="00944592" w:rsidRPr="00640263" w:rsidRDefault="00944592">
      <w:pPr>
        <w:pStyle w:val="FootnoteText"/>
        <w:rPr>
          <w:lang w:val="es-ES_tradnl"/>
        </w:rPr>
      </w:pPr>
      <w:r>
        <w:rPr>
          <w:rStyle w:val="FootnoteReference"/>
        </w:rPr>
        <w:footnoteRef/>
      </w:r>
      <w:r>
        <w:t xml:space="preserve"> </w:t>
      </w:r>
      <w:r>
        <w:rPr>
          <w:lang w:val="en-US"/>
        </w:rPr>
        <w:t xml:space="preserve">Figure 6-1 is compiled from an analysis of a range of data sources including Assessment Reports of the ATOC and MTOC from 2002, 2006, 2010, 2014, and IMS Health </w:t>
      </w:r>
      <w:r w:rsidRPr="00F652CD">
        <w:rPr>
          <w:lang w:val="en-US"/>
        </w:rPr>
        <w:t>market data of global inhaler usage from 2007-2012</w:t>
      </w:r>
      <w:r>
        <w:rPr>
          <w:lang w:val="en-US"/>
        </w:rPr>
        <w:t>, data which was provided previously by IPAC with the permission of IMS MIDAS</w:t>
      </w:r>
    </w:p>
  </w:footnote>
  <w:footnote w:id="2">
    <w:p w14:paraId="03444C36" w14:textId="77777777" w:rsidR="00944592" w:rsidRPr="00235E25" w:rsidRDefault="00944592" w:rsidP="00255612">
      <w:pPr>
        <w:pStyle w:val="FootnoteText"/>
        <w:rPr>
          <w:lang w:val="en-US"/>
        </w:rPr>
      </w:pPr>
      <w:r>
        <w:rPr>
          <w:rStyle w:val="FootnoteReference"/>
        </w:rPr>
        <w:footnoteRef/>
      </w:r>
      <w:r>
        <w:t xml:space="preserve"> </w:t>
      </w:r>
      <w:r w:rsidRPr="00235E25">
        <w:rPr>
          <w:sz w:val="18"/>
          <w:szCs w:val="18"/>
        </w:rPr>
        <w:t>The “Workshop on Management of Hydrofluorocarbons (HFCs)” was convened in accordance with decision XXVI/9 and it was held in Bangkok, 20 and 21 April 2015. The workshop included issues in relation to HFC management, incorporating a focus on high-ambient temperature and safety requirements, as well as energy efficiency.  The workshop involved wide participation of technical experts and industries as overview speakers, panellists. The sessions included all the relevant market and industry sectors and sub-sectors and all regions with a specific focus on high-ambient temperature conditions, where relevant.  Fact sheets were developed for the refrigeration and air conditioning applications and were presented and discussed in the workshop. The panellists have been drawn from the “technology providers” and “implementers of technologies” groups from around the world, from both non-Article 5 and Article 5 countries.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2CCFD" w14:textId="77777777" w:rsidR="00944592" w:rsidRDefault="00944592">
    <w:pPr>
      <w:pStyle w:val="Header"/>
      <w:jc w:val="right"/>
    </w:pPr>
    <w:r>
      <w:rPr>
        <w:sz w:val="20"/>
      </w:rPr>
      <w:t>Annex II: Major Chemical Formulae and Nomenclature</w:t>
    </w:r>
  </w:p>
  <w:p w14:paraId="590ED628" w14:textId="77777777" w:rsidR="00944592" w:rsidRDefault="0094459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E089E" w14:textId="77777777" w:rsidR="00944592" w:rsidRDefault="00944592">
    <w:pPr>
      <w:pStyle w:val="Header"/>
      <w:rPr>
        <w:sz w:val="20"/>
      </w:rPr>
    </w:pPr>
  </w:p>
  <w:p w14:paraId="775D8065" w14:textId="77777777" w:rsidR="00944592" w:rsidRDefault="00944592"/>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560F" w14:textId="77777777" w:rsidR="00944592" w:rsidRDefault="00944592">
    <w:pPr>
      <w:pStyle w:val="Header"/>
      <w:jc w:val="right"/>
    </w:pPr>
    <w:r>
      <w:rPr>
        <w:sz w:val="20"/>
        <w:lang w:val="en-US"/>
      </w:rPr>
      <w:t>Annex II: Major Chemical Formulae and Nomenclature</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80633" w14:textId="77777777" w:rsidR="00944592" w:rsidRDefault="00944592">
    <w:pPr>
      <w:pStyle w:val="Header"/>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802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DB8ACA6"/>
    <w:lvl w:ilvl="0">
      <w:start w:val="1"/>
      <w:numFmt w:val="decimal"/>
      <w:pStyle w:val="ListNumber5"/>
      <w:lvlText w:val="%1."/>
      <w:lvlJc w:val="left"/>
      <w:pPr>
        <w:tabs>
          <w:tab w:val="num" w:pos="1492"/>
        </w:tabs>
        <w:ind w:left="1492" w:hanging="360"/>
      </w:pPr>
    </w:lvl>
  </w:abstractNum>
  <w:abstractNum w:abstractNumId="2">
    <w:nsid w:val="00000002"/>
    <w:multiLevelType w:val="singleLevel"/>
    <w:tmpl w:val="00000002"/>
    <w:name w:val="WW8Num1"/>
    <w:lvl w:ilvl="0">
      <w:start w:val="1"/>
      <w:numFmt w:val="decimal"/>
      <w:lvlText w:val="%1."/>
      <w:lvlJc w:val="left"/>
      <w:pPr>
        <w:tabs>
          <w:tab w:val="num" w:pos="720"/>
        </w:tabs>
        <w:ind w:left="720" w:hanging="360"/>
      </w:pPr>
    </w:lvl>
  </w:abstractNum>
  <w:abstractNum w:abstractNumId="3">
    <w:nsid w:val="013164BE"/>
    <w:multiLevelType w:val="hybridMultilevel"/>
    <w:tmpl w:val="3550A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213B4E"/>
    <w:multiLevelType w:val="hybridMultilevel"/>
    <w:tmpl w:val="A20AD7F4"/>
    <w:lvl w:ilvl="0" w:tplc="22B4DCC6">
      <w:start w:val="1"/>
      <w:numFmt w:val="bullet"/>
      <w:pStyle w:val="Bullet"/>
      <w:lvlText w:val="•"/>
      <w:lvlJc w:val="left"/>
      <w:pPr>
        <w:tabs>
          <w:tab w:val="num" w:pos="1437"/>
        </w:tabs>
        <w:ind w:left="1437" w:hanging="360"/>
      </w:pPr>
      <w:rPr>
        <w:rFonts w:ascii="Times New Roman" w:hAnsi="Times New Roman" w:hint="default"/>
      </w:rPr>
    </w:lvl>
    <w:lvl w:ilvl="1" w:tplc="21A8863A" w:tentative="1">
      <w:start w:val="1"/>
      <w:numFmt w:val="bullet"/>
      <w:lvlText w:val="o"/>
      <w:lvlJc w:val="left"/>
      <w:pPr>
        <w:tabs>
          <w:tab w:val="num" w:pos="1440"/>
        </w:tabs>
        <w:ind w:left="1440" w:hanging="360"/>
      </w:pPr>
      <w:rPr>
        <w:rFonts w:ascii="Courier New" w:hAnsi="Courier New" w:hint="default"/>
      </w:rPr>
    </w:lvl>
    <w:lvl w:ilvl="2" w:tplc="CB0C0A2A" w:tentative="1">
      <w:start w:val="1"/>
      <w:numFmt w:val="bullet"/>
      <w:pStyle w:val="SimonUberschrift"/>
      <w:lvlText w:val=""/>
      <w:lvlJc w:val="left"/>
      <w:pPr>
        <w:tabs>
          <w:tab w:val="num" w:pos="2160"/>
        </w:tabs>
        <w:ind w:left="2160" w:hanging="360"/>
      </w:pPr>
      <w:rPr>
        <w:rFonts w:ascii="Wingdings" w:hAnsi="Wingdings" w:hint="default"/>
      </w:rPr>
    </w:lvl>
    <w:lvl w:ilvl="3" w:tplc="545A6888" w:tentative="1">
      <w:start w:val="1"/>
      <w:numFmt w:val="bullet"/>
      <w:lvlText w:val=""/>
      <w:lvlJc w:val="left"/>
      <w:pPr>
        <w:tabs>
          <w:tab w:val="num" w:pos="2880"/>
        </w:tabs>
        <w:ind w:left="2880" w:hanging="360"/>
      </w:pPr>
      <w:rPr>
        <w:rFonts w:ascii="Symbol" w:hAnsi="Symbol" w:hint="default"/>
      </w:rPr>
    </w:lvl>
    <w:lvl w:ilvl="4" w:tplc="918E681E" w:tentative="1">
      <w:start w:val="1"/>
      <w:numFmt w:val="bullet"/>
      <w:lvlText w:val="o"/>
      <w:lvlJc w:val="left"/>
      <w:pPr>
        <w:tabs>
          <w:tab w:val="num" w:pos="3600"/>
        </w:tabs>
        <w:ind w:left="3600" w:hanging="360"/>
      </w:pPr>
      <w:rPr>
        <w:rFonts w:ascii="Courier New" w:hAnsi="Courier New" w:hint="default"/>
      </w:rPr>
    </w:lvl>
    <w:lvl w:ilvl="5" w:tplc="D3AE3642" w:tentative="1">
      <w:start w:val="1"/>
      <w:numFmt w:val="bullet"/>
      <w:lvlText w:val=""/>
      <w:lvlJc w:val="left"/>
      <w:pPr>
        <w:tabs>
          <w:tab w:val="num" w:pos="4320"/>
        </w:tabs>
        <w:ind w:left="4320" w:hanging="360"/>
      </w:pPr>
      <w:rPr>
        <w:rFonts w:ascii="Wingdings" w:hAnsi="Wingdings" w:hint="default"/>
      </w:rPr>
    </w:lvl>
    <w:lvl w:ilvl="6" w:tplc="DE26FADC" w:tentative="1">
      <w:start w:val="1"/>
      <w:numFmt w:val="bullet"/>
      <w:lvlText w:val=""/>
      <w:lvlJc w:val="left"/>
      <w:pPr>
        <w:tabs>
          <w:tab w:val="num" w:pos="5040"/>
        </w:tabs>
        <w:ind w:left="5040" w:hanging="360"/>
      </w:pPr>
      <w:rPr>
        <w:rFonts w:ascii="Symbol" w:hAnsi="Symbol" w:hint="default"/>
      </w:rPr>
    </w:lvl>
    <w:lvl w:ilvl="7" w:tplc="73FE358C" w:tentative="1">
      <w:start w:val="1"/>
      <w:numFmt w:val="bullet"/>
      <w:lvlText w:val="o"/>
      <w:lvlJc w:val="left"/>
      <w:pPr>
        <w:tabs>
          <w:tab w:val="num" w:pos="5760"/>
        </w:tabs>
        <w:ind w:left="5760" w:hanging="360"/>
      </w:pPr>
      <w:rPr>
        <w:rFonts w:ascii="Courier New" w:hAnsi="Courier New" w:hint="default"/>
      </w:rPr>
    </w:lvl>
    <w:lvl w:ilvl="8" w:tplc="AE2C7296" w:tentative="1">
      <w:start w:val="1"/>
      <w:numFmt w:val="bullet"/>
      <w:lvlText w:val=""/>
      <w:lvlJc w:val="left"/>
      <w:pPr>
        <w:tabs>
          <w:tab w:val="num" w:pos="6480"/>
        </w:tabs>
        <w:ind w:left="6480" w:hanging="360"/>
      </w:pPr>
      <w:rPr>
        <w:rFonts w:ascii="Wingdings" w:hAnsi="Wingdings" w:hint="default"/>
      </w:rPr>
    </w:lvl>
  </w:abstractNum>
  <w:abstractNum w:abstractNumId="5">
    <w:nsid w:val="03965050"/>
    <w:multiLevelType w:val="multilevel"/>
    <w:tmpl w:val="B7E6A91E"/>
    <w:lvl w:ilvl="0">
      <w:start w:val="1"/>
      <w:numFmt w:val="lowerLetter"/>
      <w:pStyle w:val="BulletsinTable"/>
      <w:lvlText w:val="(%1)"/>
      <w:lvlJc w:val="left"/>
      <w:pPr>
        <w:tabs>
          <w:tab w:val="num" w:pos="539"/>
        </w:tabs>
        <w:ind w:left="539" w:hanging="539"/>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3EA5527"/>
    <w:multiLevelType w:val="hybridMultilevel"/>
    <w:tmpl w:val="D84A3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642420"/>
    <w:multiLevelType w:val="hybridMultilevel"/>
    <w:tmpl w:val="24A09A12"/>
    <w:lvl w:ilvl="0" w:tplc="AC2CA7D2">
      <w:start w:val="1"/>
      <w:numFmt w:val="bullet"/>
      <w:pStyle w:val="EndnoteText"/>
      <w:lvlText w:val=""/>
      <w:lvlJc w:val="left"/>
      <w:pPr>
        <w:tabs>
          <w:tab w:val="num" w:pos="720"/>
        </w:tabs>
        <w:ind w:left="720" w:hanging="360"/>
      </w:pPr>
      <w:rPr>
        <w:rFonts w:ascii="Symbol" w:hAnsi="Symbol" w:hint="default"/>
      </w:rPr>
    </w:lvl>
    <w:lvl w:ilvl="1" w:tplc="BC243F5E" w:tentative="1">
      <w:start w:val="1"/>
      <w:numFmt w:val="bullet"/>
      <w:lvlText w:val="o"/>
      <w:lvlJc w:val="left"/>
      <w:pPr>
        <w:tabs>
          <w:tab w:val="num" w:pos="1440"/>
        </w:tabs>
        <w:ind w:left="1440" w:hanging="360"/>
      </w:pPr>
      <w:rPr>
        <w:rFonts w:ascii="Courier New" w:hAnsi="Courier New" w:cs="Consolas" w:hint="default"/>
      </w:rPr>
    </w:lvl>
    <w:lvl w:ilvl="2" w:tplc="7612122C" w:tentative="1">
      <w:start w:val="1"/>
      <w:numFmt w:val="bullet"/>
      <w:lvlText w:val=""/>
      <w:lvlJc w:val="left"/>
      <w:pPr>
        <w:tabs>
          <w:tab w:val="num" w:pos="2160"/>
        </w:tabs>
        <w:ind w:left="2160" w:hanging="360"/>
      </w:pPr>
      <w:rPr>
        <w:rFonts w:ascii="Wingdings" w:hAnsi="Wingdings" w:hint="default"/>
      </w:rPr>
    </w:lvl>
    <w:lvl w:ilvl="3" w:tplc="7618E782" w:tentative="1">
      <w:start w:val="1"/>
      <w:numFmt w:val="bullet"/>
      <w:lvlText w:val=""/>
      <w:lvlJc w:val="left"/>
      <w:pPr>
        <w:tabs>
          <w:tab w:val="num" w:pos="2880"/>
        </w:tabs>
        <w:ind w:left="2880" w:hanging="360"/>
      </w:pPr>
      <w:rPr>
        <w:rFonts w:ascii="Symbol" w:hAnsi="Symbol" w:hint="default"/>
      </w:rPr>
    </w:lvl>
    <w:lvl w:ilvl="4" w:tplc="F236AB18" w:tentative="1">
      <w:start w:val="1"/>
      <w:numFmt w:val="bullet"/>
      <w:lvlText w:val="o"/>
      <w:lvlJc w:val="left"/>
      <w:pPr>
        <w:tabs>
          <w:tab w:val="num" w:pos="3600"/>
        </w:tabs>
        <w:ind w:left="3600" w:hanging="360"/>
      </w:pPr>
      <w:rPr>
        <w:rFonts w:ascii="Courier New" w:hAnsi="Courier New" w:cs="Consolas" w:hint="default"/>
      </w:rPr>
    </w:lvl>
    <w:lvl w:ilvl="5" w:tplc="4FBEA80C" w:tentative="1">
      <w:start w:val="1"/>
      <w:numFmt w:val="bullet"/>
      <w:lvlText w:val=""/>
      <w:lvlJc w:val="left"/>
      <w:pPr>
        <w:tabs>
          <w:tab w:val="num" w:pos="4320"/>
        </w:tabs>
        <w:ind w:left="4320" w:hanging="360"/>
      </w:pPr>
      <w:rPr>
        <w:rFonts w:ascii="Wingdings" w:hAnsi="Wingdings" w:hint="default"/>
      </w:rPr>
    </w:lvl>
    <w:lvl w:ilvl="6" w:tplc="50A066B0" w:tentative="1">
      <w:start w:val="1"/>
      <w:numFmt w:val="bullet"/>
      <w:lvlText w:val=""/>
      <w:lvlJc w:val="left"/>
      <w:pPr>
        <w:tabs>
          <w:tab w:val="num" w:pos="5040"/>
        </w:tabs>
        <w:ind w:left="5040" w:hanging="360"/>
      </w:pPr>
      <w:rPr>
        <w:rFonts w:ascii="Symbol" w:hAnsi="Symbol" w:hint="default"/>
      </w:rPr>
    </w:lvl>
    <w:lvl w:ilvl="7" w:tplc="E3FE081C" w:tentative="1">
      <w:start w:val="1"/>
      <w:numFmt w:val="bullet"/>
      <w:lvlText w:val="o"/>
      <w:lvlJc w:val="left"/>
      <w:pPr>
        <w:tabs>
          <w:tab w:val="num" w:pos="5760"/>
        </w:tabs>
        <w:ind w:left="5760" w:hanging="360"/>
      </w:pPr>
      <w:rPr>
        <w:rFonts w:ascii="Courier New" w:hAnsi="Courier New" w:cs="Consolas" w:hint="default"/>
      </w:rPr>
    </w:lvl>
    <w:lvl w:ilvl="8" w:tplc="97ECA8CA" w:tentative="1">
      <w:start w:val="1"/>
      <w:numFmt w:val="bullet"/>
      <w:lvlText w:val=""/>
      <w:lvlJc w:val="left"/>
      <w:pPr>
        <w:tabs>
          <w:tab w:val="num" w:pos="6480"/>
        </w:tabs>
        <w:ind w:left="6480" w:hanging="360"/>
      </w:pPr>
      <w:rPr>
        <w:rFonts w:ascii="Wingdings" w:hAnsi="Wingdings" w:hint="default"/>
      </w:rPr>
    </w:lvl>
  </w:abstractNum>
  <w:abstractNum w:abstractNumId="8">
    <w:nsid w:val="066629DD"/>
    <w:multiLevelType w:val="multilevel"/>
    <w:tmpl w:val="38BCE3A8"/>
    <w:lvl w:ilvl="0">
      <w:start w:val="1"/>
      <w:numFmt w:val="lowerLetter"/>
      <w:pStyle w:val="IPPSubheadNumber"/>
      <w:lvlText w:val="(%1)"/>
      <w:lvlJc w:val="left"/>
      <w:pPr>
        <w:tabs>
          <w:tab w:val="num" w:pos="3240"/>
        </w:tabs>
        <w:ind w:left="3240" w:hanging="720"/>
      </w:pPr>
      <w:rPr>
        <w:rFonts w:hint="default"/>
      </w:rPr>
    </w:lvl>
    <w:lvl w:ilvl="1">
      <w:start w:val="1"/>
      <w:numFmt w:val="lowerLetter"/>
      <w:lvlText w:val="%2."/>
      <w:lvlJc w:val="left"/>
      <w:pPr>
        <w:tabs>
          <w:tab w:val="num" w:pos="3600"/>
        </w:tabs>
        <w:ind w:left="3600" w:hanging="360"/>
      </w:pPr>
      <w:rPr>
        <w:rFonts w:hint="default"/>
      </w:rPr>
    </w:lvl>
    <w:lvl w:ilvl="2">
      <w:start w:val="1"/>
      <w:numFmt w:val="lowerRoman"/>
      <w:lvlText w:val="%3."/>
      <w:lvlJc w:val="right"/>
      <w:pPr>
        <w:tabs>
          <w:tab w:val="num" w:pos="4320"/>
        </w:tabs>
        <w:ind w:left="4320" w:hanging="180"/>
      </w:pPr>
      <w:rPr>
        <w:rFonts w:hint="default"/>
      </w:rPr>
    </w:lvl>
    <w:lvl w:ilvl="3">
      <w:start w:val="1"/>
      <w:numFmt w:val="decimal"/>
      <w:lvlText w:val="%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9">
    <w:nsid w:val="067730E7"/>
    <w:multiLevelType w:val="hybridMultilevel"/>
    <w:tmpl w:val="901CFCE4"/>
    <w:lvl w:ilvl="0" w:tplc="EDAEDC90">
      <w:start w:val="1"/>
      <w:numFmt w:val="bullet"/>
      <w:pStyle w:val="IPPHeadSection"/>
      <w:lvlText w:val=""/>
      <w:lvlJc w:val="left"/>
      <w:pPr>
        <w:tabs>
          <w:tab w:val="num" w:pos="720"/>
        </w:tabs>
        <w:ind w:left="720" w:hanging="360"/>
      </w:pPr>
      <w:rPr>
        <w:rFonts w:ascii="Symbol" w:hAnsi="Symbol" w:hint="default"/>
      </w:rPr>
    </w:lvl>
    <w:lvl w:ilvl="1" w:tplc="2B7CB54A" w:tentative="1">
      <w:start w:val="1"/>
      <w:numFmt w:val="bullet"/>
      <w:lvlText w:val="o"/>
      <w:lvlJc w:val="left"/>
      <w:pPr>
        <w:tabs>
          <w:tab w:val="num" w:pos="1440"/>
        </w:tabs>
        <w:ind w:left="1440" w:hanging="360"/>
      </w:pPr>
      <w:rPr>
        <w:rFonts w:ascii="Courier New" w:hAnsi="Courier New" w:cs="Consolas" w:hint="default"/>
      </w:rPr>
    </w:lvl>
    <w:lvl w:ilvl="2" w:tplc="7814FBA4" w:tentative="1">
      <w:start w:val="1"/>
      <w:numFmt w:val="bullet"/>
      <w:lvlText w:val=""/>
      <w:lvlJc w:val="left"/>
      <w:pPr>
        <w:tabs>
          <w:tab w:val="num" w:pos="2160"/>
        </w:tabs>
        <w:ind w:left="2160" w:hanging="360"/>
      </w:pPr>
      <w:rPr>
        <w:rFonts w:ascii="Wingdings" w:hAnsi="Wingdings" w:hint="default"/>
      </w:rPr>
    </w:lvl>
    <w:lvl w:ilvl="3" w:tplc="533CBB36" w:tentative="1">
      <w:start w:val="1"/>
      <w:numFmt w:val="bullet"/>
      <w:lvlText w:val=""/>
      <w:lvlJc w:val="left"/>
      <w:pPr>
        <w:tabs>
          <w:tab w:val="num" w:pos="2880"/>
        </w:tabs>
        <w:ind w:left="2880" w:hanging="360"/>
      </w:pPr>
      <w:rPr>
        <w:rFonts w:ascii="Symbol" w:hAnsi="Symbol" w:hint="default"/>
      </w:rPr>
    </w:lvl>
    <w:lvl w:ilvl="4" w:tplc="7AD231EA" w:tentative="1">
      <w:start w:val="1"/>
      <w:numFmt w:val="bullet"/>
      <w:lvlText w:val="o"/>
      <w:lvlJc w:val="left"/>
      <w:pPr>
        <w:tabs>
          <w:tab w:val="num" w:pos="3600"/>
        </w:tabs>
        <w:ind w:left="3600" w:hanging="360"/>
      </w:pPr>
      <w:rPr>
        <w:rFonts w:ascii="Courier New" w:hAnsi="Courier New" w:cs="Consolas" w:hint="default"/>
      </w:rPr>
    </w:lvl>
    <w:lvl w:ilvl="5" w:tplc="48D0B726" w:tentative="1">
      <w:start w:val="1"/>
      <w:numFmt w:val="bullet"/>
      <w:lvlText w:val=""/>
      <w:lvlJc w:val="left"/>
      <w:pPr>
        <w:tabs>
          <w:tab w:val="num" w:pos="4320"/>
        </w:tabs>
        <w:ind w:left="4320" w:hanging="360"/>
      </w:pPr>
      <w:rPr>
        <w:rFonts w:ascii="Wingdings" w:hAnsi="Wingdings" w:hint="default"/>
      </w:rPr>
    </w:lvl>
    <w:lvl w:ilvl="6" w:tplc="A7F62352" w:tentative="1">
      <w:start w:val="1"/>
      <w:numFmt w:val="bullet"/>
      <w:lvlText w:val=""/>
      <w:lvlJc w:val="left"/>
      <w:pPr>
        <w:tabs>
          <w:tab w:val="num" w:pos="5040"/>
        </w:tabs>
        <w:ind w:left="5040" w:hanging="360"/>
      </w:pPr>
      <w:rPr>
        <w:rFonts w:ascii="Symbol" w:hAnsi="Symbol" w:hint="default"/>
      </w:rPr>
    </w:lvl>
    <w:lvl w:ilvl="7" w:tplc="7BAAA722" w:tentative="1">
      <w:start w:val="1"/>
      <w:numFmt w:val="bullet"/>
      <w:lvlText w:val="o"/>
      <w:lvlJc w:val="left"/>
      <w:pPr>
        <w:tabs>
          <w:tab w:val="num" w:pos="5760"/>
        </w:tabs>
        <w:ind w:left="5760" w:hanging="360"/>
      </w:pPr>
      <w:rPr>
        <w:rFonts w:ascii="Courier New" w:hAnsi="Courier New" w:cs="Consolas" w:hint="default"/>
      </w:rPr>
    </w:lvl>
    <w:lvl w:ilvl="8" w:tplc="66CAAD94" w:tentative="1">
      <w:start w:val="1"/>
      <w:numFmt w:val="bullet"/>
      <w:lvlText w:val=""/>
      <w:lvlJc w:val="left"/>
      <w:pPr>
        <w:tabs>
          <w:tab w:val="num" w:pos="6480"/>
        </w:tabs>
        <w:ind w:left="6480" w:hanging="360"/>
      </w:pPr>
      <w:rPr>
        <w:rFonts w:ascii="Wingdings" w:hAnsi="Wingdings" w:hint="default"/>
      </w:rPr>
    </w:lvl>
  </w:abstractNum>
  <w:abstractNum w:abstractNumId="10">
    <w:nsid w:val="06824E60"/>
    <w:multiLevelType w:val="hybridMultilevel"/>
    <w:tmpl w:val="F2A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9E5F38"/>
    <w:multiLevelType w:val="multilevel"/>
    <w:tmpl w:val="564C1954"/>
    <w:lvl w:ilvl="0">
      <w:start w:val="8"/>
      <w:numFmt w:val="decimal"/>
      <w:lvlText w:val="%1."/>
      <w:lvlJc w:val="left"/>
      <w:pPr>
        <w:ind w:left="760" w:hanging="760"/>
      </w:pPr>
      <w:rPr>
        <w:rFonts w:hint="default"/>
      </w:rPr>
    </w:lvl>
    <w:lvl w:ilvl="1">
      <w:start w:val="3"/>
      <w:numFmt w:val="decimal"/>
      <w:lvlText w:val="%1.%2."/>
      <w:lvlJc w:val="left"/>
      <w:pPr>
        <w:ind w:left="1480" w:hanging="760"/>
      </w:pPr>
      <w:rPr>
        <w:rFonts w:hint="default"/>
      </w:rPr>
    </w:lvl>
    <w:lvl w:ilvl="2">
      <w:start w:val="4"/>
      <w:numFmt w:val="decimal"/>
      <w:lvlText w:val="%1.%2.%3."/>
      <w:lvlJc w:val="left"/>
      <w:pPr>
        <w:ind w:left="2200" w:hanging="760"/>
      </w:pPr>
      <w:rPr>
        <w:rFonts w:hint="default"/>
      </w:rPr>
    </w:lvl>
    <w:lvl w:ilvl="3">
      <w:start w:val="2"/>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nsid w:val="0C2170C7"/>
    <w:multiLevelType w:val="hybridMultilevel"/>
    <w:tmpl w:val="73F88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F54125"/>
    <w:multiLevelType w:val="hybridMultilevel"/>
    <w:tmpl w:val="C1B01A42"/>
    <w:lvl w:ilvl="0" w:tplc="C9E009DC">
      <w:start w:val="1"/>
      <w:numFmt w:val="bullet"/>
      <w:pStyle w:val="BoxSeqList1"/>
      <w:lvlText w:val=""/>
      <w:lvlJc w:val="left"/>
      <w:pPr>
        <w:tabs>
          <w:tab w:val="num" w:pos="720"/>
        </w:tabs>
        <w:ind w:left="720" w:hanging="360"/>
      </w:pPr>
      <w:rPr>
        <w:rFonts w:ascii="Symbol" w:hAnsi="Symbol" w:hint="default"/>
      </w:rPr>
    </w:lvl>
    <w:lvl w:ilvl="1" w:tplc="B0DA4A42" w:tentative="1">
      <w:start w:val="1"/>
      <w:numFmt w:val="bullet"/>
      <w:lvlText w:val="o"/>
      <w:lvlJc w:val="left"/>
      <w:pPr>
        <w:tabs>
          <w:tab w:val="num" w:pos="1440"/>
        </w:tabs>
        <w:ind w:left="1440" w:hanging="360"/>
      </w:pPr>
      <w:rPr>
        <w:rFonts w:ascii="Courier New" w:hAnsi="Courier New" w:cs="Consolas" w:hint="default"/>
      </w:rPr>
    </w:lvl>
    <w:lvl w:ilvl="2" w:tplc="21A88146" w:tentative="1">
      <w:start w:val="1"/>
      <w:numFmt w:val="bullet"/>
      <w:lvlText w:val=""/>
      <w:lvlJc w:val="left"/>
      <w:pPr>
        <w:tabs>
          <w:tab w:val="num" w:pos="2160"/>
        </w:tabs>
        <w:ind w:left="2160" w:hanging="360"/>
      </w:pPr>
      <w:rPr>
        <w:rFonts w:ascii="Wingdings" w:hAnsi="Wingdings" w:hint="default"/>
      </w:rPr>
    </w:lvl>
    <w:lvl w:ilvl="3" w:tplc="C6986F9C" w:tentative="1">
      <w:start w:val="1"/>
      <w:numFmt w:val="bullet"/>
      <w:lvlText w:val=""/>
      <w:lvlJc w:val="left"/>
      <w:pPr>
        <w:tabs>
          <w:tab w:val="num" w:pos="2880"/>
        </w:tabs>
        <w:ind w:left="2880" w:hanging="360"/>
      </w:pPr>
      <w:rPr>
        <w:rFonts w:ascii="Symbol" w:hAnsi="Symbol" w:hint="default"/>
      </w:rPr>
    </w:lvl>
    <w:lvl w:ilvl="4" w:tplc="53345EA6" w:tentative="1">
      <w:start w:val="1"/>
      <w:numFmt w:val="bullet"/>
      <w:lvlText w:val="o"/>
      <w:lvlJc w:val="left"/>
      <w:pPr>
        <w:tabs>
          <w:tab w:val="num" w:pos="3600"/>
        </w:tabs>
        <w:ind w:left="3600" w:hanging="360"/>
      </w:pPr>
      <w:rPr>
        <w:rFonts w:ascii="Courier New" w:hAnsi="Courier New" w:cs="Consolas" w:hint="default"/>
      </w:rPr>
    </w:lvl>
    <w:lvl w:ilvl="5" w:tplc="5F0A9A32" w:tentative="1">
      <w:start w:val="1"/>
      <w:numFmt w:val="bullet"/>
      <w:lvlText w:val=""/>
      <w:lvlJc w:val="left"/>
      <w:pPr>
        <w:tabs>
          <w:tab w:val="num" w:pos="4320"/>
        </w:tabs>
        <w:ind w:left="4320" w:hanging="360"/>
      </w:pPr>
      <w:rPr>
        <w:rFonts w:ascii="Wingdings" w:hAnsi="Wingdings" w:hint="default"/>
      </w:rPr>
    </w:lvl>
    <w:lvl w:ilvl="6" w:tplc="02F27FAE" w:tentative="1">
      <w:start w:val="1"/>
      <w:numFmt w:val="bullet"/>
      <w:lvlText w:val=""/>
      <w:lvlJc w:val="left"/>
      <w:pPr>
        <w:tabs>
          <w:tab w:val="num" w:pos="5040"/>
        </w:tabs>
        <w:ind w:left="5040" w:hanging="360"/>
      </w:pPr>
      <w:rPr>
        <w:rFonts w:ascii="Symbol" w:hAnsi="Symbol" w:hint="default"/>
      </w:rPr>
    </w:lvl>
    <w:lvl w:ilvl="7" w:tplc="D04A314E" w:tentative="1">
      <w:start w:val="1"/>
      <w:numFmt w:val="bullet"/>
      <w:lvlText w:val="o"/>
      <w:lvlJc w:val="left"/>
      <w:pPr>
        <w:tabs>
          <w:tab w:val="num" w:pos="5760"/>
        </w:tabs>
        <w:ind w:left="5760" w:hanging="360"/>
      </w:pPr>
      <w:rPr>
        <w:rFonts w:ascii="Courier New" w:hAnsi="Courier New" w:cs="Consolas" w:hint="default"/>
      </w:rPr>
    </w:lvl>
    <w:lvl w:ilvl="8" w:tplc="F2A0725E" w:tentative="1">
      <w:start w:val="1"/>
      <w:numFmt w:val="bullet"/>
      <w:lvlText w:val=""/>
      <w:lvlJc w:val="left"/>
      <w:pPr>
        <w:tabs>
          <w:tab w:val="num" w:pos="6480"/>
        </w:tabs>
        <w:ind w:left="6480" w:hanging="360"/>
      </w:pPr>
      <w:rPr>
        <w:rFonts w:ascii="Wingdings" w:hAnsi="Wingdings" w:hint="default"/>
      </w:rPr>
    </w:lvl>
  </w:abstractNum>
  <w:abstractNum w:abstractNumId="14">
    <w:nsid w:val="13AB4B41"/>
    <w:multiLevelType w:val="hybridMultilevel"/>
    <w:tmpl w:val="7E1ECB5E"/>
    <w:lvl w:ilvl="0" w:tplc="04964D0A">
      <w:start w:val="1"/>
      <w:numFmt w:val="lowerLetter"/>
      <w:pStyle w:val="IPPBullet1Last"/>
      <w:lvlText w:val="%1."/>
      <w:lvlJc w:val="left"/>
      <w:pPr>
        <w:ind w:left="1854" w:hanging="360"/>
      </w:pPr>
    </w:lvl>
    <w:lvl w:ilvl="1" w:tplc="E2AEDD66" w:tentative="1">
      <w:start w:val="1"/>
      <w:numFmt w:val="lowerLetter"/>
      <w:lvlText w:val="%2."/>
      <w:lvlJc w:val="left"/>
      <w:pPr>
        <w:ind w:left="2574" w:hanging="360"/>
      </w:pPr>
    </w:lvl>
    <w:lvl w:ilvl="2" w:tplc="40184B22" w:tentative="1">
      <w:start w:val="1"/>
      <w:numFmt w:val="lowerRoman"/>
      <w:lvlText w:val="%3."/>
      <w:lvlJc w:val="right"/>
      <w:pPr>
        <w:ind w:left="3294" w:hanging="180"/>
      </w:pPr>
    </w:lvl>
    <w:lvl w:ilvl="3" w:tplc="EF5A0A42" w:tentative="1">
      <w:start w:val="1"/>
      <w:numFmt w:val="decimal"/>
      <w:lvlText w:val="%4."/>
      <w:lvlJc w:val="left"/>
      <w:pPr>
        <w:ind w:left="4014" w:hanging="360"/>
      </w:pPr>
    </w:lvl>
    <w:lvl w:ilvl="4" w:tplc="FA44BC42" w:tentative="1">
      <w:start w:val="1"/>
      <w:numFmt w:val="lowerLetter"/>
      <w:lvlText w:val="%5."/>
      <w:lvlJc w:val="left"/>
      <w:pPr>
        <w:ind w:left="4734" w:hanging="360"/>
      </w:pPr>
    </w:lvl>
    <w:lvl w:ilvl="5" w:tplc="B17C73C4" w:tentative="1">
      <w:start w:val="1"/>
      <w:numFmt w:val="lowerRoman"/>
      <w:lvlText w:val="%6."/>
      <w:lvlJc w:val="right"/>
      <w:pPr>
        <w:ind w:left="5454" w:hanging="180"/>
      </w:pPr>
    </w:lvl>
    <w:lvl w:ilvl="6" w:tplc="BBD0B7A2" w:tentative="1">
      <w:start w:val="1"/>
      <w:numFmt w:val="decimal"/>
      <w:lvlText w:val="%7."/>
      <w:lvlJc w:val="left"/>
      <w:pPr>
        <w:ind w:left="6174" w:hanging="360"/>
      </w:pPr>
    </w:lvl>
    <w:lvl w:ilvl="7" w:tplc="31C60108" w:tentative="1">
      <w:start w:val="1"/>
      <w:numFmt w:val="lowerLetter"/>
      <w:lvlText w:val="%8."/>
      <w:lvlJc w:val="left"/>
      <w:pPr>
        <w:ind w:left="6894" w:hanging="360"/>
      </w:pPr>
    </w:lvl>
    <w:lvl w:ilvl="8" w:tplc="D3922874" w:tentative="1">
      <w:start w:val="1"/>
      <w:numFmt w:val="lowerRoman"/>
      <w:lvlText w:val="%9."/>
      <w:lvlJc w:val="right"/>
      <w:pPr>
        <w:ind w:left="7614" w:hanging="180"/>
      </w:pPr>
    </w:lvl>
  </w:abstractNum>
  <w:abstractNum w:abstractNumId="15">
    <w:nsid w:val="13CE6716"/>
    <w:multiLevelType w:val="hybridMultilevel"/>
    <w:tmpl w:val="23A27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53B301F"/>
    <w:multiLevelType w:val="hybridMultilevel"/>
    <w:tmpl w:val="8B58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F37907"/>
    <w:multiLevelType w:val="singleLevel"/>
    <w:tmpl w:val="04090001"/>
    <w:lvl w:ilvl="0">
      <w:start w:val="1"/>
      <w:numFmt w:val="bullet"/>
      <w:pStyle w:val="Box"/>
      <w:lvlText w:val=""/>
      <w:lvlJc w:val="left"/>
      <w:pPr>
        <w:tabs>
          <w:tab w:val="num" w:pos="720"/>
        </w:tabs>
        <w:ind w:left="720" w:hanging="360"/>
      </w:pPr>
      <w:rPr>
        <w:rFonts w:ascii="Symbol" w:hAnsi="Symbol" w:hint="default"/>
      </w:rPr>
    </w:lvl>
  </w:abstractNum>
  <w:abstractNum w:abstractNumId="18">
    <w:nsid w:val="1D7C4482"/>
    <w:multiLevelType w:val="multilevel"/>
    <w:tmpl w:val="E16A48CC"/>
    <w:lvl w:ilvl="0">
      <w:start w:val="8"/>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4"/>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1DF27C46"/>
    <w:multiLevelType w:val="hybridMultilevel"/>
    <w:tmpl w:val="D58AC1F4"/>
    <w:lvl w:ilvl="0" w:tplc="41944AB2">
      <w:start w:val="1"/>
      <w:numFmt w:val="bullet"/>
      <w:pStyle w:val="Section3numbered"/>
      <w:lvlText w:val=""/>
      <w:lvlJc w:val="left"/>
      <w:pPr>
        <w:tabs>
          <w:tab w:val="num" w:pos="720"/>
        </w:tabs>
        <w:ind w:left="720" w:hanging="360"/>
      </w:pPr>
      <w:rPr>
        <w:rFonts w:ascii="Symbol" w:hAnsi="Symbol" w:hint="default"/>
      </w:rPr>
    </w:lvl>
    <w:lvl w:ilvl="1" w:tplc="0AC47AFE" w:tentative="1">
      <w:start w:val="1"/>
      <w:numFmt w:val="bullet"/>
      <w:lvlText w:val="o"/>
      <w:lvlJc w:val="left"/>
      <w:pPr>
        <w:tabs>
          <w:tab w:val="num" w:pos="1440"/>
        </w:tabs>
        <w:ind w:left="1440" w:hanging="360"/>
      </w:pPr>
      <w:rPr>
        <w:rFonts w:ascii="Courier New" w:hAnsi="Courier New" w:cs="Consolas" w:hint="default"/>
      </w:rPr>
    </w:lvl>
    <w:lvl w:ilvl="2" w:tplc="FBE0714E" w:tentative="1">
      <w:start w:val="1"/>
      <w:numFmt w:val="bullet"/>
      <w:lvlText w:val=""/>
      <w:lvlJc w:val="left"/>
      <w:pPr>
        <w:tabs>
          <w:tab w:val="num" w:pos="2160"/>
        </w:tabs>
        <w:ind w:left="2160" w:hanging="360"/>
      </w:pPr>
      <w:rPr>
        <w:rFonts w:ascii="Wingdings" w:hAnsi="Wingdings" w:hint="default"/>
      </w:rPr>
    </w:lvl>
    <w:lvl w:ilvl="3" w:tplc="15D621B0" w:tentative="1">
      <w:start w:val="1"/>
      <w:numFmt w:val="bullet"/>
      <w:lvlText w:val=""/>
      <w:lvlJc w:val="left"/>
      <w:pPr>
        <w:tabs>
          <w:tab w:val="num" w:pos="2880"/>
        </w:tabs>
        <w:ind w:left="2880" w:hanging="360"/>
      </w:pPr>
      <w:rPr>
        <w:rFonts w:ascii="Symbol" w:hAnsi="Symbol" w:hint="default"/>
      </w:rPr>
    </w:lvl>
    <w:lvl w:ilvl="4" w:tplc="A844B542" w:tentative="1">
      <w:start w:val="1"/>
      <w:numFmt w:val="bullet"/>
      <w:lvlText w:val="o"/>
      <w:lvlJc w:val="left"/>
      <w:pPr>
        <w:tabs>
          <w:tab w:val="num" w:pos="3600"/>
        </w:tabs>
        <w:ind w:left="3600" w:hanging="360"/>
      </w:pPr>
      <w:rPr>
        <w:rFonts w:ascii="Courier New" w:hAnsi="Courier New" w:cs="Consolas" w:hint="default"/>
      </w:rPr>
    </w:lvl>
    <w:lvl w:ilvl="5" w:tplc="14844F18" w:tentative="1">
      <w:start w:val="1"/>
      <w:numFmt w:val="bullet"/>
      <w:lvlText w:val=""/>
      <w:lvlJc w:val="left"/>
      <w:pPr>
        <w:tabs>
          <w:tab w:val="num" w:pos="4320"/>
        </w:tabs>
        <w:ind w:left="4320" w:hanging="360"/>
      </w:pPr>
      <w:rPr>
        <w:rFonts w:ascii="Wingdings" w:hAnsi="Wingdings" w:hint="default"/>
      </w:rPr>
    </w:lvl>
    <w:lvl w:ilvl="6" w:tplc="BF56D5EE" w:tentative="1">
      <w:start w:val="1"/>
      <w:numFmt w:val="bullet"/>
      <w:lvlText w:val=""/>
      <w:lvlJc w:val="left"/>
      <w:pPr>
        <w:tabs>
          <w:tab w:val="num" w:pos="5040"/>
        </w:tabs>
        <w:ind w:left="5040" w:hanging="360"/>
      </w:pPr>
      <w:rPr>
        <w:rFonts w:ascii="Symbol" w:hAnsi="Symbol" w:hint="default"/>
      </w:rPr>
    </w:lvl>
    <w:lvl w:ilvl="7" w:tplc="8392D59E" w:tentative="1">
      <w:start w:val="1"/>
      <w:numFmt w:val="bullet"/>
      <w:lvlText w:val="o"/>
      <w:lvlJc w:val="left"/>
      <w:pPr>
        <w:tabs>
          <w:tab w:val="num" w:pos="5760"/>
        </w:tabs>
        <w:ind w:left="5760" w:hanging="360"/>
      </w:pPr>
      <w:rPr>
        <w:rFonts w:ascii="Courier New" w:hAnsi="Courier New" w:cs="Consolas" w:hint="default"/>
      </w:rPr>
    </w:lvl>
    <w:lvl w:ilvl="8" w:tplc="A782A3C4" w:tentative="1">
      <w:start w:val="1"/>
      <w:numFmt w:val="bullet"/>
      <w:lvlText w:val=""/>
      <w:lvlJc w:val="left"/>
      <w:pPr>
        <w:tabs>
          <w:tab w:val="num" w:pos="6480"/>
        </w:tabs>
        <w:ind w:left="6480" w:hanging="360"/>
      </w:pPr>
      <w:rPr>
        <w:rFonts w:ascii="Wingdings" w:hAnsi="Wingdings" w:hint="default"/>
      </w:rPr>
    </w:lvl>
  </w:abstractNum>
  <w:abstractNum w:abstractNumId="20">
    <w:nsid w:val="1EEA21A5"/>
    <w:multiLevelType w:val="multilevel"/>
    <w:tmpl w:val="1EF87CA6"/>
    <w:lvl w:ilvl="0">
      <w:start w:val="1"/>
      <w:numFmt w:val="bullet"/>
      <w:pStyle w:val="Bulletsnumberedintable"/>
      <w:lvlText w:val=""/>
      <w:lvlJc w:val="left"/>
      <w:pPr>
        <w:tabs>
          <w:tab w:val="num" w:pos="539"/>
        </w:tabs>
        <w:ind w:left="539" w:hanging="539"/>
      </w:pPr>
      <w:rPr>
        <w:rFonts w:ascii="Symbol" w:hAnsi="Symbol" w:cs="Symbol" w:hint="default"/>
        <w:sz w:val="18"/>
        <w:szCs w:val="18"/>
      </w:rPr>
    </w:lvl>
    <w:lvl w:ilvl="1">
      <w:start w:val="1"/>
      <w:numFmt w:val="bullet"/>
      <w:lvlText w:val=""/>
      <w:lvlJc w:val="left"/>
      <w:pPr>
        <w:tabs>
          <w:tab w:val="num" w:pos="765"/>
        </w:tabs>
        <w:ind w:left="765" w:hanging="198"/>
      </w:pPr>
      <w:rPr>
        <w:rFonts w:ascii="Symbol" w:hAnsi="Symbol" w:cs="Symbol" w:hint="default"/>
        <w:sz w:val="18"/>
        <w:szCs w:val="18"/>
      </w:rPr>
    </w:lvl>
    <w:lvl w:ilvl="2">
      <w:start w:val="1"/>
      <w:numFmt w:val="bullet"/>
      <w:lvlText w:val=""/>
      <w:lvlJc w:val="left"/>
      <w:pPr>
        <w:tabs>
          <w:tab w:val="num" w:pos="2160"/>
        </w:tabs>
        <w:ind w:left="2160" w:hanging="360"/>
      </w:pPr>
      <w:rPr>
        <w:rFonts w:ascii="Wingdings" w:hAnsi="Wingdings" w:cs="ArialUnicodeM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ArialUnicodeMS" w:hint="default"/>
      </w:rPr>
    </w:lvl>
    <w:lvl w:ilvl="5">
      <w:start w:val="1"/>
      <w:numFmt w:val="bullet"/>
      <w:lvlText w:val=""/>
      <w:lvlJc w:val="left"/>
      <w:pPr>
        <w:tabs>
          <w:tab w:val="num" w:pos="4320"/>
        </w:tabs>
        <w:ind w:left="4320" w:hanging="360"/>
      </w:pPr>
      <w:rPr>
        <w:rFonts w:ascii="Wingdings" w:hAnsi="Wingdings" w:cs="ArialUnicodeM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ArialUnicodeMS" w:hint="default"/>
      </w:rPr>
    </w:lvl>
    <w:lvl w:ilvl="8">
      <w:start w:val="1"/>
      <w:numFmt w:val="bullet"/>
      <w:lvlText w:val=""/>
      <w:lvlJc w:val="left"/>
      <w:pPr>
        <w:tabs>
          <w:tab w:val="num" w:pos="6480"/>
        </w:tabs>
        <w:ind w:left="6480" w:hanging="360"/>
      </w:pPr>
      <w:rPr>
        <w:rFonts w:ascii="Wingdings" w:hAnsi="Wingdings" w:cs="ArialUnicodeMS" w:hint="default"/>
      </w:rPr>
    </w:lvl>
  </w:abstractNum>
  <w:abstractNum w:abstractNumId="21">
    <w:nsid w:val="1EFD7F13"/>
    <w:multiLevelType w:val="hybridMultilevel"/>
    <w:tmpl w:val="9348A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2032645D"/>
    <w:multiLevelType w:val="multilevel"/>
    <w:tmpl w:val="0248CB86"/>
    <w:lvl w:ilvl="0">
      <w:start w:val="8"/>
      <w:numFmt w:val="decimal"/>
      <w:lvlText w:val="%1."/>
      <w:lvlJc w:val="left"/>
      <w:pPr>
        <w:ind w:left="760" w:hanging="760"/>
      </w:pPr>
      <w:rPr>
        <w:rFonts w:hint="default"/>
      </w:rPr>
    </w:lvl>
    <w:lvl w:ilvl="1">
      <w:start w:val="3"/>
      <w:numFmt w:val="decimal"/>
      <w:lvlText w:val="%1.%2."/>
      <w:lvlJc w:val="left"/>
      <w:pPr>
        <w:ind w:left="1480" w:hanging="760"/>
      </w:pPr>
      <w:rPr>
        <w:rFonts w:hint="default"/>
      </w:rPr>
    </w:lvl>
    <w:lvl w:ilvl="2">
      <w:start w:val="3"/>
      <w:numFmt w:val="decimal"/>
      <w:lvlText w:val="%1.%2.%3."/>
      <w:lvlJc w:val="left"/>
      <w:pPr>
        <w:ind w:left="2200" w:hanging="760"/>
      </w:pPr>
      <w:rPr>
        <w:rFonts w:hint="default"/>
      </w:rPr>
    </w:lvl>
    <w:lvl w:ilvl="3">
      <w:start w:val="2"/>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nsid w:val="22682942"/>
    <w:multiLevelType w:val="multilevel"/>
    <w:tmpl w:val="C89C9FF0"/>
    <w:lvl w:ilvl="0">
      <w:start w:val="1"/>
      <w:numFmt w:val="decimal"/>
      <w:pStyle w:val="BlankLine"/>
      <w:lvlText w:val="%1."/>
      <w:lvlJc w:val="left"/>
      <w:pPr>
        <w:tabs>
          <w:tab w:val="num" w:pos="360"/>
        </w:tabs>
        <w:ind w:left="360" w:hanging="360"/>
      </w:pPr>
    </w:lvl>
    <w:lvl w:ilvl="1">
      <w:start w:val="1"/>
      <w:numFmt w:val="lowerLetter"/>
      <w:pStyle w:val="SeqListLev1"/>
      <w:lvlText w:val="%2."/>
      <w:lvlJc w:val="left"/>
      <w:pPr>
        <w:tabs>
          <w:tab w:val="num" w:pos="1080"/>
        </w:tabs>
        <w:ind w:left="1080" w:hanging="360"/>
      </w:pPr>
    </w:lvl>
    <w:lvl w:ilvl="2">
      <w:start w:val="1"/>
      <w:numFmt w:val="lowerRoman"/>
      <w:pStyle w:val="SeqListLev2"/>
      <w:lvlText w:val="%3."/>
      <w:lvlJc w:val="right"/>
      <w:pPr>
        <w:tabs>
          <w:tab w:val="num" w:pos="1800"/>
        </w:tabs>
        <w:ind w:left="1800" w:hanging="180"/>
      </w:pPr>
    </w:lvl>
    <w:lvl w:ilvl="3">
      <w:start w:val="1"/>
      <w:numFmt w:val="decimal"/>
      <w:pStyle w:val="SeqListLev3"/>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24074BDB"/>
    <w:multiLevelType w:val="multilevel"/>
    <w:tmpl w:val="B5AC20E6"/>
    <w:lvl w:ilvl="0">
      <w:start w:val="8"/>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DC3E23"/>
    <w:multiLevelType w:val="multilevel"/>
    <w:tmpl w:val="F1E8F132"/>
    <w:lvl w:ilvl="0">
      <w:start w:val="1"/>
      <w:numFmt w:val="bullet"/>
      <w:pStyle w:val="IPPNumberSubhead"/>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26E60C83"/>
    <w:multiLevelType w:val="multilevel"/>
    <w:tmpl w:val="AA481282"/>
    <w:lvl w:ilvl="0">
      <w:numFmt w:val="bullet"/>
      <w:pStyle w:val="IPPIndentClose"/>
      <w:lvlText w:val="-"/>
      <w:lvlJc w:val="left"/>
      <w:pPr>
        <w:tabs>
          <w:tab w:val="num" w:pos="720"/>
        </w:tabs>
        <w:ind w:left="720"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27483E3B"/>
    <w:multiLevelType w:val="multilevel"/>
    <w:tmpl w:val="2CA8847C"/>
    <w:lvl w:ilvl="0">
      <w:start w:val="1"/>
      <w:numFmt w:val="decimal"/>
      <w:pStyle w:val="Thesisheading1"/>
      <w:lvlText w:val="1.%1"/>
      <w:lvlJc w:val="left"/>
      <w:pPr>
        <w:tabs>
          <w:tab w:val="num" w:pos="720"/>
        </w:tabs>
        <w:ind w:left="720" w:hanging="720"/>
      </w:pPr>
      <w:rPr>
        <w:rFonts w:hint="default"/>
      </w:rPr>
    </w:lvl>
    <w:lvl w:ilvl="1">
      <w:start w:val="1"/>
      <w:numFmt w:val="decimal"/>
      <w:lvlText w:val="%1.%2.1"/>
      <w:lvlJc w:val="left"/>
      <w:pPr>
        <w:tabs>
          <w:tab w:val="num" w:pos="720"/>
        </w:tabs>
        <w:ind w:left="720" w:hanging="720"/>
      </w:pPr>
      <w:rPr>
        <w:rFonts w:hint="default"/>
      </w:rPr>
    </w:lvl>
    <w:lvl w:ilvl="2">
      <w:start w:val="1"/>
      <w:numFmt w:val="lowerLetter"/>
      <w:pStyle w:val="Thesisheading4"/>
      <w:lvlText w:val="(%3)"/>
      <w:lvlJc w:val="left"/>
      <w:pPr>
        <w:tabs>
          <w:tab w:val="num" w:pos="720"/>
        </w:tabs>
        <w:ind w:left="720" w:hanging="720"/>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nsid w:val="286617E9"/>
    <w:multiLevelType w:val="hybridMultilevel"/>
    <w:tmpl w:val="09F2EEE6"/>
    <w:lvl w:ilvl="0" w:tplc="93942E1E">
      <w:start w:val="1"/>
      <w:numFmt w:val="bullet"/>
      <w:pStyle w:val="IPPBullet1"/>
      <w:lvlText w:val=""/>
      <w:lvlJc w:val="left"/>
      <w:pPr>
        <w:tabs>
          <w:tab w:val="num" w:pos="720"/>
        </w:tabs>
        <w:ind w:left="720" w:hanging="360"/>
      </w:pPr>
      <w:rPr>
        <w:rFonts w:ascii="Symbol" w:hAnsi="Symbol" w:hint="default"/>
      </w:rPr>
    </w:lvl>
    <w:lvl w:ilvl="1" w:tplc="790C445A">
      <w:start w:val="1"/>
      <w:numFmt w:val="bullet"/>
      <w:lvlText w:val="o"/>
      <w:lvlJc w:val="left"/>
      <w:pPr>
        <w:tabs>
          <w:tab w:val="num" w:pos="1440"/>
        </w:tabs>
        <w:ind w:left="1440" w:hanging="360"/>
      </w:pPr>
      <w:rPr>
        <w:rFonts w:ascii="Courier New" w:hAnsi="Courier New" w:cs="Consolas" w:hint="default"/>
      </w:rPr>
    </w:lvl>
    <w:lvl w:ilvl="2" w:tplc="AD42556A">
      <w:start w:val="1"/>
      <w:numFmt w:val="decimal"/>
      <w:lvlText w:val="%3."/>
      <w:lvlJc w:val="left"/>
      <w:pPr>
        <w:tabs>
          <w:tab w:val="num" w:pos="2160"/>
        </w:tabs>
        <w:ind w:left="2160" w:hanging="360"/>
      </w:pPr>
    </w:lvl>
    <w:lvl w:ilvl="3" w:tplc="34FCFE2E">
      <w:start w:val="1"/>
      <w:numFmt w:val="decimal"/>
      <w:lvlText w:val="%4."/>
      <w:lvlJc w:val="left"/>
      <w:pPr>
        <w:tabs>
          <w:tab w:val="num" w:pos="2880"/>
        </w:tabs>
        <w:ind w:left="2880" w:hanging="360"/>
      </w:pPr>
    </w:lvl>
    <w:lvl w:ilvl="4" w:tplc="BC385A72">
      <w:start w:val="1"/>
      <w:numFmt w:val="decimal"/>
      <w:lvlText w:val="%5."/>
      <w:lvlJc w:val="left"/>
      <w:pPr>
        <w:tabs>
          <w:tab w:val="num" w:pos="3600"/>
        </w:tabs>
        <w:ind w:left="3600" w:hanging="360"/>
      </w:pPr>
    </w:lvl>
    <w:lvl w:ilvl="5" w:tplc="22A0BFE4">
      <w:start w:val="1"/>
      <w:numFmt w:val="decimal"/>
      <w:lvlText w:val="%6."/>
      <w:lvlJc w:val="left"/>
      <w:pPr>
        <w:tabs>
          <w:tab w:val="num" w:pos="4320"/>
        </w:tabs>
        <w:ind w:left="4320" w:hanging="360"/>
      </w:pPr>
    </w:lvl>
    <w:lvl w:ilvl="6" w:tplc="14B4819A">
      <w:start w:val="1"/>
      <w:numFmt w:val="decimal"/>
      <w:lvlText w:val="%7."/>
      <w:lvlJc w:val="left"/>
      <w:pPr>
        <w:tabs>
          <w:tab w:val="num" w:pos="5040"/>
        </w:tabs>
        <w:ind w:left="5040" w:hanging="360"/>
      </w:pPr>
    </w:lvl>
    <w:lvl w:ilvl="7" w:tplc="7BCEEECA">
      <w:start w:val="1"/>
      <w:numFmt w:val="decimal"/>
      <w:lvlText w:val="%8."/>
      <w:lvlJc w:val="left"/>
      <w:pPr>
        <w:tabs>
          <w:tab w:val="num" w:pos="5760"/>
        </w:tabs>
        <w:ind w:left="5760" w:hanging="360"/>
      </w:pPr>
    </w:lvl>
    <w:lvl w:ilvl="8" w:tplc="3A6A5B8C">
      <w:start w:val="1"/>
      <w:numFmt w:val="decimal"/>
      <w:lvlText w:val="%9."/>
      <w:lvlJc w:val="left"/>
      <w:pPr>
        <w:tabs>
          <w:tab w:val="num" w:pos="6480"/>
        </w:tabs>
        <w:ind w:left="6480" w:hanging="360"/>
      </w:pPr>
    </w:lvl>
  </w:abstractNum>
  <w:abstractNum w:abstractNumId="29">
    <w:nsid w:val="2869746C"/>
    <w:multiLevelType w:val="hybridMultilevel"/>
    <w:tmpl w:val="235020DA"/>
    <w:lvl w:ilvl="0" w:tplc="AEF8D51C">
      <w:start w:val="1"/>
      <w:numFmt w:val="bullet"/>
      <w:pStyle w:val="BasicParagraph"/>
      <w:lvlText w:val=""/>
      <w:lvlJc w:val="left"/>
      <w:pPr>
        <w:tabs>
          <w:tab w:val="num" w:pos="720"/>
        </w:tabs>
        <w:ind w:left="720" w:hanging="360"/>
      </w:pPr>
      <w:rPr>
        <w:rFonts w:ascii="Symbol" w:hAnsi="Symbol" w:hint="default"/>
      </w:rPr>
    </w:lvl>
    <w:lvl w:ilvl="1" w:tplc="3EF22854" w:tentative="1">
      <w:start w:val="1"/>
      <w:numFmt w:val="bullet"/>
      <w:lvlText w:val="o"/>
      <w:lvlJc w:val="left"/>
      <w:pPr>
        <w:tabs>
          <w:tab w:val="num" w:pos="1440"/>
        </w:tabs>
        <w:ind w:left="1440" w:hanging="360"/>
      </w:pPr>
      <w:rPr>
        <w:rFonts w:ascii="Courier New" w:hAnsi="Courier New" w:cs="Consolas" w:hint="default"/>
      </w:rPr>
    </w:lvl>
    <w:lvl w:ilvl="2" w:tplc="7280F928" w:tentative="1">
      <w:start w:val="1"/>
      <w:numFmt w:val="bullet"/>
      <w:lvlText w:val=""/>
      <w:lvlJc w:val="left"/>
      <w:pPr>
        <w:tabs>
          <w:tab w:val="num" w:pos="2160"/>
        </w:tabs>
        <w:ind w:left="2160" w:hanging="360"/>
      </w:pPr>
      <w:rPr>
        <w:rFonts w:ascii="Wingdings" w:hAnsi="Wingdings" w:hint="default"/>
      </w:rPr>
    </w:lvl>
    <w:lvl w:ilvl="3" w:tplc="FDE4CDF2" w:tentative="1">
      <w:start w:val="1"/>
      <w:numFmt w:val="bullet"/>
      <w:lvlText w:val=""/>
      <w:lvlJc w:val="left"/>
      <w:pPr>
        <w:tabs>
          <w:tab w:val="num" w:pos="2880"/>
        </w:tabs>
        <w:ind w:left="2880" w:hanging="360"/>
      </w:pPr>
      <w:rPr>
        <w:rFonts w:ascii="Symbol" w:hAnsi="Symbol" w:hint="default"/>
      </w:rPr>
    </w:lvl>
    <w:lvl w:ilvl="4" w:tplc="38C2FABE" w:tentative="1">
      <w:start w:val="1"/>
      <w:numFmt w:val="bullet"/>
      <w:lvlText w:val="o"/>
      <w:lvlJc w:val="left"/>
      <w:pPr>
        <w:tabs>
          <w:tab w:val="num" w:pos="3600"/>
        </w:tabs>
        <w:ind w:left="3600" w:hanging="360"/>
      </w:pPr>
      <w:rPr>
        <w:rFonts w:ascii="Courier New" w:hAnsi="Courier New" w:cs="Consolas" w:hint="default"/>
      </w:rPr>
    </w:lvl>
    <w:lvl w:ilvl="5" w:tplc="D7600742" w:tentative="1">
      <w:start w:val="1"/>
      <w:numFmt w:val="bullet"/>
      <w:lvlText w:val=""/>
      <w:lvlJc w:val="left"/>
      <w:pPr>
        <w:tabs>
          <w:tab w:val="num" w:pos="4320"/>
        </w:tabs>
        <w:ind w:left="4320" w:hanging="360"/>
      </w:pPr>
      <w:rPr>
        <w:rFonts w:ascii="Wingdings" w:hAnsi="Wingdings" w:hint="default"/>
      </w:rPr>
    </w:lvl>
    <w:lvl w:ilvl="6" w:tplc="F1E462EC" w:tentative="1">
      <w:start w:val="1"/>
      <w:numFmt w:val="bullet"/>
      <w:lvlText w:val=""/>
      <w:lvlJc w:val="left"/>
      <w:pPr>
        <w:tabs>
          <w:tab w:val="num" w:pos="5040"/>
        </w:tabs>
        <w:ind w:left="5040" w:hanging="360"/>
      </w:pPr>
      <w:rPr>
        <w:rFonts w:ascii="Symbol" w:hAnsi="Symbol" w:hint="default"/>
      </w:rPr>
    </w:lvl>
    <w:lvl w:ilvl="7" w:tplc="8D5A16B4" w:tentative="1">
      <w:start w:val="1"/>
      <w:numFmt w:val="bullet"/>
      <w:lvlText w:val="o"/>
      <w:lvlJc w:val="left"/>
      <w:pPr>
        <w:tabs>
          <w:tab w:val="num" w:pos="5760"/>
        </w:tabs>
        <w:ind w:left="5760" w:hanging="360"/>
      </w:pPr>
      <w:rPr>
        <w:rFonts w:ascii="Courier New" w:hAnsi="Courier New" w:cs="Consolas" w:hint="default"/>
      </w:rPr>
    </w:lvl>
    <w:lvl w:ilvl="8" w:tplc="5DBC7710" w:tentative="1">
      <w:start w:val="1"/>
      <w:numFmt w:val="bullet"/>
      <w:lvlText w:val=""/>
      <w:lvlJc w:val="left"/>
      <w:pPr>
        <w:tabs>
          <w:tab w:val="num" w:pos="6480"/>
        </w:tabs>
        <w:ind w:left="6480" w:hanging="360"/>
      </w:pPr>
      <w:rPr>
        <w:rFonts w:ascii="Wingdings" w:hAnsi="Wingdings" w:hint="default"/>
      </w:rPr>
    </w:lvl>
  </w:abstractNum>
  <w:abstractNum w:abstractNumId="30">
    <w:nsid w:val="2990330D"/>
    <w:multiLevelType w:val="hybridMultilevel"/>
    <w:tmpl w:val="8B92EB8E"/>
    <w:lvl w:ilvl="0" w:tplc="A844B96A">
      <w:start w:val="1"/>
      <w:numFmt w:val="bullet"/>
      <w:pStyle w:val="BoxSeqList3"/>
      <w:lvlText w:val=""/>
      <w:lvlJc w:val="left"/>
      <w:pPr>
        <w:tabs>
          <w:tab w:val="num" w:pos="720"/>
        </w:tabs>
        <w:ind w:left="720" w:hanging="360"/>
      </w:pPr>
      <w:rPr>
        <w:rFonts w:ascii="Symbol" w:hAnsi="Symbol" w:hint="default"/>
      </w:rPr>
    </w:lvl>
    <w:lvl w:ilvl="1" w:tplc="9BC2F584" w:tentative="1">
      <w:start w:val="1"/>
      <w:numFmt w:val="bullet"/>
      <w:lvlText w:val="o"/>
      <w:lvlJc w:val="left"/>
      <w:pPr>
        <w:tabs>
          <w:tab w:val="num" w:pos="1440"/>
        </w:tabs>
        <w:ind w:left="1440" w:hanging="360"/>
      </w:pPr>
      <w:rPr>
        <w:rFonts w:ascii="Courier New" w:hAnsi="Courier New" w:cs="Consolas" w:hint="default"/>
      </w:rPr>
    </w:lvl>
    <w:lvl w:ilvl="2" w:tplc="54DCE6F2" w:tentative="1">
      <w:start w:val="1"/>
      <w:numFmt w:val="bullet"/>
      <w:lvlText w:val=""/>
      <w:lvlJc w:val="left"/>
      <w:pPr>
        <w:tabs>
          <w:tab w:val="num" w:pos="2160"/>
        </w:tabs>
        <w:ind w:left="2160" w:hanging="360"/>
      </w:pPr>
      <w:rPr>
        <w:rFonts w:ascii="Wingdings" w:hAnsi="Wingdings" w:hint="default"/>
      </w:rPr>
    </w:lvl>
    <w:lvl w:ilvl="3" w:tplc="6CFA0B66" w:tentative="1">
      <w:start w:val="1"/>
      <w:numFmt w:val="bullet"/>
      <w:lvlText w:val=""/>
      <w:lvlJc w:val="left"/>
      <w:pPr>
        <w:tabs>
          <w:tab w:val="num" w:pos="2880"/>
        </w:tabs>
        <w:ind w:left="2880" w:hanging="360"/>
      </w:pPr>
      <w:rPr>
        <w:rFonts w:ascii="Symbol" w:hAnsi="Symbol" w:hint="default"/>
      </w:rPr>
    </w:lvl>
    <w:lvl w:ilvl="4" w:tplc="9EC80C8E" w:tentative="1">
      <w:start w:val="1"/>
      <w:numFmt w:val="bullet"/>
      <w:lvlText w:val="o"/>
      <w:lvlJc w:val="left"/>
      <w:pPr>
        <w:tabs>
          <w:tab w:val="num" w:pos="3600"/>
        </w:tabs>
        <w:ind w:left="3600" w:hanging="360"/>
      </w:pPr>
      <w:rPr>
        <w:rFonts w:ascii="Courier New" w:hAnsi="Courier New" w:cs="Consolas" w:hint="default"/>
      </w:rPr>
    </w:lvl>
    <w:lvl w:ilvl="5" w:tplc="EFAACC36" w:tentative="1">
      <w:start w:val="1"/>
      <w:numFmt w:val="bullet"/>
      <w:lvlText w:val=""/>
      <w:lvlJc w:val="left"/>
      <w:pPr>
        <w:tabs>
          <w:tab w:val="num" w:pos="4320"/>
        </w:tabs>
        <w:ind w:left="4320" w:hanging="360"/>
      </w:pPr>
      <w:rPr>
        <w:rFonts w:ascii="Wingdings" w:hAnsi="Wingdings" w:hint="default"/>
      </w:rPr>
    </w:lvl>
    <w:lvl w:ilvl="6" w:tplc="E572EC80" w:tentative="1">
      <w:start w:val="1"/>
      <w:numFmt w:val="bullet"/>
      <w:lvlText w:val=""/>
      <w:lvlJc w:val="left"/>
      <w:pPr>
        <w:tabs>
          <w:tab w:val="num" w:pos="5040"/>
        </w:tabs>
        <w:ind w:left="5040" w:hanging="360"/>
      </w:pPr>
      <w:rPr>
        <w:rFonts w:ascii="Symbol" w:hAnsi="Symbol" w:hint="default"/>
      </w:rPr>
    </w:lvl>
    <w:lvl w:ilvl="7" w:tplc="6DC45B3C" w:tentative="1">
      <w:start w:val="1"/>
      <w:numFmt w:val="bullet"/>
      <w:lvlText w:val="o"/>
      <w:lvlJc w:val="left"/>
      <w:pPr>
        <w:tabs>
          <w:tab w:val="num" w:pos="5760"/>
        </w:tabs>
        <w:ind w:left="5760" w:hanging="360"/>
      </w:pPr>
      <w:rPr>
        <w:rFonts w:ascii="Courier New" w:hAnsi="Courier New" w:cs="Consolas" w:hint="default"/>
      </w:rPr>
    </w:lvl>
    <w:lvl w:ilvl="8" w:tplc="8B84DF42" w:tentative="1">
      <w:start w:val="1"/>
      <w:numFmt w:val="bullet"/>
      <w:lvlText w:val=""/>
      <w:lvlJc w:val="left"/>
      <w:pPr>
        <w:tabs>
          <w:tab w:val="num" w:pos="6480"/>
        </w:tabs>
        <w:ind w:left="6480" w:hanging="360"/>
      </w:pPr>
      <w:rPr>
        <w:rFonts w:ascii="Wingdings" w:hAnsi="Wingdings" w:hint="default"/>
      </w:rPr>
    </w:lvl>
  </w:abstractNum>
  <w:abstractNum w:abstractNumId="31">
    <w:nsid w:val="2A036878"/>
    <w:multiLevelType w:val="multilevel"/>
    <w:tmpl w:val="B45A9380"/>
    <w:lvl w:ilvl="0">
      <w:start w:val="1"/>
      <w:numFmt w:val="decimal"/>
      <w:lvlText w:val="%1."/>
      <w:lvlJc w:val="left"/>
      <w:pPr>
        <w:tabs>
          <w:tab w:val="num" w:pos="720"/>
        </w:tabs>
        <w:ind w:left="720" w:hanging="360"/>
      </w:pPr>
    </w:lvl>
    <w:lvl w:ilvl="1">
      <w:start w:val="3"/>
      <w:numFmt w:val="decimal"/>
      <w:isLgl/>
      <w:lvlText w:val="%1.%2"/>
      <w:lvlJc w:val="left"/>
      <w:pPr>
        <w:ind w:left="1065" w:hanging="705"/>
      </w:pPr>
      <w:rPr>
        <w:rFonts w:hint="default"/>
        <w:b/>
      </w:rPr>
    </w:lvl>
    <w:lvl w:ilvl="2">
      <w:start w:val="1"/>
      <w:numFmt w:val="decimal"/>
      <w:pStyle w:val="BoxSeqList2"/>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nsid w:val="2DC22DC6"/>
    <w:multiLevelType w:val="hybridMultilevel"/>
    <w:tmpl w:val="A5DC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8552D0"/>
    <w:multiLevelType w:val="hybridMultilevel"/>
    <w:tmpl w:val="9B12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4501A57"/>
    <w:multiLevelType w:val="hybridMultilevel"/>
    <w:tmpl w:val="5B24FFB8"/>
    <w:lvl w:ilvl="0" w:tplc="721C2A1A">
      <w:start w:val="1"/>
      <w:numFmt w:val="decimal"/>
      <w:pStyle w:val="Bulletnumbered"/>
      <w:lvlText w:val="%1."/>
      <w:lvlJc w:val="left"/>
      <w:pPr>
        <w:ind w:left="1854" w:hanging="360"/>
      </w:pPr>
    </w:lvl>
    <w:lvl w:ilvl="1" w:tplc="9A02AD78" w:tentative="1">
      <w:start w:val="1"/>
      <w:numFmt w:val="lowerLetter"/>
      <w:lvlText w:val="%2."/>
      <w:lvlJc w:val="left"/>
      <w:pPr>
        <w:ind w:left="2574" w:hanging="360"/>
      </w:pPr>
    </w:lvl>
    <w:lvl w:ilvl="2" w:tplc="5FEA1EDC" w:tentative="1">
      <w:start w:val="1"/>
      <w:numFmt w:val="lowerRoman"/>
      <w:lvlText w:val="%3."/>
      <w:lvlJc w:val="right"/>
      <w:pPr>
        <w:ind w:left="3294" w:hanging="180"/>
      </w:pPr>
    </w:lvl>
    <w:lvl w:ilvl="3" w:tplc="3E2C8934" w:tentative="1">
      <w:start w:val="1"/>
      <w:numFmt w:val="decimal"/>
      <w:lvlText w:val="%4."/>
      <w:lvlJc w:val="left"/>
      <w:pPr>
        <w:ind w:left="4014" w:hanging="360"/>
      </w:pPr>
    </w:lvl>
    <w:lvl w:ilvl="4" w:tplc="332C7AA6" w:tentative="1">
      <w:start w:val="1"/>
      <w:numFmt w:val="lowerLetter"/>
      <w:lvlText w:val="%5."/>
      <w:lvlJc w:val="left"/>
      <w:pPr>
        <w:ind w:left="4734" w:hanging="360"/>
      </w:pPr>
    </w:lvl>
    <w:lvl w:ilvl="5" w:tplc="8D7A1C90" w:tentative="1">
      <w:start w:val="1"/>
      <w:numFmt w:val="lowerRoman"/>
      <w:lvlText w:val="%6."/>
      <w:lvlJc w:val="right"/>
      <w:pPr>
        <w:ind w:left="5454" w:hanging="180"/>
      </w:pPr>
    </w:lvl>
    <w:lvl w:ilvl="6" w:tplc="2F2C0594" w:tentative="1">
      <w:start w:val="1"/>
      <w:numFmt w:val="decimal"/>
      <w:lvlText w:val="%7."/>
      <w:lvlJc w:val="left"/>
      <w:pPr>
        <w:ind w:left="6174" w:hanging="360"/>
      </w:pPr>
    </w:lvl>
    <w:lvl w:ilvl="7" w:tplc="56508CE2" w:tentative="1">
      <w:start w:val="1"/>
      <w:numFmt w:val="lowerLetter"/>
      <w:lvlText w:val="%8."/>
      <w:lvlJc w:val="left"/>
      <w:pPr>
        <w:ind w:left="6894" w:hanging="360"/>
      </w:pPr>
    </w:lvl>
    <w:lvl w:ilvl="8" w:tplc="29FE73F8" w:tentative="1">
      <w:start w:val="1"/>
      <w:numFmt w:val="lowerRoman"/>
      <w:lvlText w:val="%9."/>
      <w:lvlJc w:val="right"/>
      <w:pPr>
        <w:ind w:left="7614" w:hanging="180"/>
      </w:pPr>
    </w:lvl>
  </w:abstractNum>
  <w:abstractNum w:abstractNumId="35">
    <w:nsid w:val="36620CB5"/>
    <w:multiLevelType w:val="hybridMultilevel"/>
    <w:tmpl w:val="3BD4ABCC"/>
    <w:lvl w:ilvl="0" w:tplc="85626A0A">
      <w:start w:val="1"/>
      <w:numFmt w:val="bullet"/>
      <w:pStyle w:val="NewPara"/>
      <w:lvlText w:val=""/>
      <w:lvlJc w:val="left"/>
      <w:pPr>
        <w:tabs>
          <w:tab w:val="num" w:pos="720"/>
        </w:tabs>
        <w:ind w:left="720" w:hanging="360"/>
      </w:pPr>
      <w:rPr>
        <w:rFonts w:ascii="Symbol" w:hAnsi="Symbol" w:hint="default"/>
      </w:rPr>
    </w:lvl>
    <w:lvl w:ilvl="1" w:tplc="6C183E32" w:tentative="1">
      <w:start w:val="1"/>
      <w:numFmt w:val="bullet"/>
      <w:pStyle w:val="TableEntry"/>
      <w:lvlText w:val="o"/>
      <w:lvlJc w:val="left"/>
      <w:pPr>
        <w:tabs>
          <w:tab w:val="num" w:pos="1440"/>
        </w:tabs>
        <w:ind w:left="1440" w:hanging="360"/>
      </w:pPr>
      <w:rPr>
        <w:rFonts w:ascii="Courier New" w:hAnsi="Courier New" w:cs="Consolas" w:hint="default"/>
      </w:rPr>
    </w:lvl>
    <w:lvl w:ilvl="2" w:tplc="97341F44" w:tentative="1">
      <w:start w:val="1"/>
      <w:numFmt w:val="bullet"/>
      <w:pStyle w:val="CarCar"/>
      <w:lvlText w:val=""/>
      <w:lvlJc w:val="left"/>
      <w:pPr>
        <w:tabs>
          <w:tab w:val="num" w:pos="2160"/>
        </w:tabs>
        <w:ind w:left="2160" w:hanging="360"/>
      </w:pPr>
      <w:rPr>
        <w:rFonts w:ascii="Wingdings" w:hAnsi="Wingdings" w:hint="default"/>
      </w:rPr>
    </w:lvl>
    <w:lvl w:ilvl="3" w:tplc="E5F68E6A" w:tentative="1">
      <w:start w:val="1"/>
      <w:numFmt w:val="bullet"/>
      <w:pStyle w:val="BoxTitle"/>
      <w:lvlText w:val=""/>
      <w:lvlJc w:val="left"/>
      <w:pPr>
        <w:tabs>
          <w:tab w:val="num" w:pos="2880"/>
        </w:tabs>
        <w:ind w:left="2880" w:hanging="360"/>
      </w:pPr>
      <w:rPr>
        <w:rFonts w:ascii="Symbol" w:hAnsi="Symbol" w:hint="default"/>
      </w:rPr>
    </w:lvl>
    <w:lvl w:ilvl="4" w:tplc="E146B7B2" w:tentative="1">
      <w:start w:val="1"/>
      <w:numFmt w:val="bullet"/>
      <w:lvlText w:val="o"/>
      <w:lvlJc w:val="left"/>
      <w:pPr>
        <w:tabs>
          <w:tab w:val="num" w:pos="3600"/>
        </w:tabs>
        <w:ind w:left="3600" w:hanging="360"/>
      </w:pPr>
      <w:rPr>
        <w:rFonts w:ascii="Courier New" w:hAnsi="Courier New" w:cs="Consolas" w:hint="default"/>
      </w:rPr>
    </w:lvl>
    <w:lvl w:ilvl="5" w:tplc="CBA4E2D8" w:tentative="1">
      <w:start w:val="1"/>
      <w:numFmt w:val="bullet"/>
      <w:lvlText w:val=""/>
      <w:lvlJc w:val="left"/>
      <w:pPr>
        <w:tabs>
          <w:tab w:val="num" w:pos="4320"/>
        </w:tabs>
        <w:ind w:left="4320" w:hanging="360"/>
      </w:pPr>
      <w:rPr>
        <w:rFonts w:ascii="Wingdings" w:hAnsi="Wingdings" w:hint="default"/>
      </w:rPr>
    </w:lvl>
    <w:lvl w:ilvl="6" w:tplc="09961A4C" w:tentative="1">
      <w:start w:val="1"/>
      <w:numFmt w:val="bullet"/>
      <w:lvlText w:val=""/>
      <w:lvlJc w:val="left"/>
      <w:pPr>
        <w:tabs>
          <w:tab w:val="num" w:pos="5040"/>
        </w:tabs>
        <w:ind w:left="5040" w:hanging="360"/>
      </w:pPr>
      <w:rPr>
        <w:rFonts w:ascii="Symbol" w:hAnsi="Symbol" w:hint="default"/>
      </w:rPr>
    </w:lvl>
    <w:lvl w:ilvl="7" w:tplc="40CC5086" w:tentative="1">
      <w:start w:val="1"/>
      <w:numFmt w:val="bullet"/>
      <w:lvlText w:val="o"/>
      <w:lvlJc w:val="left"/>
      <w:pPr>
        <w:tabs>
          <w:tab w:val="num" w:pos="5760"/>
        </w:tabs>
        <w:ind w:left="5760" w:hanging="360"/>
      </w:pPr>
      <w:rPr>
        <w:rFonts w:ascii="Courier New" w:hAnsi="Courier New" w:cs="Consolas" w:hint="default"/>
      </w:rPr>
    </w:lvl>
    <w:lvl w:ilvl="8" w:tplc="923CB502" w:tentative="1">
      <w:start w:val="1"/>
      <w:numFmt w:val="bullet"/>
      <w:lvlText w:val=""/>
      <w:lvlJc w:val="left"/>
      <w:pPr>
        <w:tabs>
          <w:tab w:val="num" w:pos="6480"/>
        </w:tabs>
        <w:ind w:left="6480" w:hanging="360"/>
      </w:pPr>
      <w:rPr>
        <w:rFonts w:ascii="Wingdings" w:hAnsi="Wingdings" w:hint="default"/>
      </w:rPr>
    </w:lvl>
  </w:abstractNum>
  <w:abstractNum w:abstractNumId="36">
    <w:nsid w:val="37173F18"/>
    <w:multiLevelType w:val="hybridMultilevel"/>
    <w:tmpl w:val="89DEA7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37980EB6"/>
    <w:multiLevelType w:val="hybridMultilevel"/>
    <w:tmpl w:val="43C2DA88"/>
    <w:lvl w:ilvl="0" w:tplc="3A8EEBBE">
      <w:start w:val="1"/>
      <w:numFmt w:val="decimal"/>
      <w:pStyle w:val="IPPNormalCloseSpace"/>
      <w:lvlText w:val="%1."/>
      <w:lvlJc w:val="left"/>
      <w:pPr>
        <w:tabs>
          <w:tab w:val="num" w:pos="720"/>
        </w:tabs>
        <w:ind w:left="720" w:hanging="360"/>
      </w:pPr>
    </w:lvl>
    <w:lvl w:ilvl="1" w:tplc="62885C90" w:tentative="1">
      <w:start w:val="1"/>
      <w:numFmt w:val="lowerLetter"/>
      <w:lvlText w:val="%2."/>
      <w:lvlJc w:val="left"/>
      <w:pPr>
        <w:tabs>
          <w:tab w:val="num" w:pos="1440"/>
        </w:tabs>
        <w:ind w:left="1440" w:hanging="360"/>
      </w:pPr>
    </w:lvl>
    <w:lvl w:ilvl="2" w:tplc="78D638B6" w:tentative="1">
      <w:start w:val="1"/>
      <w:numFmt w:val="lowerRoman"/>
      <w:lvlText w:val="%3."/>
      <w:lvlJc w:val="right"/>
      <w:pPr>
        <w:tabs>
          <w:tab w:val="num" w:pos="2160"/>
        </w:tabs>
        <w:ind w:left="2160" w:hanging="180"/>
      </w:pPr>
    </w:lvl>
    <w:lvl w:ilvl="3" w:tplc="13A04FFA" w:tentative="1">
      <w:start w:val="1"/>
      <w:numFmt w:val="decimal"/>
      <w:lvlText w:val="%4."/>
      <w:lvlJc w:val="left"/>
      <w:pPr>
        <w:tabs>
          <w:tab w:val="num" w:pos="2880"/>
        </w:tabs>
        <w:ind w:left="2880" w:hanging="360"/>
      </w:pPr>
    </w:lvl>
    <w:lvl w:ilvl="4" w:tplc="88D48E46" w:tentative="1">
      <w:start w:val="1"/>
      <w:numFmt w:val="lowerLetter"/>
      <w:lvlText w:val="%5."/>
      <w:lvlJc w:val="left"/>
      <w:pPr>
        <w:tabs>
          <w:tab w:val="num" w:pos="3600"/>
        </w:tabs>
        <w:ind w:left="3600" w:hanging="360"/>
      </w:pPr>
    </w:lvl>
    <w:lvl w:ilvl="5" w:tplc="B930E5A4" w:tentative="1">
      <w:start w:val="1"/>
      <w:numFmt w:val="lowerRoman"/>
      <w:lvlText w:val="%6."/>
      <w:lvlJc w:val="right"/>
      <w:pPr>
        <w:tabs>
          <w:tab w:val="num" w:pos="4320"/>
        </w:tabs>
        <w:ind w:left="4320" w:hanging="180"/>
      </w:pPr>
    </w:lvl>
    <w:lvl w:ilvl="6" w:tplc="4120E2FE" w:tentative="1">
      <w:start w:val="1"/>
      <w:numFmt w:val="decimal"/>
      <w:lvlText w:val="%7."/>
      <w:lvlJc w:val="left"/>
      <w:pPr>
        <w:tabs>
          <w:tab w:val="num" w:pos="5040"/>
        </w:tabs>
        <w:ind w:left="5040" w:hanging="360"/>
      </w:pPr>
    </w:lvl>
    <w:lvl w:ilvl="7" w:tplc="CC009A92" w:tentative="1">
      <w:start w:val="1"/>
      <w:numFmt w:val="lowerLetter"/>
      <w:lvlText w:val="%8."/>
      <w:lvlJc w:val="left"/>
      <w:pPr>
        <w:tabs>
          <w:tab w:val="num" w:pos="5760"/>
        </w:tabs>
        <w:ind w:left="5760" w:hanging="360"/>
      </w:pPr>
    </w:lvl>
    <w:lvl w:ilvl="8" w:tplc="4642CD88" w:tentative="1">
      <w:start w:val="1"/>
      <w:numFmt w:val="lowerRoman"/>
      <w:lvlText w:val="%9."/>
      <w:lvlJc w:val="right"/>
      <w:pPr>
        <w:tabs>
          <w:tab w:val="num" w:pos="6480"/>
        </w:tabs>
        <w:ind w:left="6480" w:hanging="180"/>
      </w:pPr>
    </w:lvl>
  </w:abstractNum>
  <w:abstractNum w:abstractNumId="38">
    <w:nsid w:val="38B06FE7"/>
    <w:multiLevelType w:val="multilevel"/>
    <w:tmpl w:val="0A7A6A7E"/>
    <w:lvl w:ilvl="0">
      <w:start w:val="1"/>
      <w:numFmt w:val="decimal"/>
      <w:pStyle w:val="Alt2-LevelLegal1"/>
      <w:lvlText w:val="CHAPTER %1"/>
      <w:lvlJc w:val="left"/>
      <w:pPr>
        <w:tabs>
          <w:tab w:val="num" w:pos="1440"/>
        </w:tabs>
        <w:ind w:left="0" w:firstLine="0"/>
      </w:pPr>
      <w:rPr>
        <w:rFonts w:ascii="Times New Roman" w:hAnsi="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hint="default"/>
        <w:b/>
        <w:i w:val="0"/>
        <w:color w:val="000000"/>
        <w:sz w:val="22"/>
      </w:rPr>
    </w:lvl>
    <w:lvl w:ilvl="3">
      <w:start w:val="1"/>
      <w:numFmt w:val="lowerLetter"/>
      <w:pStyle w:val="Alt2-LevelLegal4"/>
      <w:lvlText w:val="(%4)"/>
      <w:lvlJc w:val="left"/>
      <w:pPr>
        <w:tabs>
          <w:tab w:val="num" w:pos="1440"/>
        </w:tabs>
        <w:ind w:left="1440" w:hanging="720"/>
      </w:pPr>
      <w:rPr>
        <w:rFonts w:hint="default"/>
        <w:color w:val="000000"/>
      </w:rPr>
    </w:lvl>
    <w:lvl w:ilvl="4">
      <w:start w:val="1"/>
      <w:numFmt w:val="lowerRoman"/>
      <w:pStyle w:val="Alt2-LevelLegal5"/>
      <w:lvlText w:val="(%5)"/>
      <w:lvlJc w:val="left"/>
      <w:pPr>
        <w:tabs>
          <w:tab w:val="num" w:pos="2160"/>
        </w:tabs>
        <w:ind w:left="2160" w:hanging="720"/>
      </w:pPr>
      <w:rPr>
        <w:rFonts w:hint="default"/>
        <w:color w:val="000000"/>
      </w:rPr>
    </w:lvl>
    <w:lvl w:ilvl="5">
      <w:start w:val="1"/>
      <w:numFmt w:val="decimal"/>
      <w:pStyle w:val="Alt2-LevelLegal6"/>
      <w:lvlText w:val="%6."/>
      <w:lvlJc w:val="left"/>
      <w:pPr>
        <w:tabs>
          <w:tab w:val="num" w:pos="1440"/>
        </w:tabs>
        <w:ind w:left="1440" w:hanging="720"/>
      </w:pPr>
      <w:rPr>
        <w:rFonts w:hint="default"/>
        <w:color w:val="000000"/>
      </w:rPr>
    </w:lvl>
    <w:lvl w:ilvl="6">
      <w:start w:val="1"/>
      <w:numFmt w:val="upperLetter"/>
      <w:pStyle w:val="Alt2-LevelLegal7"/>
      <w:lvlText w:val="(%7)"/>
      <w:lvlJc w:val="left"/>
      <w:pPr>
        <w:tabs>
          <w:tab w:val="num" w:pos="3600"/>
        </w:tabs>
        <w:ind w:left="3600" w:hanging="720"/>
      </w:pPr>
      <w:rPr>
        <w:rFonts w:hint="default"/>
        <w:color w:val="00000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3AC55B9C"/>
    <w:multiLevelType w:val="hybridMultilevel"/>
    <w:tmpl w:val="70BE8C52"/>
    <w:lvl w:ilvl="0" w:tplc="8D5A24AC">
      <w:start w:val="1"/>
      <w:numFmt w:val="decimal"/>
      <w:pStyle w:val="GEFChar"/>
      <w:lvlText w:val="%1."/>
      <w:lvlJc w:val="left"/>
      <w:pPr>
        <w:tabs>
          <w:tab w:val="num" w:pos="720"/>
        </w:tabs>
        <w:ind w:left="720" w:hanging="360"/>
      </w:pPr>
    </w:lvl>
    <w:lvl w:ilvl="1" w:tplc="68121BF6" w:tentative="1">
      <w:start w:val="1"/>
      <w:numFmt w:val="lowerLetter"/>
      <w:lvlText w:val="%2."/>
      <w:lvlJc w:val="left"/>
      <w:pPr>
        <w:tabs>
          <w:tab w:val="num" w:pos="1440"/>
        </w:tabs>
        <w:ind w:left="1440" w:hanging="360"/>
      </w:pPr>
    </w:lvl>
    <w:lvl w:ilvl="2" w:tplc="EC4A60C4" w:tentative="1">
      <w:start w:val="1"/>
      <w:numFmt w:val="lowerRoman"/>
      <w:lvlText w:val="%3."/>
      <w:lvlJc w:val="right"/>
      <w:pPr>
        <w:tabs>
          <w:tab w:val="num" w:pos="2160"/>
        </w:tabs>
        <w:ind w:left="2160" w:hanging="180"/>
      </w:pPr>
    </w:lvl>
    <w:lvl w:ilvl="3" w:tplc="96D4CBA0" w:tentative="1">
      <w:start w:val="1"/>
      <w:numFmt w:val="decimal"/>
      <w:lvlText w:val="%4."/>
      <w:lvlJc w:val="left"/>
      <w:pPr>
        <w:tabs>
          <w:tab w:val="num" w:pos="2880"/>
        </w:tabs>
        <w:ind w:left="2880" w:hanging="360"/>
      </w:pPr>
    </w:lvl>
    <w:lvl w:ilvl="4" w:tplc="632263AC" w:tentative="1">
      <w:start w:val="1"/>
      <w:numFmt w:val="lowerLetter"/>
      <w:lvlText w:val="%5."/>
      <w:lvlJc w:val="left"/>
      <w:pPr>
        <w:tabs>
          <w:tab w:val="num" w:pos="3600"/>
        </w:tabs>
        <w:ind w:left="3600" w:hanging="360"/>
      </w:pPr>
    </w:lvl>
    <w:lvl w:ilvl="5" w:tplc="323A3212" w:tentative="1">
      <w:start w:val="1"/>
      <w:numFmt w:val="lowerRoman"/>
      <w:lvlText w:val="%6."/>
      <w:lvlJc w:val="right"/>
      <w:pPr>
        <w:tabs>
          <w:tab w:val="num" w:pos="4320"/>
        </w:tabs>
        <w:ind w:left="4320" w:hanging="180"/>
      </w:pPr>
    </w:lvl>
    <w:lvl w:ilvl="6" w:tplc="2CE6F4E6" w:tentative="1">
      <w:start w:val="1"/>
      <w:numFmt w:val="decimal"/>
      <w:lvlText w:val="%7."/>
      <w:lvlJc w:val="left"/>
      <w:pPr>
        <w:tabs>
          <w:tab w:val="num" w:pos="5040"/>
        </w:tabs>
        <w:ind w:left="5040" w:hanging="360"/>
      </w:pPr>
    </w:lvl>
    <w:lvl w:ilvl="7" w:tplc="A6082C4C" w:tentative="1">
      <w:start w:val="1"/>
      <w:numFmt w:val="lowerLetter"/>
      <w:lvlText w:val="%8."/>
      <w:lvlJc w:val="left"/>
      <w:pPr>
        <w:tabs>
          <w:tab w:val="num" w:pos="5760"/>
        </w:tabs>
        <w:ind w:left="5760" w:hanging="360"/>
      </w:pPr>
    </w:lvl>
    <w:lvl w:ilvl="8" w:tplc="A6FCAFB6" w:tentative="1">
      <w:start w:val="1"/>
      <w:numFmt w:val="lowerRoman"/>
      <w:lvlText w:val="%9."/>
      <w:lvlJc w:val="right"/>
      <w:pPr>
        <w:tabs>
          <w:tab w:val="num" w:pos="6480"/>
        </w:tabs>
        <w:ind w:left="6480" w:hanging="180"/>
      </w:pPr>
    </w:lvl>
  </w:abstractNum>
  <w:abstractNum w:abstractNumId="40">
    <w:nsid w:val="3EE50D9B"/>
    <w:multiLevelType w:val="multilevel"/>
    <w:tmpl w:val="3D020526"/>
    <w:lvl w:ilvl="0">
      <w:start w:val="8"/>
      <w:numFmt w:val="decimal"/>
      <w:lvlText w:val="%1."/>
      <w:lvlJc w:val="left"/>
      <w:pPr>
        <w:ind w:left="380" w:hanging="380"/>
      </w:pPr>
      <w:rPr>
        <w:rFonts w:ascii="Calibri" w:hAnsi="Calibri" w:hint="default"/>
        <w:color w:val="000000"/>
      </w:rPr>
    </w:lvl>
    <w:lvl w:ilvl="1">
      <w:start w:val="3"/>
      <w:numFmt w:val="decimal"/>
      <w:lvlText w:val="%1.%2."/>
      <w:lvlJc w:val="left"/>
      <w:pPr>
        <w:ind w:left="740" w:hanging="380"/>
      </w:pPr>
      <w:rPr>
        <w:rFonts w:ascii="Calibri" w:hAnsi="Calibri" w:hint="default"/>
        <w:color w:val="000000"/>
      </w:rPr>
    </w:lvl>
    <w:lvl w:ilvl="2">
      <w:start w:val="1"/>
      <w:numFmt w:val="decimal"/>
      <w:lvlText w:val="%1.%2.%3."/>
      <w:lvlJc w:val="left"/>
      <w:pPr>
        <w:ind w:left="1440" w:hanging="720"/>
      </w:pPr>
      <w:rPr>
        <w:rFonts w:ascii="Calibri" w:hAnsi="Calibri" w:hint="default"/>
        <w:color w:val="000000"/>
      </w:rPr>
    </w:lvl>
    <w:lvl w:ilvl="3">
      <w:start w:val="1"/>
      <w:numFmt w:val="decimal"/>
      <w:lvlText w:val="%1.%2.%3.%4."/>
      <w:lvlJc w:val="left"/>
      <w:pPr>
        <w:ind w:left="1800" w:hanging="720"/>
      </w:pPr>
      <w:rPr>
        <w:rFonts w:ascii="Calibri" w:hAnsi="Calibri" w:hint="default"/>
        <w:color w:val="000000"/>
      </w:rPr>
    </w:lvl>
    <w:lvl w:ilvl="4">
      <w:start w:val="1"/>
      <w:numFmt w:val="decimal"/>
      <w:lvlText w:val="%1.%2.%3.%4.%5."/>
      <w:lvlJc w:val="left"/>
      <w:pPr>
        <w:ind w:left="2520" w:hanging="1080"/>
      </w:pPr>
      <w:rPr>
        <w:rFonts w:ascii="Calibri" w:hAnsi="Calibri" w:hint="default"/>
        <w:color w:val="000000"/>
      </w:rPr>
    </w:lvl>
    <w:lvl w:ilvl="5">
      <w:start w:val="1"/>
      <w:numFmt w:val="decimal"/>
      <w:lvlText w:val="%1.%2.%3.%4.%5.%6."/>
      <w:lvlJc w:val="left"/>
      <w:pPr>
        <w:ind w:left="2880" w:hanging="1080"/>
      </w:pPr>
      <w:rPr>
        <w:rFonts w:ascii="Calibri" w:hAnsi="Calibri" w:hint="default"/>
        <w:color w:val="000000"/>
      </w:rPr>
    </w:lvl>
    <w:lvl w:ilvl="6">
      <w:start w:val="1"/>
      <w:numFmt w:val="decimal"/>
      <w:lvlText w:val="%1.%2.%3.%4.%5.%6.%7."/>
      <w:lvlJc w:val="left"/>
      <w:pPr>
        <w:ind w:left="3600" w:hanging="1440"/>
      </w:pPr>
      <w:rPr>
        <w:rFonts w:ascii="Calibri" w:hAnsi="Calibri" w:hint="default"/>
        <w:color w:val="000000"/>
      </w:rPr>
    </w:lvl>
    <w:lvl w:ilvl="7">
      <w:start w:val="1"/>
      <w:numFmt w:val="decimal"/>
      <w:lvlText w:val="%1.%2.%3.%4.%5.%6.%7.%8."/>
      <w:lvlJc w:val="left"/>
      <w:pPr>
        <w:ind w:left="3960" w:hanging="1440"/>
      </w:pPr>
      <w:rPr>
        <w:rFonts w:ascii="Calibri" w:hAnsi="Calibri" w:hint="default"/>
        <w:color w:val="000000"/>
      </w:rPr>
    </w:lvl>
    <w:lvl w:ilvl="8">
      <w:start w:val="1"/>
      <w:numFmt w:val="decimal"/>
      <w:lvlText w:val="%1.%2.%3.%4.%5.%6.%7.%8.%9."/>
      <w:lvlJc w:val="left"/>
      <w:pPr>
        <w:ind w:left="4680" w:hanging="1800"/>
      </w:pPr>
      <w:rPr>
        <w:rFonts w:ascii="Calibri" w:hAnsi="Calibri" w:hint="default"/>
        <w:color w:val="000000"/>
      </w:rPr>
    </w:lvl>
  </w:abstractNum>
  <w:abstractNum w:abstractNumId="41">
    <w:nsid w:val="3F821D89"/>
    <w:multiLevelType w:val="hybridMultilevel"/>
    <w:tmpl w:val="4296CB94"/>
    <w:name w:val="AltLvl2ListTemplate"/>
    <w:lvl w:ilvl="0" w:tplc="5C3E2BBE">
      <w:start w:val="1"/>
      <w:numFmt w:val="bullet"/>
      <w:pStyle w:val="ListParagraph1"/>
      <w:lvlText w:val=""/>
      <w:lvlJc w:val="left"/>
      <w:pPr>
        <w:ind w:left="720" w:hanging="360"/>
      </w:pPr>
      <w:rPr>
        <w:rFonts w:ascii="Symbol" w:hAnsi="Symbol" w:hint="default"/>
      </w:rPr>
    </w:lvl>
    <w:lvl w:ilvl="1" w:tplc="78363A18" w:tentative="1">
      <w:start w:val="1"/>
      <w:numFmt w:val="bullet"/>
      <w:lvlText w:val="o"/>
      <w:lvlJc w:val="left"/>
      <w:pPr>
        <w:ind w:left="1440" w:hanging="360"/>
      </w:pPr>
      <w:rPr>
        <w:rFonts w:ascii="Courier New" w:hAnsi="Courier New" w:hint="default"/>
      </w:rPr>
    </w:lvl>
    <w:lvl w:ilvl="2" w:tplc="39468530" w:tentative="1">
      <w:start w:val="1"/>
      <w:numFmt w:val="bullet"/>
      <w:lvlText w:val=""/>
      <w:lvlJc w:val="left"/>
      <w:pPr>
        <w:ind w:left="2160" w:hanging="360"/>
      </w:pPr>
      <w:rPr>
        <w:rFonts w:ascii="Wingdings" w:hAnsi="Wingdings" w:hint="default"/>
      </w:rPr>
    </w:lvl>
    <w:lvl w:ilvl="3" w:tplc="21F639EE" w:tentative="1">
      <w:start w:val="1"/>
      <w:numFmt w:val="bullet"/>
      <w:lvlText w:val=""/>
      <w:lvlJc w:val="left"/>
      <w:pPr>
        <w:ind w:left="2880" w:hanging="360"/>
      </w:pPr>
      <w:rPr>
        <w:rFonts w:ascii="Symbol" w:hAnsi="Symbol" w:hint="default"/>
      </w:rPr>
    </w:lvl>
    <w:lvl w:ilvl="4" w:tplc="E04E98DA" w:tentative="1">
      <w:start w:val="1"/>
      <w:numFmt w:val="bullet"/>
      <w:lvlText w:val="o"/>
      <w:lvlJc w:val="left"/>
      <w:pPr>
        <w:ind w:left="3600" w:hanging="360"/>
      </w:pPr>
      <w:rPr>
        <w:rFonts w:ascii="Courier New" w:hAnsi="Courier New" w:hint="default"/>
      </w:rPr>
    </w:lvl>
    <w:lvl w:ilvl="5" w:tplc="55A61C4C" w:tentative="1">
      <w:start w:val="1"/>
      <w:numFmt w:val="bullet"/>
      <w:lvlText w:val=""/>
      <w:lvlJc w:val="left"/>
      <w:pPr>
        <w:ind w:left="4320" w:hanging="360"/>
      </w:pPr>
      <w:rPr>
        <w:rFonts w:ascii="Wingdings" w:hAnsi="Wingdings" w:hint="default"/>
      </w:rPr>
    </w:lvl>
    <w:lvl w:ilvl="6" w:tplc="FCE0A7A0" w:tentative="1">
      <w:start w:val="1"/>
      <w:numFmt w:val="bullet"/>
      <w:lvlText w:val=""/>
      <w:lvlJc w:val="left"/>
      <w:pPr>
        <w:ind w:left="5040" w:hanging="360"/>
      </w:pPr>
      <w:rPr>
        <w:rFonts w:ascii="Symbol" w:hAnsi="Symbol" w:hint="default"/>
      </w:rPr>
    </w:lvl>
    <w:lvl w:ilvl="7" w:tplc="4BC2D52A" w:tentative="1">
      <w:start w:val="1"/>
      <w:numFmt w:val="bullet"/>
      <w:lvlText w:val="o"/>
      <w:lvlJc w:val="left"/>
      <w:pPr>
        <w:ind w:left="5760" w:hanging="360"/>
      </w:pPr>
      <w:rPr>
        <w:rFonts w:ascii="Courier New" w:hAnsi="Courier New" w:hint="default"/>
      </w:rPr>
    </w:lvl>
    <w:lvl w:ilvl="8" w:tplc="391EB116" w:tentative="1">
      <w:start w:val="1"/>
      <w:numFmt w:val="bullet"/>
      <w:lvlText w:val=""/>
      <w:lvlJc w:val="left"/>
      <w:pPr>
        <w:ind w:left="6480" w:hanging="360"/>
      </w:pPr>
      <w:rPr>
        <w:rFonts w:ascii="Wingdings" w:hAnsi="Wingdings" w:hint="default"/>
      </w:rPr>
    </w:lvl>
  </w:abstractNum>
  <w:abstractNum w:abstractNumId="42">
    <w:nsid w:val="41330EAC"/>
    <w:multiLevelType w:val="multilevel"/>
    <w:tmpl w:val="0A92EF3C"/>
    <w:lvl w:ilvl="0">
      <w:start w:val="1"/>
      <w:numFmt w:val="bullet"/>
      <w:pStyle w:val="AR4Listbullet1"/>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45D94F28"/>
    <w:multiLevelType w:val="hybridMultilevel"/>
    <w:tmpl w:val="095A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BB4A29"/>
    <w:multiLevelType w:val="multilevel"/>
    <w:tmpl w:val="ACACE83C"/>
    <w:lvl w:ilvl="0">
      <w:start w:val="8"/>
      <w:numFmt w:val="decimal"/>
      <w:lvlText w:val="%1"/>
      <w:lvlJc w:val="left"/>
      <w:pPr>
        <w:ind w:left="660" w:hanging="660"/>
      </w:pPr>
      <w:rPr>
        <w:rFonts w:hint="default"/>
        <w:i w:val="0"/>
      </w:rPr>
    </w:lvl>
    <w:lvl w:ilvl="1">
      <w:start w:val="3"/>
      <w:numFmt w:val="decimal"/>
      <w:lvlText w:val="%1.%2"/>
      <w:lvlJc w:val="left"/>
      <w:pPr>
        <w:ind w:left="1140" w:hanging="660"/>
      </w:pPr>
      <w:rPr>
        <w:rFonts w:hint="default"/>
        <w:i w:val="0"/>
      </w:rPr>
    </w:lvl>
    <w:lvl w:ilvl="2">
      <w:start w:val="3"/>
      <w:numFmt w:val="decimal"/>
      <w:lvlText w:val="%1.%2.%3"/>
      <w:lvlJc w:val="left"/>
      <w:pPr>
        <w:ind w:left="1680" w:hanging="720"/>
      </w:pPr>
      <w:rPr>
        <w:rFonts w:hint="default"/>
        <w:i w:val="0"/>
      </w:rPr>
    </w:lvl>
    <w:lvl w:ilvl="3">
      <w:start w:val="1"/>
      <w:numFmt w:val="decimal"/>
      <w:pStyle w:val="Heading4"/>
      <w:lvlText w:val="%1.%2.%3.%4"/>
      <w:lvlJc w:val="left"/>
      <w:pPr>
        <w:ind w:left="2160" w:hanging="720"/>
      </w:pPr>
      <w:rPr>
        <w:rFonts w:hint="default"/>
        <w:i w:val="0"/>
      </w:rPr>
    </w:lvl>
    <w:lvl w:ilvl="4">
      <w:start w:val="1"/>
      <w:numFmt w:val="decimal"/>
      <w:lvlText w:val="%1.%2.%3.%4.%5"/>
      <w:lvlJc w:val="left"/>
      <w:pPr>
        <w:ind w:left="3000" w:hanging="1080"/>
      </w:pPr>
      <w:rPr>
        <w:rFonts w:hint="default"/>
        <w:i w:val="0"/>
      </w:rPr>
    </w:lvl>
    <w:lvl w:ilvl="5">
      <w:start w:val="1"/>
      <w:numFmt w:val="decimal"/>
      <w:lvlText w:val="%1.%2.%3.%4.%5.%6"/>
      <w:lvlJc w:val="left"/>
      <w:pPr>
        <w:ind w:left="3480" w:hanging="1080"/>
      </w:pPr>
      <w:rPr>
        <w:rFonts w:hint="default"/>
        <w:i w:val="0"/>
      </w:rPr>
    </w:lvl>
    <w:lvl w:ilvl="6">
      <w:start w:val="1"/>
      <w:numFmt w:val="decimal"/>
      <w:lvlText w:val="%1.%2.%3.%4.%5.%6.%7"/>
      <w:lvlJc w:val="left"/>
      <w:pPr>
        <w:ind w:left="4320" w:hanging="1440"/>
      </w:pPr>
      <w:rPr>
        <w:rFonts w:hint="default"/>
        <w:i w:val="0"/>
      </w:rPr>
    </w:lvl>
    <w:lvl w:ilvl="7">
      <w:start w:val="1"/>
      <w:numFmt w:val="decimal"/>
      <w:lvlText w:val="%1.%2.%3.%4.%5.%6.%7.%8"/>
      <w:lvlJc w:val="left"/>
      <w:pPr>
        <w:ind w:left="4800" w:hanging="1440"/>
      </w:pPr>
      <w:rPr>
        <w:rFonts w:hint="default"/>
        <w:i w:val="0"/>
      </w:rPr>
    </w:lvl>
    <w:lvl w:ilvl="8">
      <w:start w:val="1"/>
      <w:numFmt w:val="decimal"/>
      <w:lvlText w:val="%1.%2.%3.%4.%5.%6.%7.%8.%9"/>
      <w:lvlJc w:val="left"/>
      <w:pPr>
        <w:ind w:left="5640" w:hanging="1800"/>
      </w:pPr>
      <w:rPr>
        <w:rFonts w:hint="default"/>
        <w:i w:val="0"/>
      </w:rPr>
    </w:lvl>
  </w:abstractNum>
  <w:abstractNum w:abstractNumId="45">
    <w:nsid w:val="46E50A78"/>
    <w:multiLevelType w:val="hybridMultilevel"/>
    <w:tmpl w:val="B4B07384"/>
    <w:lvl w:ilvl="0" w:tplc="510A4844">
      <w:start w:val="1"/>
      <w:numFmt w:val="bullet"/>
      <w:pStyle w:val="CM3"/>
      <w:lvlText w:val=""/>
      <w:lvlJc w:val="left"/>
      <w:pPr>
        <w:tabs>
          <w:tab w:val="num" w:pos="720"/>
        </w:tabs>
        <w:ind w:left="720" w:hanging="360"/>
      </w:pPr>
      <w:rPr>
        <w:rFonts w:ascii="Symbol" w:hAnsi="Symbol" w:hint="default"/>
      </w:rPr>
    </w:lvl>
    <w:lvl w:ilvl="1" w:tplc="ADB0C450" w:tentative="1">
      <w:start w:val="1"/>
      <w:numFmt w:val="bullet"/>
      <w:lvlText w:val="o"/>
      <w:lvlJc w:val="left"/>
      <w:pPr>
        <w:tabs>
          <w:tab w:val="num" w:pos="1440"/>
        </w:tabs>
        <w:ind w:left="1440" w:hanging="360"/>
      </w:pPr>
      <w:rPr>
        <w:rFonts w:ascii="Courier New" w:hAnsi="Courier New" w:cs="Consolas" w:hint="default"/>
      </w:rPr>
    </w:lvl>
    <w:lvl w:ilvl="2" w:tplc="A738BCF6" w:tentative="1">
      <w:start w:val="1"/>
      <w:numFmt w:val="bullet"/>
      <w:lvlText w:val=""/>
      <w:lvlJc w:val="left"/>
      <w:pPr>
        <w:tabs>
          <w:tab w:val="num" w:pos="2160"/>
        </w:tabs>
        <w:ind w:left="2160" w:hanging="360"/>
      </w:pPr>
      <w:rPr>
        <w:rFonts w:ascii="Wingdings" w:hAnsi="Wingdings" w:hint="default"/>
      </w:rPr>
    </w:lvl>
    <w:lvl w:ilvl="3" w:tplc="BE7C49E6" w:tentative="1">
      <w:start w:val="1"/>
      <w:numFmt w:val="bullet"/>
      <w:lvlText w:val=""/>
      <w:lvlJc w:val="left"/>
      <w:pPr>
        <w:tabs>
          <w:tab w:val="num" w:pos="2880"/>
        </w:tabs>
        <w:ind w:left="2880" w:hanging="360"/>
      </w:pPr>
      <w:rPr>
        <w:rFonts w:ascii="Symbol" w:hAnsi="Symbol" w:hint="default"/>
      </w:rPr>
    </w:lvl>
    <w:lvl w:ilvl="4" w:tplc="73342BE4" w:tentative="1">
      <w:start w:val="1"/>
      <w:numFmt w:val="bullet"/>
      <w:lvlText w:val="o"/>
      <w:lvlJc w:val="left"/>
      <w:pPr>
        <w:tabs>
          <w:tab w:val="num" w:pos="3600"/>
        </w:tabs>
        <w:ind w:left="3600" w:hanging="360"/>
      </w:pPr>
      <w:rPr>
        <w:rFonts w:ascii="Courier New" w:hAnsi="Courier New" w:cs="Consolas" w:hint="default"/>
      </w:rPr>
    </w:lvl>
    <w:lvl w:ilvl="5" w:tplc="21DC4B6E" w:tentative="1">
      <w:start w:val="1"/>
      <w:numFmt w:val="bullet"/>
      <w:lvlText w:val=""/>
      <w:lvlJc w:val="left"/>
      <w:pPr>
        <w:tabs>
          <w:tab w:val="num" w:pos="4320"/>
        </w:tabs>
        <w:ind w:left="4320" w:hanging="360"/>
      </w:pPr>
      <w:rPr>
        <w:rFonts w:ascii="Wingdings" w:hAnsi="Wingdings" w:hint="default"/>
      </w:rPr>
    </w:lvl>
    <w:lvl w:ilvl="6" w:tplc="350C58EE" w:tentative="1">
      <w:start w:val="1"/>
      <w:numFmt w:val="bullet"/>
      <w:lvlText w:val=""/>
      <w:lvlJc w:val="left"/>
      <w:pPr>
        <w:tabs>
          <w:tab w:val="num" w:pos="5040"/>
        </w:tabs>
        <w:ind w:left="5040" w:hanging="360"/>
      </w:pPr>
      <w:rPr>
        <w:rFonts w:ascii="Symbol" w:hAnsi="Symbol" w:hint="default"/>
      </w:rPr>
    </w:lvl>
    <w:lvl w:ilvl="7" w:tplc="39E203C6" w:tentative="1">
      <w:start w:val="1"/>
      <w:numFmt w:val="bullet"/>
      <w:lvlText w:val="o"/>
      <w:lvlJc w:val="left"/>
      <w:pPr>
        <w:tabs>
          <w:tab w:val="num" w:pos="5760"/>
        </w:tabs>
        <w:ind w:left="5760" w:hanging="360"/>
      </w:pPr>
      <w:rPr>
        <w:rFonts w:ascii="Courier New" w:hAnsi="Courier New" w:cs="Consolas" w:hint="default"/>
      </w:rPr>
    </w:lvl>
    <w:lvl w:ilvl="8" w:tplc="FE84D040" w:tentative="1">
      <w:start w:val="1"/>
      <w:numFmt w:val="bullet"/>
      <w:lvlText w:val=""/>
      <w:lvlJc w:val="left"/>
      <w:pPr>
        <w:tabs>
          <w:tab w:val="num" w:pos="6480"/>
        </w:tabs>
        <w:ind w:left="6480" w:hanging="360"/>
      </w:pPr>
      <w:rPr>
        <w:rFonts w:ascii="Wingdings" w:hAnsi="Wingdings" w:hint="default"/>
      </w:rPr>
    </w:lvl>
  </w:abstractNum>
  <w:abstractNum w:abstractNumId="46">
    <w:nsid w:val="47E60AE5"/>
    <w:multiLevelType w:val="hybridMultilevel"/>
    <w:tmpl w:val="6EF2AE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4B1E7BCB"/>
    <w:multiLevelType w:val="hybridMultilevel"/>
    <w:tmpl w:val="2ECCB4D8"/>
    <w:lvl w:ilvl="0" w:tplc="933AA438">
      <w:start w:val="1"/>
      <w:numFmt w:val="bullet"/>
      <w:pStyle w:val="DashListLev3"/>
      <w:lvlText w:val="-"/>
      <w:lvlJc w:val="left"/>
      <w:pPr>
        <w:tabs>
          <w:tab w:val="num" w:pos="1080"/>
        </w:tabs>
        <w:ind w:left="1080" w:hanging="360"/>
      </w:pPr>
      <w:rPr>
        <w:rFonts w:ascii="Times New Roman" w:eastAsia="Times New Roman" w:hAnsi="Times New Roman" w:cs="Times New Roman" w:hint="default"/>
      </w:rPr>
    </w:lvl>
    <w:lvl w:ilvl="1" w:tplc="A19669D6" w:tentative="1">
      <w:start w:val="1"/>
      <w:numFmt w:val="bullet"/>
      <w:lvlText w:val="o"/>
      <w:lvlJc w:val="left"/>
      <w:pPr>
        <w:tabs>
          <w:tab w:val="num" w:pos="1800"/>
        </w:tabs>
        <w:ind w:left="1800" w:hanging="360"/>
      </w:pPr>
      <w:rPr>
        <w:rFonts w:ascii="Courier New" w:hAnsi="Courier New" w:cs="Arial" w:hint="default"/>
      </w:rPr>
    </w:lvl>
    <w:lvl w:ilvl="2" w:tplc="962A583A" w:tentative="1">
      <w:start w:val="1"/>
      <w:numFmt w:val="bullet"/>
      <w:lvlText w:val=""/>
      <w:lvlJc w:val="left"/>
      <w:pPr>
        <w:tabs>
          <w:tab w:val="num" w:pos="2520"/>
        </w:tabs>
        <w:ind w:left="2520" w:hanging="360"/>
      </w:pPr>
      <w:rPr>
        <w:rFonts w:ascii="Wingdings" w:hAnsi="Wingdings" w:hint="default"/>
      </w:rPr>
    </w:lvl>
    <w:lvl w:ilvl="3" w:tplc="0B3EBCF8" w:tentative="1">
      <w:start w:val="1"/>
      <w:numFmt w:val="bullet"/>
      <w:lvlText w:val=""/>
      <w:lvlJc w:val="left"/>
      <w:pPr>
        <w:tabs>
          <w:tab w:val="num" w:pos="3240"/>
        </w:tabs>
        <w:ind w:left="3240" w:hanging="360"/>
      </w:pPr>
      <w:rPr>
        <w:rFonts w:ascii="Symbol" w:hAnsi="Symbol" w:hint="default"/>
      </w:rPr>
    </w:lvl>
    <w:lvl w:ilvl="4" w:tplc="1714CF22" w:tentative="1">
      <w:start w:val="1"/>
      <w:numFmt w:val="bullet"/>
      <w:lvlText w:val="o"/>
      <w:lvlJc w:val="left"/>
      <w:pPr>
        <w:tabs>
          <w:tab w:val="num" w:pos="3960"/>
        </w:tabs>
        <w:ind w:left="3960" w:hanging="360"/>
      </w:pPr>
      <w:rPr>
        <w:rFonts w:ascii="Courier New" w:hAnsi="Courier New" w:cs="Arial" w:hint="default"/>
      </w:rPr>
    </w:lvl>
    <w:lvl w:ilvl="5" w:tplc="D6864FF4" w:tentative="1">
      <w:start w:val="1"/>
      <w:numFmt w:val="bullet"/>
      <w:lvlText w:val=""/>
      <w:lvlJc w:val="left"/>
      <w:pPr>
        <w:tabs>
          <w:tab w:val="num" w:pos="4680"/>
        </w:tabs>
        <w:ind w:left="4680" w:hanging="360"/>
      </w:pPr>
      <w:rPr>
        <w:rFonts w:ascii="Wingdings" w:hAnsi="Wingdings" w:hint="default"/>
      </w:rPr>
    </w:lvl>
    <w:lvl w:ilvl="6" w:tplc="AB82342E" w:tentative="1">
      <w:start w:val="1"/>
      <w:numFmt w:val="bullet"/>
      <w:lvlText w:val=""/>
      <w:lvlJc w:val="left"/>
      <w:pPr>
        <w:tabs>
          <w:tab w:val="num" w:pos="5400"/>
        </w:tabs>
        <w:ind w:left="5400" w:hanging="360"/>
      </w:pPr>
      <w:rPr>
        <w:rFonts w:ascii="Symbol" w:hAnsi="Symbol" w:hint="default"/>
      </w:rPr>
    </w:lvl>
    <w:lvl w:ilvl="7" w:tplc="14067868" w:tentative="1">
      <w:start w:val="1"/>
      <w:numFmt w:val="bullet"/>
      <w:lvlText w:val="o"/>
      <w:lvlJc w:val="left"/>
      <w:pPr>
        <w:tabs>
          <w:tab w:val="num" w:pos="6120"/>
        </w:tabs>
        <w:ind w:left="6120" w:hanging="360"/>
      </w:pPr>
      <w:rPr>
        <w:rFonts w:ascii="Courier New" w:hAnsi="Courier New" w:cs="Arial" w:hint="default"/>
      </w:rPr>
    </w:lvl>
    <w:lvl w:ilvl="8" w:tplc="C338E22E" w:tentative="1">
      <w:start w:val="1"/>
      <w:numFmt w:val="bullet"/>
      <w:lvlText w:val=""/>
      <w:lvlJc w:val="left"/>
      <w:pPr>
        <w:tabs>
          <w:tab w:val="num" w:pos="6840"/>
        </w:tabs>
        <w:ind w:left="6840" w:hanging="360"/>
      </w:pPr>
      <w:rPr>
        <w:rFonts w:ascii="Wingdings" w:hAnsi="Wingdings" w:hint="default"/>
      </w:rPr>
    </w:lvl>
  </w:abstractNum>
  <w:abstractNum w:abstractNumId="48">
    <w:nsid w:val="4E166811"/>
    <w:multiLevelType w:val="hybridMultilevel"/>
    <w:tmpl w:val="78E4687C"/>
    <w:lvl w:ilvl="0" w:tplc="2A2A1BC6">
      <w:start w:val="2"/>
      <w:numFmt w:val="lowerLetter"/>
      <w:pStyle w:val="IPPAnnexHeadAppendix"/>
      <w:lvlText w:val="(%1)"/>
      <w:lvlJc w:val="left"/>
      <w:pPr>
        <w:tabs>
          <w:tab w:val="num" w:pos="1080"/>
        </w:tabs>
        <w:ind w:left="1080" w:hanging="720"/>
      </w:pPr>
      <w:rPr>
        <w:rFonts w:hint="default"/>
      </w:rPr>
    </w:lvl>
    <w:lvl w:ilvl="1" w:tplc="BEBCB278" w:tentative="1">
      <w:start w:val="1"/>
      <w:numFmt w:val="lowerLetter"/>
      <w:lvlText w:val="%2."/>
      <w:lvlJc w:val="left"/>
      <w:pPr>
        <w:tabs>
          <w:tab w:val="num" w:pos="1440"/>
        </w:tabs>
        <w:ind w:left="1440" w:hanging="360"/>
      </w:pPr>
    </w:lvl>
    <w:lvl w:ilvl="2" w:tplc="22B83E10" w:tentative="1">
      <w:start w:val="1"/>
      <w:numFmt w:val="lowerRoman"/>
      <w:lvlText w:val="%3."/>
      <w:lvlJc w:val="right"/>
      <w:pPr>
        <w:tabs>
          <w:tab w:val="num" w:pos="2160"/>
        </w:tabs>
        <w:ind w:left="2160" w:hanging="180"/>
      </w:pPr>
    </w:lvl>
    <w:lvl w:ilvl="3" w:tplc="76A2A9C2" w:tentative="1">
      <w:start w:val="1"/>
      <w:numFmt w:val="decimal"/>
      <w:lvlText w:val="%4."/>
      <w:lvlJc w:val="left"/>
      <w:pPr>
        <w:tabs>
          <w:tab w:val="num" w:pos="2880"/>
        </w:tabs>
        <w:ind w:left="2880" w:hanging="360"/>
      </w:pPr>
    </w:lvl>
    <w:lvl w:ilvl="4" w:tplc="FBF6C78C" w:tentative="1">
      <w:start w:val="1"/>
      <w:numFmt w:val="lowerLetter"/>
      <w:lvlText w:val="%5."/>
      <w:lvlJc w:val="left"/>
      <w:pPr>
        <w:tabs>
          <w:tab w:val="num" w:pos="3600"/>
        </w:tabs>
        <w:ind w:left="3600" w:hanging="360"/>
      </w:pPr>
    </w:lvl>
    <w:lvl w:ilvl="5" w:tplc="E23A710C" w:tentative="1">
      <w:start w:val="1"/>
      <w:numFmt w:val="lowerRoman"/>
      <w:lvlText w:val="%6."/>
      <w:lvlJc w:val="right"/>
      <w:pPr>
        <w:tabs>
          <w:tab w:val="num" w:pos="4320"/>
        </w:tabs>
        <w:ind w:left="4320" w:hanging="180"/>
      </w:pPr>
    </w:lvl>
    <w:lvl w:ilvl="6" w:tplc="615A0DEC" w:tentative="1">
      <w:start w:val="1"/>
      <w:numFmt w:val="decimal"/>
      <w:lvlText w:val="%7."/>
      <w:lvlJc w:val="left"/>
      <w:pPr>
        <w:tabs>
          <w:tab w:val="num" w:pos="5040"/>
        </w:tabs>
        <w:ind w:left="5040" w:hanging="360"/>
      </w:pPr>
    </w:lvl>
    <w:lvl w:ilvl="7" w:tplc="9D8ED22C" w:tentative="1">
      <w:start w:val="1"/>
      <w:numFmt w:val="lowerLetter"/>
      <w:lvlText w:val="%8."/>
      <w:lvlJc w:val="left"/>
      <w:pPr>
        <w:tabs>
          <w:tab w:val="num" w:pos="5760"/>
        </w:tabs>
        <w:ind w:left="5760" w:hanging="360"/>
      </w:pPr>
    </w:lvl>
    <w:lvl w:ilvl="8" w:tplc="990C0C12" w:tentative="1">
      <w:start w:val="1"/>
      <w:numFmt w:val="lowerRoman"/>
      <w:lvlText w:val="%9."/>
      <w:lvlJc w:val="right"/>
      <w:pPr>
        <w:tabs>
          <w:tab w:val="num" w:pos="6480"/>
        </w:tabs>
        <w:ind w:left="6480" w:hanging="180"/>
      </w:pPr>
    </w:lvl>
  </w:abstractNum>
  <w:abstractNum w:abstractNumId="49">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50">
    <w:nsid w:val="4FC172A3"/>
    <w:multiLevelType w:val="hybridMultilevel"/>
    <w:tmpl w:val="5CA81E9E"/>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1">
    <w:nsid w:val="51F3281C"/>
    <w:multiLevelType w:val="multilevel"/>
    <w:tmpl w:val="CFFC9744"/>
    <w:lvl w:ilvl="0">
      <w:start w:val="1"/>
      <w:numFmt w:val="decimal"/>
      <w:pStyle w:val="CM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6D9100B"/>
    <w:multiLevelType w:val="multilevel"/>
    <w:tmpl w:val="7834EB9A"/>
    <w:lvl w:ilvl="0">
      <w:start w:val="1"/>
      <w:numFmt w:val="lowerLetter"/>
      <w:pStyle w:val="CH4"/>
      <w:lvlText w:val="(%1)"/>
      <w:lvlJc w:val="left"/>
      <w:pPr>
        <w:tabs>
          <w:tab w:val="num" w:pos="0"/>
        </w:tabs>
        <w:ind w:left="578" w:firstLine="0"/>
      </w:pPr>
      <w:rPr>
        <w:rFonts w:ascii="Times New Roman" w:hAnsi="Times New Roman"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576466B0"/>
    <w:multiLevelType w:val="singleLevel"/>
    <w:tmpl w:val="04090001"/>
    <w:lvl w:ilvl="0">
      <w:start w:val="1"/>
      <w:numFmt w:val="bullet"/>
      <w:pStyle w:val="Smallbullet"/>
      <w:lvlText w:val=""/>
      <w:lvlJc w:val="left"/>
      <w:pPr>
        <w:tabs>
          <w:tab w:val="num" w:pos="360"/>
        </w:tabs>
        <w:ind w:left="360" w:hanging="360"/>
      </w:pPr>
      <w:rPr>
        <w:rFonts w:ascii="Symbol" w:hAnsi="Symbol" w:hint="default"/>
      </w:rPr>
    </w:lvl>
  </w:abstractNum>
  <w:abstractNum w:abstractNumId="54">
    <w:nsid w:val="58C5440B"/>
    <w:multiLevelType w:val="hybridMultilevel"/>
    <w:tmpl w:val="1B42352C"/>
    <w:lvl w:ilvl="0" w:tplc="18CA3E2A">
      <w:start w:val="1"/>
      <w:numFmt w:val="lowerRoman"/>
      <w:pStyle w:val="IPPLetterList"/>
      <w:lvlText w:val="%1."/>
      <w:lvlJc w:val="right"/>
      <w:pPr>
        <w:tabs>
          <w:tab w:val="num" w:pos="120"/>
        </w:tabs>
        <w:ind w:left="120" w:hanging="180"/>
      </w:pPr>
      <w:rPr>
        <w:rFonts w:hint="default"/>
      </w:rPr>
    </w:lvl>
    <w:lvl w:ilvl="1" w:tplc="330E0B74" w:tentative="1">
      <w:start w:val="1"/>
      <w:numFmt w:val="lowerLetter"/>
      <w:lvlText w:val="%2."/>
      <w:lvlJc w:val="left"/>
      <w:pPr>
        <w:tabs>
          <w:tab w:val="num" w:pos="840"/>
        </w:tabs>
        <w:ind w:left="840" w:hanging="360"/>
      </w:pPr>
    </w:lvl>
    <w:lvl w:ilvl="2" w:tplc="9AE834D4" w:tentative="1">
      <w:start w:val="1"/>
      <w:numFmt w:val="lowerRoman"/>
      <w:lvlText w:val="%3."/>
      <w:lvlJc w:val="right"/>
      <w:pPr>
        <w:tabs>
          <w:tab w:val="num" w:pos="1560"/>
        </w:tabs>
        <w:ind w:left="1560" w:hanging="180"/>
      </w:pPr>
    </w:lvl>
    <w:lvl w:ilvl="3" w:tplc="FB3608D2" w:tentative="1">
      <w:start w:val="1"/>
      <w:numFmt w:val="decimal"/>
      <w:lvlText w:val="%4."/>
      <w:lvlJc w:val="left"/>
      <w:pPr>
        <w:tabs>
          <w:tab w:val="num" w:pos="2280"/>
        </w:tabs>
        <w:ind w:left="2280" w:hanging="360"/>
      </w:pPr>
    </w:lvl>
    <w:lvl w:ilvl="4" w:tplc="B59CC228" w:tentative="1">
      <w:start w:val="1"/>
      <w:numFmt w:val="lowerLetter"/>
      <w:lvlText w:val="%5."/>
      <w:lvlJc w:val="left"/>
      <w:pPr>
        <w:tabs>
          <w:tab w:val="num" w:pos="3000"/>
        </w:tabs>
        <w:ind w:left="3000" w:hanging="360"/>
      </w:pPr>
    </w:lvl>
    <w:lvl w:ilvl="5" w:tplc="1974BD16" w:tentative="1">
      <w:start w:val="1"/>
      <w:numFmt w:val="lowerRoman"/>
      <w:lvlText w:val="%6."/>
      <w:lvlJc w:val="right"/>
      <w:pPr>
        <w:tabs>
          <w:tab w:val="num" w:pos="3720"/>
        </w:tabs>
        <w:ind w:left="3720" w:hanging="180"/>
      </w:pPr>
    </w:lvl>
    <w:lvl w:ilvl="6" w:tplc="AF3AC2D0" w:tentative="1">
      <w:start w:val="1"/>
      <w:numFmt w:val="decimal"/>
      <w:lvlText w:val="%7."/>
      <w:lvlJc w:val="left"/>
      <w:pPr>
        <w:tabs>
          <w:tab w:val="num" w:pos="4440"/>
        </w:tabs>
        <w:ind w:left="4440" w:hanging="360"/>
      </w:pPr>
    </w:lvl>
    <w:lvl w:ilvl="7" w:tplc="26120416" w:tentative="1">
      <w:start w:val="1"/>
      <w:numFmt w:val="lowerLetter"/>
      <w:lvlText w:val="%8."/>
      <w:lvlJc w:val="left"/>
      <w:pPr>
        <w:tabs>
          <w:tab w:val="num" w:pos="5160"/>
        </w:tabs>
        <w:ind w:left="5160" w:hanging="360"/>
      </w:pPr>
    </w:lvl>
    <w:lvl w:ilvl="8" w:tplc="4222A73E" w:tentative="1">
      <w:start w:val="1"/>
      <w:numFmt w:val="lowerRoman"/>
      <w:lvlText w:val="%9."/>
      <w:lvlJc w:val="right"/>
      <w:pPr>
        <w:tabs>
          <w:tab w:val="num" w:pos="5880"/>
        </w:tabs>
        <w:ind w:left="5880" w:hanging="180"/>
      </w:pPr>
    </w:lvl>
  </w:abstractNum>
  <w:abstractNum w:abstractNumId="55">
    <w:nsid w:val="597D5FBF"/>
    <w:multiLevelType w:val="hybridMultilevel"/>
    <w:tmpl w:val="4DAADB14"/>
    <w:lvl w:ilvl="0" w:tplc="FD44A6A4">
      <w:start w:val="2006"/>
      <w:numFmt w:val="bullet"/>
      <w:pStyle w:val="DashListLev2"/>
      <w:lvlText w:val="-"/>
      <w:lvlJc w:val="left"/>
      <w:pPr>
        <w:tabs>
          <w:tab w:val="num" w:pos="1080"/>
        </w:tabs>
        <w:ind w:left="1080" w:hanging="360"/>
      </w:pPr>
      <w:rPr>
        <w:rFonts w:ascii="Times New Roman" w:eastAsia="Times New Roman" w:hAnsi="Times New Roman" w:cs="Times New Roman" w:hint="default"/>
      </w:rPr>
    </w:lvl>
    <w:lvl w:ilvl="1" w:tplc="84DA32D6" w:tentative="1">
      <w:start w:val="1"/>
      <w:numFmt w:val="bullet"/>
      <w:lvlText w:val="o"/>
      <w:lvlJc w:val="left"/>
      <w:pPr>
        <w:tabs>
          <w:tab w:val="num" w:pos="1800"/>
        </w:tabs>
        <w:ind w:left="1800" w:hanging="360"/>
      </w:pPr>
      <w:rPr>
        <w:rFonts w:ascii="Courier New" w:hAnsi="Courier New" w:cs="Arial" w:hint="default"/>
      </w:rPr>
    </w:lvl>
    <w:lvl w:ilvl="2" w:tplc="945E661C" w:tentative="1">
      <w:start w:val="1"/>
      <w:numFmt w:val="bullet"/>
      <w:lvlText w:val=""/>
      <w:lvlJc w:val="left"/>
      <w:pPr>
        <w:tabs>
          <w:tab w:val="num" w:pos="2520"/>
        </w:tabs>
        <w:ind w:left="2520" w:hanging="360"/>
      </w:pPr>
      <w:rPr>
        <w:rFonts w:ascii="Wingdings" w:hAnsi="Wingdings" w:hint="default"/>
      </w:rPr>
    </w:lvl>
    <w:lvl w:ilvl="3" w:tplc="D6C84350" w:tentative="1">
      <w:start w:val="1"/>
      <w:numFmt w:val="bullet"/>
      <w:lvlText w:val=""/>
      <w:lvlJc w:val="left"/>
      <w:pPr>
        <w:tabs>
          <w:tab w:val="num" w:pos="3240"/>
        </w:tabs>
        <w:ind w:left="3240" w:hanging="360"/>
      </w:pPr>
      <w:rPr>
        <w:rFonts w:ascii="Symbol" w:hAnsi="Symbol" w:hint="default"/>
      </w:rPr>
    </w:lvl>
    <w:lvl w:ilvl="4" w:tplc="D2B2B734" w:tentative="1">
      <w:start w:val="1"/>
      <w:numFmt w:val="bullet"/>
      <w:lvlText w:val="o"/>
      <w:lvlJc w:val="left"/>
      <w:pPr>
        <w:tabs>
          <w:tab w:val="num" w:pos="3960"/>
        </w:tabs>
        <w:ind w:left="3960" w:hanging="360"/>
      </w:pPr>
      <w:rPr>
        <w:rFonts w:ascii="Courier New" w:hAnsi="Courier New" w:cs="Arial" w:hint="default"/>
      </w:rPr>
    </w:lvl>
    <w:lvl w:ilvl="5" w:tplc="E42C028A" w:tentative="1">
      <w:start w:val="1"/>
      <w:numFmt w:val="bullet"/>
      <w:lvlText w:val=""/>
      <w:lvlJc w:val="left"/>
      <w:pPr>
        <w:tabs>
          <w:tab w:val="num" w:pos="4680"/>
        </w:tabs>
        <w:ind w:left="4680" w:hanging="360"/>
      </w:pPr>
      <w:rPr>
        <w:rFonts w:ascii="Wingdings" w:hAnsi="Wingdings" w:hint="default"/>
      </w:rPr>
    </w:lvl>
    <w:lvl w:ilvl="6" w:tplc="A1BACDD2" w:tentative="1">
      <w:start w:val="1"/>
      <w:numFmt w:val="bullet"/>
      <w:lvlText w:val=""/>
      <w:lvlJc w:val="left"/>
      <w:pPr>
        <w:tabs>
          <w:tab w:val="num" w:pos="5400"/>
        </w:tabs>
        <w:ind w:left="5400" w:hanging="360"/>
      </w:pPr>
      <w:rPr>
        <w:rFonts w:ascii="Symbol" w:hAnsi="Symbol" w:hint="default"/>
      </w:rPr>
    </w:lvl>
    <w:lvl w:ilvl="7" w:tplc="883AA312" w:tentative="1">
      <w:start w:val="1"/>
      <w:numFmt w:val="bullet"/>
      <w:lvlText w:val="o"/>
      <w:lvlJc w:val="left"/>
      <w:pPr>
        <w:tabs>
          <w:tab w:val="num" w:pos="6120"/>
        </w:tabs>
        <w:ind w:left="6120" w:hanging="360"/>
      </w:pPr>
      <w:rPr>
        <w:rFonts w:ascii="Courier New" w:hAnsi="Courier New" w:cs="Arial" w:hint="default"/>
      </w:rPr>
    </w:lvl>
    <w:lvl w:ilvl="8" w:tplc="76FAF8F6" w:tentative="1">
      <w:start w:val="1"/>
      <w:numFmt w:val="bullet"/>
      <w:lvlText w:val=""/>
      <w:lvlJc w:val="left"/>
      <w:pPr>
        <w:tabs>
          <w:tab w:val="num" w:pos="6840"/>
        </w:tabs>
        <w:ind w:left="6840" w:hanging="360"/>
      </w:pPr>
      <w:rPr>
        <w:rFonts w:ascii="Wingdings" w:hAnsi="Wingdings" w:hint="default"/>
      </w:rPr>
    </w:lvl>
  </w:abstractNum>
  <w:abstractNum w:abstractNumId="56">
    <w:nsid w:val="5B28641D"/>
    <w:multiLevelType w:val="multilevel"/>
    <w:tmpl w:val="C504C638"/>
    <w:lvl w:ilvl="0">
      <w:start w:val="1"/>
      <w:numFmt w:val="bullet"/>
      <w:pStyle w:val="RandListLev1"/>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7">
    <w:nsid w:val="5B8D7EDF"/>
    <w:multiLevelType w:val="hybridMultilevel"/>
    <w:tmpl w:val="F976A6C2"/>
    <w:lvl w:ilvl="0" w:tplc="681ECAC2">
      <w:start w:val="1"/>
      <w:numFmt w:val="bullet"/>
      <w:pStyle w:val="IPPNumberedListLast"/>
      <w:lvlText w:val=""/>
      <w:lvlJc w:val="left"/>
      <w:pPr>
        <w:tabs>
          <w:tab w:val="num" w:pos="765"/>
        </w:tabs>
        <w:ind w:left="765" w:hanging="360"/>
      </w:pPr>
      <w:rPr>
        <w:rFonts w:ascii="Wingdings" w:hAnsi="Wingdings" w:hint="default"/>
      </w:rPr>
    </w:lvl>
    <w:lvl w:ilvl="1" w:tplc="FD487CA0" w:tentative="1">
      <w:start w:val="1"/>
      <w:numFmt w:val="bullet"/>
      <w:lvlText w:val="o"/>
      <w:lvlJc w:val="left"/>
      <w:pPr>
        <w:tabs>
          <w:tab w:val="num" w:pos="1485"/>
        </w:tabs>
        <w:ind w:left="1485" w:hanging="360"/>
      </w:pPr>
      <w:rPr>
        <w:rFonts w:ascii="Courier New" w:hAnsi="Courier New" w:cs="MS Gothic" w:hint="default"/>
      </w:rPr>
    </w:lvl>
    <w:lvl w:ilvl="2" w:tplc="655E490A" w:tentative="1">
      <w:start w:val="1"/>
      <w:numFmt w:val="bullet"/>
      <w:lvlText w:val=""/>
      <w:lvlJc w:val="left"/>
      <w:pPr>
        <w:tabs>
          <w:tab w:val="num" w:pos="2205"/>
        </w:tabs>
        <w:ind w:left="2205" w:hanging="360"/>
      </w:pPr>
      <w:rPr>
        <w:rFonts w:ascii="Wingdings" w:hAnsi="Wingdings" w:hint="default"/>
      </w:rPr>
    </w:lvl>
    <w:lvl w:ilvl="3" w:tplc="8C8E9480" w:tentative="1">
      <w:start w:val="1"/>
      <w:numFmt w:val="bullet"/>
      <w:lvlText w:val=""/>
      <w:lvlJc w:val="left"/>
      <w:pPr>
        <w:tabs>
          <w:tab w:val="num" w:pos="2925"/>
        </w:tabs>
        <w:ind w:left="2925" w:hanging="360"/>
      </w:pPr>
      <w:rPr>
        <w:rFonts w:ascii="Symbol" w:hAnsi="Symbol" w:hint="default"/>
      </w:rPr>
    </w:lvl>
    <w:lvl w:ilvl="4" w:tplc="70C6F768" w:tentative="1">
      <w:start w:val="1"/>
      <w:numFmt w:val="bullet"/>
      <w:lvlText w:val="o"/>
      <w:lvlJc w:val="left"/>
      <w:pPr>
        <w:tabs>
          <w:tab w:val="num" w:pos="3645"/>
        </w:tabs>
        <w:ind w:left="3645" w:hanging="360"/>
      </w:pPr>
      <w:rPr>
        <w:rFonts w:ascii="Courier New" w:hAnsi="Courier New" w:cs="MS Gothic" w:hint="default"/>
      </w:rPr>
    </w:lvl>
    <w:lvl w:ilvl="5" w:tplc="ED7E8A32" w:tentative="1">
      <w:start w:val="1"/>
      <w:numFmt w:val="bullet"/>
      <w:lvlText w:val=""/>
      <w:lvlJc w:val="left"/>
      <w:pPr>
        <w:tabs>
          <w:tab w:val="num" w:pos="4365"/>
        </w:tabs>
        <w:ind w:left="4365" w:hanging="360"/>
      </w:pPr>
      <w:rPr>
        <w:rFonts w:ascii="Wingdings" w:hAnsi="Wingdings" w:hint="default"/>
      </w:rPr>
    </w:lvl>
    <w:lvl w:ilvl="6" w:tplc="19E018E8" w:tentative="1">
      <w:start w:val="1"/>
      <w:numFmt w:val="bullet"/>
      <w:lvlText w:val=""/>
      <w:lvlJc w:val="left"/>
      <w:pPr>
        <w:tabs>
          <w:tab w:val="num" w:pos="5085"/>
        </w:tabs>
        <w:ind w:left="5085" w:hanging="360"/>
      </w:pPr>
      <w:rPr>
        <w:rFonts w:ascii="Symbol" w:hAnsi="Symbol" w:hint="default"/>
      </w:rPr>
    </w:lvl>
    <w:lvl w:ilvl="7" w:tplc="FE523592" w:tentative="1">
      <w:start w:val="1"/>
      <w:numFmt w:val="bullet"/>
      <w:lvlText w:val="o"/>
      <w:lvlJc w:val="left"/>
      <w:pPr>
        <w:tabs>
          <w:tab w:val="num" w:pos="5805"/>
        </w:tabs>
        <w:ind w:left="5805" w:hanging="360"/>
      </w:pPr>
      <w:rPr>
        <w:rFonts w:ascii="Courier New" w:hAnsi="Courier New" w:cs="MS Gothic" w:hint="default"/>
      </w:rPr>
    </w:lvl>
    <w:lvl w:ilvl="8" w:tplc="8C006F8C" w:tentative="1">
      <w:start w:val="1"/>
      <w:numFmt w:val="bullet"/>
      <w:lvlText w:val=""/>
      <w:lvlJc w:val="left"/>
      <w:pPr>
        <w:tabs>
          <w:tab w:val="num" w:pos="6525"/>
        </w:tabs>
        <w:ind w:left="6525" w:hanging="360"/>
      </w:pPr>
      <w:rPr>
        <w:rFonts w:ascii="Wingdings" w:hAnsi="Wingdings" w:hint="default"/>
      </w:rPr>
    </w:lvl>
  </w:abstractNum>
  <w:abstractNum w:abstractNumId="58">
    <w:nsid w:val="5E70440A"/>
    <w:multiLevelType w:val="hybridMultilevel"/>
    <w:tmpl w:val="034E3442"/>
    <w:lvl w:ilvl="0" w:tplc="1BC49250">
      <w:start w:val="1"/>
      <w:numFmt w:val="decimal"/>
      <w:pStyle w:val="IPPNormal"/>
      <w:lvlText w:val="%1."/>
      <w:lvlJc w:val="left"/>
      <w:pPr>
        <w:tabs>
          <w:tab w:val="num" w:pos="720"/>
        </w:tabs>
        <w:ind w:left="720" w:hanging="360"/>
      </w:pPr>
    </w:lvl>
    <w:lvl w:ilvl="1" w:tplc="94E0F534" w:tentative="1">
      <w:start w:val="1"/>
      <w:numFmt w:val="lowerLetter"/>
      <w:lvlText w:val="%2."/>
      <w:lvlJc w:val="left"/>
      <w:pPr>
        <w:tabs>
          <w:tab w:val="num" w:pos="1440"/>
        </w:tabs>
        <w:ind w:left="1440" w:hanging="360"/>
      </w:pPr>
    </w:lvl>
    <w:lvl w:ilvl="2" w:tplc="871807C6" w:tentative="1">
      <w:start w:val="1"/>
      <w:numFmt w:val="lowerRoman"/>
      <w:lvlText w:val="%3."/>
      <w:lvlJc w:val="right"/>
      <w:pPr>
        <w:tabs>
          <w:tab w:val="num" w:pos="2160"/>
        </w:tabs>
        <w:ind w:left="2160" w:hanging="180"/>
      </w:pPr>
    </w:lvl>
    <w:lvl w:ilvl="3" w:tplc="AA2E4ABA" w:tentative="1">
      <w:start w:val="1"/>
      <w:numFmt w:val="decimal"/>
      <w:lvlText w:val="%4."/>
      <w:lvlJc w:val="left"/>
      <w:pPr>
        <w:tabs>
          <w:tab w:val="num" w:pos="2880"/>
        </w:tabs>
        <w:ind w:left="2880" w:hanging="360"/>
      </w:pPr>
    </w:lvl>
    <w:lvl w:ilvl="4" w:tplc="3CB65DD4" w:tentative="1">
      <w:start w:val="1"/>
      <w:numFmt w:val="lowerLetter"/>
      <w:lvlText w:val="%5."/>
      <w:lvlJc w:val="left"/>
      <w:pPr>
        <w:tabs>
          <w:tab w:val="num" w:pos="3600"/>
        </w:tabs>
        <w:ind w:left="3600" w:hanging="360"/>
      </w:pPr>
    </w:lvl>
    <w:lvl w:ilvl="5" w:tplc="E158B12A" w:tentative="1">
      <w:start w:val="1"/>
      <w:numFmt w:val="lowerRoman"/>
      <w:lvlText w:val="%6."/>
      <w:lvlJc w:val="right"/>
      <w:pPr>
        <w:tabs>
          <w:tab w:val="num" w:pos="4320"/>
        </w:tabs>
        <w:ind w:left="4320" w:hanging="180"/>
      </w:pPr>
    </w:lvl>
    <w:lvl w:ilvl="6" w:tplc="223260AE" w:tentative="1">
      <w:start w:val="1"/>
      <w:numFmt w:val="decimal"/>
      <w:lvlText w:val="%7."/>
      <w:lvlJc w:val="left"/>
      <w:pPr>
        <w:tabs>
          <w:tab w:val="num" w:pos="5040"/>
        </w:tabs>
        <w:ind w:left="5040" w:hanging="360"/>
      </w:pPr>
    </w:lvl>
    <w:lvl w:ilvl="7" w:tplc="911E922E" w:tentative="1">
      <w:start w:val="1"/>
      <w:numFmt w:val="lowerLetter"/>
      <w:lvlText w:val="%8."/>
      <w:lvlJc w:val="left"/>
      <w:pPr>
        <w:tabs>
          <w:tab w:val="num" w:pos="5760"/>
        </w:tabs>
        <w:ind w:left="5760" w:hanging="360"/>
      </w:pPr>
    </w:lvl>
    <w:lvl w:ilvl="8" w:tplc="831C4494" w:tentative="1">
      <w:start w:val="1"/>
      <w:numFmt w:val="lowerRoman"/>
      <w:lvlText w:val="%9."/>
      <w:lvlJc w:val="right"/>
      <w:pPr>
        <w:tabs>
          <w:tab w:val="num" w:pos="6480"/>
        </w:tabs>
        <w:ind w:left="6480" w:hanging="180"/>
      </w:pPr>
    </w:lvl>
  </w:abstractNum>
  <w:abstractNum w:abstractNumId="59">
    <w:nsid w:val="5F6F6E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0">
    <w:nsid w:val="605B5305"/>
    <w:multiLevelType w:val="hybridMultilevel"/>
    <w:tmpl w:val="5394D204"/>
    <w:lvl w:ilvl="0" w:tplc="5E66DE9E">
      <w:start w:val="1"/>
      <w:numFmt w:val="decimal"/>
      <w:pStyle w:val="Paranumbered"/>
      <w:lvlText w:val="%1."/>
      <w:lvlJc w:val="left"/>
      <w:pPr>
        <w:tabs>
          <w:tab w:val="num" w:pos="720"/>
        </w:tabs>
        <w:ind w:left="720" w:hanging="720"/>
      </w:pPr>
      <w:rPr>
        <w:rFonts w:hint="default"/>
      </w:rPr>
    </w:lvl>
    <w:lvl w:ilvl="1" w:tplc="18AA76F4">
      <w:start w:val="1"/>
      <w:numFmt w:val="lowerLetter"/>
      <w:lvlText w:val="%2."/>
      <w:lvlJc w:val="left"/>
      <w:pPr>
        <w:tabs>
          <w:tab w:val="num" w:pos="1440"/>
        </w:tabs>
        <w:ind w:left="1440" w:hanging="360"/>
      </w:pPr>
    </w:lvl>
    <w:lvl w:ilvl="2" w:tplc="CDC21372">
      <w:start w:val="1"/>
      <w:numFmt w:val="lowerRoman"/>
      <w:lvlText w:val="%3."/>
      <w:lvlJc w:val="right"/>
      <w:pPr>
        <w:tabs>
          <w:tab w:val="num" w:pos="2160"/>
        </w:tabs>
        <w:ind w:left="2160" w:hanging="180"/>
      </w:pPr>
    </w:lvl>
    <w:lvl w:ilvl="3" w:tplc="79262EEA">
      <w:start w:val="1"/>
      <w:numFmt w:val="decimal"/>
      <w:lvlText w:val="%4."/>
      <w:lvlJc w:val="left"/>
      <w:pPr>
        <w:tabs>
          <w:tab w:val="num" w:pos="2880"/>
        </w:tabs>
        <w:ind w:left="2880" w:hanging="360"/>
      </w:pPr>
    </w:lvl>
    <w:lvl w:ilvl="4" w:tplc="1D48B888">
      <w:start w:val="1"/>
      <w:numFmt w:val="lowerLetter"/>
      <w:lvlText w:val="%5."/>
      <w:lvlJc w:val="left"/>
      <w:pPr>
        <w:tabs>
          <w:tab w:val="num" w:pos="3600"/>
        </w:tabs>
        <w:ind w:left="3600" w:hanging="360"/>
      </w:pPr>
    </w:lvl>
    <w:lvl w:ilvl="5" w:tplc="BE30C18E">
      <w:start w:val="1"/>
      <w:numFmt w:val="lowerRoman"/>
      <w:lvlText w:val="%6."/>
      <w:lvlJc w:val="right"/>
      <w:pPr>
        <w:tabs>
          <w:tab w:val="num" w:pos="4320"/>
        </w:tabs>
        <w:ind w:left="4320" w:hanging="180"/>
      </w:pPr>
    </w:lvl>
    <w:lvl w:ilvl="6" w:tplc="EEFE24EA">
      <w:start w:val="1"/>
      <w:numFmt w:val="decimal"/>
      <w:lvlText w:val="%7."/>
      <w:lvlJc w:val="left"/>
      <w:pPr>
        <w:tabs>
          <w:tab w:val="num" w:pos="5040"/>
        </w:tabs>
        <w:ind w:left="5040" w:hanging="360"/>
      </w:pPr>
    </w:lvl>
    <w:lvl w:ilvl="7" w:tplc="8E909338">
      <w:start w:val="1"/>
      <w:numFmt w:val="lowerLetter"/>
      <w:lvlText w:val="%8."/>
      <w:lvlJc w:val="left"/>
      <w:pPr>
        <w:tabs>
          <w:tab w:val="num" w:pos="5760"/>
        </w:tabs>
        <w:ind w:left="5760" w:hanging="360"/>
      </w:pPr>
    </w:lvl>
    <w:lvl w:ilvl="8" w:tplc="664E46A0">
      <w:start w:val="1"/>
      <w:numFmt w:val="lowerRoman"/>
      <w:lvlText w:val="%9."/>
      <w:lvlJc w:val="right"/>
      <w:pPr>
        <w:tabs>
          <w:tab w:val="num" w:pos="6480"/>
        </w:tabs>
        <w:ind w:left="6480" w:hanging="180"/>
      </w:pPr>
    </w:lvl>
  </w:abstractNum>
  <w:abstractNum w:abstractNumId="61">
    <w:nsid w:val="606E19AA"/>
    <w:multiLevelType w:val="hybridMultilevel"/>
    <w:tmpl w:val="6AACAAA0"/>
    <w:lvl w:ilvl="0" w:tplc="CD90B98C">
      <w:start w:val="1"/>
      <w:numFmt w:val="bullet"/>
      <w:pStyle w:val="Bulletdash"/>
      <w:lvlText w:val=""/>
      <w:lvlJc w:val="left"/>
      <w:pPr>
        <w:ind w:left="618" w:hanging="360"/>
      </w:pPr>
      <w:rPr>
        <w:rFonts w:ascii="Symbol" w:hAnsi="Symbol" w:hint="default"/>
      </w:rPr>
    </w:lvl>
    <w:lvl w:ilvl="1" w:tplc="B5A04B06" w:tentative="1">
      <w:start w:val="1"/>
      <w:numFmt w:val="bullet"/>
      <w:lvlText w:val="o"/>
      <w:lvlJc w:val="left"/>
      <w:pPr>
        <w:ind w:left="1338" w:hanging="360"/>
      </w:pPr>
      <w:rPr>
        <w:rFonts w:ascii="Courier New" w:hAnsi="Courier New" w:cs="Consolas" w:hint="default"/>
      </w:rPr>
    </w:lvl>
    <w:lvl w:ilvl="2" w:tplc="9DE86EB2" w:tentative="1">
      <w:start w:val="1"/>
      <w:numFmt w:val="bullet"/>
      <w:lvlText w:val=""/>
      <w:lvlJc w:val="left"/>
      <w:pPr>
        <w:ind w:left="2058" w:hanging="360"/>
      </w:pPr>
      <w:rPr>
        <w:rFonts w:ascii="Wingdings" w:hAnsi="Wingdings" w:hint="default"/>
      </w:rPr>
    </w:lvl>
    <w:lvl w:ilvl="3" w:tplc="1EA28136" w:tentative="1">
      <w:start w:val="1"/>
      <w:numFmt w:val="bullet"/>
      <w:lvlText w:val=""/>
      <w:lvlJc w:val="left"/>
      <w:pPr>
        <w:ind w:left="2778" w:hanging="360"/>
      </w:pPr>
      <w:rPr>
        <w:rFonts w:ascii="Symbol" w:hAnsi="Symbol" w:hint="default"/>
      </w:rPr>
    </w:lvl>
    <w:lvl w:ilvl="4" w:tplc="7F905118" w:tentative="1">
      <w:start w:val="1"/>
      <w:numFmt w:val="bullet"/>
      <w:lvlText w:val="o"/>
      <w:lvlJc w:val="left"/>
      <w:pPr>
        <w:ind w:left="3498" w:hanging="360"/>
      </w:pPr>
      <w:rPr>
        <w:rFonts w:ascii="Courier New" w:hAnsi="Courier New" w:cs="Consolas" w:hint="default"/>
      </w:rPr>
    </w:lvl>
    <w:lvl w:ilvl="5" w:tplc="66E25F2E" w:tentative="1">
      <w:start w:val="1"/>
      <w:numFmt w:val="bullet"/>
      <w:lvlText w:val=""/>
      <w:lvlJc w:val="left"/>
      <w:pPr>
        <w:ind w:left="4218" w:hanging="360"/>
      </w:pPr>
      <w:rPr>
        <w:rFonts w:ascii="Wingdings" w:hAnsi="Wingdings" w:hint="default"/>
      </w:rPr>
    </w:lvl>
    <w:lvl w:ilvl="6" w:tplc="DB8E8F84" w:tentative="1">
      <w:start w:val="1"/>
      <w:numFmt w:val="bullet"/>
      <w:lvlText w:val=""/>
      <w:lvlJc w:val="left"/>
      <w:pPr>
        <w:ind w:left="4938" w:hanging="360"/>
      </w:pPr>
      <w:rPr>
        <w:rFonts w:ascii="Symbol" w:hAnsi="Symbol" w:hint="default"/>
      </w:rPr>
    </w:lvl>
    <w:lvl w:ilvl="7" w:tplc="47A61CB2" w:tentative="1">
      <w:start w:val="1"/>
      <w:numFmt w:val="bullet"/>
      <w:lvlText w:val="o"/>
      <w:lvlJc w:val="left"/>
      <w:pPr>
        <w:ind w:left="5658" w:hanging="360"/>
      </w:pPr>
      <w:rPr>
        <w:rFonts w:ascii="Courier New" w:hAnsi="Courier New" w:cs="Consolas" w:hint="default"/>
      </w:rPr>
    </w:lvl>
    <w:lvl w:ilvl="8" w:tplc="4FBE97A4" w:tentative="1">
      <w:start w:val="1"/>
      <w:numFmt w:val="bullet"/>
      <w:lvlText w:val=""/>
      <w:lvlJc w:val="left"/>
      <w:pPr>
        <w:ind w:left="6378" w:hanging="360"/>
      </w:pPr>
      <w:rPr>
        <w:rFonts w:ascii="Wingdings" w:hAnsi="Wingdings" w:hint="default"/>
      </w:rPr>
    </w:lvl>
  </w:abstractNum>
  <w:abstractNum w:abstractNumId="62">
    <w:nsid w:val="61AE1ECE"/>
    <w:multiLevelType w:val="hybridMultilevel"/>
    <w:tmpl w:val="D522F93E"/>
    <w:lvl w:ilvl="0" w:tplc="7932EDE0">
      <w:start w:val="15"/>
      <w:numFmt w:val="decimal"/>
      <w:pStyle w:val="IPPLetterListIndent"/>
      <w:lvlText w:val="%1."/>
      <w:lvlJc w:val="left"/>
      <w:pPr>
        <w:tabs>
          <w:tab w:val="num" w:pos="990"/>
        </w:tabs>
        <w:ind w:left="990" w:hanging="360"/>
      </w:pPr>
      <w:rPr>
        <w:rFonts w:hint="default"/>
      </w:rPr>
    </w:lvl>
    <w:lvl w:ilvl="1" w:tplc="6DB657F2" w:tentative="1">
      <w:start w:val="1"/>
      <w:numFmt w:val="lowerLetter"/>
      <w:lvlText w:val="%2."/>
      <w:lvlJc w:val="left"/>
      <w:pPr>
        <w:tabs>
          <w:tab w:val="num" w:pos="1710"/>
        </w:tabs>
        <w:ind w:left="1710" w:hanging="360"/>
      </w:pPr>
    </w:lvl>
    <w:lvl w:ilvl="2" w:tplc="53D2334A" w:tentative="1">
      <w:start w:val="1"/>
      <w:numFmt w:val="lowerRoman"/>
      <w:lvlText w:val="%3."/>
      <w:lvlJc w:val="right"/>
      <w:pPr>
        <w:tabs>
          <w:tab w:val="num" w:pos="2430"/>
        </w:tabs>
        <w:ind w:left="2430" w:hanging="180"/>
      </w:pPr>
    </w:lvl>
    <w:lvl w:ilvl="3" w:tplc="01F43DE8" w:tentative="1">
      <w:start w:val="1"/>
      <w:numFmt w:val="decimal"/>
      <w:lvlText w:val="%4."/>
      <w:lvlJc w:val="left"/>
      <w:pPr>
        <w:tabs>
          <w:tab w:val="num" w:pos="3150"/>
        </w:tabs>
        <w:ind w:left="3150" w:hanging="360"/>
      </w:pPr>
    </w:lvl>
    <w:lvl w:ilvl="4" w:tplc="4184DA78" w:tentative="1">
      <w:start w:val="1"/>
      <w:numFmt w:val="lowerLetter"/>
      <w:lvlText w:val="%5."/>
      <w:lvlJc w:val="left"/>
      <w:pPr>
        <w:tabs>
          <w:tab w:val="num" w:pos="3870"/>
        </w:tabs>
        <w:ind w:left="3870" w:hanging="360"/>
      </w:pPr>
    </w:lvl>
    <w:lvl w:ilvl="5" w:tplc="ABFA36F6" w:tentative="1">
      <w:start w:val="1"/>
      <w:numFmt w:val="lowerRoman"/>
      <w:lvlText w:val="%6."/>
      <w:lvlJc w:val="right"/>
      <w:pPr>
        <w:tabs>
          <w:tab w:val="num" w:pos="4590"/>
        </w:tabs>
        <w:ind w:left="4590" w:hanging="180"/>
      </w:pPr>
    </w:lvl>
    <w:lvl w:ilvl="6" w:tplc="FCF256CE" w:tentative="1">
      <w:start w:val="1"/>
      <w:numFmt w:val="decimal"/>
      <w:lvlText w:val="%7."/>
      <w:lvlJc w:val="left"/>
      <w:pPr>
        <w:tabs>
          <w:tab w:val="num" w:pos="5310"/>
        </w:tabs>
        <w:ind w:left="5310" w:hanging="360"/>
      </w:pPr>
    </w:lvl>
    <w:lvl w:ilvl="7" w:tplc="7F682FB8" w:tentative="1">
      <w:start w:val="1"/>
      <w:numFmt w:val="lowerLetter"/>
      <w:lvlText w:val="%8."/>
      <w:lvlJc w:val="left"/>
      <w:pPr>
        <w:tabs>
          <w:tab w:val="num" w:pos="6030"/>
        </w:tabs>
        <w:ind w:left="6030" w:hanging="360"/>
      </w:pPr>
    </w:lvl>
    <w:lvl w:ilvl="8" w:tplc="2BA6E802" w:tentative="1">
      <w:start w:val="1"/>
      <w:numFmt w:val="lowerRoman"/>
      <w:lvlText w:val="%9."/>
      <w:lvlJc w:val="right"/>
      <w:pPr>
        <w:tabs>
          <w:tab w:val="num" w:pos="6750"/>
        </w:tabs>
        <w:ind w:left="6750" w:hanging="180"/>
      </w:pPr>
    </w:lvl>
  </w:abstractNum>
  <w:abstractNum w:abstractNumId="63">
    <w:nsid w:val="65843E2F"/>
    <w:multiLevelType w:val="hybridMultilevel"/>
    <w:tmpl w:val="825A1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58A2624"/>
    <w:multiLevelType w:val="hybridMultilevel"/>
    <w:tmpl w:val="C5E8DBFA"/>
    <w:lvl w:ilvl="0" w:tplc="16B225DA">
      <w:start w:val="1"/>
      <w:numFmt w:val="bullet"/>
      <w:pStyle w:val="Style"/>
      <w:lvlText w:val=""/>
      <w:lvlJc w:val="left"/>
      <w:pPr>
        <w:tabs>
          <w:tab w:val="num" w:pos="720"/>
        </w:tabs>
        <w:ind w:left="720" w:hanging="360"/>
      </w:pPr>
      <w:rPr>
        <w:rFonts w:ascii="Symbol" w:hAnsi="Symbol" w:hint="default"/>
      </w:rPr>
    </w:lvl>
    <w:lvl w:ilvl="1" w:tplc="5E464262">
      <w:start w:val="1"/>
      <w:numFmt w:val="bullet"/>
      <w:lvlText w:val="o"/>
      <w:lvlJc w:val="left"/>
      <w:pPr>
        <w:tabs>
          <w:tab w:val="num" w:pos="1440"/>
        </w:tabs>
        <w:ind w:left="1440" w:hanging="360"/>
      </w:pPr>
      <w:rPr>
        <w:rFonts w:ascii="Courier New" w:hAnsi="Courier New" w:cs="Consolas" w:hint="default"/>
      </w:rPr>
    </w:lvl>
    <w:lvl w:ilvl="2" w:tplc="26EC6F76" w:tentative="1">
      <w:start w:val="1"/>
      <w:numFmt w:val="bullet"/>
      <w:lvlText w:val=""/>
      <w:lvlJc w:val="left"/>
      <w:pPr>
        <w:tabs>
          <w:tab w:val="num" w:pos="2160"/>
        </w:tabs>
        <w:ind w:left="2160" w:hanging="360"/>
      </w:pPr>
      <w:rPr>
        <w:rFonts w:ascii="Wingdings" w:hAnsi="Wingdings" w:hint="default"/>
      </w:rPr>
    </w:lvl>
    <w:lvl w:ilvl="3" w:tplc="5EF0A7B2" w:tentative="1">
      <w:start w:val="1"/>
      <w:numFmt w:val="bullet"/>
      <w:lvlText w:val=""/>
      <w:lvlJc w:val="left"/>
      <w:pPr>
        <w:tabs>
          <w:tab w:val="num" w:pos="2880"/>
        </w:tabs>
        <w:ind w:left="2880" w:hanging="360"/>
      </w:pPr>
      <w:rPr>
        <w:rFonts w:ascii="Symbol" w:hAnsi="Symbol" w:hint="default"/>
      </w:rPr>
    </w:lvl>
    <w:lvl w:ilvl="4" w:tplc="068C84BC" w:tentative="1">
      <w:start w:val="1"/>
      <w:numFmt w:val="bullet"/>
      <w:lvlText w:val="o"/>
      <w:lvlJc w:val="left"/>
      <w:pPr>
        <w:tabs>
          <w:tab w:val="num" w:pos="3600"/>
        </w:tabs>
        <w:ind w:left="3600" w:hanging="360"/>
      </w:pPr>
      <w:rPr>
        <w:rFonts w:ascii="Courier New" w:hAnsi="Courier New" w:cs="Consolas" w:hint="default"/>
      </w:rPr>
    </w:lvl>
    <w:lvl w:ilvl="5" w:tplc="8FF8A9E8" w:tentative="1">
      <w:start w:val="1"/>
      <w:numFmt w:val="bullet"/>
      <w:lvlText w:val=""/>
      <w:lvlJc w:val="left"/>
      <w:pPr>
        <w:tabs>
          <w:tab w:val="num" w:pos="4320"/>
        </w:tabs>
        <w:ind w:left="4320" w:hanging="360"/>
      </w:pPr>
      <w:rPr>
        <w:rFonts w:ascii="Wingdings" w:hAnsi="Wingdings" w:hint="default"/>
      </w:rPr>
    </w:lvl>
    <w:lvl w:ilvl="6" w:tplc="D3CCE5E2" w:tentative="1">
      <w:start w:val="1"/>
      <w:numFmt w:val="bullet"/>
      <w:lvlText w:val=""/>
      <w:lvlJc w:val="left"/>
      <w:pPr>
        <w:tabs>
          <w:tab w:val="num" w:pos="5040"/>
        </w:tabs>
        <w:ind w:left="5040" w:hanging="360"/>
      </w:pPr>
      <w:rPr>
        <w:rFonts w:ascii="Symbol" w:hAnsi="Symbol" w:hint="default"/>
      </w:rPr>
    </w:lvl>
    <w:lvl w:ilvl="7" w:tplc="AF9A4E3C" w:tentative="1">
      <w:start w:val="1"/>
      <w:numFmt w:val="bullet"/>
      <w:lvlText w:val="o"/>
      <w:lvlJc w:val="left"/>
      <w:pPr>
        <w:tabs>
          <w:tab w:val="num" w:pos="5760"/>
        </w:tabs>
        <w:ind w:left="5760" w:hanging="360"/>
      </w:pPr>
      <w:rPr>
        <w:rFonts w:ascii="Courier New" w:hAnsi="Courier New" w:cs="Consolas" w:hint="default"/>
      </w:rPr>
    </w:lvl>
    <w:lvl w:ilvl="8" w:tplc="D5968010" w:tentative="1">
      <w:start w:val="1"/>
      <w:numFmt w:val="bullet"/>
      <w:lvlText w:val=""/>
      <w:lvlJc w:val="left"/>
      <w:pPr>
        <w:tabs>
          <w:tab w:val="num" w:pos="6480"/>
        </w:tabs>
        <w:ind w:left="6480" w:hanging="360"/>
      </w:pPr>
      <w:rPr>
        <w:rFonts w:ascii="Wingdings" w:hAnsi="Wingdings" w:hint="default"/>
      </w:rPr>
    </w:lvl>
  </w:abstractNum>
  <w:abstractNum w:abstractNumId="65">
    <w:nsid w:val="6B6E1966"/>
    <w:multiLevelType w:val="multilevel"/>
    <w:tmpl w:val="37BC9784"/>
    <w:lvl w:ilvl="0">
      <w:start w:val="8"/>
      <w:numFmt w:val="decimal"/>
      <w:lvlText w:val="%1"/>
      <w:lvlJc w:val="left"/>
      <w:pPr>
        <w:ind w:left="360" w:hanging="360"/>
      </w:pPr>
      <w:rPr>
        <w:rFonts w:hint="default"/>
      </w:rPr>
    </w:lvl>
    <w:lvl w:ilvl="1">
      <w:start w:val="2"/>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66">
    <w:nsid w:val="6D6507BD"/>
    <w:multiLevelType w:val="hybridMultilevel"/>
    <w:tmpl w:val="3EBABF54"/>
    <w:lvl w:ilvl="0" w:tplc="3FBA5326">
      <w:start w:val="1"/>
      <w:numFmt w:val="bullet"/>
      <w:pStyle w:val="IPPAnnexHead"/>
      <w:lvlText w:val=""/>
      <w:lvlJc w:val="left"/>
      <w:pPr>
        <w:tabs>
          <w:tab w:val="num" w:pos="720"/>
        </w:tabs>
        <w:ind w:left="720" w:hanging="360"/>
      </w:pPr>
      <w:rPr>
        <w:rFonts w:ascii="Symbol" w:hAnsi="Symbol" w:hint="default"/>
      </w:rPr>
    </w:lvl>
    <w:lvl w:ilvl="1" w:tplc="3C7EFD9C" w:tentative="1">
      <w:start w:val="1"/>
      <w:numFmt w:val="bullet"/>
      <w:lvlText w:val="o"/>
      <w:lvlJc w:val="left"/>
      <w:pPr>
        <w:tabs>
          <w:tab w:val="num" w:pos="1440"/>
        </w:tabs>
        <w:ind w:left="1440" w:hanging="360"/>
      </w:pPr>
      <w:rPr>
        <w:rFonts w:ascii="Courier New" w:hAnsi="Courier New" w:cs="Consolas" w:hint="default"/>
      </w:rPr>
    </w:lvl>
    <w:lvl w:ilvl="2" w:tplc="17604286" w:tentative="1">
      <w:start w:val="1"/>
      <w:numFmt w:val="bullet"/>
      <w:lvlText w:val=""/>
      <w:lvlJc w:val="left"/>
      <w:pPr>
        <w:tabs>
          <w:tab w:val="num" w:pos="2160"/>
        </w:tabs>
        <w:ind w:left="2160" w:hanging="360"/>
      </w:pPr>
      <w:rPr>
        <w:rFonts w:ascii="Wingdings" w:hAnsi="Wingdings" w:hint="default"/>
      </w:rPr>
    </w:lvl>
    <w:lvl w:ilvl="3" w:tplc="80C0D0C2" w:tentative="1">
      <w:start w:val="1"/>
      <w:numFmt w:val="bullet"/>
      <w:lvlText w:val=""/>
      <w:lvlJc w:val="left"/>
      <w:pPr>
        <w:tabs>
          <w:tab w:val="num" w:pos="2880"/>
        </w:tabs>
        <w:ind w:left="2880" w:hanging="360"/>
      </w:pPr>
      <w:rPr>
        <w:rFonts w:ascii="Symbol" w:hAnsi="Symbol" w:hint="default"/>
      </w:rPr>
    </w:lvl>
    <w:lvl w:ilvl="4" w:tplc="5262D67E" w:tentative="1">
      <w:start w:val="1"/>
      <w:numFmt w:val="bullet"/>
      <w:lvlText w:val="o"/>
      <w:lvlJc w:val="left"/>
      <w:pPr>
        <w:tabs>
          <w:tab w:val="num" w:pos="3600"/>
        </w:tabs>
        <w:ind w:left="3600" w:hanging="360"/>
      </w:pPr>
      <w:rPr>
        <w:rFonts w:ascii="Courier New" w:hAnsi="Courier New" w:cs="Consolas" w:hint="default"/>
      </w:rPr>
    </w:lvl>
    <w:lvl w:ilvl="5" w:tplc="2BF82DF2" w:tentative="1">
      <w:start w:val="1"/>
      <w:numFmt w:val="bullet"/>
      <w:lvlText w:val=""/>
      <w:lvlJc w:val="left"/>
      <w:pPr>
        <w:tabs>
          <w:tab w:val="num" w:pos="4320"/>
        </w:tabs>
        <w:ind w:left="4320" w:hanging="360"/>
      </w:pPr>
      <w:rPr>
        <w:rFonts w:ascii="Wingdings" w:hAnsi="Wingdings" w:hint="default"/>
      </w:rPr>
    </w:lvl>
    <w:lvl w:ilvl="6" w:tplc="E3C24FD0" w:tentative="1">
      <w:start w:val="1"/>
      <w:numFmt w:val="bullet"/>
      <w:lvlText w:val=""/>
      <w:lvlJc w:val="left"/>
      <w:pPr>
        <w:tabs>
          <w:tab w:val="num" w:pos="5040"/>
        </w:tabs>
        <w:ind w:left="5040" w:hanging="360"/>
      </w:pPr>
      <w:rPr>
        <w:rFonts w:ascii="Symbol" w:hAnsi="Symbol" w:hint="default"/>
      </w:rPr>
    </w:lvl>
    <w:lvl w:ilvl="7" w:tplc="6F964FB6" w:tentative="1">
      <w:start w:val="1"/>
      <w:numFmt w:val="bullet"/>
      <w:lvlText w:val="o"/>
      <w:lvlJc w:val="left"/>
      <w:pPr>
        <w:tabs>
          <w:tab w:val="num" w:pos="5760"/>
        </w:tabs>
        <w:ind w:left="5760" w:hanging="360"/>
      </w:pPr>
      <w:rPr>
        <w:rFonts w:ascii="Courier New" w:hAnsi="Courier New" w:cs="Consolas" w:hint="default"/>
      </w:rPr>
    </w:lvl>
    <w:lvl w:ilvl="8" w:tplc="7D3C0544" w:tentative="1">
      <w:start w:val="1"/>
      <w:numFmt w:val="bullet"/>
      <w:lvlText w:val=""/>
      <w:lvlJc w:val="left"/>
      <w:pPr>
        <w:tabs>
          <w:tab w:val="num" w:pos="6480"/>
        </w:tabs>
        <w:ind w:left="6480" w:hanging="360"/>
      </w:pPr>
      <w:rPr>
        <w:rFonts w:ascii="Wingdings" w:hAnsi="Wingdings" w:hint="default"/>
      </w:rPr>
    </w:lvl>
  </w:abstractNum>
  <w:abstractNum w:abstractNumId="67">
    <w:nsid w:val="727F3C72"/>
    <w:multiLevelType w:val="hybridMultilevel"/>
    <w:tmpl w:val="77B60982"/>
    <w:lvl w:ilvl="0" w:tplc="B81CB32C">
      <w:start w:val="1"/>
      <w:numFmt w:val="decimal"/>
      <w:pStyle w:val="BoxRandList1"/>
      <w:lvlText w:val="%1."/>
      <w:lvlJc w:val="left"/>
      <w:pPr>
        <w:tabs>
          <w:tab w:val="num" w:pos="1278"/>
        </w:tabs>
        <w:ind w:left="1278" w:hanging="360"/>
      </w:pPr>
      <w:rPr>
        <w:rFonts w:hint="default"/>
      </w:rPr>
    </w:lvl>
    <w:lvl w:ilvl="1" w:tplc="1494B8DA" w:tentative="1">
      <w:start w:val="1"/>
      <w:numFmt w:val="aiueoFullWidth"/>
      <w:lvlText w:val="(%2)"/>
      <w:lvlJc w:val="left"/>
      <w:pPr>
        <w:tabs>
          <w:tab w:val="num" w:pos="1758"/>
        </w:tabs>
        <w:ind w:left="1758" w:hanging="420"/>
      </w:pPr>
    </w:lvl>
    <w:lvl w:ilvl="2" w:tplc="018CC1A4" w:tentative="1">
      <w:start w:val="1"/>
      <w:numFmt w:val="decimalEnclosedCircle"/>
      <w:lvlText w:val="%3"/>
      <w:lvlJc w:val="left"/>
      <w:pPr>
        <w:tabs>
          <w:tab w:val="num" w:pos="2178"/>
        </w:tabs>
        <w:ind w:left="2178" w:hanging="420"/>
      </w:pPr>
    </w:lvl>
    <w:lvl w:ilvl="3" w:tplc="38CEBDF8" w:tentative="1">
      <w:start w:val="1"/>
      <w:numFmt w:val="decimal"/>
      <w:lvlText w:val="%4."/>
      <w:lvlJc w:val="left"/>
      <w:pPr>
        <w:tabs>
          <w:tab w:val="num" w:pos="2598"/>
        </w:tabs>
        <w:ind w:left="2598" w:hanging="420"/>
      </w:pPr>
    </w:lvl>
    <w:lvl w:ilvl="4" w:tplc="7FDE0116" w:tentative="1">
      <w:start w:val="1"/>
      <w:numFmt w:val="aiueoFullWidth"/>
      <w:lvlText w:val="(%5)"/>
      <w:lvlJc w:val="left"/>
      <w:pPr>
        <w:tabs>
          <w:tab w:val="num" w:pos="3018"/>
        </w:tabs>
        <w:ind w:left="3018" w:hanging="420"/>
      </w:pPr>
    </w:lvl>
    <w:lvl w:ilvl="5" w:tplc="DFCE99B0" w:tentative="1">
      <w:start w:val="1"/>
      <w:numFmt w:val="decimalEnclosedCircle"/>
      <w:lvlText w:val="%6"/>
      <w:lvlJc w:val="left"/>
      <w:pPr>
        <w:tabs>
          <w:tab w:val="num" w:pos="3438"/>
        </w:tabs>
        <w:ind w:left="3438" w:hanging="420"/>
      </w:pPr>
    </w:lvl>
    <w:lvl w:ilvl="6" w:tplc="6E6EDCBC" w:tentative="1">
      <w:start w:val="1"/>
      <w:numFmt w:val="decimal"/>
      <w:lvlText w:val="%7."/>
      <w:lvlJc w:val="left"/>
      <w:pPr>
        <w:tabs>
          <w:tab w:val="num" w:pos="3858"/>
        </w:tabs>
        <w:ind w:left="3858" w:hanging="420"/>
      </w:pPr>
    </w:lvl>
    <w:lvl w:ilvl="7" w:tplc="D40EB880" w:tentative="1">
      <w:start w:val="1"/>
      <w:numFmt w:val="aiueoFullWidth"/>
      <w:lvlText w:val="(%8)"/>
      <w:lvlJc w:val="left"/>
      <w:pPr>
        <w:tabs>
          <w:tab w:val="num" w:pos="4278"/>
        </w:tabs>
        <w:ind w:left="4278" w:hanging="420"/>
      </w:pPr>
    </w:lvl>
    <w:lvl w:ilvl="8" w:tplc="B024EF66" w:tentative="1">
      <w:start w:val="1"/>
      <w:numFmt w:val="decimalEnclosedCircle"/>
      <w:lvlText w:val="%9"/>
      <w:lvlJc w:val="left"/>
      <w:pPr>
        <w:tabs>
          <w:tab w:val="num" w:pos="4698"/>
        </w:tabs>
        <w:ind w:left="4698" w:hanging="420"/>
      </w:pPr>
    </w:lvl>
  </w:abstractNum>
  <w:abstractNum w:abstractNumId="68">
    <w:nsid w:val="749306FA"/>
    <w:multiLevelType w:val="multilevel"/>
    <w:tmpl w:val="25B63E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9">
    <w:nsid w:val="753F4075"/>
    <w:multiLevelType w:val="hybridMultilevel"/>
    <w:tmpl w:val="F1445E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7BD149F3"/>
    <w:multiLevelType w:val="hybridMultilevel"/>
    <w:tmpl w:val="51CEBB5E"/>
    <w:lvl w:ilvl="0" w:tplc="74181FB4">
      <w:start w:val="1"/>
      <w:numFmt w:val="bullet"/>
      <w:pStyle w:val="IPPNumberedListArial"/>
      <w:lvlText w:val=""/>
      <w:lvlJc w:val="left"/>
      <w:pPr>
        <w:tabs>
          <w:tab w:val="num" w:pos="360"/>
        </w:tabs>
        <w:ind w:left="360" w:hanging="360"/>
      </w:pPr>
      <w:rPr>
        <w:rFonts w:ascii="Symbol" w:hAnsi="Symbol" w:hint="default"/>
        <w:color w:val="auto"/>
      </w:rPr>
    </w:lvl>
    <w:lvl w:ilvl="1" w:tplc="8F10EEF4" w:tentative="1">
      <w:start w:val="1"/>
      <w:numFmt w:val="bullet"/>
      <w:lvlText w:val="o"/>
      <w:lvlJc w:val="left"/>
      <w:pPr>
        <w:tabs>
          <w:tab w:val="num" w:pos="1080"/>
        </w:tabs>
        <w:ind w:left="1080" w:hanging="360"/>
      </w:pPr>
      <w:rPr>
        <w:rFonts w:ascii="Courier New" w:hAnsi="Courier New" w:cs="Consolas" w:hint="default"/>
      </w:rPr>
    </w:lvl>
    <w:lvl w:ilvl="2" w:tplc="C208229A" w:tentative="1">
      <w:start w:val="1"/>
      <w:numFmt w:val="bullet"/>
      <w:lvlText w:val=""/>
      <w:lvlJc w:val="left"/>
      <w:pPr>
        <w:tabs>
          <w:tab w:val="num" w:pos="1800"/>
        </w:tabs>
        <w:ind w:left="1800" w:hanging="360"/>
      </w:pPr>
      <w:rPr>
        <w:rFonts w:ascii="Wingdings" w:hAnsi="Wingdings" w:hint="default"/>
      </w:rPr>
    </w:lvl>
    <w:lvl w:ilvl="3" w:tplc="EEF27C18" w:tentative="1">
      <w:start w:val="1"/>
      <w:numFmt w:val="bullet"/>
      <w:lvlText w:val=""/>
      <w:lvlJc w:val="left"/>
      <w:pPr>
        <w:tabs>
          <w:tab w:val="num" w:pos="2520"/>
        </w:tabs>
        <w:ind w:left="2520" w:hanging="360"/>
      </w:pPr>
      <w:rPr>
        <w:rFonts w:ascii="Symbol" w:hAnsi="Symbol" w:hint="default"/>
      </w:rPr>
    </w:lvl>
    <w:lvl w:ilvl="4" w:tplc="4B8E1B22" w:tentative="1">
      <w:start w:val="1"/>
      <w:numFmt w:val="bullet"/>
      <w:lvlText w:val="o"/>
      <w:lvlJc w:val="left"/>
      <w:pPr>
        <w:tabs>
          <w:tab w:val="num" w:pos="3240"/>
        </w:tabs>
        <w:ind w:left="3240" w:hanging="360"/>
      </w:pPr>
      <w:rPr>
        <w:rFonts w:ascii="Courier New" w:hAnsi="Courier New" w:cs="Consolas" w:hint="default"/>
      </w:rPr>
    </w:lvl>
    <w:lvl w:ilvl="5" w:tplc="271CA3A0" w:tentative="1">
      <w:start w:val="1"/>
      <w:numFmt w:val="bullet"/>
      <w:lvlText w:val=""/>
      <w:lvlJc w:val="left"/>
      <w:pPr>
        <w:tabs>
          <w:tab w:val="num" w:pos="3960"/>
        </w:tabs>
        <w:ind w:left="3960" w:hanging="360"/>
      </w:pPr>
      <w:rPr>
        <w:rFonts w:ascii="Wingdings" w:hAnsi="Wingdings" w:hint="default"/>
      </w:rPr>
    </w:lvl>
    <w:lvl w:ilvl="6" w:tplc="D3C02C0A" w:tentative="1">
      <w:start w:val="1"/>
      <w:numFmt w:val="bullet"/>
      <w:lvlText w:val=""/>
      <w:lvlJc w:val="left"/>
      <w:pPr>
        <w:tabs>
          <w:tab w:val="num" w:pos="4680"/>
        </w:tabs>
        <w:ind w:left="4680" w:hanging="360"/>
      </w:pPr>
      <w:rPr>
        <w:rFonts w:ascii="Symbol" w:hAnsi="Symbol" w:hint="default"/>
      </w:rPr>
    </w:lvl>
    <w:lvl w:ilvl="7" w:tplc="FC96A254" w:tentative="1">
      <w:start w:val="1"/>
      <w:numFmt w:val="bullet"/>
      <w:lvlText w:val="o"/>
      <w:lvlJc w:val="left"/>
      <w:pPr>
        <w:tabs>
          <w:tab w:val="num" w:pos="5400"/>
        </w:tabs>
        <w:ind w:left="5400" w:hanging="360"/>
      </w:pPr>
      <w:rPr>
        <w:rFonts w:ascii="Courier New" w:hAnsi="Courier New" w:cs="Consolas" w:hint="default"/>
      </w:rPr>
    </w:lvl>
    <w:lvl w:ilvl="8" w:tplc="1E88ADD4" w:tentative="1">
      <w:start w:val="1"/>
      <w:numFmt w:val="bullet"/>
      <w:lvlText w:val=""/>
      <w:lvlJc w:val="left"/>
      <w:pPr>
        <w:tabs>
          <w:tab w:val="num" w:pos="6120"/>
        </w:tabs>
        <w:ind w:left="6120" w:hanging="360"/>
      </w:pPr>
      <w:rPr>
        <w:rFonts w:ascii="Wingdings" w:hAnsi="Wingdings" w:hint="default"/>
      </w:rPr>
    </w:lvl>
  </w:abstractNum>
  <w:abstractNum w:abstractNumId="71">
    <w:nsid w:val="7CAA628E"/>
    <w:multiLevelType w:val="hybridMultilevel"/>
    <w:tmpl w:val="36EA3B62"/>
    <w:lvl w:ilvl="0" w:tplc="9D22A2B4">
      <w:start w:val="1"/>
      <w:numFmt w:val="bullet"/>
      <w:pStyle w:val="DashListLev4"/>
      <w:lvlText w:val=""/>
      <w:lvlJc w:val="left"/>
      <w:pPr>
        <w:tabs>
          <w:tab w:val="num" w:pos="720"/>
        </w:tabs>
        <w:ind w:left="720" w:hanging="360"/>
      </w:pPr>
      <w:rPr>
        <w:rFonts w:ascii="Symbol" w:hAnsi="Symbol" w:hint="default"/>
      </w:rPr>
    </w:lvl>
    <w:lvl w:ilvl="1" w:tplc="49721496" w:tentative="1">
      <w:start w:val="1"/>
      <w:numFmt w:val="bullet"/>
      <w:lvlText w:val="o"/>
      <w:lvlJc w:val="left"/>
      <w:pPr>
        <w:tabs>
          <w:tab w:val="num" w:pos="1440"/>
        </w:tabs>
        <w:ind w:left="1440" w:hanging="360"/>
      </w:pPr>
      <w:rPr>
        <w:rFonts w:ascii="Courier New" w:hAnsi="Courier New" w:cs="Consolas" w:hint="default"/>
      </w:rPr>
    </w:lvl>
    <w:lvl w:ilvl="2" w:tplc="049E9CF0" w:tentative="1">
      <w:start w:val="1"/>
      <w:numFmt w:val="bullet"/>
      <w:lvlText w:val=""/>
      <w:lvlJc w:val="left"/>
      <w:pPr>
        <w:tabs>
          <w:tab w:val="num" w:pos="2160"/>
        </w:tabs>
        <w:ind w:left="2160" w:hanging="360"/>
      </w:pPr>
      <w:rPr>
        <w:rFonts w:ascii="Wingdings" w:hAnsi="Wingdings" w:hint="default"/>
      </w:rPr>
    </w:lvl>
    <w:lvl w:ilvl="3" w:tplc="1F0EB0A4" w:tentative="1">
      <w:start w:val="1"/>
      <w:numFmt w:val="bullet"/>
      <w:lvlText w:val=""/>
      <w:lvlJc w:val="left"/>
      <w:pPr>
        <w:tabs>
          <w:tab w:val="num" w:pos="2880"/>
        </w:tabs>
        <w:ind w:left="2880" w:hanging="360"/>
      </w:pPr>
      <w:rPr>
        <w:rFonts w:ascii="Symbol" w:hAnsi="Symbol" w:hint="default"/>
      </w:rPr>
    </w:lvl>
    <w:lvl w:ilvl="4" w:tplc="2D184B3E" w:tentative="1">
      <w:start w:val="1"/>
      <w:numFmt w:val="bullet"/>
      <w:lvlText w:val="o"/>
      <w:lvlJc w:val="left"/>
      <w:pPr>
        <w:tabs>
          <w:tab w:val="num" w:pos="3600"/>
        </w:tabs>
        <w:ind w:left="3600" w:hanging="360"/>
      </w:pPr>
      <w:rPr>
        <w:rFonts w:ascii="Courier New" w:hAnsi="Courier New" w:cs="Consolas" w:hint="default"/>
      </w:rPr>
    </w:lvl>
    <w:lvl w:ilvl="5" w:tplc="1AB2A380" w:tentative="1">
      <w:start w:val="1"/>
      <w:numFmt w:val="bullet"/>
      <w:lvlText w:val=""/>
      <w:lvlJc w:val="left"/>
      <w:pPr>
        <w:tabs>
          <w:tab w:val="num" w:pos="4320"/>
        </w:tabs>
        <w:ind w:left="4320" w:hanging="360"/>
      </w:pPr>
      <w:rPr>
        <w:rFonts w:ascii="Wingdings" w:hAnsi="Wingdings" w:hint="default"/>
      </w:rPr>
    </w:lvl>
    <w:lvl w:ilvl="6" w:tplc="F4E82FFE" w:tentative="1">
      <w:start w:val="1"/>
      <w:numFmt w:val="bullet"/>
      <w:lvlText w:val=""/>
      <w:lvlJc w:val="left"/>
      <w:pPr>
        <w:tabs>
          <w:tab w:val="num" w:pos="5040"/>
        </w:tabs>
        <w:ind w:left="5040" w:hanging="360"/>
      </w:pPr>
      <w:rPr>
        <w:rFonts w:ascii="Symbol" w:hAnsi="Symbol" w:hint="default"/>
      </w:rPr>
    </w:lvl>
    <w:lvl w:ilvl="7" w:tplc="7E90F43A" w:tentative="1">
      <w:start w:val="1"/>
      <w:numFmt w:val="bullet"/>
      <w:lvlText w:val="o"/>
      <w:lvlJc w:val="left"/>
      <w:pPr>
        <w:tabs>
          <w:tab w:val="num" w:pos="5760"/>
        </w:tabs>
        <w:ind w:left="5760" w:hanging="360"/>
      </w:pPr>
      <w:rPr>
        <w:rFonts w:ascii="Courier New" w:hAnsi="Courier New" w:cs="Consolas" w:hint="default"/>
      </w:rPr>
    </w:lvl>
    <w:lvl w:ilvl="8" w:tplc="E1D675C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1"/>
  </w:num>
  <w:num w:numId="4">
    <w:abstractNumId w:val="42"/>
  </w:num>
  <w:num w:numId="5">
    <w:abstractNumId w:val="52"/>
  </w:num>
  <w:num w:numId="6">
    <w:abstractNumId w:val="68"/>
  </w:num>
  <w:num w:numId="7">
    <w:abstractNumId w:val="17"/>
  </w:num>
  <w:num w:numId="8">
    <w:abstractNumId w:val="53"/>
  </w:num>
  <w:num w:numId="9">
    <w:abstractNumId w:val="5"/>
  </w:num>
  <w:num w:numId="10">
    <w:abstractNumId w:val="20"/>
  </w:num>
  <w:num w:numId="11">
    <w:abstractNumId w:val="60"/>
  </w:num>
  <w:num w:numId="12">
    <w:abstractNumId w:val="56"/>
  </w:num>
  <w:num w:numId="13">
    <w:abstractNumId w:val="23"/>
  </w:num>
  <w:num w:numId="14">
    <w:abstractNumId w:val="31"/>
  </w:num>
  <w:num w:numId="15">
    <w:abstractNumId w:val="67"/>
  </w:num>
  <w:num w:numId="16">
    <w:abstractNumId w:val="47"/>
  </w:num>
  <w:num w:numId="17">
    <w:abstractNumId w:val="55"/>
  </w:num>
  <w:num w:numId="18">
    <w:abstractNumId w:val="41"/>
  </w:num>
  <w:num w:numId="19">
    <w:abstractNumId w:val="61"/>
  </w:num>
  <w:num w:numId="20">
    <w:abstractNumId w:val="14"/>
  </w:num>
  <w:num w:numId="21">
    <w:abstractNumId w:val="34"/>
  </w:num>
  <w:num w:numId="2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54"/>
  </w:num>
  <w:num w:numId="25">
    <w:abstractNumId w:val="48"/>
  </w:num>
  <w:num w:numId="26">
    <w:abstractNumId w:val="49"/>
  </w:num>
  <w:num w:numId="27">
    <w:abstractNumId w:val="8"/>
  </w:num>
  <w:num w:numId="28">
    <w:abstractNumId w:val="62"/>
  </w:num>
  <w:num w:numId="29">
    <w:abstractNumId w:val="64"/>
  </w:num>
  <w:num w:numId="30">
    <w:abstractNumId w:val="19"/>
  </w:num>
  <w:num w:numId="31">
    <w:abstractNumId w:val="29"/>
  </w:num>
  <w:num w:numId="32">
    <w:abstractNumId w:val="45"/>
  </w:num>
  <w:num w:numId="33">
    <w:abstractNumId w:val="39"/>
  </w:num>
  <w:num w:numId="34">
    <w:abstractNumId w:val="30"/>
  </w:num>
  <w:num w:numId="35">
    <w:abstractNumId w:val="35"/>
  </w:num>
  <w:num w:numId="36">
    <w:abstractNumId w:val="13"/>
  </w:num>
  <w:num w:numId="37">
    <w:abstractNumId w:val="7"/>
  </w:num>
  <w:num w:numId="38">
    <w:abstractNumId w:val="71"/>
  </w:num>
  <w:num w:numId="39">
    <w:abstractNumId w:val="58"/>
  </w:num>
  <w:num w:numId="40">
    <w:abstractNumId w:val="37"/>
  </w:num>
  <w:num w:numId="41">
    <w:abstractNumId w:val="9"/>
  </w:num>
  <w:num w:numId="42">
    <w:abstractNumId w:val="66"/>
  </w:num>
  <w:num w:numId="43">
    <w:abstractNumId w:val="57"/>
  </w:num>
  <w:num w:numId="44">
    <w:abstractNumId w:val="25"/>
  </w:num>
  <w:num w:numId="45">
    <w:abstractNumId w:val="70"/>
  </w:num>
  <w:num w:numId="46">
    <w:abstractNumId w:val="26"/>
  </w:num>
  <w:num w:numId="47">
    <w:abstractNumId w:val="51"/>
  </w:num>
  <w:num w:numId="48">
    <w:abstractNumId w:val="59"/>
  </w:num>
  <w:num w:numId="49">
    <w:abstractNumId w:val="69"/>
  </w:num>
  <w:num w:numId="50">
    <w:abstractNumId w:val="36"/>
  </w:num>
  <w:num w:numId="51">
    <w:abstractNumId w:val="15"/>
  </w:num>
  <w:num w:numId="52">
    <w:abstractNumId w:val="46"/>
  </w:num>
  <w:num w:numId="53">
    <w:abstractNumId w:val="63"/>
  </w:num>
  <w:num w:numId="54">
    <w:abstractNumId w:val="21"/>
  </w:num>
  <w:num w:numId="55">
    <w:abstractNumId w:val="6"/>
  </w:num>
  <w:num w:numId="56">
    <w:abstractNumId w:val="10"/>
  </w:num>
  <w:num w:numId="57">
    <w:abstractNumId w:val="43"/>
  </w:num>
  <w:num w:numId="58">
    <w:abstractNumId w:val="3"/>
  </w:num>
  <w:num w:numId="59">
    <w:abstractNumId w:val="32"/>
  </w:num>
  <w:num w:numId="60">
    <w:abstractNumId w:val="50"/>
  </w:num>
  <w:num w:numId="61">
    <w:abstractNumId w:val="12"/>
  </w:num>
  <w:num w:numId="62">
    <w:abstractNumId w:val="40"/>
  </w:num>
  <w:num w:numId="63">
    <w:abstractNumId w:val="44"/>
  </w:num>
  <w:num w:numId="64">
    <w:abstractNumId w:val="24"/>
  </w:num>
  <w:num w:numId="65">
    <w:abstractNumId w:val="0"/>
  </w:num>
  <w:num w:numId="66">
    <w:abstractNumId w:val="33"/>
  </w:num>
  <w:num w:numId="67">
    <w:abstractNumId w:val="65"/>
  </w:num>
  <w:num w:numId="68">
    <w:abstractNumId w:val="18"/>
  </w:num>
  <w:num w:numId="69">
    <w:abstractNumId w:val="16"/>
  </w:num>
  <w:num w:numId="70">
    <w:abstractNumId w:val="22"/>
  </w:num>
  <w:num w:numId="71">
    <w:abstractNumId w:val="11"/>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anion, Bella">
    <w15:presenceInfo w15:providerId="AD" w15:userId="S-1-5-21-1339303556-449845944-1601390327-145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hideSpellingErrors/>
  <w:activeWritingStyle w:appName="MSWord" w:lang="en-GB" w:vendorID="6" w:dllVersion="2" w:checkStyle="1"/>
  <w:activeWritingStyle w:appName="MSWord" w:lang="en-GB" w:vendorID="5" w:dllVersion="2"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nl-NL" w:vendorID="1" w:dllVersion="512" w:checkStyle="1"/>
  <w:activeWritingStyle w:appName="MSWord" w:lang="en-NZ" w:vendorID="8" w:dllVersion="513" w:checkStyle="1"/>
  <w:activeWritingStyle w:appName="MSWord" w:lang="en-CA" w:vendorID="8" w:dllVersion="513" w:checkStyle="1"/>
  <w:activeWritingStyle w:appName="MSWord" w:lang="en-029" w:vendorID="8" w:dllVersion="513" w:checkStyle="1"/>
  <w:activeWritingStyle w:appName="MSWord" w:lang="en-ZA" w:vendorID="8" w:dllVersion="513" w:checkStyle="1"/>
  <w:activeWritingStyle w:appName="MSWord" w:lang="it-IT" w:vendorID="3" w:dllVersion="517" w:checkStyle="1"/>
  <w:attachedTemplate r:id="rId1"/>
  <w:defaultTabStop w:val="108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967"/>
    <w:rsid w:val="00003F99"/>
    <w:rsid w:val="00011693"/>
    <w:rsid w:val="00035756"/>
    <w:rsid w:val="00050238"/>
    <w:rsid w:val="00054011"/>
    <w:rsid w:val="00071E26"/>
    <w:rsid w:val="000853E4"/>
    <w:rsid w:val="000A0CDC"/>
    <w:rsid w:val="000A35BA"/>
    <w:rsid w:val="000B112E"/>
    <w:rsid w:val="000C1A06"/>
    <w:rsid w:val="000C7EFA"/>
    <w:rsid w:val="001016FF"/>
    <w:rsid w:val="00115DB4"/>
    <w:rsid w:val="00135F4F"/>
    <w:rsid w:val="00165E88"/>
    <w:rsid w:val="00166B94"/>
    <w:rsid w:val="001966C9"/>
    <w:rsid w:val="001A03FB"/>
    <w:rsid w:val="001A501A"/>
    <w:rsid w:val="001D3775"/>
    <w:rsid w:val="001E6351"/>
    <w:rsid w:val="001F0D0D"/>
    <w:rsid w:val="00203E52"/>
    <w:rsid w:val="00214CD9"/>
    <w:rsid w:val="002203A5"/>
    <w:rsid w:val="002210A2"/>
    <w:rsid w:val="002216FF"/>
    <w:rsid w:val="00230CEE"/>
    <w:rsid w:val="00240812"/>
    <w:rsid w:val="00255612"/>
    <w:rsid w:val="002635F7"/>
    <w:rsid w:val="002B7818"/>
    <w:rsid w:val="002D15FF"/>
    <w:rsid w:val="002D1FC6"/>
    <w:rsid w:val="0030141E"/>
    <w:rsid w:val="00302856"/>
    <w:rsid w:val="00326F62"/>
    <w:rsid w:val="0033796A"/>
    <w:rsid w:val="00343A2F"/>
    <w:rsid w:val="00350B22"/>
    <w:rsid w:val="003514D8"/>
    <w:rsid w:val="003723F5"/>
    <w:rsid w:val="00393F63"/>
    <w:rsid w:val="003A02B3"/>
    <w:rsid w:val="003A706C"/>
    <w:rsid w:val="003F20B7"/>
    <w:rsid w:val="004463D8"/>
    <w:rsid w:val="00494A75"/>
    <w:rsid w:val="004B10C9"/>
    <w:rsid w:val="004B466D"/>
    <w:rsid w:val="004C4B88"/>
    <w:rsid w:val="004D6002"/>
    <w:rsid w:val="00526B70"/>
    <w:rsid w:val="00537A3B"/>
    <w:rsid w:val="00591AA8"/>
    <w:rsid w:val="005A7240"/>
    <w:rsid w:val="005B1FC8"/>
    <w:rsid w:val="005C77D9"/>
    <w:rsid w:val="00604D11"/>
    <w:rsid w:val="006077BC"/>
    <w:rsid w:val="00640263"/>
    <w:rsid w:val="00644510"/>
    <w:rsid w:val="00664765"/>
    <w:rsid w:val="00687DCE"/>
    <w:rsid w:val="006F1F1D"/>
    <w:rsid w:val="006F33D8"/>
    <w:rsid w:val="006F5B91"/>
    <w:rsid w:val="00702336"/>
    <w:rsid w:val="00725450"/>
    <w:rsid w:val="00727F81"/>
    <w:rsid w:val="00741C5D"/>
    <w:rsid w:val="00766033"/>
    <w:rsid w:val="00793810"/>
    <w:rsid w:val="007D7F62"/>
    <w:rsid w:val="007F78CB"/>
    <w:rsid w:val="008100AC"/>
    <w:rsid w:val="00841011"/>
    <w:rsid w:val="008522C0"/>
    <w:rsid w:val="008530E3"/>
    <w:rsid w:val="0086014F"/>
    <w:rsid w:val="00862BA7"/>
    <w:rsid w:val="008754D6"/>
    <w:rsid w:val="00882312"/>
    <w:rsid w:val="00892D99"/>
    <w:rsid w:val="008A683D"/>
    <w:rsid w:val="008B329D"/>
    <w:rsid w:val="008C3A0C"/>
    <w:rsid w:val="00914F15"/>
    <w:rsid w:val="009224F6"/>
    <w:rsid w:val="00934436"/>
    <w:rsid w:val="009403A3"/>
    <w:rsid w:val="00944592"/>
    <w:rsid w:val="0095076E"/>
    <w:rsid w:val="009947B5"/>
    <w:rsid w:val="009963E3"/>
    <w:rsid w:val="0099794D"/>
    <w:rsid w:val="009B3CF6"/>
    <w:rsid w:val="009B498E"/>
    <w:rsid w:val="009C2717"/>
    <w:rsid w:val="009C72E2"/>
    <w:rsid w:val="00A07D31"/>
    <w:rsid w:val="00A12A40"/>
    <w:rsid w:val="00A47D9E"/>
    <w:rsid w:val="00A753C9"/>
    <w:rsid w:val="00A8345B"/>
    <w:rsid w:val="00AB5433"/>
    <w:rsid w:val="00AB5696"/>
    <w:rsid w:val="00AD33E5"/>
    <w:rsid w:val="00AD4B2A"/>
    <w:rsid w:val="00B00967"/>
    <w:rsid w:val="00B25ED1"/>
    <w:rsid w:val="00B41212"/>
    <w:rsid w:val="00B42070"/>
    <w:rsid w:val="00B77294"/>
    <w:rsid w:val="00B92517"/>
    <w:rsid w:val="00BA2B00"/>
    <w:rsid w:val="00BB5801"/>
    <w:rsid w:val="00BB5ABE"/>
    <w:rsid w:val="00BC1D91"/>
    <w:rsid w:val="00CA5E9C"/>
    <w:rsid w:val="00D14238"/>
    <w:rsid w:val="00D15CC2"/>
    <w:rsid w:val="00D243B1"/>
    <w:rsid w:val="00D445FC"/>
    <w:rsid w:val="00D44C95"/>
    <w:rsid w:val="00D46945"/>
    <w:rsid w:val="00D75C0B"/>
    <w:rsid w:val="00D763B0"/>
    <w:rsid w:val="00DE227A"/>
    <w:rsid w:val="00DE618A"/>
    <w:rsid w:val="00E15FE9"/>
    <w:rsid w:val="00E36F5A"/>
    <w:rsid w:val="00E54C2F"/>
    <w:rsid w:val="00E5540A"/>
    <w:rsid w:val="00E57ABC"/>
    <w:rsid w:val="00E73B08"/>
    <w:rsid w:val="00EA689F"/>
    <w:rsid w:val="00EC67F3"/>
    <w:rsid w:val="00F12A62"/>
    <w:rsid w:val="00F21FFB"/>
    <w:rsid w:val="00F2315C"/>
    <w:rsid w:val="00F35D24"/>
    <w:rsid w:val="00F46063"/>
    <w:rsid w:val="00F5693D"/>
    <w:rsid w:val="00F8137D"/>
    <w:rsid w:val="00F95F7D"/>
    <w:rsid w:val="00F96A33"/>
    <w:rsid w:val="00FD265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5B40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35" w:unhideWhenUsed="0" w:qFormat="1"/>
    <w:lsdException w:name="footnote reference" w:uiPriority="0"/>
    <w:lsdException w:name="line number" w:uiPriority="0"/>
    <w:lsdException w:name="page number" w:uiPriority="0"/>
    <w:lsdException w:name="endnote reference" w:uiPriority="0"/>
    <w:lsdException w:name="List Bullet" w:uiPriority="0"/>
    <w:lsdException w:name="List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autoRedefine/>
    <w:uiPriority w:val="9"/>
    <w:qFormat/>
    <w:rsid w:val="0030141E"/>
    <w:pPr>
      <w:keepNext/>
      <w:spacing w:before="120"/>
      <w:ind w:left="1080" w:hanging="1080"/>
      <w:outlineLvl w:val="0"/>
    </w:pPr>
    <w:rPr>
      <w:b/>
      <w:sz w:val="28"/>
    </w:rPr>
  </w:style>
  <w:style w:type="paragraph" w:styleId="Heading2">
    <w:name w:val="heading 2"/>
    <w:aliases w:val="SubPara (a),Heading 2 Char1 Char,SubPara (a) Char1 Char,Heading 2 Char3 Char Char,Heading 2 Char Char2 Char Char,Heading 2 Char1 Char Char1 Char Char,SubPara (a) Char Char Char1 Char Char,Heading 2 Char Char Char Char1 Char Char,Heading 2 C..."/>
    <w:basedOn w:val="Heading1"/>
    <w:next w:val="Normal"/>
    <w:autoRedefine/>
    <w:uiPriority w:val="9"/>
    <w:qFormat/>
    <w:rsid w:val="002B7818"/>
    <w:pPr>
      <w:widowControl w:val="0"/>
      <w:autoSpaceDE w:val="0"/>
      <w:autoSpaceDN w:val="0"/>
      <w:adjustRightInd w:val="0"/>
      <w:spacing w:before="0" w:after="120"/>
      <w:ind w:left="0" w:right="29" w:firstLine="0"/>
      <w:jc w:val="both"/>
      <w:outlineLvl w:val="1"/>
    </w:pPr>
    <w:rPr>
      <w:rFonts w:ascii="Tahoma" w:eastAsia="MS Mincho" w:hAnsi="Tahoma" w:cs="Tahoma"/>
      <w:snapToGrid w:val="0"/>
      <w:color w:val="auto"/>
      <w:sz w:val="20"/>
      <w:szCs w:val="22"/>
      <w:lang w:val="en-US" w:eastAsia="en-US"/>
    </w:rPr>
  </w:style>
  <w:style w:type="paragraph" w:styleId="Heading3">
    <w:name w:val="heading 3"/>
    <w:aliases w:val="Heading 3 Char1 Char,Heading 3 Char Char Char,Char Char Char Char,Char Char1 Char,Sec"/>
    <w:basedOn w:val="Heading2"/>
    <w:next w:val="Normal"/>
    <w:uiPriority w:val="9"/>
    <w:qFormat/>
    <w:pPr>
      <w:keepLines/>
      <w:tabs>
        <w:tab w:val="left" w:pos="1080"/>
      </w:tabs>
      <w:spacing w:before="120"/>
      <w:outlineLvl w:val="2"/>
    </w:pPr>
    <w:rPr>
      <w:b w:val="0"/>
      <w:i/>
    </w:rPr>
  </w:style>
  <w:style w:type="paragraph" w:styleId="Heading4">
    <w:name w:val="heading 4"/>
    <w:aliases w:val="MainPara"/>
    <w:basedOn w:val="Heading3"/>
    <w:next w:val="Normal"/>
    <w:autoRedefine/>
    <w:qFormat/>
    <w:rsid w:val="001E6351"/>
    <w:pPr>
      <w:keepLines w:val="0"/>
      <w:numPr>
        <w:ilvl w:val="3"/>
        <w:numId w:val="63"/>
      </w:numPr>
      <w:tabs>
        <w:tab w:val="left" w:pos="720"/>
      </w:tabs>
      <w:autoSpaceDE/>
      <w:autoSpaceDN/>
      <w:adjustRightInd/>
      <w:spacing w:before="0" w:after="60" w:line="276" w:lineRule="auto"/>
      <w:ind w:right="0"/>
      <w:outlineLvl w:val="3"/>
    </w:pPr>
    <w:rPr>
      <w:b/>
      <w:i w:val="0"/>
    </w:rPr>
  </w:style>
  <w:style w:type="paragraph" w:styleId="Heading5">
    <w:name w:val="heading 5"/>
    <w:aliases w:val="Subpara 2"/>
    <w:basedOn w:val="Heading1"/>
    <w:next w:val="Normal"/>
    <w:uiPriority w:val="9"/>
    <w:qFormat/>
    <w:pPr>
      <w:widowControl w:val="0"/>
      <w:ind w:left="1008" w:firstLine="0"/>
      <w:outlineLvl w:val="4"/>
    </w:pPr>
    <w:rPr>
      <w:b w:val="0"/>
      <w:i/>
      <w:sz w:val="22"/>
    </w:rPr>
  </w:style>
  <w:style w:type="paragraph" w:styleId="Heading6">
    <w:name w:val="heading 6"/>
    <w:aliases w:val="Subpara 3"/>
    <w:basedOn w:val="Normal"/>
    <w:next w:val="Normal"/>
    <w:uiPriority w:val="9"/>
    <w:qFormat/>
    <w:pPr>
      <w:keepNext/>
      <w:tabs>
        <w:tab w:val="left" w:pos="230"/>
        <w:tab w:val="left" w:pos="1877"/>
      </w:tabs>
      <w:spacing w:before="48"/>
      <w:outlineLvl w:val="5"/>
    </w:pPr>
  </w:style>
  <w:style w:type="paragraph" w:styleId="Heading7">
    <w:name w:val="heading 7"/>
    <w:aliases w:val="Subpara 4"/>
    <w:basedOn w:val="Normal"/>
    <w:next w:val="Normal"/>
    <w:uiPriority w:val="9"/>
    <w:qFormat/>
    <w:pPr>
      <w:keepNext/>
      <w:numPr>
        <w:ilvl w:val="6"/>
        <w:numId w:val="6"/>
      </w:numPr>
      <w:spacing w:before="48"/>
      <w:jc w:val="center"/>
      <w:outlineLvl w:val="6"/>
    </w:pPr>
    <w:rPr>
      <w:b/>
    </w:rPr>
  </w:style>
  <w:style w:type="paragraph" w:styleId="Heading8">
    <w:name w:val="heading 8"/>
    <w:aliases w:val="Subpara 5"/>
    <w:basedOn w:val="Normal"/>
    <w:next w:val="Normal"/>
    <w:uiPriority w:val="9"/>
    <w:qFormat/>
    <w:pPr>
      <w:keepNext/>
      <w:numPr>
        <w:ilvl w:val="7"/>
        <w:numId w:val="6"/>
      </w:numPr>
      <w:tabs>
        <w:tab w:val="left" w:pos="2160"/>
        <w:tab w:val="left" w:pos="2880"/>
        <w:tab w:val="left" w:pos="3600"/>
        <w:tab w:val="left" w:pos="6480"/>
        <w:tab w:val="left" w:pos="7290"/>
        <w:tab w:val="left" w:pos="7920"/>
        <w:tab w:val="left" w:pos="8640"/>
      </w:tabs>
      <w:spacing w:line="240" w:lineRule="exact"/>
      <w:outlineLvl w:val="7"/>
    </w:pPr>
    <w:rPr>
      <w:b/>
    </w:rPr>
  </w:style>
  <w:style w:type="paragraph" w:styleId="Heading9">
    <w:name w:val="heading 9"/>
    <w:aliases w:val="Subpara 6"/>
    <w:basedOn w:val="Normal"/>
    <w:next w:val="Normal"/>
    <w:uiPriority w:val="9"/>
    <w:qFormat/>
    <w:pPr>
      <w:keepNext/>
      <w:numPr>
        <w:ilvl w:val="8"/>
        <w:numId w:val="6"/>
      </w:numPr>
      <w:spacing w:line="240" w:lineRule="atLeas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
    <w:name w:val="Char Char2"/>
    <w:locked/>
    <w:rPr>
      <w:b/>
      <w:noProof w:val="0"/>
      <w:color w:val="000000"/>
      <w:sz w:val="28"/>
      <w:lang w:val="en-GB" w:eastAsia="zh-CN" w:bidi="ar-SA"/>
    </w:rPr>
  </w:style>
  <w:style w:type="character" w:customStyle="1" w:styleId="SubParaaCharChar">
    <w:name w:val="SubPara (a) Char Char"/>
    <w:rPr>
      <w:b/>
      <w:noProof w:val="0"/>
      <w:snapToGrid w:val="0"/>
      <w:color w:val="000000"/>
      <w:sz w:val="24"/>
      <w:szCs w:val="24"/>
      <w:lang w:val="en-GB" w:eastAsia="zh-CN" w:bidi="ar-SA"/>
    </w:rPr>
  </w:style>
  <w:style w:type="paragraph" w:styleId="BodyText">
    <w:name w:val="Body Text"/>
    <w:aliases w:val=" Char Char,Char Char,Body Text Char Char Char Char Char,Body Text Char Char Char Char"/>
    <w:basedOn w:val="Normal"/>
    <w:pPr>
      <w:spacing w:line="240" w:lineRule="atLeast"/>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Header">
    <w:name w:val="header"/>
    <w:aliases w:val="EthylHeader"/>
    <w:basedOn w:val="Normal"/>
    <w:uiPriority w:val="99"/>
    <w:pPr>
      <w:tabs>
        <w:tab w:val="center" w:pos="4320"/>
        <w:tab w:val="right" w:pos="8640"/>
      </w:tabs>
    </w:pPr>
  </w:style>
  <w:style w:type="paragraph" w:customStyle="1" w:styleId="ChapterHeading">
    <w:name w:val="Chapter Heading"/>
    <w:basedOn w:val="Heading1"/>
    <w:pPr>
      <w:keepNext w:val="0"/>
      <w:keepLines/>
      <w:ind w:left="2520" w:hanging="1440"/>
    </w:pPr>
    <w:rPr>
      <w:sz w:val="32"/>
    </w:rPr>
  </w:style>
  <w:style w:type="paragraph" w:customStyle="1" w:styleId="Bullet">
    <w:name w:val="Bullet"/>
    <w:basedOn w:val="Normal"/>
    <w:pPr>
      <w:numPr>
        <w:numId w:val="1"/>
      </w:numPr>
      <w:tabs>
        <w:tab w:val="left" w:pos="1531"/>
      </w:tabs>
      <w:spacing w:before="60" w:after="60"/>
    </w:pPr>
  </w:style>
  <w:style w:type="character" w:styleId="FootnoteReference">
    <w:name w:val="footnote reference"/>
    <w:aliases w:val="Footnote text,16 Point,Superscript 6 Point,number,Footnote reference number,Footnote symbol,note TESI,-E Fußnotenzeichen,SUPERS,stylish,ftref,Footnote Reference Superscript,-E Fuﬂnotenzeichen,-E Fuûnotenzeichen"/>
    <w:semiHidden/>
    <w:rPr>
      <w:vertAlign w:val="superscript"/>
    </w:rPr>
  </w:style>
  <w:style w:type="paragraph" w:styleId="ListBullet">
    <w:name w:val="List Bullet"/>
    <w:basedOn w:val="Normal"/>
    <w:pPr>
      <w:widowControl w:val="0"/>
      <w:ind w:left="425" w:hanging="425"/>
    </w:pPr>
    <w:rPr>
      <w:color w:val="auto"/>
    </w:rPr>
  </w:style>
  <w:style w:type="paragraph" w:styleId="ListNumber">
    <w:name w:val="List Number"/>
    <w:basedOn w:val="Normal"/>
    <w:pPr>
      <w:widowControl w:val="0"/>
      <w:spacing w:before="120"/>
      <w:ind w:left="1512" w:hanging="432"/>
    </w:pPr>
    <w:rPr>
      <w:color w:val="auto"/>
    </w:rPr>
  </w:style>
  <w:style w:type="paragraph" w:styleId="FootnoteText">
    <w:name w:val="footnote text"/>
    <w:aliases w:val="Geneva 9,Font: Geneva 9,Boston 10,f,Fußnotentextf,-E Fußnotentext,Fußnotentext Ursprung,-E Fußnotentext1,-E Fußnotentext2,-E Fußnotentext3,Fußnotentext Char1,Fußnotentext Char Char,Fußnotentext Char1 Char Char"/>
    <w:basedOn w:val="Normal"/>
    <w:pPr>
      <w:widowControl w:val="0"/>
    </w:pPr>
    <w:rPr>
      <w:color w:val="auto"/>
      <w:sz w:val="20"/>
    </w:rPr>
  </w:style>
  <w:style w:type="paragraph" w:styleId="BodyTextIndent">
    <w:name w:val="Body Text Indent"/>
    <w:basedOn w:val="Normal"/>
    <w:pPr>
      <w:spacing w:line="240" w:lineRule="atLeast"/>
      <w:ind w:left="2127" w:hanging="993"/>
    </w:pPr>
  </w:style>
  <w:style w:type="character" w:styleId="LineNumber">
    <w:name w:val="line number"/>
    <w:basedOn w:val="DefaultParagraphFont"/>
  </w:style>
  <w:style w:type="paragraph" w:customStyle="1" w:styleId="SummaryShading">
    <w:name w:val="Summary Shading"/>
    <w:basedOn w:val="Normal"/>
    <w:pPr>
      <w:shd w:val="pct5" w:color="808080" w:fill="auto"/>
      <w:spacing w:before="120" w:after="120"/>
      <w:jc w:val="both"/>
    </w:pPr>
    <w:rPr>
      <w:rFonts w:ascii="Garamond" w:hAnsi="Garamond"/>
      <w:color w:val="auto"/>
    </w:rPr>
  </w:style>
  <w:style w:type="paragraph" w:customStyle="1" w:styleId="MainText">
    <w:name w:val="Main Text"/>
    <w:pPr>
      <w:widowControl w:val="0"/>
      <w:spacing w:line="240" w:lineRule="exact"/>
      <w:ind w:left="567" w:hanging="567"/>
    </w:pPr>
    <w:rPr>
      <w:color w:val="000000"/>
      <w:lang w:val="en-US" w:eastAsia="zh-CN"/>
    </w:rPr>
  </w:style>
  <w:style w:type="paragraph" w:customStyle="1" w:styleId="Paragraph">
    <w:name w:val="Paragraph"/>
    <w:basedOn w:val="Normal"/>
    <w:pPr>
      <w:spacing w:before="120" w:after="120"/>
      <w:jc w:val="both"/>
    </w:pPr>
    <w:rPr>
      <w:rFonts w:ascii="Garamond" w:hAnsi="Garamond"/>
      <w:lang w:val="de-DE"/>
    </w:rPr>
  </w:style>
  <w:style w:type="paragraph" w:customStyle="1" w:styleId="DotPoints">
    <w:name w:val="Dot Points"/>
    <w:basedOn w:val="Normal"/>
    <w:pPr>
      <w:spacing w:after="60"/>
      <w:ind w:left="709" w:right="284" w:hanging="284"/>
      <w:jc w:val="both"/>
    </w:pPr>
    <w:rPr>
      <w:rFonts w:ascii="Garamond" w:hAnsi="Garamond"/>
      <w:color w:val="auto"/>
    </w:rPr>
  </w:style>
  <w:style w:type="paragraph" w:customStyle="1" w:styleId="Style1">
    <w:name w:val="Style1"/>
    <w:basedOn w:val="Normal"/>
    <w:link w:val="Style1Char"/>
    <w:qFormat/>
    <w:pPr>
      <w:spacing w:before="120" w:after="120" w:line="360" w:lineRule="auto"/>
    </w:pPr>
    <w:rPr>
      <w:rFonts w:ascii="Garamond" w:hAnsi="Garamond"/>
      <w:color w:val="auto"/>
      <w:lang w:val="en-AU"/>
    </w:rPr>
  </w:style>
  <w:style w:type="paragraph" w:customStyle="1" w:styleId="TableColumnHeading">
    <w:name w:val="Table Column Heading"/>
    <w:basedOn w:val="Normal"/>
    <w:pPr>
      <w:spacing w:before="80" w:after="120"/>
      <w:jc w:val="center"/>
    </w:pPr>
    <w:rPr>
      <w:rFonts w:ascii="Arial Narrow" w:hAnsi="Arial Narrow"/>
      <w:b/>
      <w:color w:val="auto"/>
      <w:sz w:val="20"/>
    </w:rPr>
  </w:style>
  <w:style w:type="paragraph" w:customStyle="1" w:styleId="TableDetails">
    <w:name w:val="Table Details"/>
    <w:basedOn w:val="Normal"/>
    <w:pPr>
      <w:spacing w:before="60" w:after="60"/>
      <w:ind w:left="113" w:right="113"/>
      <w:jc w:val="both"/>
    </w:pPr>
    <w:rPr>
      <w:rFonts w:ascii="Arial Narrow" w:hAnsi="Arial Narrow"/>
      <w:color w:val="auto"/>
      <w:sz w:val="20"/>
    </w:rPr>
  </w:style>
  <w:style w:type="paragraph" w:customStyle="1" w:styleId="TableHeading">
    <w:name w:val="Table Heading"/>
    <w:basedOn w:val="Normal"/>
    <w:pPr>
      <w:spacing w:before="120" w:after="120"/>
      <w:ind w:left="1134" w:hanging="1134"/>
      <w:jc w:val="both"/>
    </w:pPr>
    <w:rPr>
      <w:rFonts w:ascii="Arial" w:hAnsi="Arial"/>
      <w:b/>
      <w:color w:val="auto"/>
      <w:sz w:val="20"/>
    </w:rPr>
  </w:style>
  <w:style w:type="paragraph" w:customStyle="1" w:styleId="References">
    <w:name w:val="References"/>
    <w:basedOn w:val="Normal"/>
    <w:pPr>
      <w:keepLines/>
      <w:spacing w:before="60" w:after="60"/>
      <w:ind w:left="1134" w:hanging="1134"/>
      <w:jc w:val="both"/>
    </w:pPr>
    <w:rPr>
      <w:rFonts w:ascii="Garamond" w:hAnsi="Garamond"/>
      <w:color w:val="auto"/>
      <w:sz w:val="20"/>
    </w:rPr>
  </w:style>
  <w:style w:type="character" w:styleId="Hyperlink">
    <w:name w:val="Hyperlink"/>
    <w:uiPriority w:val="99"/>
    <w:rPr>
      <w:color w:val="0000FF"/>
      <w:u w:val="single"/>
    </w:rPr>
  </w:style>
  <w:style w:type="paragraph" w:styleId="Caption">
    <w:name w:val="caption"/>
    <w:basedOn w:val="Normal"/>
    <w:next w:val="Normal"/>
    <w:uiPriority w:val="35"/>
    <w:qFormat/>
    <w:pPr>
      <w:spacing w:line="240" w:lineRule="atLeast"/>
      <w:ind w:left="1077"/>
    </w:pPr>
    <w:rPr>
      <w:i/>
    </w:rPr>
  </w:style>
  <w:style w:type="character" w:styleId="CommentReference">
    <w:name w:val="annotation reference"/>
    <w:uiPriority w:val="99"/>
    <w:semiHidden/>
    <w:rPr>
      <w:sz w:val="16"/>
    </w:rPr>
  </w:style>
  <w:style w:type="paragraph" w:styleId="CommentText">
    <w:name w:val="annotation text"/>
    <w:basedOn w:val="Normal"/>
    <w:uiPriority w:val="99"/>
    <w:semiHidden/>
    <w:pPr>
      <w:widowControl w:val="0"/>
    </w:pPr>
    <w:rPr>
      <w:rFonts w:ascii="Arial" w:hAnsi="Arial"/>
      <w:color w:val="auto"/>
      <w:sz w:val="20"/>
    </w:rPr>
  </w:style>
  <w:style w:type="character" w:customStyle="1" w:styleId="CharChar1">
    <w:name w:val="Char Char1"/>
    <w:rPr>
      <w:rFonts w:ascii="Arial" w:hAnsi="Arial"/>
      <w:noProof w:val="0"/>
      <w:lang w:val="en-GB" w:eastAsia="zh-CN" w:bidi="ar-SA"/>
    </w:rPr>
  </w:style>
  <w:style w:type="paragraph" w:styleId="TOC1">
    <w:name w:val="toc 1"/>
    <w:basedOn w:val="Normal"/>
    <w:next w:val="Normal"/>
    <w:autoRedefine/>
    <w:uiPriority w:val="39"/>
    <w:qFormat/>
    <w:pPr>
      <w:keepNext/>
      <w:keepLines/>
      <w:tabs>
        <w:tab w:val="left" w:pos="1134"/>
        <w:tab w:val="right" w:leader="dot" w:pos="8640"/>
      </w:tabs>
      <w:spacing w:before="120" w:after="120"/>
      <w:ind w:left="1134" w:hanging="1134"/>
    </w:pPr>
    <w:rPr>
      <w:rFonts w:ascii="Times New Roman Bold" w:hAnsi="Times New Roman Bold"/>
      <w:b/>
      <w:caps/>
      <w:noProof/>
      <w:sz w:val="20"/>
    </w:rPr>
  </w:style>
  <w:style w:type="paragraph" w:styleId="TOC2">
    <w:name w:val="toc 2"/>
    <w:basedOn w:val="Normal"/>
    <w:next w:val="Normal"/>
    <w:autoRedefine/>
    <w:uiPriority w:val="39"/>
    <w:qFormat/>
    <w:rsid w:val="00F12A62"/>
    <w:pPr>
      <w:tabs>
        <w:tab w:val="left" w:pos="1134"/>
        <w:tab w:val="right" w:leader="dot" w:pos="8640"/>
      </w:tabs>
      <w:spacing w:before="20" w:after="20"/>
      <w:ind w:left="1145" w:right="720" w:hanging="907"/>
      <w:jc w:val="center"/>
    </w:pPr>
    <w:rPr>
      <w:smallCaps/>
      <w:noProof/>
      <w:sz w:val="20"/>
    </w:rPr>
  </w:style>
  <w:style w:type="paragraph" w:styleId="TOC3">
    <w:name w:val="toc 3"/>
    <w:basedOn w:val="Normal"/>
    <w:next w:val="Normal"/>
    <w:autoRedefine/>
    <w:uiPriority w:val="39"/>
    <w:qFormat/>
    <w:pPr>
      <w:tabs>
        <w:tab w:val="left" w:pos="1134"/>
        <w:tab w:val="right" w:leader="dot" w:pos="8640"/>
      </w:tabs>
      <w:spacing w:after="0"/>
      <w:ind w:left="1134" w:right="737" w:hanging="680"/>
    </w:pPr>
    <w:rPr>
      <w:i/>
      <w:noProof/>
      <w:sz w:val="20"/>
    </w:rPr>
  </w:style>
  <w:style w:type="paragraph" w:styleId="TOC4">
    <w:name w:val="toc 4"/>
    <w:basedOn w:val="Normal"/>
    <w:next w:val="Normal"/>
    <w:autoRedefine/>
    <w:uiPriority w:val="39"/>
    <w:pPr>
      <w:tabs>
        <w:tab w:val="left" w:pos="1440"/>
        <w:tab w:val="right" w:leader="dot" w:pos="8640"/>
      </w:tabs>
      <w:spacing w:after="0"/>
      <w:ind w:left="1440" w:right="722" w:hanging="720"/>
    </w:pPr>
    <w:rPr>
      <w:noProof/>
      <w:sz w:val="18"/>
    </w:rPr>
  </w:style>
  <w:style w:type="paragraph" w:styleId="TOC5">
    <w:name w:val="toc 5"/>
    <w:basedOn w:val="Normal"/>
    <w:next w:val="Normal"/>
    <w:autoRedefine/>
    <w:semiHidden/>
    <w:pPr>
      <w:spacing w:after="0"/>
      <w:ind w:left="960"/>
    </w:pPr>
    <w:rPr>
      <w:sz w:val="18"/>
    </w:rPr>
  </w:style>
  <w:style w:type="paragraph" w:styleId="TOC6">
    <w:name w:val="toc 6"/>
    <w:basedOn w:val="Normal"/>
    <w:next w:val="Normal"/>
    <w:autoRedefine/>
    <w:semiHidden/>
    <w:pPr>
      <w:spacing w:after="0"/>
      <w:ind w:left="1200"/>
    </w:pPr>
    <w:rPr>
      <w:sz w:val="18"/>
    </w:rPr>
  </w:style>
  <w:style w:type="paragraph" w:styleId="TOC7">
    <w:name w:val="toc 7"/>
    <w:basedOn w:val="Normal"/>
    <w:next w:val="Normal"/>
    <w:autoRedefine/>
    <w:semiHidden/>
    <w:pPr>
      <w:spacing w:after="0"/>
      <w:ind w:left="1440"/>
    </w:pPr>
    <w:rPr>
      <w:sz w:val="18"/>
    </w:rPr>
  </w:style>
  <w:style w:type="paragraph" w:styleId="TOC8">
    <w:name w:val="toc 8"/>
    <w:basedOn w:val="Normal"/>
    <w:next w:val="Normal"/>
    <w:autoRedefine/>
    <w:semiHidden/>
    <w:pPr>
      <w:spacing w:after="0"/>
      <w:ind w:left="1680"/>
    </w:pPr>
    <w:rPr>
      <w:sz w:val="18"/>
    </w:rPr>
  </w:style>
  <w:style w:type="paragraph" w:styleId="TOC9">
    <w:name w:val="toc 9"/>
    <w:basedOn w:val="Normal"/>
    <w:next w:val="Normal"/>
    <w:autoRedefine/>
    <w:semiHidden/>
    <w:pPr>
      <w:spacing w:after="0"/>
      <w:ind w:left="1920"/>
    </w:pPr>
    <w:rPr>
      <w:sz w:val="18"/>
    </w:rPr>
  </w:style>
  <w:style w:type="paragraph" w:customStyle="1" w:styleId="Table-Labels">
    <w:name w:val="Table-Labels"/>
    <w:basedOn w:val="Normal"/>
    <w:next w:val="Normal"/>
    <w:pPr>
      <w:keepNext/>
      <w:keepLines/>
      <w:spacing w:after="60"/>
      <w:ind w:left="2160" w:hanging="1080"/>
    </w:pPr>
    <w:rPr>
      <w:i/>
    </w:rPr>
  </w:style>
  <w:style w:type="paragraph" w:styleId="DocumentMap">
    <w:name w:val="Document Map"/>
    <w:basedOn w:val="Normal"/>
    <w:semiHidden/>
    <w:pPr>
      <w:shd w:val="clear" w:color="auto" w:fill="000080"/>
    </w:pPr>
    <w:rPr>
      <w:rFonts w:ascii="Tahoma" w:hAnsi="Tahoma"/>
    </w:rPr>
  </w:style>
  <w:style w:type="paragraph" w:customStyle="1" w:styleId="Table">
    <w:name w:val="Table"/>
    <w:basedOn w:val="Normal"/>
    <w:pPr>
      <w:keepLines/>
      <w:spacing w:after="0"/>
      <w:ind w:left="72" w:right="72"/>
    </w:pPr>
    <w:rPr>
      <w:snapToGrid w:val="0"/>
      <w:sz w:val="20"/>
    </w:rPr>
  </w:style>
  <w:style w:type="paragraph" w:customStyle="1" w:styleId="Tabel">
    <w:name w:val="Tabel"/>
    <w:basedOn w:val="Normal"/>
    <w:pPr>
      <w:spacing w:after="120"/>
    </w:pPr>
  </w:style>
  <w:style w:type="paragraph" w:styleId="BlockText">
    <w:name w:val="Block Text"/>
    <w:basedOn w:val="Normal"/>
    <w:pPr>
      <w:spacing w:before="120" w:after="120"/>
      <w:ind w:left="450" w:right="566"/>
      <w:jc w:val="both"/>
    </w:pPr>
    <w:rPr>
      <w:rFonts w:ascii="Garamond" w:hAnsi="Garamond"/>
      <w:i/>
      <w:color w:val="auto"/>
    </w:rPr>
  </w:style>
  <w:style w:type="paragraph" w:customStyle="1" w:styleId="Document">
    <w:name w:val="Document"/>
    <w:basedOn w:val="Normal"/>
    <w:pPr>
      <w:spacing w:after="0"/>
      <w:jc w:val="center"/>
    </w:pPr>
    <w:rPr>
      <w:rFonts w:ascii="CG Times" w:hAnsi="CG Times"/>
    </w:rPr>
  </w:style>
  <w:style w:type="paragraph" w:customStyle="1" w:styleId="Bibliogrphy">
    <w:name w:val="Bibliogrphy"/>
    <w:basedOn w:val="Normal"/>
    <w:pPr>
      <w:spacing w:after="0"/>
      <w:ind w:left="720" w:firstLine="720"/>
    </w:pPr>
    <w:rPr>
      <w:rFonts w:ascii="CG Times" w:hAnsi="CG Times"/>
    </w:rPr>
  </w:style>
  <w:style w:type="paragraph" w:customStyle="1" w:styleId="TechInit">
    <w:name w:val="Tech Init"/>
    <w:basedOn w:val="Normal"/>
    <w:pPr>
      <w:spacing w:after="0"/>
    </w:pPr>
    <w:rPr>
      <w:rFonts w:ascii="CG Times" w:hAnsi="CG Times"/>
    </w:rPr>
  </w:style>
  <w:style w:type="paragraph" w:customStyle="1" w:styleId="Technical">
    <w:name w:val="Technical"/>
    <w:basedOn w:val="Normal"/>
    <w:pPr>
      <w:spacing w:after="0"/>
    </w:pPr>
    <w:rPr>
      <w:rFonts w:ascii="CG Times" w:hAnsi="CG Times"/>
    </w:rPr>
  </w:style>
  <w:style w:type="paragraph" w:customStyle="1" w:styleId="Pleading">
    <w:name w:val="Pleading"/>
    <w:basedOn w:val="Normal"/>
    <w:pPr>
      <w:tabs>
        <w:tab w:val="right" w:pos="288"/>
      </w:tabs>
      <w:spacing w:after="0"/>
    </w:pPr>
    <w:rPr>
      <w:rFonts w:ascii="CG Times" w:hAnsi="CG Times"/>
    </w:rPr>
  </w:style>
  <w:style w:type="paragraph" w:customStyle="1" w:styleId="BulletList">
    <w:name w:val="Bullet List"/>
    <w:basedOn w:val="Normal"/>
    <w:pPr>
      <w:spacing w:after="0"/>
      <w:ind w:left="720"/>
    </w:pPr>
    <w:rPr>
      <w:rFonts w:ascii="Roman" w:hAnsi="Roman"/>
      <w:color w:val="auto"/>
      <w:lang w:val="it-IT"/>
    </w:rPr>
  </w:style>
  <w:style w:type="character" w:styleId="FollowedHyperlink">
    <w:name w:val="FollowedHyperlink"/>
    <w:uiPriority w:val="99"/>
    <w:rPr>
      <w:color w:val="800080"/>
      <w:u w:val="single"/>
    </w:rPr>
  </w:style>
  <w:style w:type="paragraph" w:styleId="Title">
    <w:name w:val="Title"/>
    <w:basedOn w:val="Normal"/>
    <w:qFormat/>
    <w:pPr>
      <w:spacing w:line="240" w:lineRule="atLeast"/>
      <w:jc w:val="center"/>
    </w:pPr>
    <w:rPr>
      <w:b/>
      <w:sz w:val="32"/>
    </w:rPr>
  </w:style>
  <w:style w:type="paragraph" w:customStyle="1" w:styleId="Outline">
    <w:name w:val="Outline"/>
    <w:basedOn w:val="Normal"/>
    <w:pPr>
      <w:spacing w:before="240" w:after="0"/>
    </w:pPr>
    <w:rPr>
      <w:rFonts w:eastAsia="SimSun"/>
      <w:color w:val="auto"/>
      <w:kern w:val="28"/>
    </w:rPr>
  </w:style>
  <w:style w:type="paragraph" w:customStyle="1" w:styleId="Body">
    <w:name w:val="Body"/>
    <w:pPr>
      <w:widowControl w:val="0"/>
    </w:pPr>
    <w:rPr>
      <w:rFonts w:ascii="Times New Roman" w:hAnsi="Times New Roman"/>
      <w:sz w:val="24"/>
      <w:lang w:val="en-GB" w:eastAsia="zh-CN"/>
    </w:rPr>
  </w:style>
  <w:style w:type="character" w:styleId="EndnoteReference">
    <w:name w:val="endnote reference"/>
    <w:semiHidden/>
    <w:rPr>
      <w:vertAlign w:val="superscript"/>
    </w:rPr>
  </w:style>
  <w:style w:type="paragraph" w:customStyle="1" w:styleId="DefaultText">
    <w:name w:val="Default Text"/>
    <w:basedOn w:val="Normal"/>
    <w:pPr>
      <w:autoSpaceDE w:val="0"/>
      <w:autoSpaceDN w:val="0"/>
      <w:adjustRightInd w:val="0"/>
      <w:spacing w:after="0"/>
    </w:pPr>
    <w:rPr>
      <w:color w:val="auto"/>
    </w:rPr>
  </w:style>
  <w:style w:type="paragraph" w:customStyle="1" w:styleId="MSNormal">
    <w:name w:val="MSNormal"/>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 Char,Char"/>
    <w:basedOn w:val="Normal"/>
    <w:uiPriority w:val="99"/>
    <w:pPr>
      <w:spacing w:after="0"/>
    </w:pPr>
    <w:rPr>
      <w:rFonts w:ascii="Courier" w:eastAsia="Times" w:hAnsi="Courier"/>
      <w:color w:val="auto"/>
    </w:rPr>
  </w:style>
  <w:style w:type="paragraph" w:customStyle="1" w:styleId="Reference">
    <w:name w:val="Reference"/>
    <w:basedOn w:val="Normal"/>
    <w:pPr>
      <w:spacing w:after="60"/>
      <w:ind w:left="284"/>
    </w:pPr>
    <w:rPr>
      <w:color w:val="auto"/>
    </w:rPr>
  </w:style>
  <w:style w:type="paragraph" w:customStyle="1" w:styleId="Figures">
    <w:name w:val="Figures"/>
    <w:basedOn w:val="Normal"/>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pPr>
      <w:widowControl w:val="0"/>
      <w:spacing w:after="0"/>
      <w:ind w:firstLine="720"/>
      <w:jc w:val="both"/>
    </w:pPr>
    <w:rPr>
      <w:snapToGrid w:val="0"/>
      <w:color w:val="auto"/>
    </w:rPr>
  </w:style>
  <w:style w:type="paragraph" w:styleId="BodyTextIndent3">
    <w:name w:val="Body Text Indent 3"/>
    <w:basedOn w:val="Normal"/>
    <w:pPr>
      <w:widowControl w:val="0"/>
      <w:spacing w:after="0"/>
      <w:ind w:firstLine="720"/>
      <w:jc w:val="both"/>
    </w:pPr>
    <w:rPr>
      <w:snapToGrid w:val="0"/>
      <w:color w:val="FF0000"/>
    </w:rPr>
  </w:style>
  <w:style w:type="paragraph" w:styleId="BodyText2">
    <w:name w:val="Body Text 2"/>
    <w:basedOn w:val="Normal"/>
    <w:pPr>
      <w:spacing w:after="0"/>
      <w:jc w:val="center"/>
    </w:pPr>
    <w:rPr>
      <w:color w:val="auto"/>
      <w:sz w:val="48"/>
    </w:rPr>
  </w:style>
  <w:style w:type="paragraph" w:styleId="BodyText3">
    <w:name w:val="Body Text 3"/>
    <w:basedOn w:val="Normal"/>
    <w:pPr>
      <w:spacing w:after="0"/>
      <w:jc w:val="center"/>
    </w:pPr>
    <w:rPr>
      <w:color w:val="auto"/>
      <w:sz w:val="36"/>
    </w:rPr>
  </w:style>
  <w:style w:type="paragraph" w:customStyle="1" w:styleId="DefinitionL">
    <w:name w:val="Definition 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napToGrid w:val="0"/>
      <w:sz w:val="24"/>
      <w:lang w:val="en-US" w:eastAsia="zh-CN"/>
    </w:rPr>
  </w:style>
  <w:style w:type="paragraph" w:customStyle="1" w:styleId="Tableheading0">
    <w:name w:val="Table heading"/>
    <w:basedOn w:val="Normal"/>
    <w:pPr>
      <w:keepNext/>
      <w:spacing w:before="120"/>
      <w:ind w:left="1984" w:hanging="907"/>
    </w:pPr>
    <w:rPr>
      <w:i/>
      <w:color w:val="auto"/>
    </w:rPr>
  </w:style>
  <w:style w:type="paragraph" w:customStyle="1" w:styleId="Figure">
    <w:name w:val="Figure"/>
    <w:basedOn w:val="Normal"/>
    <w:pPr>
      <w:widowControl w:val="0"/>
      <w:spacing w:line="-240" w:lineRule="auto"/>
      <w:ind w:left="1077"/>
    </w:pPr>
    <w:rPr>
      <w:rFonts w:ascii="Arial" w:hAnsi="Arial"/>
      <w:b/>
      <w:color w:val="auto"/>
    </w:rPr>
  </w:style>
  <w:style w:type="paragraph" w:styleId="Index1">
    <w:name w:val="index 1"/>
    <w:basedOn w:val="Normal"/>
    <w:next w:val="Normal"/>
    <w:autoRedefine/>
    <w:semiHidden/>
    <w:pPr>
      <w:ind w:left="240" w:hanging="240"/>
    </w:pPr>
    <w:rPr>
      <w:color w:val="auto"/>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qFormat/>
    <w:rPr>
      <w:b/>
    </w:rPr>
  </w:style>
  <w:style w:type="paragraph" w:styleId="BalloonText">
    <w:name w:val="Balloon Text"/>
    <w:basedOn w:val="Normal"/>
    <w:uiPriority w:val="99"/>
    <w:rPr>
      <w:rFonts w:ascii="Tahoma" w:eastAsia="SimSun" w:hAnsi="Tahoma"/>
      <w:sz w:val="16"/>
    </w:rPr>
  </w:style>
  <w:style w:type="paragraph" w:styleId="NormalWeb">
    <w:name w:val="Normal (Web)"/>
    <w:basedOn w:val="Normal"/>
    <w:uiPriority w:val="99"/>
    <w:pPr>
      <w:spacing w:before="100" w:after="100"/>
    </w:pPr>
    <w:rPr>
      <w:color w:val="auto"/>
      <w:lang w:val="en-US"/>
    </w:rPr>
  </w:style>
  <w:style w:type="paragraph" w:customStyle="1" w:styleId="Thesisheading1">
    <w:name w:val="Thesisheading1"/>
    <w:basedOn w:val="BodyTextIndent2"/>
    <w:pPr>
      <w:widowControl/>
      <w:numPr>
        <w:numId w:val="2"/>
      </w:numPr>
      <w:spacing w:line="360" w:lineRule="auto"/>
    </w:pPr>
    <w:rPr>
      <w:rFonts w:ascii="Arial" w:hAnsi="Arial"/>
      <w:b/>
      <w:caps/>
      <w:snapToGrid/>
      <w:sz w:val="32"/>
    </w:rPr>
  </w:style>
  <w:style w:type="paragraph" w:customStyle="1" w:styleId="Thesisheading4">
    <w:name w:val="Thesisheading4"/>
    <w:basedOn w:val="Heading3"/>
    <w:pPr>
      <w:numPr>
        <w:ilvl w:val="2"/>
        <w:numId w:val="2"/>
      </w:numPr>
      <w:tabs>
        <w:tab w:val="clear" w:pos="720"/>
        <w:tab w:val="num" w:pos="2880"/>
      </w:tabs>
      <w:spacing w:line="360" w:lineRule="auto"/>
      <w:ind w:left="2880" w:hanging="360"/>
    </w:pPr>
    <w:rPr>
      <w:rFonts w:ascii="Arial" w:hAnsi="Arial"/>
      <w:b/>
      <w:snapToGrid/>
    </w:rPr>
  </w:style>
  <w:style w:type="paragraph" w:customStyle="1" w:styleId="font5">
    <w:name w:val="font5"/>
    <w:basedOn w:val="Normal"/>
    <w:pPr>
      <w:spacing w:before="100" w:after="100"/>
    </w:pPr>
    <w:rPr>
      <w:rFonts w:ascii="Arial" w:eastAsia="Arial Unicode MS" w:hAnsi="Arial"/>
      <w:color w:val="00FF00"/>
      <w:sz w:val="20"/>
      <w:lang w:val="en-AU"/>
    </w:rPr>
  </w:style>
  <w:style w:type="paragraph" w:customStyle="1" w:styleId="xl34">
    <w:name w:val="xl34"/>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pPr>
      <w:spacing w:before="100" w:after="100"/>
    </w:pPr>
    <w:rPr>
      <w:rFonts w:ascii="Arial" w:eastAsia="Arial Unicode MS" w:hAnsi="Arial"/>
      <w:color w:val="auto"/>
      <w:lang w:val="en-AU"/>
    </w:rPr>
  </w:style>
  <w:style w:type="paragraph" w:customStyle="1" w:styleId="xl42">
    <w:name w:val="xl42"/>
    <w:basedOn w:val="Normal"/>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pPr>
      <w:spacing w:before="100" w:after="100"/>
      <w:jc w:val="center"/>
    </w:pPr>
    <w:rPr>
      <w:rFonts w:ascii="Arial" w:eastAsia="Arial Unicode MS" w:hAnsi="Arial"/>
      <w:color w:val="auto"/>
      <w:lang w:val="en-AU"/>
    </w:rPr>
  </w:style>
  <w:style w:type="paragraph" w:customStyle="1" w:styleId="xl44">
    <w:name w:val="xl44"/>
    <w:basedOn w:val="Normal"/>
    <w:pPr>
      <w:spacing w:before="100" w:after="100"/>
      <w:textAlignment w:val="top"/>
    </w:pPr>
    <w:rPr>
      <w:rFonts w:ascii="Arial" w:eastAsia="Arial Unicode MS" w:hAnsi="Arial"/>
      <w:color w:val="auto"/>
      <w:lang w:val="en-AU"/>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pPr>
      <w:autoSpaceDE w:val="0"/>
      <w:autoSpaceDN w:val="0"/>
      <w:adjustRightInd w:val="0"/>
    </w:pPr>
    <w:rPr>
      <w:rFonts w:ascii="Times New Roman" w:hAnsi="Times New Roman"/>
      <w:color w:val="000000"/>
      <w:sz w:val="24"/>
      <w:lang w:val="en-US"/>
    </w:rPr>
  </w:style>
  <w:style w:type="paragraph" w:styleId="ListNumber5">
    <w:name w:val="List Number 5"/>
    <w:basedOn w:val="Normal"/>
    <w:pPr>
      <w:numPr>
        <w:numId w:val="3"/>
      </w:numPr>
      <w:tabs>
        <w:tab w:val="clear" w:pos="1492"/>
        <w:tab w:val="num" w:pos="1800"/>
      </w:tabs>
      <w:spacing w:after="0"/>
      <w:ind w:left="1800"/>
    </w:pPr>
    <w:rPr>
      <w:color w:val="auto"/>
      <w:lang w:val="en-US"/>
    </w:rPr>
  </w:style>
  <w:style w:type="paragraph" w:customStyle="1" w:styleId="Sectionheading">
    <w:name w:val="Section heading"/>
    <w:basedOn w:val="Heading2"/>
    <w:pPr>
      <w:spacing w:before="120"/>
      <w:ind w:left="1080" w:hanging="1080"/>
    </w:pPr>
    <w:rPr>
      <w:snapToGrid/>
    </w:rPr>
  </w:style>
  <w:style w:type="paragraph" w:customStyle="1" w:styleId="Sectionsub-heading">
    <w:name w:val="Section sub-heading"/>
    <w:basedOn w:val="Heading3"/>
    <w:pPr>
      <w:tabs>
        <w:tab w:val="clear" w:pos="1080"/>
      </w:tabs>
      <w:spacing w:before="60"/>
      <w:ind w:left="2126" w:hanging="1049"/>
    </w:pPr>
    <w:rPr>
      <w:snapToGrid/>
    </w:rPr>
  </w:style>
  <w:style w:type="paragraph" w:customStyle="1" w:styleId="MainTextIndent">
    <w:name w:val="Main Text Indent"/>
    <w:basedOn w:val="MainText"/>
    <w:pPr>
      <w:tabs>
        <w:tab w:val="left" w:pos="567"/>
      </w:tabs>
      <w:ind w:left="993" w:hanging="993"/>
    </w:pPr>
  </w:style>
  <w:style w:type="paragraph" w:customStyle="1" w:styleId="MainTextDoubleIndent">
    <w:name w:val="Main Text Double Indent"/>
    <w:basedOn w:val="MainTextIndent"/>
    <w:pPr>
      <w:tabs>
        <w:tab w:val="left" w:pos="993"/>
      </w:tabs>
      <w:ind w:left="1418" w:hanging="1418"/>
    </w:pPr>
  </w:style>
  <w:style w:type="paragraph" w:customStyle="1" w:styleId="HeadingSub">
    <w:name w:val="Heading: Sub"/>
    <w:basedOn w:val="MainText"/>
    <w:rPr>
      <w:rFonts w:ascii="Futura" w:hAnsi="Futura"/>
    </w:rPr>
  </w:style>
  <w:style w:type="paragraph" w:customStyle="1" w:styleId="MainTextNon-indent">
    <w:name w:val="Main Text Non-indent"/>
    <w:basedOn w:val="MainText"/>
    <w:pPr>
      <w:ind w:left="0" w:firstLine="0"/>
    </w:pPr>
  </w:style>
  <w:style w:type="paragraph" w:customStyle="1" w:styleId="HeadingSection">
    <w:name w:val="Heading: Section"/>
    <w:basedOn w:val="Normal"/>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pPr>
      <w:jc w:val="center"/>
    </w:pPr>
    <w:rPr>
      <w:b/>
      <w:color w:val="auto"/>
    </w:rPr>
  </w:style>
  <w:style w:type="paragraph" w:customStyle="1" w:styleId="Closeup">
    <w:name w:val="Closeup"/>
    <w:basedOn w:val="Normal"/>
    <w:pPr>
      <w:spacing w:after="0"/>
    </w:pPr>
    <w:rPr>
      <w:color w:val="auto"/>
      <w:lang w:eastAsia="ja-JP"/>
    </w:rPr>
  </w:style>
  <w:style w:type="paragraph" w:customStyle="1" w:styleId="ScreenFormat-1">
    <w:name w:val="ScreenFormat-1"/>
    <w:basedOn w:val="Normal"/>
    <w:pPr>
      <w:spacing w:before="120" w:after="120"/>
    </w:pPr>
    <w:rPr>
      <w:color w:val="auto"/>
      <w:sz w:val="32"/>
      <w:lang w:eastAsia="ja-JP"/>
    </w:rPr>
  </w:style>
  <w:style w:type="paragraph" w:customStyle="1" w:styleId="TableText">
    <w:name w:val="TableText"/>
    <w:basedOn w:val="BodyText"/>
    <w:pPr>
      <w:keepLines/>
      <w:spacing w:after="0" w:line="240" w:lineRule="auto"/>
    </w:pPr>
    <w:rPr>
      <w:rFonts w:eastAsia="Times"/>
      <w:color w:val="auto"/>
      <w:sz w:val="20"/>
      <w:lang w:val="en-US" w:eastAsia="ja-JP"/>
    </w:rPr>
  </w:style>
  <w:style w:type="paragraph" w:customStyle="1" w:styleId="Equation">
    <w:name w:val="Equation"/>
    <w:basedOn w:val="BodyText"/>
    <w:pPr>
      <w:keepLines/>
      <w:tabs>
        <w:tab w:val="right" w:pos="9639"/>
      </w:tabs>
      <w:spacing w:after="0" w:line="240" w:lineRule="auto"/>
      <w:ind w:left="567"/>
    </w:pPr>
    <w:rPr>
      <w:rFonts w:eastAsia="Times"/>
      <w:color w:val="auto"/>
      <w:lang w:val="en-US" w:eastAsia="ja-JP"/>
    </w:rPr>
  </w:style>
  <w:style w:type="paragraph" w:customStyle="1" w:styleId="Note">
    <w:name w:val="Note"/>
    <w:basedOn w:val="BodyText"/>
    <w:pPr>
      <w:keepLines/>
      <w:pBdr>
        <w:top w:val="single" w:sz="2" w:space="1" w:color="808080"/>
        <w:left w:val="single" w:sz="2" w:space="4" w:color="808080"/>
        <w:bottom w:val="single" w:sz="2" w:space="1" w:color="808080"/>
        <w:right w:val="single" w:sz="2" w:space="4" w:color="808080"/>
      </w:pBdr>
      <w:spacing w:after="0" w:line="240" w:lineRule="auto"/>
    </w:pPr>
    <w:rPr>
      <w:rFonts w:eastAsia="Times"/>
      <w:i/>
      <w:color w:val="auto"/>
      <w:lang w:val="en-US" w:eastAsia="ja-JP"/>
    </w:rPr>
  </w:style>
  <w:style w:type="paragraph" w:customStyle="1" w:styleId="AR4Listbullet1">
    <w:name w:val="AR4 List bullet 1"/>
    <w:basedOn w:val="Normal"/>
    <w:pPr>
      <w:numPr>
        <w:numId w:val="4"/>
      </w:numPr>
      <w:spacing w:after="0"/>
    </w:pPr>
    <w:rPr>
      <w:rFonts w:ascii="Times" w:eastAsia="Times" w:hAnsi="Times"/>
      <w:color w:val="auto"/>
      <w:lang w:val="en-US" w:eastAsia="ja-JP"/>
    </w:rPr>
  </w:style>
  <w:style w:type="paragraph" w:customStyle="1" w:styleId="OurCaption">
    <w:name w:val="OurCaption"/>
    <w:basedOn w:val="Normal"/>
    <w:pPr>
      <w:spacing w:after="0"/>
      <w:ind w:right="12"/>
    </w:pPr>
    <w:rPr>
      <w:rFonts w:eastAsia="Times"/>
      <w:color w:val="auto"/>
      <w:sz w:val="20"/>
      <w:lang w:eastAsia="ja-JP"/>
    </w:rPr>
  </w:style>
  <w:style w:type="paragraph" w:customStyle="1" w:styleId="Paralevel1">
    <w:name w:val="Para level1"/>
    <w:basedOn w:val="Normal"/>
    <w:autoRedefine/>
    <w:pPr>
      <w:tabs>
        <w:tab w:val="left" w:pos="2070"/>
      </w:tabs>
      <w:suppressAutoHyphens/>
    </w:pPr>
    <w:rPr>
      <w:color w:val="auto"/>
      <w:sz w:val="20"/>
    </w:rPr>
  </w:style>
  <w:style w:type="paragraph" w:customStyle="1" w:styleId="CH4">
    <w:name w:val="CH4"/>
    <w:basedOn w:val="Normal"/>
    <w:autoRedefine/>
    <w:pPr>
      <w:keepNext/>
      <w:keepLines/>
      <w:numPr>
        <w:numId w:val="5"/>
      </w:numPr>
      <w:tabs>
        <w:tab w:val="clear" w:pos="0"/>
        <w:tab w:val="num" w:pos="360"/>
      </w:tabs>
      <w:spacing w:before="120"/>
      <w:ind w:left="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r"/>
    <w:rPr>
      <w:rFonts w:ascii="Arial" w:eastAsia="MS Mincho" w:hAnsi="Arial" w:cs="Arial"/>
      <w:b/>
      <w:bCs/>
      <w:noProof w:val="0"/>
      <w:kern w:val="32"/>
      <w:sz w:val="32"/>
      <w:szCs w:val="32"/>
      <w:lang w:val="en-US" w:eastAsia="ja-JP" w:bidi="ar-SA"/>
    </w:rPr>
  </w:style>
  <w:style w:type="paragraph" w:customStyle="1" w:styleId="Titulo3">
    <w:name w:val="Titulo 3"/>
    <w:basedOn w:val="Normal"/>
    <w:pPr>
      <w:widowControl w:val="0"/>
      <w:spacing w:after="0"/>
      <w:ind w:left="1185"/>
      <w:jc w:val="both"/>
    </w:pPr>
    <w:rPr>
      <w:rFonts w:eastAsia="MS Mincho"/>
      <w:b/>
      <w:i/>
      <w:color w:val="auto"/>
      <w:kern w:val="2"/>
      <w:lang w:val="en-US" w:eastAsia="ja-JP"/>
    </w:rPr>
  </w:style>
  <w:style w:type="paragraph" w:customStyle="1" w:styleId="Style2">
    <w:name w:val="Style2"/>
    <w:basedOn w:val="Normal"/>
    <w:link w:val="Style2Char"/>
    <w:qFormat/>
    <w:pPr>
      <w:spacing w:after="0"/>
    </w:pPr>
    <w:rPr>
      <w:color w:val="auto"/>
      <w:lang w:eastAsia="en-GB"/>
    </w:rPr>
  </w:style>
  <w:style w:type="paragraph" w:customStyle="1" w:styleId="TEXTO">
    <w:name w:val="TEXTO"/>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pPr>
      <w:spacing w:before="100" w:beforeAutospacing="1" w:after="100" w:afterAutospacing="1"/>
    </w:pPr>
    <w:rPr>
      <w:szCs w:val="24"/>
      <w:lang w:val="fr-FR" w:eastAsia="fr-FR"/>
    </w:rPr>
  </w:style>
  <w:style w:type="character" w:customStyle="1" w:styleId="epaltsans1">
    <w:name w:val="epaltsans1"/>
    <w:rPr>
      <w:rFonts w:ascii="Arial" w:hAnsi="Arial" w:cs="Arial" w:hint="default"/>
      <w:sz w:val="16"/>
      <w:szCs w:val="16"/>
    </w:rPr>
  </w:style>
  <w:style w:type="paragraph" w:styleId="List">
    <w:name w:val="List"/>
    <w:basedOn w:val="Normal"/>
    <w:semiHidden/>
    <w:pPr>
      <w:spacing w:after="0"/>
      <w:ind w:left="360" w:hanging="360"/>
    </w:pPr>
    <w:rPr>
      <w:color w:val="auto"/>
      <w:szCs w:val="24"/>
      <w:lang w:val="en-US" w:eastAsia="en-US"/>
    </w:rPr>
  </w:style>
  <w:style w:type="character" w:customStyle="1" w:styleId="w">
    <w:name w:val="w"/>
    <w:basedOn w:val="DefaultParagraphFont"/>
  </w:style>
  <w:style w:type="paragraph" w:customStyle="1" w:styleId="BodyTextLetterBullets">
    <w:name w:val="Body Text + Letter Bullets"/>
    <w:basedOn w:val="BodyText"/>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pPr>
      <w:tabs>
        <w:tab w:val="num" w:pos="360"/>
      </w:tabs>
      <w:spacing w:after="0" w:line="288" w:lineRule="auto"/>
    </w:pPr>
    <w:rPr>
      <w:color w:val="auto"/>
      <w:szCs w:val="22"/>
      <w:lang w:val="en-AU" w:eastAsia="en-US"/>
    </w:rPr>
  </w:style>
  <w:style w:type="paragraph" w:customStyle="1" w:styleId="BodyTextbullet">
    <w:name w:val="Body Text + bullet"/>
    <w:basedOn w:val="BodyText"/>
    <w:pPr>
      <w:tabs>
        <w:tab w:val="num" w:pos="360"/>
      </w:tabs>
      <w:spacing w:after="0" w:line="288" w:lineRule="auto"/>
    </w:pPr>
    <w:rPr>
      <w:color w:val="auto"/>
      <w:szCs w:val="22"/>
      <w:lang w:val="en-AU" w:eastAsia="en-US"/>
    </w:rPr>
  </w:style>
  <w:style w:type="paragraph" w:customStyle="1" w:styleId="Head1">
    <w:name w:val="Head 1"/>
    <w:basedOn w:val="Normal"/>
    <w:pPr>
      <w:tabs>
        <w:tab w:val="left" w:pos="340"/>
        <w:tab w:val="num" w:pos="720"/>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pP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58">
    <w:name w:val="xl5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59">
    <w:name w:val="xl59"/>
    <w:basedOn w:val="Normal"/>
    <w:pP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0">
    <w:name w:val="xl60"/>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1">
    <w:name w:val="xl61"/>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2">
    <w:name w:val="xl62"/>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3">
    <w:name w:val="xl6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4">
    <w:name w:val="xl6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5">
    <w:name w:val="xl65"/>
    <w:basedOn w:val="Normal"/>
    <w:pPr>
      <w:pBdr>
        <w:top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6">
    <w:name w:val="xl66"/>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7">
    <w:name w:val="xl67"/>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8">
    <w:name w:val="xl68"/>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9">
    <w:name w:val="xl69"/>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0">
    <w:name w:val="xl70"/>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1">
    <w:name w:val="xl7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2">
    <w:name w:val="xl72"/>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3">
    <w:name w:val="xl73"/>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4">
    <w:name w:val="xl7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5">
    <w:name w:val="xl75"/>
    <w:basedOn w:val="Normal"/>
    <w:pPr>
      <w:pBdr>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6">
    <w:name w:val="xl76"/>
    <w:basedOn w:val="Normal"/>
    <w:pPr>
      <w:pBdr>
        <w:lef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7">
    <w:name w:val="xl77"/>
    <w:basedOn w:val="Normal"/>
    <w:pPr>
      <w:pBdr>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8">
    <w:name w:val="xl7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9">
    <w:name w:val="xl79"/>
    <w:basedOn w:val="Normal"/>
    <w:pPr>
      <w:pBdr>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0">
    <w:name w:val="xl80"/>
    <w:basedOn w:val="Normal"/>
    <w:pPr>
      <w:pBdr>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1">
    <w:name w:val="xl81"/>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2">
    <w:name w:val="xl82"/>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3">
    <w:name w:val="xl83"/>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4">
    <w:name w:val="xl84"/>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7">
    <w:name w:val="xl8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0">
    <w:name w:val="xl90"/>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2">
    <w:name w:val="xl9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4">
    <w:name w:val="xl94"/>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5">
    <w:name w:val="xl9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6">
    <w:name w:val="xl96"/>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98">
    <w:name w:val="xl9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9">
    <w:name w:val="xl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3">
    <w:name w:val="xl103"/>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5">
    <w:name w:val="xl105"/>
    <w:basedOn w:val="Normal"/>
    <w:pPr>
      <w:pBdr>
        <w:top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7">
    <w:name w:val="xl107"/>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10">
    <w:name w:val="xl110"/>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13">
    <w:name w:val="xl113"/>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4">
    <w:name w:val="xl114"/>
    <w:basedOn w:val="Normal"/>
    <w:pPr>
      <w:pBdr>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5">
    <w:name w:val="xl115"/>
    <w:basedOn w:val="Normal"/>
    <w:pPr>
      <w:pBdr>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6">
    <w:name w:val="xl116"/>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9">
    <w:name w:val="xl119"/>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0">
    <w:name w:val="xl120"/>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1">
    <w:name w:val="xl121"/>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3">
    <w:name w:val="xl123"/>
    <w:basedOn w:val="Normal"/>
    <w:pPr>
      <w:pBdr>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4">
    <w:name w:val="xl124"/>
    <w:basedOn w:val="Normal"/>
    <w:pPr>
      <w:pBdr>
        <w:left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5">
    <w:name w:val="xl125"/>
    <w:basedOn w:val="Normal"/>
    <w:pPr>
      <w:pBdr>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26">
    <w:name w:val="xl126"/>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1">
    <w:name w:val="xl131"/>
    <w:basedOn w:val="Normal"/>
    <w:pPr>
      <w:pBdr>
        <w:top w:val="single" w:sz="4" w:space="0" w:color="auto"/>
        <w:bottom w:val="single" w:sz="8"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2">
    <w:name w:val="xl132"/>
    <w:basedOn w:val="Normal"/>
    <w:pPr>
      <w:pBdr>
        <w:top w:val="single" w:sz="4" w:space="0" w:color="auto"/>
        <w:bottom w:val="single" w:sz="8"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3">
    <w:name w:val="xl1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4">
    <w:name w:val="xl1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UnicodeMS"/>
      <w:color w:val="auto"/>
      <w:sz w:val="12"/>
      <w:szCs w:val="12"/>
      <w:lang w:val="en-AU" w:eastAsia="en-US"/>
    </w:rPr>
  </w:style>
  <w:style w:type="paragraph" w:customStyle="1" w:styleId="xl135">
    <w:name w:val="xl1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UnicodeMS"/>
      <w:color w:val="auto"/>
      <w:szCs w:val="24"/>
      <w:lang w:val="en-AU" w:eastAsia="en-US"/>
    </w:rPr>
  </w:style>
  <w:style w:type="paragraph" w:customStyle="1" w:styleId="xl136">
    <w:name w:val="xl136"/>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7">
    <w:name w:val="xl137"/>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8">
    <w:name w:val="xl138"/>
    <w:basedOn w:val="Normal"/>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pPr>
      <w:spacing w:after="0"/>
    </w:pPr>
    <w:rPr>
      <w:b/>
      <w:bCs/>
      <w:color w:val="auto"/>
      <w:sz w:val="28"/>
      <w:szCs w:val="28"/>
      <w:lang w:eastAsia="en-US"/>
    </w:rPr>
  </w:style>
  <w:style w:type="paragraph" w:customStyle="1" w:styleId="Anxtitle">
    <w:name w:val="Anx title"/>
    <w:basedOn w:val="Normal"/>
    <w:pPr>
      <w:spacing w:after="0"/>
      <w:ind w:left="1247"/>
    </w:pPr>
    <w:rPr>
      <w:b/>
      <w:bCs/>
      <w:color w:val="auto"/>
      <w:sz w:val="28"/>
      <w:szCs w:val="28"/>
      <w:lang w:eastAsia="en-US"/>
    </w:rPr>
  </w:style>
  <w:style w:type="paragraph" w:customStyle="1" w:styleId="Style10ptAfter6pt1">
    <w:name w:val="Style 10 pt After:  6 pt1"/>
    <w:basedOn w:val="Normal"/>
    <w:autoRedefine/>
    <w:pPr>
      <w:spacing w:after="120"/>
    </w:pPr>
    <w:rPr>
      <w:rFonts w:ascii="Arial" w:hAnsi="Arial"/>
      <w:color w:val="auto"/>
      <w:sz w:val="18"/>
      <w:lang w:eastAsia="en-US"/>
    </w:rPr>
  </w:style>
  <w:style w:type="paragraph" w:customStyle="1" w:styleId="StyleHeading311ptBold">
    <w:name w:val="Style Heading 3 + 11 pt Bold"/>
    <w:basedOn w:val="Heading3"/>
    <w:rPr>
      <w:b/>
      <w:bCs/>
      <w:iCs/>
    </w:rPr>
  </w:style>
  <w:style w:type="paragraph" w:customStyle="1" w:styleId="Subtitle">
    <w:name w:val="Sub title"/>
    <w:basedOn w:val="Heading2"/>
    <w:pPr>
      <w:spacing w:after="0"/>
      <w:ind w:left="1247"/>
    </w:pPr>
    <w:rPr>
      <w:snapToGrid/>
      <w:szCs w:val="24"/>
    </w:rPr>
  </w:style>
  <w:style w:type="character" w:customStyle="1" w:styleId="maintextbldleft1">
    <w:name w:val="maintextbldleft1"/>
    <w:rPr>
      <w:rFonts w:ascii="Arial" w:hAnsi="Arial" w:cs="Arial" w:hint="default"/>
      <w:b/>
      <w:bCs/>
      <w:strike w:val="0"/>
      <w:dstrike w:val="0"/>
      <w:color w:val="000000"/>
      <w:sz w:val="18"/>
      <w:szCs w:val="18"/>
      <w:u w:val="none"/>
      <w:effect w:val="none"/>
    </w:rPr>
  </w:style>
  <w:style w:type="character" w:customStyle="1" w:styleId="maintextleft1">
    <w:name w:val="maintextleft1"/>
    <w:rPr>
      <w:rFonts w:ascii="Arial" w:hAnsi="Arial" w:cs="Arial" w:hint="default"/>
      <w:strike w:val="0"/>
      <w:dstrike w:val="0"/>
      <w:color w:val="000000"/>
      <w:sz w:val="18"/>
      <w:szCs w:val="18"/>
      <w:u w:val="none"/>
      <w:effect w:val="none"/>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Part Char"/>
    <w:rPr>
      <w:b/>
      <w:noProof w:val="0"/>
      <w:color w:val="000000"/>
      <w:sz w:val="28"/>
      <w:lang w:val="en-GB" w:eastAsia="zh-CN" w:bidi="ar-SA"/>
    </w:rPr>
  </w:style>
  <w:style w:type="character" w:customStyle="1" w:styleId="Heading2Char">
    <w:name w:val="Heading 2 Char"/>
    <w:aliases w:val="SubPara (a) Char,Heading 2 Char1 Char Char,SubPara (a) Char1 Char Char,Heading 2 Char3 Char Char Char,Heading 2 Char Char2 Char Char Char,Heading 2 Char1 Char Char1 Char Char Char,SubPara (a) Char Char Char1 Char Char Char,Heading 2 Char1"/>
    <w:uiPriority w:val="9"/>
    <w:rPr>
      <w:b/>
      <w:noProof w:val="0"/>
      <w:snapToGrid w:val="0"/>
      <w:color w:val="000000"/>
      <w:sz w:val="24"/>
      <w:lang w:val="en-GB" w:eastAsia="zh-CN" w:bidi="ar-SA"/>
    </w:rPr>
  </w:style>
  <w:style w:type="character" w:customStyle="1" w:styleId="Heading3Char">
    <w:name w:val="Heading 3 Char"/>
    <w:aliases w:val="Sec Char"/>
    <w:uiPriority w:val="9"/>
    <w:rPr>
      <w:b w:val="0"/>
      <w:noProof w:val="0"/>
      <w:snapToGrid w:val="0"/>
      <w:color w:val="000000"/>
      <w:sz w:val="24"/>
      <w:lang w:val="en-GB" w:eastAsia="zh-CN" w:bidi="ar-SA"/>
    </w:rPr>
  </w:style>
  <w:style w:type="character" w:customStyle="1" w:styleId="Heading4Char">
    <w:name w:val="Heading 4 Char"/>
    <w:aliases w:val="MainPara Char"/>
    <w:rPr>
      <w:b w:val="0"/>
      <w:noProof w:val="0"/>
      <w:snapToGrid w:val="0"/>
      <w:color w:val="000000"/>
      <w:sz w:val="22"/>
      <w:lang w:val="en-GB" w:eastAsia="zh-CN" w:bidi="ar-SA"/>
    </w:rPr>
  </w:style>
  <w:style w:type="paragraph" w:customStyle="1" w:styleId="StyleHeading311ptBold1">
    <w:name w:val="Style Heading 3 + 11 pt Bold1"/>
    <w:basedOn w:val="Heading3"/>
    <w:rPr>
      <w:b/>
      <w:bCs/>
      <w:iCs/>
    </w:rPr>
  </w:style>
  <w:style w:type="paragraph" w:customStyle="1" w:styleId="ANNEXES">
    <w:name w:val="ANNEXES"/>
    <w:basedOn w:val="Normal"/>
    <w:pPr>
      <w:tabs>
        <w:tab w:val="left" w:pos="1080"/>
      </w:tabs>
      <w:spacing w:before="100" w:beforeAutospacing="1" w:after="100" w:afterAutospacing="1"/>
    </w:pPr>
    <w:rPr>
      <w:b/>
      <w:sz w:val="28"/>
    </w:rPr>
  </w:style>
  <w:style w:type="paragraph" w:customStyle="1" w:styleId="Executivesummary">
    <w:name w:val="Executive summary"/>
    <w:basedOn w:val="TOC1"/>
    <w:pPr>
      <w:spacing w:after="0"/>
      <w:ind w:left="0"/>
    </w:pPr>
    <w:rPr>
      <w:b w:val="0"/>
      <w:sz w:val="28"/>
    </w:rPr>
  </w:style>
  <w:style w:type="paragraph" w:customStyle="1" w:styleId="Execlevel2">
    <w:name w:val="Exec level2"/>
    <w:basedOn w:val="Anxhead"/>
    <w:rPr>
      <w:sz w:val="24"/>
    </w:rPr>
  </w:style>
  <w:style w:type="character" w:customStyle="1" w:styleId="AnxheadChar">
    <w:name w:val="Anx head Char"/>
    <w:rPr>
      <w:b/>
      <w:bCs/>
      <w:noProof w:val="0"/>
      <w:sz w:val="28"/>
      <w:szCs w:val="28"/>
      <w:lang w:val="en-GB" w:eastAsia="en-US" w:bidi="ar-SA"/>
    </w:rPr>
  </w:style>
  <w:style w:type="character" w:customStyle="1" w:styleId="Execlevel2Char">
    <w:name w:val="Exec level2 Char"/>
    <w:rPr>
      <w:b/>
      <w:bCs/>
      <w:noProof w:val="0"/>
      <w:sz w:val="24"/>
      <w:szCs w:val="28"/>
      <w:lang w:val="en-GB" w:eastAsia="en-US" w:bidi="ar-SA"/>
    </w:rPr>
  </w:style>
  <w:style w:type="character" w:customStyle="1" w:styleId="a">
    <w:name w:val="_"/>
    <w:basedOn w:val="DefaultParagraphFont"/>
  </w:style>
  <w:style w:type="paragraph" w:styleId="CommentSubject">
    <w:name w:val="annotation subject"/>
    <w:basedOn w:val="CommentText"/>
    <w:next w:val="CommentText"/>
    <w:uiPriority w:val="99"/>
    <w:semiHidden/>
    <w:pPr>
      <w:widowControl/>
      <w:spacing w:after="0"/>
    </w:pPr>
    <w:rPr>
      <w:rFonts w:ascii="Times New Roman" w:hAnsi="Times New Roman"/>
      <w:b/>
      <w:lang w:val="en-US"/>
    </w:rPr>
  </w:style>
  <w:style w:type="paragraph" w:customStyle="1" w:styleId="Indentedbullet">
    <w:name w:val="Indented bullet"/>
    <w:basedOn w:val="Indentedbodytext"/>
    <w:pPr>
      <w:tabs>
        <w:tab w:val="num" w:pos="1440"/>
      </w:tabs>
      <w:ind w:left="1434" w:hanging="357"/>
    </w:pPr>
  </w:style>
  <w:style w:type="paragraph" w:customStyle="1" w:styleId="Indentedbodytext">
    <w:name w:val="Indented body text"/>
    <w:basedOn w:val="Normal"/>
    <w:autoRedefine/>
    <w:pPr>
      <w:spacing w:after="120"/>
    </w:pPr>
    <w:rPr>
      <w:lang w:eastAsia="en-US"/>
    </w:rPr>
  </w:style>
  <w:style w:type="paragraph" w:customStyle="1" w:styleId="Smallnumberedbullet">
    <w:name w:val="Small numbered bullet"/>
    <w:basedOn w:val="Smallbullet"/>
    <w:pPr>
      <w:numPr>
        <w:numId w:val="0"/>
      </w:numPr>
      <w:ind w:left="539" w:hanging="539"/>
    </w:pPr>
  </w:style>
  <w:style w:type="paragraph" w:customStyle="1" w:styleId="Smallbullet">
    <w:name w:val="Small bullet"/>
    <w:basedOn w:val="BodyTextSmallBullets"/>
    <w:autoRedefine/>
    <w:pPr>
      <w:numPr>
        <w:numId w:val="8"/>
      </w:numPr>
      <w:tabs>
        <w:tab w:val="num" w:pos="426"/>
      </w:tabs>
      <w:spacing w:after="240" w:line="240" w:lineRule="auto"/>
      <w:ind w:left="425" w:hanging="425"/>
    </w:pPr>
  </w:style>
  <w:style w:type="paragraph" w:customStyle="1" w:styleId="BodyText1">
    <w:name w:val="Body Text1"/>
    <w:basedOn w:val="Normal"/>
    <w:rPr>
      <w:lang w:eastAsia="en-US"/>
    </w:rPr>
  </w:style>
  <w:style w:type="paragraph" w:customStyle="1" w:styleId="Heading311ptBold">
    <w:name w:val="Heading 3 + 11 pt Bold"/>
    <w:basedOn w:val="Heading3"/>
    <w:pPr>
      <w:numPr>
        <w:ilvl w:val="2"/>
        <w:numId w:val="7"/>
      </w:numPr>
      <w:tabs>
        <w:tab w:val="num" w:pos="1800"/>
      </w:tabs>
      <w:ind w:left="0" w:firstLine="0"/>
    </w:pPr>
    <w:rPr>
      <w:b/>
    </w:rPr>
  </w:style>
  <w:style w:type="paragraph" w:customStyle="1" w:styleId="Table5">
    <w:name w:val="Table 5"/>
    <w:basedOn w:val="Normal"/>
    <w:pPr>
      <w:spacing w:after="0" w:line="240" w:lineRule="exact"/>
      <w:ind w:left="567" w:hanging="567"/>
    </w:pPr>
    <w:rPr>
      <w:sz w:val="18"/>
      <w:lang w:eastAsia="ja-JP"/>
    </w:rPr>
  </w:style>
  <w:style w:type="paragraph" w:customStyle="1" w:styleId="ColorfulList-Accent11">
    <w:name w:val="Colorful List - Accent 11"/>
    <w:basedOn w:val="Normal"/>
    <w:qFormat/>
    <w:pPr>
      <w:spacing w:after="0"/>
      <w:ind w:left="720"/>
    </w:pPr>
    <w:rPr>
      <w:rFonts w:eastAsia="MS Mincho"/>
      <w:color w:val="auto"/>
      <w:szCs w:val="24"/>
      <w:lang w:val="en-US" w:eastAsia="ja-JP"/>
    </w:rPr>
  </w:style>
  <w:style w:type="character" w:customStyle="1" w:styleId="mw-headline">
    <w:name w:val="mw-headline"/>
    <w:basedOn w:val="DefaultParagraphFont"/>
  </w:style>
  <w:style w:type="paragraph" w:customStyle="1" w:styleId="ColorfulList-Accent12">
    <w:name w:val="Colorful List - Accent 12"/>
    <w:basedOn w:val="Normal"/>
    <w:qFormat/>
    <w:pPr>
      <w:spacing w:after="0"/>
    </w:pPr>
    <w:rPr>
      <w:rFonts w:ascii="Cambria" w:eastAsia="Cambria" w:hAnsi="Cambria"/>
      <w:color w:val="auto"/>
      <w:sz w:val="24"/>
      <w:lang w:val="en-US"/>
    </w:rPr>
  </w:style>
  <w:style w:type="paragraph" w:styleId="Subtitle0">
    <w:name w:val="Subtitle"/>
    <w:basedOn w:val="Normal"/>
    <w:uiPriority w:val="11"/>
    <w:qFormat/>
    <w:pPr>
      <w:spacing w:after="0"/>
      <w:jc w:val="center"/>
    </w:pPr>
    <w:rPr>
      <w:rFonts w:eastAsia="MS Mincho"/>
      <w:b/>
      <w:color w:val="auto"/>
      <w:lang w:val="en-US"/>
    </w:rPr>
  </w:style>
  <w:style w:type="paragraph" w:styleId="Revision">
    <w:name w:val="Revision"/>
    <w:hidden/>
    <w:uiPriority w:val="99"/>
    <w:semiHidden/>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Pr>
      <w:iCs/>
    </w:rPr>
  </w:style>
  <w:style w:type="paragraph" w:customStyle="1" w:styleId="ParaQPS">
    <w:name w:val="Para QPS"/>
    <w:basedOn w:val="Normal"/>
    <w:qFormat/>
    <w:pPr>
      <w:spacing w:before="120" w:after="120"/>
      <w:ind w:left="1134"/>
      <w:jc w:val="both"/>
    </w:pPr>
    <w:rPr>
      <w:rFonts w:cs="Cambria"/>
      <w:iCs/>
      <w:color w:val="auto"/>
      <w:szCs w:val="24"/>
      <w:lang w:val="en-US" w:eastAsia="en-US" w:bidi="en-US"/>
    </w:rPr>
  </w:style>
  <w:style w:type="paragraph" w:customStyle="1" w:styleId="ParaQPSItalicindent">
    <w:name w:val="Para QPS Italic indent"/>
    <w:basedOn w:val="ParaQPS"/>
    <w:rPr>
      <w:i/>
      <w:iCs w:val="0"/>
    </w:rPr>
  </w:style>
  <w:style w:type="paragraph" w:customStyle="1" w:styleId="ListParagraph1">
    <w:name w:val="List Paragraph1"/>
    <w:aliases w:val="Bullets"/>
    <w:basedOn w:val="Normal"/>
    <w:pPr>
      <w:numPr>
        <w:numId w:val="18"/>
      </w:numPr>
      <w:spacing w:before="60" w:after="60"/>
      <w:jc w:val="both"/>
    </w:pPr>
    <w:rPr>
      <w:rFonts w:ascii="Arial" w:eastAsia="SimSun" w:hAnsi="Arial" w:cs="Arial"/>
      <w:color w:val="auto"/>
      <w:szCs w:val="22"/>
      <w:lang w:eastAsia="en-GB" w:bidi="en-US"/>
    </w:rPr>
  </w:style>
  <w:style w:type="paragraph" w:styleId="Bibliography">
    <w:name w:val="Bibliography"/>
    <w:basedOn w:val="Normal"/>
    <w:next w:val="Normal"/>
    <w:pPr>
      <w:spacing w:before="120" w:after="120"/>
      <w:ind w:left="1134"/>
      <w:jc w:val="both"/>
    </w:pPr>
    <w:rPr>
      <w:rFonts w:ascii="Calibri" w:eastAsia="SimSun" w:hAnsi="Calibri"/>
      <w:color w:val="auto"/>
      <w:szCs w:val="22"/>
      <w:lang w:bidi="en-US"/>
    </w:rPr>
  </w:style>
  <w:style w:type="paragraph" w:customStyle="1" w:styleId="Footnote">
    <w:name w:val="Footnote"/>
    <w:basedOn w:val="FootnoteText"/>
    <w:pPr>
      <w:widowControl/>
      <w:spacing w:after="0"/>
    </w:pPr>
    <w:rPr>
      <w:rFonts w:eastAsia="SimSun"/>
      <w:sz w:val="18"/>
      <w:szCs w:val="22"/>
      <w:lang w:bidi="en-US"/>
    </w:rPr>
  </w:style>
  <w:style w:type="paragraph" w:customStyle="1" w:styleId="TableforUNEPreport">
    <w:name w:val="Table for UNEP report"/>
    <w:basedOn w:val="Caption"/>
    <w:pPr>
      <w:keepNext/>
      <w:spacing w:after="200" w:line="240" w:lineRule="auto"/>
      <w:ind w:left="0"/>
      <w:jc w:val="both"/>
    </w:pPr>
    <w:rPr>
      <w:rFonts w:ascii="Calibri" w:eastAsia="Calibri" w:hAnsi="Calibri"/>
      <w:b/>
      <w:bCs/>
      <w:i w:val="0"/>
      <w:color w:val="auto"/>
      <w:szCs w:val="18"/>
      <w:lang w:eastAsia="en-GB" w:bidi="en-US"/>
    </w:rPr>
  </w:style>
  <w:style w:type="character" w:customStyle="1" w:styleId="FooterChar">
    <w:name w:val="Footer Char"/>
    <w:uiPriority w:val="99"/>
    <w:rPr>
      <w:rFonts w:eastAsia="SimSun" w:cs="Times New Roman"/>
      <w:noProof w:val="0"/>
      <w:sz w:val="22"/>
      <w:lang w:val="x-none" w:eastAsia="zh-CN"/>
    </w:rPr>
  </w:style>
  <w:style w:type="character" w:customStyle="1" w:styleId="BodyText2Char">
    <w:name w:val="Body Text 2 Char"/>
    <w:rPr>
      <w:rFonts w:ascii="Times New Roman" w:hAnsi="Times New Roman" w:cs="Times New Roman"/>
      <w:b/>
      <w:bCs/>
      <w:sz w:val="24"/>
    </w:rPr>
  </w:style>
  <w:style w:type="paragraph" w:customStyle="1" w:styleId="TitleQPSReport">
    <w:name w:val="Title QPS Report"/>
    <w:basedOn w:val="Normal"/>
    <w:pPr>
      <w:spacing w:before="120" w:after="120"/>
      <w:jc w:val="center"/>
    </w:pPr>
    <w:rPr>
      <w:b/>
      <w:bCs/>
      <w:color w:val="auto"/>
      <w:sz w:val="28"/>
      <w:lang w:bidi="en-US"/>
    </w:rPr>
  </w:style>
  <w:style w:type="paragraph" w:customStyle="1" w:styleId="Bulletdash">
    <w:name w:val="Bullet dash"/>
    <w:basedOn w:val="Normal"/>
    <w:qFormat/>
    <w:pPr>
      <w:numPr>
        <w:numId w:val="19"/>
      </w:numPr>
      <w:spacing w:before="120" w:after="120"/>
      <w:ind w:left="1854"/>
      <w:jc w:val="both"/>
    </w:pPr>
    <w:rPr>
      <w:rFonts w:eastAsia="SimSun"/>
      <w:color w:val="auto"/>
      <w:szCs w:val="22"/>
      <w:lang w:bidi="en-US"/>
    </w:rPr>
  </w:style>
  <w:style w:type="paragraph" w:customStyle="1" w:styleId="Paraleft">
    <w:name w:val="Para left"/>
    <w:basedOn w:val="Normal"/>
    <w:qFormat/>
    <w:pPr>
      <w:keepNext/>
      <w:spacing w:before="120" w:after="120"/>
      <w:ind w:left="1134"/>
    </w:pPr>
    <w:rPr>
      <w:rFonts w:eastAsia="SimSun"/>
      <w:b/>
      <w:bCs/>
      <w:color w:val="auto"/>
      <w:szCs w:val="22"/>
      <w:lang w:eastAsia="ja-JP" w:bidi="en-US"/>
    </w:rPr>
  </w:style>
  <w:style w:type="paragraph" w:customStyle="1" w:styleId="TableandFiguretitles">
    <w:name w:val="Table and Figure titles"/>
    <w:basedOn w:val="Caption"/>
    <w:qFormat/>
    <w:pPr>
      <w:keepNext/>
      <w:spacing w:after="200" w:line="240" w:lineRule="auto"/>
      <w:ind w:left="1134"/>
      <w:jc w:val="both"/>
    </w:pPr>
    <w:rPr>
      <w:rFonts w:eastAsia="SimSun"/>
      <w:b/>
      <w:bCs/>
      <w:i w:val="0"/>
      <w:color w:val="auto"/>
      <w:szCs w:val="22"/>
      <w:lang w:bidi="en-US"/>
    </w:rPr>
  </w:style>
  <w:style w:type="paragraph" w:styleId="TableofFigures">
    <w:name w:val="table of figures"/>
    <w:basedOn w:val="Normal"/>
    <w:next w:val="Normal"/>
    <w:semiHidden/>
    <w:unhideWhenUsed/>
    <w:pPr>
      <w:spacing w:before="120" w:after="120"/>
      <w:ind w:left="1757" w:right="624" w:hanging="1077"/>
      <w:jc w:val="both"/>
    </w:pPr>
    <w:rPr>
      <w:rFonts w:eastAsia="SimSun"/>
      <w:b/>
      <w:caps/>
      <w:color w:val="auto"/>
      <w:szCs w:val="22"/>
      <w:lang w:bidi="en-US"/>
    </w:rPr>
  </w:style>
  <w:style w:type="paragraph" w:customStyle="1" w:styleId="StyleParaQPSItalic">
    <w:name w:val="Style Para QPS + Italic"/>
    <w:basedOn w:val="ParaQPS"/>
    <w:rPr>
      <w:i/>
    </w:rPr>
  </w:style>
  <w:style w:type="paragraph" w:customStyle="1" w:styleId="StyleLeft017cm">
    <w:name w:val="Style Left:  0.17 cm"/>
    <w:basedOn w:val="Normal"/>
    <w:pPr>
      <w:spacing w:before="120" w:after="120"/>
      <w:ind w:left="97"/>
      <w:jc w:val="both"/>
    </w:pPr>
    <w:rPr>
      <w:color w:val="auto"/>
      <w:lang w:bidi="en-US"/>
    </w:rPr>
  </w:style>
  <w:style w:type="paragraph" w:customStyle="1" w:styleId="StyleParaQPS11ptItalic">
    <w:name w:val="Style Para QPS + 11 pt Italic"/>
    <w:basedOn w:val="ParaQPS"/>
    <w:rPr>
      <w:i/>
    </w:rPr>
  </w:style>
  <w:style w:type="paragraph" w:customStyle="1" w:styleId="Bulletnumbered">
    <w:name w:val="Bullet numbered"/>
    <w:basedOn w:val="ParaQPS"/>
    <w:qFormat/>
    <w:pPr>
      <w:numPr>
        <w:numId w:val="21"/>
      </w:numPr>
    </w:pPr>
  </w:style>
  <w:style w:type="paragraph" w:customStyle="1" w:styleId="Annexheader">
    <w:name w:val="Annex header"/>
    <w:basedOn w:val="Header"/>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pPr>
      <w:tabs>
        <w:tab w:val="left" w:pos="1080"/>
      </w:tabs>
      <w:spacing w:after="0"/>
    </w:pPr>
    <w:rPr>
      <w:b/>
      <w:i/>
    </w:rPr>
  </w:style>
  <w:style w:type="paragraph" w:customStyle="1" w:styleId="0Heading0CharChar1Char">
    <w:name w:val="0 Heading 0 Char Char1 Char"/>
    <w:rPr>
      <w:rFonts w:ascii="Times New Roman" w:hAnsi="Times New Roman"/>
      <w:color w:val="000000"/>
      <w:sz w:val="24"/>
      <w:lang w:val="en-GB"/>
    </w:rPr>
  </w:style>
  <w:style w:type="character" w:customStyle="1" w:styleId="0Heading0CharChar1CharChar">
    <w:name w:val="0 Heading 0 Char Char1 Char Char"/>
    <w:rPr>
      <w:noProof w:val="0"/>
      <w:color w:val="000000"/>
      <w:sz w:val="24"/>
      <w:lang w:val="en-GB" w:eastAsia="en-US" w:bidi="ar-SA"/>
    </w:rPr>
  </w:style>
  <w:style w:type="character" w:customStyle="1" w:styleId="HeaderChar">
    <w:name w:val="Header Char"/>
    <w:aliases w:val="EthylHeader Char"/>
    <w:uiPriority w:val="99"/>
    <w:rPr>
      <w:noProof w:val="0"/>
      <w:color w:val="000000"/>
      <w:sz w:val="24"/>
      <w:lang w:val="en-GB" w:eastAsia="zh-CN"/>
    </w:rPr>
  </w:style>
  <w:style w:type="paragraph" w:customStyle="1" w:styleId="Alt2-LevelLegal1">
    <w:name w:val="Alt 2-Level Legal1"/>
    <w:basedOn w:val="Normal"/>
    <w:next w:val="Normal"/>
    <w:pPr>
      <w:numPr>
        <w:numId w:val="23"/>
      </w:numPr>
      <w:jc w:val="center"/>
      <w:outlineLvl w:val="0"/>
    </w:pPr>
    <w:rPr>
      <w:rFonts w:eastAsia="SimSun"/>
      <w:b/>
      <w:color w:val="auto"/>
      <w:szCs w:val="24"/>
    </w:rPr>
  </w:style>
  <w:style w:type="paragraph" w:customStyle="1" w:styleId="Alt2-LevelLegal2">
    <w:name w:val="Alt 2-Level Legal2"/>
    <w:basedOn w:val="Normal"/>
    <w:pPr>
      <w:numPr>
        <w:ilvl w:val="1"/>
        <w:numId w:val="23"/>
      </w:numPr>
      <w:outlineLvl w:val="1"/>
    </w:pPr>
    <w:rPr>
      <w:rFonts w:eastAsia="SimSun"/>
      <w:b/>
      <w:bCs/>
      <w:szCs w:val="24"/>
    </w:rPr>
  </w:style>
  <w:style w:type="paragraph" w:customStyle="1" w:styleId="Alt2-LevelLegal3">
    <w:name w:val="Alt 2-Level Legal3"/>
    <w:basedOn w:val="Normal"/>
    <w:pPr>
      <w:numPr>
        <w:ilvl w:val="2"/>
        <w:numId w:val="23"/>
      </w:numPr>
      <w:outlineLvl w:val="2"/>
    </w:pPr>
    <w:rPr>
      <w:rFonts w:eastAsia="SimSun"/>
      <w:b/>
      <w:szCs w:val="24"/>
    </w:rPr>
  </w:style>
  <w:style w:type="paragraph" w:customStyle="1" w:styleId="Alt2-LevelLegal4">
    <w:name w:val="Alt 2-Level Legal4"/>
    <w:basedOn w:val="Normal"/>
    <w:pPr>
      <w:numPr>
        <w:ilvl w:val="3"/>
        <w:numId w:val="23"/>
      </w:numPr>
      <w:outlineLvl w:val="3"/>
    </w:pPr>
    <w:rPr>
      <w:rFonts w:eastAsia="SimSun"/>
      <w:szCs w:val="24"/>
    </w:rPr>
  </w:style>
  <w:style w:type="paragraph" w:customStyle="1" w:styleId="Alt2-LevelLegal5">
    <w:name w:val="Alt 2-Level Legal5"/>
    <w:basedOn w:val="Normal"/>
    <w:pPr>
      <w:numPr>
        <w:ilvl w:val="4"/>
        <w:numId w:val="23"/>
      </w:numPr>
      <w:ind w:right="720"/>
      <w:jc w:val="both"/>
      <w:outlineLvl w:val="4"/>
    </w:pPr>
    <w:rPr>
      <w:rFonts w:eastAsia="SimSun"/>
      <w:szCs w:val="24"/>
    </w:rPr>
  </w:style>
  <w:style w:type="paragraph" w:customStyle="1" w:styleId="Alt2-LevelLegal6">
    <w:name w:val="Alt 2-Level Legal6"/>
    <w:basedOn w:val="Normal"/>
    <w:pPr>
      <w:numPr>
        <w:ilvl w:val="5"/>
        <w:numId w:val="23"/>
      </w:numPr>
      <w:jc w:val="both"/>
      <w:outlineLvl w:val="5"/>
    </w:pPr>
    <w:rPr>
      <w:rFonts w:eastAsia="SimSun"/>
      <w:szCs w:val="24"/>
    </w:rPr>
  </w:style>
  <w:style w:type="paragraph" w:customStyle="1" w:styleId="Alt2-LevelLegal7">
    <w:name w:val="Alt 2-Level Legal7"/>
    <w:basedOn w:val="Normal"/>
    <w:pPr>
      <w:numPr>
        <w:ilvl w:val="6"/>
        <w:numId w:val="23"/>
      </w:numPr>
      <w:ind w:left="1440"/>
      <w:outlineLvl w:val="6"/>
    </w:pPr>
    <w:rPr>
      <w:rFonts w:eastAsia="SimSun"/>
      <w:szCs w:val="24"/>
    </w:rPr>
  </w:style>
  <w:style w:type="character" w:styleId="Emphasis">
    <w:name w:val="Emphasis"/>
    <w:uiPriority w:val="20"/>
    <w:qFormat/>
    <w:rPr>
      <w:b/>
      <w:bCs/>
      <w:i/>
      <w:iCs/>
      <w:spacing w:val="10"/>
      <w:bdr w:val="none" w:sz="0" w:space="0" w:color="auto"/>
      <w:shd w:val="clear" w:color="auto" w:fill="auto"/>
    </w:rPr>
  </w:style>
  <w:style w:type="paragraph" w:customStyle="1" w:styleId="NoteLevel21">
    <w:name w:val="Note Level 21"/>
    <w:basedOn w:val="Normal"/>
    <w:qFormat/>
    <w:locked/>
    <w:pPr>
      <w:spacing w:after="0"/>
    </w:pPr>
    <w:rPr>
      <w:rFonts w:ascii="Arial" w:eastAsia="Calibri" w:hAnsi="Arial" w:cs="Consolas"/>
      <w:color w:val="auto"/>
      <w:szCs w:val="22"/>
      <w:lang w:eastAsia="en-US"/>
    </w:rPr>
  </w:style>
  <w:style w:type="paragraph" w:styleId="Quote">
    <w:name w:val="Quote"/>
    <w:basedOn w:val="Normal"/>
    <w:next w:val="Normal"/>
    <w:qFormat/>
    <w:locked/>
    <w:pPr>
      <w:spacing w:before="200" w:after="0"/>
      <w:ind w:left="360" w:right="360"/>
    </w:pPr>
    <w:rPr>
      <w:rFonts w:ascii="Arial" w:eastAsia="Calibri" w:hAnsi="Arial" w:cs="Consolas"/>
      <w:i/>
      <w:iCs/>
      <w:color w:val="auto"/>
      <w:szCs w:val="22"/>
      <w:lang w:eastAsia="en-US"/>
    </w:rPr>
  </w:style>
  <w:style w:type="paragraph" w:styleId="IntenseQuote">
    <w:name w:val="Intense Quote"/>
    <w:basedOn w:val="Normal"/>
    <w:next w:val="Normal"/>
    <w:qFormat/>
    <w:locked/>
    <w:pPr>
      <w:pBdr>
        <w:bottom w:val="single" w:sz="4" w:space="1" w:color="auto"/>
      </w:pBdr>
      <w:spacing w:before="200" w:after="280"/>
      <w:ind w:left="1008" w:right="1152"/>
      <w:jc w:val="both"/>
    </w:pPr>
    <w:rPr>
      <w:rFonts w:ascii="Arial" w:eastAsia="Calibri" w:hAnsi="Arial" w:cs="Consolas"/>
      <w:b/>
      <w:bCs/>
      <w:i/>
      <w:iCs/>
      <w:color w:val="auto"/>
      <w:szCs w:val="22"/>
      <w:lang w:eastAsia="en-US"/>
    </w:rPr>
  </w:style>
  <w:style w:type="character" w:styleId="SubtleEmphasis">
    <w:name w:val="Subtle Emphasis"/>
    <w:qFormat/>
    <w:locked/>
    <w:rPr>
      <w:i/>
      <w:iCs/>
    </w:rPr>
  </w:style>
  <w:style w:type="character" w:styleId="IntenseEmphasis">
    <w:name w:val="Intense Emphasis"/>
    <w:qFormat/>
    <w:locked/>
    <w:rPr>
      <w:b/>
      <w:bCs/>
    </w:rPr>
  </w:style>
  <w:style w:type="character" w:styleId="SubtleReference">
    <w:name w:val="Subtle Reference"/>
    <w:qFormat/>
    <w:locked/>
    <w:rPr>
      <w:smallCaps/>
    </w:rPr>
  </w:style>
  <w:style w:type="character" w:styleId="IntenseReference">
    <w:name w:val="Intense Reference"/>
    <w:qFormat/>
    <w:locked/>
    <w:rPr>
      <w:smallCaps/>
      <w:spacing w:val="5"/>
      <w:u w:val="single"/>
    </w:rPr>
  </w:style>
  <w:style w:type="character" w:styleId="BookTitle">
    <w:name w:val="Book Title"/>
    <w:qFormat/>
    <w:locked/>
    <w:rPr>
      <w:i/>
      <w:iCs/>
      <w:smallCaps/>
      <w:spacing w:val="5"/>
    </w:rPr>
  </w:style>
  <w:style w:type="paragraph" w:styleId="TOCHeading">
    <w:name w:val="TOC Heading"/>
    <w:basedOn w:val="Heading1"/>
    <w:next w:val="Normal"/>
    <w:uiPriority w:val="39"/>
    <w:qFormat/>
    <w:locked/>
    <w:pPr>
      <w:keepLines/>
      <w:spacing w:before="0"/>
      <w:ind w:left="0" w:firstLine="0"/>
      <w:outlineLvl w:val="9"/>
    </w:pPr>
    <w:rPr>
      <w:rFonts w:ascii="Arial" w:hAnsi="Arial"/>
      <w:bCs/>
      <w:color w:val="auto"/>
      <w:sz w:val="32"/>
      <w:szCs w:val="28"/>
      <w:lang w:eastAsia="en-US"/>
    </w:rPr>
  </w:style>
  <w:style w:type="character" w:customStyle="1" w:styleId="PlainTextChar">
    <w:name w:val="Plain Text Char"/>
    <w:uiPriority w:val="99"/>
    <w:rPr>
      <w:rFonts w:ascii="Consolas" w:hAnsi="Consolas" w:cs="Consolas"/>
      <w:noProof w:val="0"/>
      <w:sz w:val="21"/>
      <w:szCs w:val="21"/>
      <w:lang w:val="en-US" w:eastAsia="en-US"/>
    </w:rPr>
  </w:style>
  <w:style w:type="character" w:customStyle="1" w:styleId="BodyTextIndent3Char">
    <w:name w:val="Body Text Indent 3 Char"/>
    <w:rPr>
      <w:rFonts w:ascii="Times New Roman" w:eastAsia="MS Mincho" w:hAnsi="Times New Roman" w:cs="Times New Roman"/>
      <w:noProof w:val="0"/>
      <w:snapToGrid w:val="0"/>
      <w:color w:val="FF0000"/>
      <w:sz w:val="24"/>
      <w:lang w:eastAsia="zh-CN"/>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Pr>
      <w:rFonts w:ascii="Arial" w:eastAsia="MS Mincho" w:hAnsi="Arial" w:cs="Arial"/>
      <w:b/>
      <w:bCs/>
      <w:noProof w:val="0"/>
      <w:kern w:val="32"/>
      <w:sz w:val="32"/>
      <w:szCs w:val="32"/>
      <w:lang w:val="en-US" w:eastAsia="ja-JP" w:bidi="ar-SA"/>
    </w:rPr>
  </w:style>
  <w:style w:type="paragraph" w:customStyle="1" w:styleId="a0">
    <w:name w:val="吹き出し"/>
    <w:basedOn w:val="Normal"/>
    <w:semiHidden/>
    <w:pPr>
      <w:spacing w:after="0"/>
    </w:pPr>
    <w:rPr>
      <w:rFonts w:ascii="Tahoma" w:eastAsia="MS Mincho" w:hAnsi="Tahoma" w:cs="Consolas"/>
      <w:color w:val="auto"/>
      <w:sz w:val="16"/>
      <w:szCs w:val="16"/>
      <w:lang w:val="en-US" w:eastAsia="en-US"/>
    </w:rPr>
  </w:style>
  <w:style w:type="character" w:customStyle="1" w:styleId="SubParaa">
    <w:name w:val="SubPara (a) (文字) (文字)"/>
    <w:rPr>
      <w:rFonts w:ascii="Arial" w:eastAsia="MS Mincho" w:hAnsi="Arial" w:cs="Arial"/>
      <w:b/>
      <w:bCs/>
      <w:i/>
      <w:iCs/>
      <w:noProof w:val="0"/>
      <w:kern w:val="2"/>
      <w:sz w:val="28"/>
      <w:szCs w:val="28"/>
      <w:lang w:val="en-US" w:eastAsia="ja-JP" w:bidi="ar-SA"/>
    </w:rPr>
  </w:style>
  <w:style w:type="character" w:customStyle="1" w:styleId="1">
    <w:name w:val="(文字) (文字)1"/>
    <w:rPr>
      <w:rFonts w:eastAsia="SimSun"/>
      <w:noProof w:val="0"/>
      <w:sz w:val="24"/>
      <w:szCs w:val="24"/>
      <w:lang w:val="en-US" w:eastAsia="zh-CN" w:bidi="ar-SA"/>
    </w:rPr>
  </w:style>
  <w:style w:type="paragraph" w:customStyle="1" w:styleId="a1">
    <w:name w:val="コメント内容"/>
    <w:basedOn w:val="CommentText"/>
    <w:next w:val="CommentText"/>
    <w:pPr>
      <w:widowControl/>
      <w:spacing w:after="0"/>
    </w:pPr>
    <w:rPr>
      <w:rFonts w:ascii="Times New Roman" w:eastAsia="MS Mincho" w:hAnsi="Times New Roman"/>
      <w:b/>
      <w:bCs/>
      <w:lang w:val="en-US" w:eastAsia="en-US"/>
    </w:rPr>
  </w:style>
  <w:style w:type="character" w:customStyle="1" w:styleId="a2">
    <w:name w:val="(文字) (文字)"/>
    <w:rPr>
      <w:rFonts w:eastAsia="SimSun"/>
      <w:b/>
      <w:bCs/>
      <w:noProof w:val="0"/>
      <w:sz w:val="24"/>
      <w:szCs w:val="24"/>
      <w:lang w:val="en-US" w:eastAsia="en-US" w:bidi="ar-SA"/>
    </w:rPr>
  </w:style>
  <w:style w:type="character" w:customStyle="1" w:styleId="CarCar19">
    <w:name w:val="Car Car19"/>
    <w:locked/>
    <w:rPr>
      <w:rFonts w:eastAsia="MS Mincho"/>
      <w:noProof w:val="0"/>
      <w:color w:val="000000"/>
      <w:sz w:val="24"/>
      <w:szCs w:val="24"/>
      <w:lang w:val="en-GB" w:eastAsia="zh-CN" w:bidi="ar-SA"/>
    </w:rPr>
  </w:style>
  <w:style w:type="paragraph" w:customStyle="1" w:styleId="Decisionparagraphs">
    <w:name w:val="Decision paragraphs"/>
    <w:basedOn w:val="Normal"/>
    <w:autoRedefine/>
    <w:pPr>
      <w:spacing w:after="0"/>
    </w:pPr>
    <w:rPr>
      <w:i/>
      <w:color w:val="auto"/>
      <w:lang w:eastAsia="en-US"/>
    </w:rPr>
  </w:style>
  <w:style w:type="paragraph" w:customStyle="1" w:styleId="Style3">
    <w:name w:val="Style3"/>
    <w:basedOn w:val="Heading1"/>
    <w:pPr>
      <w:tabs>
        <w:tab w:val="left" w:pos="0"/>
        <w:tab w:val="left" w:pos="720"/>
        <w:tab w:val="num" w:pos="1492"/>
      </w:tabs>
      <w:spacing w:before="0" w:after="0"/>
      <w:ind w:left="720" w:hanging="720"/>
    </w:pPr>
    <w:rPr>
      <w:szCs w:val="28"/>
    </w:rPr>
  </w:style>
  <w:style w:type="paragraph" w:customStyle="1" w:styleId="Style4">
    <w:name w:val="Style4"/>
    <w:basedOn w:val="Heading2"/>
    <w:qFormat/>
    <w:pPr>
      <w:tabs>
        <w:tab w:val="left" w:pos="720"/>
      </w:tabs>
      <w:spacing w:after="0"/>
      <w:ind w:left="720" w:hanging="720"/>
    </w:pPr>
    <w:rPr>
      <w:snapToGrid/>
    </w:rPr>
  </w:style>
  <w:style w:type="paragraph" w:customStyle="1" w:styleId="Style5">
    <w:name w:val="Style5"/>
    <w:basedOn w:val="Heading311ptBold"/>
    <w:autoRedefine/>
    <w:pPr>
      <w:numPr>
        <w:ilvl w:val="0"/>
        <w:numId w:val="0"/>
      </w:numPr>
      <w:tabs>
        <w:tab w:val="clear" w:pos="1800"/>
        <w:tab w:val="left" w:pos="720"/>
        <w:tab w:val="center" w:pos="1440"/>
      </w:tabs>
      <w:spacing w:before="0" w:after="0"/>
    </w:pPr>
    <w:rPr>
      <w:b w:val="0"/>
      <w:snapToGrid/>
    </w:rPr>
  </w:style>
  <w:style w:type="paragraph" w:customStyle="1" w:styleId="Style6">
    <w:name w:val="Style6"/>
    <w:basedOn w:val="Heading311ptBold"/>
    <w:next w:val="Style5"/>
    <w:pPr>
      <w:numPr>
        <w:ilvl w:val="0"/>
        <w:numId w:val="0"/>
      </w:numPr>
      <w:tabs>
        <w:tab w:val="clear" w:pos="1800"/>
        <w:tab w:val="left" w:pos="720"/>
        <w:tab w:val="center" w:pos="1440"/>
      </w:tabs>
      <w:spacing w:before="0" w:after="0"/>
    </w:pPr>
    <w:rPr>
      <w:b w:val="0"/>
      <w:snapToGrid/>
    </w:rPr>
  </w:style>
  <w:style w:type="paragraph" w:customStyle="1" w:styleId="Style7">
    <w:name w:val="Style7"/>
    <w:basedOn w:val="Heading311ptBold"/>
    <w:pPr>
      <w:numPr>
        <w:ilvl w:val="0"/>
        <w:numId w:val="0"/>
      </w:numPr>
      <w:tabs>
        <w:tab w:val="clear" w:pos="1800"/>
        <w:tab w:val="left" w:pos="720"/>
        <w:tab w:val="center" w:pos="1440"/>
      </w:tabs>
      <w:spacing w:before="0" w:after="0"/>
      <w:ind w:left="720" w:hanging="720"/>
    </w:pPr>
    <w:rPr>
      <w:b w:val="0"/>
      <w:snapToGrid/>
    </w:rPr>
  </w:style>
  <w:style w:type="paragraph" w:customStyle="1" w:styleId="StyleHeading2SubParaaHeading2Char1CharSubParaaChar1">
    <w:name w:val="Style Heading 2SubPara (a)Heading 2 Char1 CharSubPara (a) Char1 ..."/>
    <w:basedOn w:val="Heading2"/>
    <w:autoRedefine/>
    <w:pPr>
      <w:tabs>
        <w:tab w:val="left" w:pos="720"/>
      </w:tabs>
      <w:spacing w:after="0"/>
    </w:pPr>
    <w:rPr>
      <w:bCs/>
      <w:snapToGrid/>
      <w:szCs w:val="20"/>
    </w:rPr>
  </w:style>
  <w:style w:type="paragraph" w:customStyle="1" w:styleId="StyleStyleHeading2SubParaaHeading2Char1CharSubParaaCha">
    <w:name w:val="Style Style Heading 2SubPara (a)Heading 2 Char1 CharSubPara (a) Cha..."/>
    <w:basedOn w:val="StyleHeading2SubParaaHeading2Char1CharSubParaaChar1"/>
  </w:style>
  <w:style w:type="paragraph" w:customStyle="1" w:styleId="StyleHeading4Left0Firstline0">
    <w:name w:val="Style Heading 4 + Left:  0&quot; First line:  0&quot;"/>
    <w:basedOn w:val="Heading4"/>
    <w:autoRedefine/>
    <w:pPr>
      <w:tabs>
        <w:tab w:val="clear" w:pos="1080"/>
      </w:tabs>
      <w:spacing w:after="0"/>
      <w:ind w:left="720"/>
    </w:pPr>
    <w:rPr>
      <w:b w:val="0"/>
      <w:bCs/>
      <w:snapToGrid/>
      <w:szCs w:val="20"/>
    </w:rPr>
  </w:style>
  <w:style w:type="paragraph" w:styleId="ListBullet2">
    <w:name w:val="List Bullet 2"/>
    <w:basedOn w:val="Normal"/>
    <w:semiHidden/>
    <w:pPr>
      <w:tabs>
        <w:tab w:val="num" w:pos="643"/>
      </w:tabs>
      <w:spacing w:after="0"/>
      <w:ind w:left="643" w:hanging="360"/>
    </w:pPr>
    <w:rPr>
      <w:color w:val="auto"/>
      <w:szCs w:val="24"/>
      <w:lang w:eastAsia="en-GB"/>
    </w:rPr>
  </w:style>
  <w:style w:type="paragraph" w:styleId="ListBullet3">
    <w:name w:val="List Bullet 3"/>
    <w:basedOn w:val="Normal"/>
    <w:semiHidden/>
    <w:pPr>
      <w:tabs>
        <w:tab w:val="num" w:pos="926"/>
      </w:tabs>
      <w:spacing w:after="0"/>
      <w:ind w:left="926" w:hanging="360"/>
    </w:pPr>
    <w:rPr>
      <w:color w:val="auto"/>
      <w:szCs w:val="24"/>
      <w:lang w:eastAsia="en-GB"/>
    </w:rPr>
  </w:style>
  <w:style w:type="paragraph" w:styleId="ListBullet4">
    <w:name w:val="List Bullet 4"/>
    <w:basedOn w:val="Normal"/>
    <w:semiHidden/>
    <w:pPr>
      <w:tabs>
        <w:tab w:val="num" w:pos="1209"/>
      </w:tabs>
      <w:spacing w:after="0"/>
      <w:ind w:left="1209" w:hanging="360"/>
    </w:pPr>
    <w:rPr>
      <w:color w:val="auto"/>
      <w:szCs w:val="24"/>
      <w:lang w:eastAsia="en-GB"/>
    </w:rPr>
  </w:style>
  <w:style w:type="paragraph" w:customStyle="1" w:styleId="ECMSHeading1">
    <w:name w:val="ECMS Heading 1"/>
    <w:basedOn w:val="Heading1"/>
    <w:pPr>
      <w:spacing w:after="1080"/>
      <w:ind w:left="0" w:firstLine="0"/>
    </w:pPr>
    <w:rPr>
      <w:rFonts w:ascii="Garamond" w:hAnsi="Garamond" w:cs="Arial"/>
      <w:bCs/>
      <w:color w:val="auto"/>
      <w:sz w:val="48"/>
      <w:szCs w:val="18"/>
      <w:lang w:eastAsia="en-GB"/>
    </w:rPr>
  </w:style>
  <w:style w:type="paragraph" w:customStyle="1" w:styleId="ECMStableheader">
    <w:name w:val="ECMS table header"/>
    <w:basedOn w:val="Normal"/>
    <w:pPr>
      <w:spacing w:after="0"/>
      <w:ind w:left="1320" w:hanging="1320"/>
    </w:pPr>
    <w:rPr>
      <w:b/>
      <w:color w:val="auto"/>
      <w:szCs w:val="24"/>
      <w:lang w:eastAsia="en-GB"/>
    </w:rPr>
  </w:style>
  <w:style w:type="paragraph" w:customStyle="1" w:styleId="Paralevel3">
    <w:name w:val="Para level3"/>
    <w:basedOn w:val="Normal"/>
    <w:autoRedefine/>
    <w:pPr>
      <w:numPr>
        <w:numId w:val="26"/>
      </w:numPr>
      <w:tabs>
        <w:tab w:val="clear" w:pos="2892"/>
        <w:tab w:val="num" w:pos="360"/>
      </w:tabs>
      <w:suppressAutoHyphens/>
      <w:spacing w:after="120"/>
      <w:ind w:left="0" w:firstLine="0"/>
    </w:pPr>
    <w:rPr>
      <w:color w:val="auto"/>
      <w:sz w:val="20"/>
      <w:lang w:eastAsia="en-US"/>
    </w:rPr>
  </w:style>
  <w:style w:type="character" w:customStyle="1" w:styleId="ANNEXESChar">
    <w:name w:val="ANNEXES Char"/>
    <w:rPr>
      <w:b/>
      <w:noProof w:val="0"/>
      <w:color w:val="000000"/>
      <w:sz w:val="28"/>
      <w:lang w:val="en-GB" w:eastAsia="zh-CN" w:bidi="ar-SA"/>
    </w:rPr>
  </w:style>
  <w:style w:type="character" w:customStyle="1" w:styleId="BodyTextChar">
    <w:name w:val="Body Text Char"/>
    <w:aliases w:val=" Char Char Char,Char Char Char,Body Text Char Char Char Char Char Char,Body Text Char Char Char Char Char1"/>
    <w:rPr>
      <w:rFonts w:ascii="Times New Roman" w:hAnsi="Times New Roman"/>
      <w:noProof w:val="0"/>
      <w:color w:val="000000"/>
      <w:lang w:val="en-GB" w:eastAsia="zh-CN"/>
    </w:rPr>
  </w:style>
  <w:style w:type="character" w:customStyle="1" w:styleId="BodyTextIndentChar">
    <w:name w:val="Body Text Indent Char"/>
    <w:rPr>
      <w:rFonts w:ascii="Times New Roman" w:hAnsi="Times New Roman"/>
      <w:noProof w:val="0"/>
      <w:color w:val="000000"/>
      <w:lang w:val="en-GB" w:eastAsia="zh-CN"/>
    </w:rPr>
  </w:style>
  <w:style w:type="paragraph" w:customStyle="1" w:styleId="ColorfulShading-Accent31">
    <w:name w:val="Colorful Shading - Accent 31"/>
    <w:basedOn w:val="Normal"/>
    <w:qFormat/>
    <w:pPr>
      <w:spacing w:after="0"/>
    </w:pPr>
    <w:rPr>
      <w:rFonts w:ascii="Cambria" w:eastAsia="Cambria" w:hAnsi="Cambria"/>
      <w:color w:val="auto"/>
      <w:sz w:val="24"/>
      <w:lang w:val="en-US"/>
    </w:rPr>
  </w:style>
  <w:style w:type="paragraph" w:customStyle="1" w:styleId="summarylevel3">
    <w:name w:val="summary level3"/>
    <w:basedOn w:val="Heading3"/>
    <w:next w:val="Normal"/>
    <w:pPr>
      <w:keepLines w:val="0"/>
      <w:suppressLineNumbers/>
      <w:tabs>
        <w:tab w:val="left" w:pos="851"/>
      </w:tabs>
      <w:spacing w:before="100"/>
    </w:pPr>
    <w:rPr>
      <w:rFonts w:ascii="Times New Roman Bold" w:hAnsi="Times New Roman Bold"/>
      <w:snapToGrid/>
      <w:lang w:val="en-AU"/>
    </w:rPr>
  </w:style>
  <w:style w:type="paragraph" w:customStyle="1" w:styleId="intro">
    <w:name w:val="intro"/>
    <w:basedOn w:val="Normal"/>
    <w:pPr>
      <w:spacing w:before="100" w:after="100"/>
    </w:pPr>
    <w:rPr>
      <w:color w:val="auto"/>
      <w:sz w:val="24"/>
      <w:lang w:val="en-US" w:eastAsia="ja-JP"/>
    </w:rPr>
  </w:style>
  <w:style w:type="paragraph" w:customStyle="1" w:styleId="BodyTextLeft">
    <w:name w:val="Body Text Left"/>
    <w:basedOn w:val="Normal"/>
    <w:pPr>
      <w:widowControl w:val="0"/>
    </w:pPr>
    <w:rPr>
      <w:rFonts w:eastAsia="MS Mincho"/>
      <w:color w:val="auto"/>
      <w:kern w:val="2"/>
      <w:sz w:val="24"/>
      <w:lang w:eastAsia="ja-JP"/>
    </w:rPr>
  </w:style>
  <w:style w:type="paragraph" w:customStyle="1" w:styleId="bullet0">
    <w:name w:val="bullet"/>
    <w:basedOn w:val="Normal"/>
    <w:autoRedefine/>
    <w:pPr>
      <w:spacing w:after="0"/>
      <w:ind w:left="1080"/>
    </w:pPr>
    <w:rPr>
      <w:color w:val="auto"/>
      <w:sz w:val="24"/>
    </w:rPr>
  </w:style>
  <w:style w:type="paragraph" w:customStyle="1" w:styleId="ExecSumHeading">
    <w:name w:val="Exec Sum Heading"/>
    <w:basedOn w:val="Heading1"/>
    <w:pPr>
      <w:widowControl w:val="0"/>
      <w:tabs>
        <w:tab w:val="left" w:pos="851"/>
      </w:tabs>
      <w:spacing w:before="240"/>
    </w:pPr>
    <w:rPr>
      <w:rFonts w:ascii="Times New Roman Bold" w:eastAsia="MS Mincho" w:hAnsi="Times New Roman Bold"/>
      <w:color w:val="auto"/>
      <w:kern w:val="32"/>
      <w:sz w:val="30"/>
    </w:rPr>
  </w:style>
  <w:style w:type="character" w:customStyle="1" w:styleId="text">
    <w:name w:val="text"/>
    <w:basedOn w:val="DefaultParagraphFont"/>
  </w:style>
  <w:style w:type="paragraph" w:customStyle="1" w:styleId="StyleHeading1Para1Heading1Char1CharHeading1CharCharC">
    <w:name w:val="Style Heading 1Para (1)Heading 1 Char1 CharHeading 1 Char Char C..."/>
    <w:basedOn w:val="Heading1"/>
    <w:pPr>
      <w:tabs>
        <w:tab w:val="left" w:pos="851"/>
      </w:tabs>
      <w:spacing w:before="240" w:after="60"/>
    </w:pPr>
    <w:rPr>
      <w:rFonts w:ascii="Times New Roman Bold" w:hAnsi="Times New Roman Bold"/>
      <w:kern w:val="32"/>
      <w:sz w:val="30"/>
      <w:lang w:val="en-US"/>
    </w:rPr>
  </w:style>
  <w:style w:type="character" w:customStyle="1" w:styleId="StyleHeading1Para1Heading1Char1CharHeading1CharCharCChar">
    <w:name w:val="Style Heading 1Para (1)Heading 1 Char1 CharHeading 1 Char Char C... Char"/>
    <w:rPr>
      <w:rFonts w:cs="Arial"/>
      <w:b/>
      <w:bCs/>
      <w:noProof w:val="0"/>
      <w:color w:val="000000"/>
      <w:kern w:val="32"/>
      <w:sz w:val="28"/>
      <w:szCs w:val="32"/>
      <w:lang w:val="en-US" w:eastAsia="en-US" w:bidi="ar-SA"/>
    </w:rPr>
  </w:style>
  <w:style w:type="paragraph" w:customStyle="1" w:styleId="StyleBodyTextLeftAfter0pt">
    <w:name w:val="Style Body Text Left + After:  0 pt"/>
    <w:basedOn w:val="BodyTextLeft"/>
    <w:rPr>
      <w:lang w:eastAsia="zh-CN"/>
    </w:rPr>
  </w:style>
  <w:style w:type="paragraph" w:customStyle="1" w:styleId="StyleBodyTextIndent2Firstline0cm">
    <w:name w:val="Style Body Text Indent 2 + First line:  0 cm"/>
    <w:basedOn w:val="BodyTextIndent2"/>
    <w:pPr>
      <w:spacing w:after="240"/>
      <w:ind w:firstLine="0"/>
    </w:pPr>
  </w:style>
  <w:style w:type="paragraph" w:customStyle="1" w:styleId="StyleBodyTextIndent2Firstline0cm1">
    <w:name w:val="Style Body Text Indent 2 + First line:  0 cm1"/>
    <w:basedOn w:val="BodyTextIndent2"/>
    <w:pPr>
      <w:spacing w:after="240"/>
      <w:ind w:firstLine="0"/>
    </w:pPr>
  </w:style>
  <w:style w:type="paragraph" w:customStyle="1" w:styleId="NormalBold">
    <w:name w:val="Normal + Bold"/>
    <w:aliases w:val="Italic,Centered"/>
    <w:basedOn w:val="Execlevel3"/>
    <w:pPr>
      <w:spacing w:after="240"/>
      <w:jc w:val="center"/>
    </w:pPr>
  </w:style>
  <w:style w:type="paragraph" w:styleId="List5">
    <w:name w:val="List 5"/>
    <w:basedOn w:val="Normal"/>
    <w:semiHidden/>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255612"/>
    <w:pPr>
      <w:tabs>
        <w:tab w:val="left" w:pos="720"/>
        <w:tab w:val="right" w:pos="9360"/>
      </w:tabs>
      <w:spacing w:after="0"/>
    </w:pPr>
    <w:rPr>
      <w:rFonts w:ascii="Helvetica" w:hAnsi="Helvetica"/>
      <w:color w:val="auto"/>
      <w:lang w:val="en-US"/>
    </w:rPr>
  </w:style>
  <w:style w:type="character" w:customStyle="1" w:styleId="CommentTextChar1">
    <w:name w:val="Comment Text Char1"/>
    <w:rPr>
      <w:rFonts w:cs="Times New Roman"/>
      <w:noProof w:val="0"/>
      <w:sz w:val="24"/>
      <w:lang w:val="en-US" w:eastAsia="ja-JP"/>
    </w:rPr>
  </w:style>
  <w:style w:type="character" w:customStyle="1" w:styleId="CommentTextChar">
    <w:name w:val="Comment Text Char"/>
    <w:uiPriority w:val="99"/>
    <w:rPr>
      <w:rFonts w:ascii="Times New Roman" w:hAnsi="Times New Roman" w:cs="Times New Roman"/>
      <w:noProof w:val="0"/>
      <w:sz w:val="24"/>
      <w:lang w:val="x-none" w:eastAsia="ja-JP"/>
    </w:rPr>
  </w:style>
  <w:style w:type="character" w:customStyle="1" w:styleId="BalloonTextChar">
    <w:name w:val="Balloon Text Char"/>
    <w:uiPriority w:val="99"/>
    <w:rPr>
      <w:rFonts w:ascii="Tahoma" w:hAnsi="Tahoma" w:cs="MS Mincho"/>
      <w:sz w:val="16"/>
    </w:rPr>
  </w:style>
  <w:style w:type="character" w:customStyle="1" w:styleId="CommentSubjectChar">
    <w:name w:val="Comment Subject Char"/>
    <w:uiPriority w:val="99"/>
    <w:rPr>
      <w:rFonts w:eastAsia="Times New Roman" w:cs="Times New Roman"/>
      <w:b/>
      <w:bCs/>
      <w:noProof w:val="0"/>
      <w:sz w:val="24"/>
      <w:lang w:val="en-US" w:eastAsia="ja-JP"/>
    </w:rPr>
  </w:style>
  <w:style w:type="character" w:customStyle="1" w:styleId="Heading5Char">
    <w:name w:val="Heading 5 Char"/>
    <w:aliases w:val="Subpara 2 Char"/>
    <w:uiPriority w:val="9"/>
    <w:rPr>
      <w:rFonts w:ascii="Cambria" w:eastAsia="Times New Roman" w:hAnsi="Cambria" w:cs="Times New Roman"/>
      <w:color w:val="243F60"/>
    </w:rPr>
  </w:style>
  <w:style w:type="character" w:customStyle="1" w:styleId="Heading6Char">
    <w:name w:val="Heading 6 Char"/>
    <w:aliases w:val="Subpara 3 Char"/>
    <w:uiPriority w:val="9"/>
    <w:rPr>
      <w:rFonts w:ascii="Cambria" w:eastAsia="Times New Roman" w:hAnsi="Cambria" w:cs="Times New Roman"/>
      <w:i/>
      <w:iCs/>
      <w:color w:val="243F60"/>
    </w:rPr>
  </w:style>
  <w:style w:type="character" w:customStyle="1" w:styleId="Heading7Char">
    <w:name w:val="Heading 7 Char"/>
    <w:aliases w:val="Subpara 4 Char"/>
    <w:uiPriority w:val="9"/>
    <w:rPr>
      <w:rFonts w:ascii="Cambria" w:eastAsia="Times New Roman" w:hAnsi="Cambria" w:cs="Times New Roman"/>
      <w:i/>
      <w:iCs/>
      <w:color w:val="404040"/>
    </w:rPr>
  </w:style>
  <w:style w:type="character" w:customStyle="1" w:styleId="Heading8Char">
    <w:name w:val="Heading 8 Char"/>
    <w:aliases w:val="Subpara 5 Char"/>
    <w:uiPriority w:val="9"/>
    <w:rPr>
      <w:rFonts w:ascii="Cambria" w:eastAsia="Times New Roman" w:hAnsi="Cambria" w:cs="Times New Roman"/>
      <w:color w:val="404040"/>
      <w:sz w:val="20"/>
      <w:szCs w:val="20"/>
    </w:rPr>
  </w:style>
  <w:style w:type="character" w:customStyle="1" w:styleId="Heading9Char">
    <w:name w:val="Heading 9 Char"/>
    <w:aliases w:val="Subpara 6 Char"/>
    <w:uiPriority w:val="9"/>
    <w:rPr>
      <w:rFonts w:ascii="Cambria" w:eastAsia="Times New Roman" w:hAnsi="Cambria" w:cs="Times New Roman"/>
      <w:i/>
      <w:iCs/>
      <w:color w:val="404040"/>
      <w:sz w:val="20"/>
      <w:szCs w:val="20"/>
    </w:rPr>
  </w:style>
  <w:style w:type="paragraph" w:customStyle="1" w:styleId="Paraindent">
    <w:name w:val="Para indent"/>
    <w:basedOn w:val="Normal"/>
    <w:qFormat/>
    <w:pPr>
      <w:widowControl w:val="0"/>
      <w:spacing w:before="120" w:after="120"/>
      <w:ind w:left="709" w:right="720"/>
      <w:jc w:val="both"/>
    </w:pPr>
    <w:rPr>
      <w:i/>
      <w:sz w:val="20"/>
    </w:rPr>
  </w:style>
  <w:style w:type="paragraph" w:customStyle="1" w:styleId="BulletsinTable">
    <w:name w:val="Bullets in Table"/>
    <w:basedOn w:val="ListParagraph1"/>
    <w:qFormat/>
    <w:pPr>
      <w:numPr>
        <w:numId w:val="9"/>
      </w:numPr>
      <w:autoSpaceDE w:val="0"/>
      <w:autoSpaceDN w:val="0"/>
      <w:adjustRightInd w:val="0"/>
      <w:ind w:left="720" w:right="720"/>
      <w:jc w:val="left"/>
    </w:pPr>
    <w:rPr>
      <w:rFonts w:ascii="Times New Roman" w:eastAsia="Times New Roman" w:hAnsi="Times New Roman"/>
      <w:i/>
      <w:color w:val="000000"/>
      <w:sz w:val="20"/>
      <w:lang w:val="en"/>
    </w:rPr>
  </w:style>
  <w:style w:type="paragraph" w:customStyle="1" w:styleId="Annex">
    <w:name w:val="Annex"/>
    <w:basedOn w:val="Caption"/>
    <w:qFormat/>
    <w:pPr>
      <w:spacing w:before="100" w:after="100" w:line="240" w:lineRule="auto"/>
      <w:ind w:left="426" w:right="720"/>
    </w:pPr>
    <w:rPr>
      <w:b/>
      <w:caps/>
      <w:color w:val="auto"/>
      <w:sz w:val="20"/>
    </w:rPr>
  </w:style>
  <w:style w:type="paragraph" w:customStyle="1" w:styleId="Tableandfigureheadings">
    <w:name w:val="Table and figure headings"/>
    <w:basedOn w:val="TableofFigures"/>
    <w:qFormat/>
    <w:pPr>
      <w:keepNext/>
      <w:ind w:left="0" w:right="720" w:firstLine="0"/>
      <w:jc w:val="left"/>
    </w:pPr>
    <w:rPr>
      <w:rFonts w:eastAsia="Times New Roman"/>
      <w:i/>
      <w:caps w:val="0"/>
      <w:sz w:val="24"/>
    </w:rPr>
  </w:style>
  <w:style w:type="paragraph" w:customStyle="1" w:styleId="Bulletsnumbered">
    <w:name w:val="Bullets numbered"/>
    <w:basedOn w:val="Paraindent"/>
    <w:qFormat/>
    <w:pPr>
      <w:tabs>
        <w:tab w:val="num" w:pos="720"/>
      </w:tabs>
      <w:ind w:left="1560" w:hanging="720"/>
    </w:pPr>
  </w:style>
  <w:style w:type="paragraph" w:customStyle="1" w:styleId="Style">
    <w:name w:val="Style"/>
    <w:pPr>
      <w:widowControl w:val="0"/>
      <w:numPr>
        <w:numId w:val="29"/>
      </w:numPr>
      <w:tabs>
        <w:tab w:val="clear" w:pos="720"/>
      </w:tabs>
      <w:autoSpaceDE w:val="0"/>
      <w:autoSpaceDN w:val="0"/>
      <w:adjustRightInd w:val="0"/>
      <w:ind w:left="0" w:firstLine="0"/>
    </w:pPr>
    <w:rPr>
      <w:rFonts w:ascii="Arial" w:hAnsi="Arial"/>
      <w:sz w:val="24"/>
      <w:lang w:val="en-GB" w:eastAsia="ko-KR"/>
    </w:rPr>
  </w:style>
  <w:style w:type="paragraph" w:customStyle="1" w:styleId="Chapternumber">
    <w:name w:val="Chapter number"/>
    <w:basedOn w:val="Normal"/>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Pr>
      <w:rFonts w:ascii="FrutigerLTStd-Bold" w:hAnsi="FrutigerLTStd-Bold" w:cs="Verdana"/>
      <w:b/>
      <w:bCs/>
    </w:rPr>
  </w:style>
  <w:style w:type="paragraph" w:customStyle="1" w:styleId="Section3numbered">
    <w:name w:val="Section 3 numbered"/>
    <w:pPr>
      <w:numPr>
        <w:numId w:val="30"/>
      </w:numPr>
      <w:tabs>
        <w:tab w:val="clear" w:pos="72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pPr>
      <w:tabs>
        <w:tab w:val="num" w:pos="0"/>
      </w:tabs>
      <w:spacing w:after="227"/>
      <w:ind w:left="578"/>
    </w:pPr>
    <w:rPr>
      <w:rFonts w:ascii="FrutigerLTStd-Light" w:hAnsi="FrutigerLTStd-Light"/>
      <w:color w:val="000000"/>
      <w:sz w:val="24"/>
      <w:lang w:val="en-GB" w:eastAsia="ko-KR"/>
    </w:rPr>
  </w:style>
  <w:style w:type="paragraph" w:customStyle="1" w:styleId="BasicParagraph">
    <w:name w:val="[Basic Paragraph]"/>
    <w:basedOn w:val="Normal"/>
    <w:pPr>
      <w:widowControl w:val="0"/>
      <w:numPr>
        <w:numId w:val="31"/>
      </w:numPr>
      <w:tabs>
        <w:tab w:val="clear" w:pos="720"/>
      </w:tabs>
      <w:autoSpaceDE w:val="0"/>
      <w:autoSpaceDN w:val="0"/>
      <w:adjustRightInd w:val="0"/>
      <w:spacing w:before="100" w:after="0" w:line="288" w:lineRule="auto"/>
      <w:ind w:left="0" w:right="720" w:firstLine="0"/>
      <w:textAlignment w:val="center"/>
    </w:pPr>
    <w:rPr>
      <w:rFonts w:ascii="Times-Roman" w:hAnsi="Times-Roman"/>
      <w:i/>
      <w:sz w:val="24"/>
      <w:lang w:val="en-US"/>
    </w:rPr>
  </w:style>
  <w:style w:type="character" w:customStyle="1" w:styleId="t1">
    <w:name w:val="t1"/>
    <w:basedOn w:val="DefaultParagraphFont"/>
  </w:style>
  <w:style w:type="paragraph" w:customStyle="1" w:styleId="Bulletstechnologytable">
    <w:name w:val="Bullets technology table"/>
    <w:basedOn w:val="BulletsinTable"/>
    <w:qFormat/>
    <w:pPr>
      <w:ind w:left="175" w:hanging="142"/>
    </w:pPr>
  </w:style>
  <w:style w:type="paragraph" w:customStyle="1" w:styleId="Recommendationsnumbered">
    <w:name w:val="Recommendations numbered"/>
    <w:basedOn w:val="Bulletsnumbered"/>
    <w:qFormat/>
    <w:pPr>
      <w:ind w:left="1134" w:hanging="425"/>
    </w:pPr>
  </w:style>
  <w:style w:type="paragraph" w:customStyle="1" w:styleId="wbtbullet1">
    <w:name w:val="wbtbullet1"/>
    <w:basedOn w:val="Normal"/>
    <w:pPr>
      <w:spacing w:before="100" w:after="0"/>
      <w:ind w:right="720"/>
      <w:jc w:val="both"/>
    </w:pPr>
    <w:rPr>
      <w:rFonts w:ascii="Verdana" w:hAnsi="Verdana"/>
      <w:i/>
      <w:color w:val="auto"/>
      <w:sz w:val="16"/>
    </w:rPr>
  </w:style>
  <w:style w:type="paragraph" w:customStyle="1" w:styleId="Box">
    <w:name w:val="Box"/>
    <w:basedOn w:val="BodyText"/>
    <w:qFormat/>
    <w:pPr>
      <w:numPr>
        <w:ilvl w:val="1"/>
        <w:numId w:val="7"/>
      </w:numPr>
      <w:pBdr>
        <w:top w:val="single" w:sz="4" w:space="1" w:color="auto"/>
        <w:left w:val="single" w:sz="4" w:space="4" w:color="auto"/>
        <w:bottom w:val="single" w:sz="4" w:space="1" w:color="auto"/>
        <w:right w:val="single" w:sz="4" w:space="4" w:color="auto"/>
      </w:pBdr>
      <w:spacing w:before="100" w:after="0" w:line="240" w:lineRule="auto"/>
      <w:ind w:right="720"/>
    </w:pPr>
    <w:rPr>
      <w:rFonts w:ascii="Calibri" w:hAnsi="Calibri"/>
      <w:i/>
      <w:color w:val="auto"/>
      <w:spacing w:val="-2"/>
      <w:sz w:val="18"/>
      <w:lang w:val="en-US"/>
    </w:rPr>
  </w:style>
  <w:style w:type="character" w:customStyle="1" w:styleId="content1">
    <w:name w:val="content1"/>
    <w:rPr>
      <w:rFonts w:ascii="Trebuchet MS" w:hAnsi="Trebuchet MS" w:hint="default"/>
      <w:color w:val="292929"/>
      <w:sz w:val="18"/>
      <w:szCs w:val="18"/>
    </w:rPr>
  </w:style>
  <w:style w:type="character" w:customStyle="1" w:styleId="smbody1">
    <w:name w:val="smbody1"/>
    <w:rPr>
      <w:rFonts w:ascii="Verdana" w:hAnsi="Verdana" w:hint="default"/>
      <w:color w:val="333333"/>
      <w:sz w:val="15"/>
      <w:szCs w:val="15"/>
    </w:rPr>
  </w:style>
  <w:style w:type="paragraph" w:customStyle="1" w:styleId="Text0">
    <w:name w:val="Text"/>
    <w:basedOn w:val="Normal"/>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pPr>
      <w:keepLines w:val="0"/>
      <w:numPr>
        <w:ilvl w:val="2"/>
        <w:numId w:val="1"/>
      </w:numPr>
      <w:tabs>
        <w:tab w:val="num" w:pos="1800"/>
      </w:tabs>
      <w:spacing w:before="240" w:after="60"/>
      <w:ind w:left="1440" w:firstLine="0"/>
    </w:pPr>
    <w:rPr>
      <w:b/>
      <w:i w:val="0"/>
      <w:snapToGrid/>
    </w:rPr>
  </w:style>
  <w:style w:type="character" w:customStyle="1" w:styleId="TitleChar">
    <w:name w:val="Title Char"/>
    <w:rPr>
      <w:rFonts w:ascii="Arial" w:eastAsia="Times New Roman" w:hAnsi="Arial" w:cs="Arial"/>
      <w:b/>
      <w:bCs/>
      <w:kern w:val="28"/>
      <w:sz w:val="28"/>
      <w:szCs w:val="32"/>
      <w:lang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character" w:customStyle="1" w:styleId="BodyText3Char">
    <w:name w:val="Body Text 3 Char"/>
    <w:rPr>
      <w:rFonts w:ascii="Arial" w:eastAsia="Times New Roman" w:hAnsi="Arial" w:cs="Times New Roman"/>
      <w:sz w:val="16"/>
      <w:szCs w:val="16"/>
      <w:lang w:eastAsia="en-US"/>
    </w:rPr>
  </w:style>
  <w:style w:type="paragraph" w:customStyle="1" w:styleId="TablesinAnnexlandscape">
    <w:name w:val="Tables in Annex landscape"/>
    <w:basedOn w:val="Table"/>
    <w:qFormat/>
    <w:pPr>
      <w:keepLines w:val="0"/>
      <w:spacing w:before="120" w:after="120"/>
      <w:ind w:left="709" w:right="720"/>
    </w:pPr>
    <w:rPr>
      <w:b/>
      <w:i/>
      <w:snapToGrid/>
    </w:rPr>
  </w:style>
  <w:style w:type="paragraph" w:customStyle="1" w:styleId="Tablefootnote">
    <w:name w:val="Table footnote"/>
    <w:basedOn w:val="Normal"/>
    <w:qFormat/>
    <w:pPr>
      <w:tabs>
        <w:tab w:val="left" w:pos="3000"/>
      </w:tabs>
      <w:spacing w:before="100" w:after="0"/>
      <w:ind w:left="709" w:right="720"/>
    </w:pPr>
    <w:rPr>
      <w:i/>
      <w:color w:val="auto"/>
      <w:sz w:val="18"/>
    </w:rPr>
  </w:style>
  <w:style w:type="paragraph" w:customStyle="1" w:styleId="TableinfrontwithmeandKJ">
    <w:name w:val="Table in front with me and KJ"/>
    <w:basedOn w:val="Normal"/>
    <w:qFormat/>
    <w:pPr>
      <w:spacing w:before="60" w:after="60"/>
      <w:ind w:right="720"/>
    </w:pPr>
    <w:rPr>
      <w:i/>
      <w:color w:val="auto"/>
      <w:sz w:val="18"/>
    </w:rPr>
  </w:style>
  <w:style w:type="paragraph" w:customStyle="1" w:styleId="ParaindentItalicsubheader">
    <w:name w:val="Para indent Italic subheader"/>
    <w:basedOn w:val="Paraindent"/>
    <w:qFormat/>
    <w:rPr>
      <w:i w:val="0"/>
    </w:rPr>
  </w:style>
  <w:style w:type="paragraph" w:customStyle="1" w:styleId="Paratextintable">
    <w:name w:val="Para text in table"/>
    <w:basedOn w:val="Normal"/>
    <w:qFormat/>
    <w:pPr>
      <w:spacing w:before="120" w:after="120"/>
      <w:ind w:right="720"/>
    </w:pPr>
    <w:rPr>
      <w:color w:val="auto"/>
      <w:sz w:val="18"/>
      <w:lang w:val="en-US"/>
    </w:rPr>
  </w:style>
  <w:style w:type="paragraph" w:customStyle="1" w:styleId="Bulletsnumberedintable">
    <w:name w:val="Bullets numbered in table"/>
    <w:basedOn w:val="ListParagraph1"/>
    <w:qFormat/>
    <w:pPr>
      <w:numPr>
        <w:numId w:val="10"/>
      </w:numPr>
      <w:spacing w:before="100" w:after="0"/>
      <w:ind w:right="720"/>
      <w:jc w:val="left"/>
    </w:pPr>
    <w:rPr>
      <w:rFonts w:ascii="Times New Roman" w:eastAsia="Times New Roman" w:hAnsi="Times New Roman"/>
      <w:i/>
      <w:sz w:val="18"/>
      <w:lang w:val="en-US"/>
    </w:rPr>
  </w:style>
  <w:style w:type="paragraph" w:customStyle="1" w:styleId="Paranumbered">
    <w:name w:val="Para numbered"/>
    <w:basedOn w:val="ListParagraph1"/>
    <w:qFormat/>
    <w:pPr>
      <w:numPr>
        <w:numId w:val="11"/>
      </w:numPr>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qFormat/>
    <w:pPr>
      <w:numPr>
        <w:numId w:val="0"/>
      </w:numPr>
      <w:autoSpaceDE w:val="0"/>
      <w:autoSpaceDN w:val="0"/>
      <w:adjustRightInd w:val="0"/>
      <w:ind w:left="1985" w:right="720" w:hanging="360"/>
      <w:jc w:val="left"/>
    </w:pPr>
    <w:rPr>
      <w:rFonts w:ascii="Times New Roman" w:eastAsia="Times New Roman" w:hAnsi="Times New Roman"/>
      <w:i/>
      <w:color w:val="000000"/>
      <w:lang w:val="en"/>
    </w:rPr>
  </w:style>
  <w:style w:type="paragraph" w:customStyle="1" w:styleId="TableandFigureVol1">
    <w:name w:val="Table and Figure Vol 1"/>
    <w:basedOn w:val="Caption"/>
    <w:qFormat/>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pPr>
      <w:numPr>
        <w:numId w:val="33"/>
      </w:numPr>
      <w:spacing w:before="180" w:after="0" w:line="250" w:lineRule="exact"/>
      <w:ind w:left="0" w:right="720" w:firstLine="0"/>
      <w:jc w:val="both"/>
    </w:pPr>
    <w:rPr>
      <w:i/>
      <w:color w:val="auto"/>
      <w:sz w:val="20"/>
    </w:rPr>
  </w:style>
  <w:style w:type="character" w:customStyle="1" w:styleId="ft">
    <w:name w:val="ft"/>
  </w:style>
  <w:style w:type="character" w:customStyle="1" w:styleId="googqs-tidbit-0">
    <w:name w:val="goog_qs-tidbit-0"/>
    <w:basedOn w:val="DefaultParagraphFont"/>
  </w:style>
  <w:style w:type="character" w:customStyle="1" w:styleId="style81">
    <w:name w:val="style81"/>
    <w:rPr>
      <w:rFonts w:ascii="Verdana" w:hAnsi="Verdana" w:hint="default"/>
      <w:color w:val="008000"/>
      <w:sz w:val="27"/>
      <w:szCs w:val="27"/>
    </w:rPr>
  </w:style>
  <w:style w:type="character" w:customStyle="1" w:styleId="A6">
    <w:name w:val="A6"/>
    <w:rPr>
      <w:rFonts w:cs="Georgia"/>
      <w:color w:val="000000"/>
      <w:sz w:val="20"/>
      <w:szCs w:val="20"/>
    </w:rPr>
  </w:style>
  <w:style w:type="character" w:customStyle="1" w:styleId="googqs-tidbit1">
    <w:name w:val="goog_qs-tidbit1"/>
    <w:rPr>
      <w:vanish w:val="0"/>
      <w:webHidden w:val="0"/>
      <w:specVanish w:val="0"/>
    </w:rPr>
  </w:style>
  <w:style w:type="paragraph" w:customStyle="1" w:styleId="bodytext0">
    <w:name w:val="bodytext"/>
    <w:basedOn w:val="Normal"/>
    <w:pPr>
      <w:spacing w:before="100" w:after="100"/>
      <w:ind w:right="720"/>
    </w:pPr>
    <w:rPr>
      <w:i/>
      <w:color w:val="auto"/>
      <w:sz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pPr>
      <w:numPr>
        <w:numId w:val="13"/>
      </w:numPr>
      <w:spacing w:before="100" w:after="0"/>
      <w:ind w:right="720"/>
    </w:pPr>
    <w:rPr>
      <w:i/>
      <w:noProof/>
      <w:color w:val="auto"/>
      <w:sz w:val="18"/>
    </w:rPr>
  </w:style>
  <w:style w:type="character" w:customStyle="1" w:styleId="Bold">
    <w:name w:val="Bold"/>
    <w:rPr>
      <w:b/>
    </w:rPr>
  </w:style>
  <w:style w:type="character" w:customStyle="1" w:styleId="BoldItalic">
    <w:name w:val="Bold Italic"/>
    <w:rPr>
      <w:b/>
      <w:i/>
    </w:rPr>
  </w:style>
  <w:style w:type="character" w:customStyle="1" w:styleId="BoldItalicUnderline">
    <w:name w:val="Bold Italic Underline"/>
    <w:rPr>
      <w:b/>
      <w:i/>
      <w:u w:val="single"/>
    </w:rPr>
  </w:style>
  <w:style w:type="character" w:customStyle="1" w:styleId="BoldUnderline">
    <w:name w:val="Bold Underline"/>
    <w:rPr>
      <w:b/>
      <w:u w:val="single"/>
    </w:rPr>
  </w:style>
  <w:style w:type="paragraph" w:customStyle="1" w:styleId="BoxText">
    <w:name w:val="Box Text"/>
    <w:basedOn w:val="BoxNewPara"/>
    <w:pPr>
      <w:tabs>
        <w:tab w:val="clear" w:pos="425"/>
        <w:tab w:val="left" w:pos="426"/>
      </w:tabs>
    </w:pPr>
  </w:style>
  <w:style w:type="paragraph" w:customStyle="1" w:styleId="BoxNewPara">
    <w:name w:val="Box NewPara"/>
    <w:basedOn w:val="Normal"/>
    <w:next w:val="Normal"/>
    <w:pPr>
      <w:pBdr>
        <w:left w:val="single" w:sz="6" w:space="1" w:color="auto"/>
        <w:right w:val="single" w:sz="6" w:space="1" w:color="auto"/>
      </w:pBdr>
      <w:shd w:val="pct10" w:color="auto" w:fill="auto"/>
      <w:tabs>
        <w:tab w:val="left" w:pos="425"/>
        <w:tab w:val="num" w:pos="720"/>
      </w:tabs>
      <w:spacing w:before="100" w:after="0"/>
      <w:ind w:left="720" w:right="720" w:hanging="360"/>
      <w:jc w:val="both"/>
    </w:pPr>
    <w:rPr>
      <w:i/>
      <w:noProof/>
      <w:color w:val="auto"/>
      <w:sz w:val="20"/>
    </w:rPr>
  </w:style>
  <w:style w:type="paragraph" w:customStyle="1" w:styleId="FigureCaption">
    <w:name w:val="Figure Caption"/>
    <w:basedOn w:val="Normal"/>
    <w:pPr>
      <w:spacing w:before="120" w:after="0"/>
      <w:ind w:right="720"/>
    </w:pPr>
    <w:rPr>
      <w:noProof/>
      <w:color w:val="auto"/>
      <w:sz w:val="18"/>
    </w:rPr>
  </w:style>
  <w:style w:type="paragraph" w:customStyle="1" w:styleId="BoxNote">
    <w:name w:val="Box Note"/>
    <w:basedOn w:val="Normal"/>
    <w:next w:val="Normal"/>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pPr>
      <w:numPr>
        <w:numId w:val="35"/>
      </w:numPr>
      <w:tabs>
        <w:tab w:val="clear" w:pos="720"/>
        <w:tab w:val="left" w:pos="709"/>
      </w:tabs>
      <w:spacing w:before="160" w:after="20"/>
      <w:ind w:left="0" w:right="720" w:firstLine="0"/>
    </w:pPr>
    <w:rPr>
      <w:i/>
      <w:noProof/>
      <w:color w:val="auto"/>
      <w:sz w:val="18"/>
    </w:rPr>
  </w:style>
  <w:style w:type="paragraph" w:customStyle="1" w:styleId="BoxParaTitle">
    <w:name w:val="Box ParaTitle"/>
    <w:basedOn w:val="BoxNote"/>
    <w:rPr>
      <w:b/>
      <w:i/>
    </w:rPr>
  </w:style>
  <w:style w:type="paragraph" w:customStyle="1" w:styleId="BoxRandList1">
    <w:name w:val="Box RandList 1"/>
    <w:basedOn w:val="Normal"/>
    <w:pPr>
      <w:numPr>
        <w:numId w:val="15"/>
      </w:numPr>
      <w:pBdr>
        <w:left w:val="single" w:sz="6" w:space="10" w:color="auto"/>
        <w:right w:val="single" w:sz="6" w:space="10" w:color="auto"/>
      </w:pBdr>
      <w:shd w:val="pct10" w:color="auto" w:fill="auto"/>
      <w:tabs>
        <w:tab w:val="left" w:pos="437"/>
      </w:tabs>
      <w:spacing w:before="100" w:after="0" w:line="360" w:lineRule="auto"/>
      <w:ind w:left="437" w:right="181" w:hanging="256"/>
      <w:jc w:val="both"/>
    </w:pPr>
    <w:rPr>
      <w:i/>
      <w:noProof/>
      <w:color w:val="auto"/>
      <w:sz w:val="20"/>
    </w:rPr>
  </w:style>
  <w:style w:type="paragraph" w:customStyle="1" w:styleId="RandListLev1">
    <w:name w:val="Rand List Lev1"/>
    <w:basedOn w:val="Normal"/>
    <w:pPr>
      <w:numPr>
        <w:numId w:val="12"/>
      </w:numPr>
      <w:tabs>
        <w:tab w:val="left" w:pos="754"/>
      </w:tabs>
      <w:spacing w:before="100" w:after="0"/>
      <w:ind w:left="754" w:right="720" w:hanging="357"/>
    </w:pPr>
    <w:rPr>
      <w:i/>
      <w:noProof/>
      <w:color w:val="auto"/>
      <w:sz w:val="18"/>
    </w:rPr>
  </w:style>
  <w:style w:type="paragraph" w:customStyle="1" w:styleId="BoxRandList2">
    <w:name w:val="Box RandList 2"/>
    <w:basedOn w:val="BoxRandList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numId w:val="36"/>
      </w:numPr>
      <w:pBdr>
        <w:left w:val="single" w:sz="6" w:space="8" w:color="auto"/>
        <w:right w:val="single" w:sz="6" w:space="10" w:color="auto"/>
      </w:pBdr>
      <w:shd w:val="pct10" w:color="auto" w:fill="auto"/>
      <w:tabs>
        <w:tab w:val="num" w:pos="567"/>
      </w:tabs>
      <w:spacing w:before="100" w:after="0" w:line="360" w:lineRule="auto"/>
      <w:ind w:left="567" w:right="181" w:hanging="425"/>
      <w:jc w:val="both"/>
    </w:pPr>
    <w:rPr>
      <w:i/>
      <w:noProof/>
      <w:color w:val="auto"/>
      <w:sz w:val="20"/>
    </w:rPr>
  </w:style>
  <w:style w:type="paragraph" w:customStyle="1" w:styleId="BoxSeqList3">
    <w:name w:val="Box SeqList 3"/>
    <w:basedOn w:val="BoxSeqList2"/>
    <w:pPr>
      <w:numPr>
        <w:ilvl w:val="0"/>
        <w:numId w:val="34"/>
      </w:numPr>
      <w:pBdr>
        <w:left w:val="single" w:sz="6" w:space="30" w:color="auto"/>
        <w:right w:val="single" w:sz="6" w:space="30" w:color="auto"/>
      </w:pBdr>
      <w:tabs>
        <w:tab w:val="clear" w:pos="720"/>
        <w:tab w:val="num" w:pos="1009"/>
      </w:tabs>
      <w:ind w:left="1009" w:right="584" w:hanging="425"/>
    </w:pPr>
  </w:style>
  <w:style w:type="paragraph" w:customStyle="1" w:styleId="BoxSeqList2">
    <w:name w:val="Box SeqList 2"/>
    <w:basedOn w:val="BoxSeqList1"/>
    <w:pPr>
      <w:numPr>
        <w:ilvl w:val="2"/>
        <w:numId w:val="14"/>
      </w:numPr>
      <w:pBdr>
        <w:left w:val="single" w:sz="6" w:space="20" w:color="auto"/>
      </w:pBdr>
      <w:tabs>
        <w:tab w:val="clear" w:pos="2160"/>
      </w:tabs>
      <w:ind w:hanging="360"/>
    </w:pPr>
  </w:style>
  <w:style w:type="paragraph" w:customStyle="1" w:styleId="TableTitle">
    <w:name w:val="Table Title"/>
    <w:basedOn w:val="Normal"/>
    <w:pPr>
      <w:keepNext/>
      <w:spacing w:before="120" w:after="0"/>
      <w:ind w:right="720"/>
    </w:pPr>
    <w:rPr>
      <w:b/>
      <w:i/>
      <w:noProof/>
      <w:color w:val="auto"/>
      <w:sz w:val="18"/>
    </w:rPr>
  </w:style>
  <w:style w:type="paragraph" w:customStyle="1" w:styleId="TableEntry">
    <w:name w:val="TableEntry"/>
    <w:basedOn w:val="Normal"/>
    <w:pPr>
      <w:numPr>
        <w:ilvl w:val="1"/>
        <w:numId w:val="35"/>
      </w:numPr>
      <w:spacing w:before="80" w:after="0"/>
      <w:ind w:left="0" w:right="720" w:firstLine="0"/>
    </w:pPr>
    <w:rPr>
      <w:i/>
      <w:noProof/>
      <w:color w:val="auto"/>
      <w:sz w:val="18"/>
    </w:rPr>
  </w:style>
  <w:style w:type="paragraph" w:customStyle="1" w:styleId="BoxTitle">
    <w:name w:val="Box Title"/>
    <w:basedOn w:val="Normal"/>
    <w:next w:val="BoxText"/>
    <w:pPr>
      <w:numPr>
        <w:ilvl w:val="3"/>
        <w:numId w:val="35"/>
      </w:numPr>
      <w:pBdr>
        <w:top w:val="single" w:sz="6" w:space="7" w:color="auto"/>
        <w:left w:val="single" w:sz="6" w:space="7" w:color="auto"/>
        <w:right w:val="single" w:sz="6" w:space="7" w:color="auto"/>
      </w:pBdr>
      <w:shd w:val="pct10" w:color="auto" w:fill="auto"/>
      <w:spacing w:before="120" w:after="0" w:line="360" w:lineRule="auto"/>
      <w:ind w:left="119" w:right="119" w:firstLine="0"/>
      <w:jc w:val="center"/>
    </w:pPr>
    <w:rPr>
      <w:b/>
      <w:noProof/>
      <w:color w:val="auto"/>
      <w:sz w:val="20"/>
    </w:rPr>
  </w:style>
  <w:style w:type="character" w:customStyle="1" w:styleId="Chart">
    <w:name w:val="Chart"/>
    <w:basedOn w:val="DefaultParagraphFont"/>
  </w:style>
  <w:style w:type="paragraph" w:customStyle="1" w:styleId="RandListLev2">
    <w:name w:val="Rand List Lev2"/>
    <w:basedOn w:val="RandListLev1"/>
    <w:pPr>
      <w:tabs>
        <w:tab w:val="clear" w:pos="754"/>
        <w:tab w:val="left" w:pos="1134"/>
      </w:tabs>
      <w:ind w:left="1134"/>
    </w:pPr>
  </w:style>
  <w:style w:type="paragraph" w:customStyle="1" w:styleId="RandListLev3">
    <w:name w:val="Rand List Lev3"/>
    <w:basedOn w:val="RandListLev2"/>
    <w:pPr>
      <w:tabs>
        <w:tab w:val="clear" w:pos="1134"/>
        <w:tab w:val="left" w:pos="1559"/>
      </w:tabs>
      <w:ind w:left="1559"/>
    </w:pPr>
  </w:style>
  <w:style w:type="paragraph" w:customStyle="1" w:styleId="RandListLev4">
    <w:name w:val="Rand List Lev4"/>
    <w:basedOn w:val="RandListLev3"/>
    <w:pPr>
      <w:tabs>
        <w:tab w:val="clear" w:pos="1559"/>
        <w:tab w:val="left" w:pos="1984"/>
      </w:tabs>
      <w:ind w:left="1984"/>
    </w:pPr>
  </w:style>
  <w:style w:type="paragraph" w:customStyle="1" w:styleId="DefListHeader">
    <w:name w:val="Def List Header"/>
    <w:basedOn w:val="Normal"/>
    <w:next w:val="Normal"/>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pPr>
      <w:spacing w:before="120" w:after="480"/>
      <w:ind w:right="720"/>
      <w:jc w:val="center"/>
    </w:pPr>
    <w:rPr>
      <w:i/>
      <w:smallCaps/>
      <w:noProof/>
      <w:color w:val="808080"/>
      <w:sz w:val="56"/>
    </w:rPr>
  </w:style>
  <w:style w:type="paragraph" w:customStyle="1" w:styleId="EndBox">
    <w:name w:val="EndBox"/>
    <w:basedOn w:val="Normal"/>
    <w:next w:val="Normal"/>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pPr>
      <w:spacing w:before="120" w:after="0"/>
      <w:ind w:right="720"/>
    </w:pPr>
    <w:rPr>
      <w:i/>
      <w:noProof/>
      <w:color w:val="auto"/>
      <w:sz w:val="18"/>
    </w:rPr>
  </w:style>
  <w:style w:type="paragraph" w:customStyle="1" w:styleId="FigureTitle">
    <w:name w:val="Figure Title"/>
    <w:basedOn w:val="Normal"/>
    <w:pPr>
      <w:keepNext/>
      <w:spacing w:before="120" w:after="0"/>
      <w:ind w:right="720"/>
    </w:pPr>
    <w:rPr>
      <w:b/>
      <w:noProof/>
      <w:color w:val="auto"/>
      <w:sz w:val="18"/>
    </w:rPr>
  </w:style>
  <w:style w:type="character" w:customStyle="1" w:styleId="Graph">
    <w:name w:val="Graph"/>
    <w:basedOn w:val="DefaultParagraphFont"/>
  </w:style>
  <w:style w:type="character" w:customStyle="1" w:styleId="Image">
    <w:name w:val="Image"/>
    <w:basedOn w:val="DefaultParagraphFont"/>
  </w:style>
  <w:style w:type="character" w:customStyle="1" w:styleId="ItalicUnderline">
    <w:name w:val="Italic Underline"/>
    <w:rPr>
      <w:i/>
      <w:u w:val="single"/>
    </w:rPr>
  </w:style>
  <w:style w:type="paragraph" w:customStyle="1" w:styleId="ListHeader">
    <w:name w:val="List Header"/>
    <w:basedOn w:val="Normal"/>
    <w:pPr>
      <w:keepNext/>
      <w:spacing w:before="120" w:after="0"/>
      <w:ind w:right="720"/>
    </w:pPr>
    <w:rPr>
      <w:i/>
      <w:noProof/>
      <w:color w:val="auto"/>
      <w:sz w:val="18"/>
    </w:rPr>
  </w:style>
  <w:style w:type="paragraph" w:customStyle="1" w:styleId="MeetInfo">
    <w:name w:val="MeetInfo"/>
    <w:basedOn w:val="Normal"/>
    <w:next w:val="Normal"/>
    <w:pPr>
      <w:tabs>
        <w:tab w:val="left" w:pos="426"/>
      </w:tabs>
      <w:spacing w:before="60" w:after="0"/>
      <w:ind w:right="720"/>
    </w:pPr>
    <w:rPr>
      <w:i/>
      <w:noProof/>
      <w:color w:val="auto"/>
      <w:sz w:val="18"/>
    </w:rPr>
  </w:style>
  <w:style w:type="paragraph" w:customStyle="1" w:styleId="SpacePara">
    <w:name w:val="SpacePara"/>
    <w:basedOn w:val="Normal"/>
    <w:next w:val="DocTitle"/>
    <w:pPr>
      <w:spacing w:before="100" w:after="0" w:line="480" w:lineRule="auto"/>
      <w:ind w:right="720"/>
    </w:pPr>
    <w:rPr>
      <w:i/>
      <w:noProof/>
      <w:color w:val="auto"/>
      <w:sz w:val="18"/>
    </w:rPr>
  </w:style>
  <w:style w:type="character" w:customStyle="1" w:styleId="NroPara">
    <w:name w:val="NroPara"/>
    <w:basedOn w:val="DefaultParagraphFont"/>
  </w:style>
  <w:style w:type="character" w:customStyle="1" w:styleId="NumBox">
    <w:name w:val="NumBox"/>
    <w:basedOn w:val="DefaultParagraphFont"/>
  </w:style>
  <w:style w:type="character" w:customStyle="1" w:styleId="NumFigure">
    <w:name w:val="NumFigure"/>
    <w:basedOn w:val="DefaultParagraphFont"/>
  </w:style>
  <w:style w:type="character" w:customStyle="1" w:styleId="NumTable">
    <w:name w:val="NumTable"/>
    <w:basedOn w:val="DefaultParagraphFont"/>
  </w:style>
  <w:style w:type="paragraph" w:customStyle="1" w:styleId="PgBrk">
    <w:name w:val="PgBrk"/>
    <w:basedOn w:val="Normal"/>
    <w:next w:val="Heading1"/>
    <w:pPr>
      <w:pageBreakBefore/>
      <w:spacing w:before="120" w:after="0" w:line="14" w:lineRule="exact"/>
      <w:ind w:right="720"/>
    </w:pPr>
    <w:rPr>
      <w:i/>
      <w:noProof/>
      <w:color w:val="auto"/>
      <w:sz w:val="18"/>
    </w:rPr>
  </w:style>
  <w:style w:type="paragraph" w:customStyle="1" w:styleId="StartBack">
    <w:name w:val="StartBack"/>
    <w:basedOn w:val="SpacePara"/>
    <w:next w:val="Normal"/>
  </w:style>
  <w:style w:type="paragraph" w:customStyle="1" w:styleId="StartBody">
    <w:name w:val="StartBody"/>
    <w:basedOn w:val="SpacePara"/>
    <w:next w:val="Normal"/>
  </w:style>
  <w:style w:type="paragraph" w:customStyle="1" w:styleId="TBL-COLMNhd">
    <w:name w:val="TBL-COLMNhd"/>
    <w:basedOn w:val="Normal"/>
    <w:pPr>
      <w:tabs>
        <w:tab w:val="left" w:pos="-720"/>
      </w:tabs>
      <w:suppressAutoHyphens/>
      <w:spacing w:before="60" w:after="20"/>
      <w:ind w:right="720"/>
      <w:jc w:val="center"/>
    </w:pPr>
    <w:rPr>
      <w:b/>
      <w:i/>
      <w:noProof/>
      <w:color w:val="auto"/>
      <w:sz w:val="18"/>
    </w:rPr>
  </w:style>
  <w:style w:type="character" w:customStyle="1" w:styleId="Term">
    <w:name w:val="Term"/>
    <w:rPr>
      <w:b/>
    </w:rPr>
  </w:style>
  <w:style w:type="character" w:customStyle="1" w:styleId="TermHeading">
    <w:name w:val="Term Heading"/>
    <w:rPr>
      <w:b/>
    </w:rPr>
  </w:style>
  <w:style w:type="paragraph" w:customStyle="1" w:styleId="TOCRef">
    <w:name w:val="TOCRef"/>
    <w:basedOn w:val="Normal"/>
    <w:next w:val="TOC1"/>
    <w:pPr>
      <w:spacing w:before="120" w:after="0" w:line="200" w:lineRule="exact"/>
      <w:ind w:right="720"/>
      <w:jc w:val="right"/>
    </w:pPr>
    <w:rPr>
      <w:i/>
      <w:noProof/>
      <w:color w:val="auto"/>
      <w:sz w:val="18"/>
    </w:rPr>
  </w:style>
  <w:style w:type="paragraph" w:customStyle="1" w:styleId="TOCTitle">
    <w:name w:val="TOCTitle"/>
    <w:basedOn w:val="Normal"/>
    <w:next w:val="TOCRef"/>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Pr>
      <w:u w:val="single"/>
    </w:rPr>
  </w:style>
  <w:style w:type="character" w:customStyle="1" w:styleId="XReference">
    <w:name w:val="XReference"/>
    <w:rPr>
      <w:color w:val="0000FF"/>
    </w:rPr>
  </w:style>
  <w:style w:type="paragraph" w:customStyle="1" w:styleId="Format1">
    <w:name w:val="Format1"/>
    <w:basedOn w:val="Normal"/>
    <w:pPr>
      <w:spacing w:before="60" w:after="0"/>
      <w:ind w:right="720"/>
    </w:pPr>
    <w:rPr>
      <w:rFonts w:ascii="Courier New" w:hAnsi="Courier New"/>
      <w:i/>
      <w:noProof/>
      <w:color w:val="auto"/>
      <w:sz w:val="18"/>
    </w:rPr>
  </w:style>
  <w:style w:type="paragraph" w:customStyle="1" w:styleId="Format2">
    <w:name w:val="Format2"/>
    <w:basedOn w:val="Normal"/>
    <w:pPr>
      <w:spacing w:before="60" w:after="0"/>
      <w:ind w:right="720"/>
    </w:pPr>
    <w:rPr>
      <w:rFonts w:ascii="Courier New" w:hAnsi="Courier New"/>
      <w:i/>
      <w:noProof/>
      <w:color w:val="auto"/>
      <w:sz w:val="16"/>
    </w:rPr>
  </w:style>
  <w:style w:type="paragraph" w:customStyle="1" w:styleId="RightJust">
    <w:name w:val="RightJust"/>
    <w:basedOn w:val="Normal"/>
    <w:pPr>
      <w:spacing w:before="120" w:after="0"/>
      <w:ind w:right="720"/>
      <w:jc w:val="right"/>
    </w:pPr>
    <w:rPr>
      <w:i/>
      <w:noProof/>
      <w:color w:val="auto"/>
      <w:sz w:val="18"/>
    </w:rPr>
  </w:style>
  <w:style w:type="paragraph" w:customStyle="1" w:styleId="BlockQuote">
    <w:name w:val="BlockQuote"/>
    <w:basedOn w:val="Normal"/>
    <w:pPr>
      <w:spacing w:before="60" w:after="0"/>
      <w:ind w:left="284" w:right="284"/>
    </w:pPr>
    <w:rPr>
      <w:noProof/>
      <w:color w:val="auto"/>
      <w:sz w:val="18"/>
    </w:rPr>
  </w:style>
  <w:style w:type="paragraph" w:customStyle="1" w:styleId="BoxBlankLine">
    <w:name w:val="Box BlankLine"/>
    <w:basedOn w:val="BlankLine"/>
    <w:next w:val="Normal"/>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pPr>
      <w:shd w:val="pct10" w:color="auto" w:fill="auto"/>
      <w:spacing w:before="100" w:after="0"/>
      <w:ind w:right="720"/>
      <w:jc w:val="both"/>
    </w:pPr>
    <w:rPr>
      <w:noProof/>
      <w:color w:val="auto"/>
      <w:sz w:val="20"/>
    </w:rPr>
  </w:style>
  <w:style w:type="paragraph" w:customStyle="1" w:styleId="BoxTableTitle">
    <w:name w:val="Box Table Title"/>
    <w:basedOn w:val="Normal"/>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pPr>
      <w:shd w:val="pct10" w:color="auto" w:fill="auto"/>
      <w:spacing w:before="120" w:after="0"/>
      <w:ind w:right="720"/>
      <w:jc w:val="both"/>
    </w:pPr>
    <w:rPr>
      <w:i/>
      <w:noProof/>
      <w:color w:val="auto"/>
      <w:sz w:val="20"/>
    </w:rPr>
  </w:style>
  <w:style w:type="character" w:customStyle="1" w:styleId="BoxFigInfo-C">
    <w:name w:val="BoxFigInfo-C"/>
    <w:basedOn w:val="DefaultParagraphFont"/>
  </w:style>
  <w:style w:type="paragraph" w:customStyle="1" w:styleId="BoxFigInfo-P">
    <w:name w:val="BoxFigInfo-P"/>
    <w:basedOn w:val="BoxText"/>
  </w:style>
  <w:style w:type="paragraph" w:customStyle="1" w:styleId="BoxFigTitle">
    <w:name w:val="BoxFigTitle"/>
    <w:basedOn w:val="BoxFigCaption"/>
    <w:pPr>
      <w:keepNext/>
    </w:pPr>
    <w:rPr>
      <w:b/>
      <w:i/>
    </w:rPr>
  </w:style>
  <w:style w:type="paragraph" w:customStyle="1" w:styleId="BoxTblColHd">
    <w:name w:val="BoxTblColHd"/>
    <w:basedOn w:val="BoxTblEntry"/>
    <w:rPr>
      <w:b/>
    </w:rPr>
  </w:style>
  <w:style w:type="paragraph" w:customStyle="1" w:styleId="DashListLev1">
    <w:name w:val="Dash List Lev1"/>
    <w:basedOn w:val="Normal"/>
    <w:pPr>
      <w:tabs>
        <w:tab w:val="num" w:pos="720"/>
      </w:tabs>
      <w:spacing w:before="100" w:after="0"/>
      <w:ind w:left="720" w:right="720" w:hanging="360"/>
    </w:pPr>
    <w:rPr>
      <w:i/>
      <w:noProof/>
      <w:color w:val="auto"/>
      <w:sz w:val="18"/>
    </w:rPr>
  </w:style>
  <w:style w:type="paragraph" w:customStyle="1" w:styleId="DashListLev2">
    <w:name w:val="Dash List Lev2"/>
    <w:basedOn w:val="DashListLev1"/>
    <w:pPr>
      <w:numPr>
        <w:numId w:val="17"/>
      </w:numPr>
      <w:tabs>
        <w:tab w:val="num" w:pos="2892"/>
      </w:tabs>
      <w:ind w:left="981" w:hanging="357"/>
    </w:pPr>
  </w:style>
  <w:style w:type="paragraph" w:customStyle="1" w:styleId="DashListLev3">
    <w:name w:val="Dash List Lev3"/>
    <w:basedOn w:val="DashListLev2"/>
    <w:pPr>
      <w:numPr>
        <w:numId w:val="16"/>
      </w:numPr>
      <w:ind w:left="1208" w:hanging="357"/>
    </w:pPr>
  </w:style>
  <w:style w:type="paragraph" w:customStyle="1" w:styleId="DashListLev4">
    <w:name w:val="Dash List Lev4"/>
    <w:basedOn w:val="DashListLev3"/>
    <w:pPr>
      <w:numPr>
        <w:numId w:val="38"/>
      </w:numPr>
      <w:ind w:left="1434" w:hanging="357"/>
    </w:pPr>
  </w:style>
  <w:style w:type="paragraph" w:styleId="EndnoteText">
    <w:name w:val="endnote text"/>
    <w:basedOn w:val="Normal"/>
    <w:semiHidden/>
    <w:pPr>
      <w:numPr>
        <w:numId w:val="37"/>
      </w:numPr>
      <w:spacing w:before="120" w:after="0"/>
      <w:ind w:left="0" w:right="720" w:firstLine="0"/>
    </w:pPr>
    <w:rPr>
      <w:i/>
      <w:noProof/>
      <w:color w:val="auto"/>
      <w:sz w:val="18"/>
    </w:rPr>
  </w:style>
  <w:style w:type="character" w:customStyle="1" w:styleId="EndnoteTextChar">
    <w:name w:val="Endnote Text Char"/>
    <w:semiHidden/>
    <w:rPr>
      <w:rFonts w:ascii="Times New Roman" w:eastAsia="Times New Roman" w:hAnsi="Times New Roman" w:cs="Times New Roman"/>
      <w:noProof/>
      <w:szCs w:val="20"/>
    </w:rPr>
  </w:style>
  <w:style w:type="character" w:customStyle="1" w:styleId="FigInfo-C">
    <w:name w:val="FigInfo-C"/>
    <w:basedOn w:val="DefaultParagraphFont"/>
  </w:style>
  <w:style w:type="paragraph" w:customStyle="1" w:styleId="ParaNote">
    <w:name w:val="Para Note"/>
    <w:basedOn w:val="Note"/>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rFonts w:eastAsia="Times New Roman"/>
      <w:b/>
      <w:noProof/>
      <w:sz w:val="18"/>
    </w:rPr>
  </w:style>
  <w:style w:type="character" w:customStyle="1" w:styleId="Picture">
    <w:name w:val="Picture"/>
    <w:basedOn w:val="DefaultParagraphFont"/>
  </w:style>
  <w:style w:type="paragraph" w:customStyle="1" w:styleId="PlainList1">
    <w:name w:val="PlainList 1"/>
    <w:basedOn w:val="Normal"/>
    <w:pPr>
      <w:spacing w:before="100" w:after="0"/>
      <w:ind w:right="720"/>
    </w:pPr>
    <w:rPr>
      <w:i/>
      <w:noProof/>
      <w:color w:val="auto"/>
      <w:sz w:val="18"/>
    </w:rPr>
  </w:style>
  <w:style w:type="paragraph" w:customStyle="1" w:styleId="PlainList2">
    <w:name w:val="PlainList 2"/>
    <w:basedOn w:val="PlainList1"/>
    <w:pPr>
      <w:ind w:left="567"/>
    </w:pPr>
  </w:style>
  <w:style w:type="paragraph" w:customStyle="1" w:styleId="PlainList3">
    <w:name w:val="PlainList 3"/>
    <w:basedOn w:val="PlainList2"/>
    <w:pPr>
      <w:ind w:left="1134"/>
    </w:pPr>
  </w:style>
  <w:style w:type="paragraph" w:customStyle="1" w:styleId="PlainList4">
    <w:name w:val="PlainList 4"/>
    <w:basedOn w:val="PlainList3"/>
    <w:pPr>
      <w:ind w:left="1701"/>
    </w:pPr>
  </w:style>
  <w:style w:type="character" w:customStyle="1" w:styleId="Quote1">
    <w:name w:val="Quote1"/>
    <w:rPr>
      <w:rFonts w:ascii="Times New Roman" w:hAnsi="Times New Roman"/>
      <w:i/>
      <w:sz w:val="20"/>
    </w:rPr>
  </w:style>
  <w:style w:type="character" w:customStyle="1" w:styleId="NroSeq">
    <w:name w:val="NroSeq"/>
    <w:rPr>
      <w:color w:val="0000FF"/>
    </w:rPr>
  </w:style>
  <w:style w:type="character" w:customStyle="1" w:styleId="NroTOC">
    <w:name w:val="NroTOC"/>
    <w:rPr>
      <w:color w:val="auto"/>
      <w:sz w:val="22"/>
      <w:u w:val="none"/>
      <w:vertAlign w:val="baseline"/>
    </w:rPr>
  </w:style>
  <w:style w:type="paragraph" w:customStyle="1" w:styleId="PrelimNote">
    <w:name w:val="PrelimNote"/>
    <w:basedOn w:val="Normal"/>
    <w:next w:val="Normal"/>
    <w:pPr>
      <w:spacing w:before="120" w:after="0"/>
      <w:ind w:left="709" w:right="709"/>
    </w:pPr>
    <w:rPr>
      <w:i/>
      <w:noProof/>
      <w:color w:val="auto"/>
      <w:sz w:val="18"/>
    </w:rPr>
  </w:style>
  <w:style w:type="paragraph" w:customStyle="1" w:styleId="CentredJust">
    <w:name w:val="CentredJust"/>
    <w:basedOn w:val="Normal"/>
    <w:pPr>
      <w:spacing w:before="120" w:after="0"/>
      <w:ind w:right="720"/>
      <w:jc w:val="center"/>
    </w:pPr>
    <w:rPr>
      <w:i/>
      <w:noProof/>
      <w:color w:val="auto"/>
      <w:sz w:val="18"/>
    </w:rPr>
  </w:style>
  <w:style w:type="character" w:customStyle="1" w:styleId="Subscript">
    <w:name w:val="Subscript"/>
    <w:rPr>
      <w:noProof w:val="0"/>
      <w:vertAlign w:val="subscript"/>
      <w:lang w:val="en-GB"/>
    </w:rPr>
  </w:style>
  <w:style w:type="character" w:customStyle="1" w:styleId="Superscript">
    <w:name w:val="Superscript"/>
    <w:rPr>
      <w:noProof w:val="0"/>
      <w:vertAlign w:val="superscript"/>
      <w:lang w:val="en-GB"/>
    </w:rPr>
  </w:style>
  <w:style w:type="paragraph" w:customStyle="1" w:styleId="ListDel">
    <w:name w:val="ListDel"/>
    <w:basedOn w:val="Normal"/>
    <w:next w:val="Country"/>
    <w:pPr>
      <w:spacing w:before="120" w:after="0"/>
      <w:ind w:right="720"/>
      <w:jc w:val="center"/>
    </w:pPr>
    <w:rPr>
      <w:b/>
      <w:i/>
      <w:noProof/>
      <w:color w:val="auto"/>
      <w:sz w:val="18"/>
    </w:rPr>
  </w:style>
  <w:style w:type="paragraph" w:customStyle="1" w:styleId="Country">
    <w:name w:val="Country"/>
    <w:basedOn w:val="Normal"/>
    <w:next w:val="Role"/>
    <w:pPr>
      <w:keepNext/>
      <w:spacing w:before="120" w:after="0"/>
      <w:ind w:right="720"/>
    </w:pPr>
    <w:rPr>
      <w:b/>
      <w:i/>
      <w:caps/>
      <w:noProof/>
      <w:color w:val="auto"/>
      <w:sz w:val="18"/>
    </w:rPr>
  </w:style>
  <w:style w:type="paragraph" w:customStyle="1" w:styleId="Role">
    <w:name w:val="Role"/>
    <w:basedOn w:val="Normal"/>
    <w:next w:val="Name"/>
    <w:pPr>
      <w:keepNext/>
      <w:spacing w:before="120" w:after="0"/>
      <w:ind w:right="720"/>
    </w:pPr>
    <w:rPr>
      <w:i/>
      <w:noProof/>
      <w:color w:val="auto"/>
      <w:sz w:val="18"/>
    </w:rPr>
  </w:style>
  <w:style w:type="paragraph" w:customStyle="1" w:styleId="Name">
    <w:name w:val="Name"/>
    <w:basedOn w:val="Normal"/>
    <w:pPr>
      <w:keepLines/>
      <w:spacing w:before="120" w:after="0"/>
      <w:ind w:left="284" w:right="720"/>
    </w:pPr>
    <w:rPr>
      <w:i/>
      <w:noProof/>
      <w:color w:val="auto"/>
      <w:sz w:val="18"/>
    </w:rPr>
  </w:style>
  <w:style w:type="paragraph" w:customStyle="1" w:styleId="ColumnBreak">
    <w:name w:val="ColumnBreak"/>
    <w:basedOn w:val="Normal"/>
    <w:next w:val="Normal"/>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pPr>
      <w:numPr>
        <w:ilvl w:val="1"/>
        <w:numId w:val="13"/>
      </w:numPr>
      <w:spacing w:before="100" w:after="0"/>
      <w:ind w:right="720"/>
    </w:pPr>
    <w:rPr>
      <w:i/>
      <w:noProof/>
      <w:color w:val="auto"/>
      <w:sz w:val="18"/>
    </w:rPr>
  </w:style>
  <w:style w:type="paragraph" w:customStyle="1" w:styleId="SeqListLev2">
    <w:name w:val="Seq List Lev2"/>
    <w:basedOn w:val="SeqListLev1"/>
    <w:pPr>
      <w:numPr>
        <w:ilvl w:val="2"/>
      </w:numPr>
    </w:pPr>
  </w:style>
  <w:style w:type="paragraph" w:customStyle="1" w:styleId="SeqListLev3">
    <w:name w:val="Seq List Lev3"/>
    <w:basedOn w:val="SeqListLev2"/>
    <w:pPr>
      <w:numPr>
        <w:ilvl w:val="3"/>
      </w:numPr>
    </w:pPr>
  </w:style>
  <w:style w:type="paragraph" w:customStyle="1" w:styleId="SeqListLev4">
    <w:name w:val="Seq List Lev4"/>
    <w:basedOn w:val="SeqListLev3"/>
    <w:pPr>
      <w:numPr>
        <w:ilvl w:val="0"/>
        <w:numId w:val="0"/>
      </w:numPr>
      <w:tabs>
        <w:tab w:val="num" w:pos="567"/>
        <w:tab w:val="num" w:pos="1440"/>
        <w:tab w:val="num" w:pos="2126"/>
      </w:tabs>
      <w:ind w:left="2126" w:hanging="425"/>
    </w:pPr>
  </w:style>
  <w:style w:type="paragraph" w:customStyle="1" w:styleId="CarCar">
    <w:name w:val="Car Car"/>
    <w:basedOn w:val="Normal"/>
    <w:pPr>
      <w:numPr>
        <w:ilvl w:val="2"/>
        <w:numId w:val="35"/>
      </w:numPr>
      <w:tabs>
        <w:tab w:val="num" w:pos="805"/>
      </w:tabs>
      <w:spacing w:before="100" w:after="160" w:line="240" w:lineRule="exact"/>
      <w:ind w:left="0" w:right="720" w:firstLine="0"/>
    </w:pPr>
    <w:rPr>
      <w:rFonts w:ascii="Tahoma" w:eastAsia="MS Mincho" w:hAnsi="Tahoma"/>
      <w:i/>
      <w:color w:val="auto"/>
      <w:sz w:val="20"/>
      <w:lang w:val="en-US"/>
    </w:rPr>
  </w:style>
  <w:style w:type="paragraph" w:customStyle="1" w:styleId="ListParagraph10">
    <w:name w:val="List Paragraph1"/>
    <w:basedOn w:val="Normal"/>
    <w:qFormat/>
    <w:pPr>
      <w:spacing w:before="100" w:after="100"/>
      <w:ind w:left="720" w:right="720"/>
    </w:pPr>
    <w:rPr>
      <w:rFonts w:eastAsia="Calibri"/>
      <w:i/>
      <w:color w:val="auto"/>
      <w:sz w:val="24"/>
    </w:rPr>
  </w:style>
  <w:style w:type="paragraph" w:customStyle="1" w:styleId="CharChar">
    <w:name w:val="(文字) (文字) Char (文字) (文字) Char"/>
    <w:basedOn w:val="Normal"/>
    <w:pPr>
      <w:tabs>
        <w:tab w:val="num" w:pos="2160"/>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qFormat/>
    <w:pPr>
      <w:numPr>
        <w:numId w:val="0"/>
      </w:numPr>
      <w:tabs>
        <w:tab w:val="left" w:pos="567"/>
      </w:tabs>
      <w:spacing w:after="60"/>
      <w:ind w:left="720" w:hanging="360"/>
    </w:pPr>
  </w:style>
  <w:style w:type="paragraph" w:customStyle="1" w:styleId="IPPNormal">
    <w:name w:val="IPP Normal"/>
    <w:basedOn w:val="Normal"/>
    <w:qFormat/>
    <w:pPr>
      <w:numPr>
        <w:numId w:val="39"/>
      </w:numPr>
      <w:spacing w:before="100" w:after="180"/>
      <w:ind w:left="0" w:right="720" w:firstLine="0"/>
      <w:jc w:val="both"/>
    </w:pPr>
    <w:rPr>
      <w:rFonts w:eastAsia="Times"/>
      <w:i/>
      <w:color w:val="auto"/>
      <w:sz w:val="18"/>
    </w:rPr>
  </w:style>
  <w:style w:type="paragraph" w:customStyle="1" w:styleId="IPPBullet1">
    <w:name w:val="IPP Bullet1"/>
    <w:basedOn w:val="Normal"/>
    <w:qFormat/>
    <w:pPr>
      <w:numPr>
        <w:numId w:val="22"/>
      </w:numPr>
      <w:spacing w:before="100" w:after="60"/>
      <w:ind w:right="720"/>
      <w:jc w:val="both"/>
    </w:pPr>
    <w:rPr>
      <w:rFonts w:eastAsia="Times"/>
      <w:i/>
      <w:color w:val="auto"/>
      <w:sz w:val="18"/>
    </w:rPr>
  </w:style>
  <w:style w:type="paragraph" w:customStyle="1" w:styleId="IPPTitle16ptIndent">
    <w:name w:val="IPP Title16pt Indent"/>
    <w:basedOn w:val="Normal"/>
    <w:qFormat/>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qFormat/>
    <w:pPr>
      <w:keepNext/>
      <w:numPr>
        <w:numId w:val="41"/>
      </w:numPr>
      <w:tabs>
        <w:tab w:val="left" w:pos="851"/>
      </w:tabs>
      <w:spacing w:before="360" w:after="120"/>
      <w:ind w:left="851" w:right="720" w:hanging="851"/>
      <w:jc w:val="both"/>
      <w:outlineLvl w:val="0"/>
    </w:pPr>
    <w:rPr>
      <w:rFonts w:eastAsia="Times"/>
      <w:b/>
      <w:i/>
      <w:caps/>
      <w:color w:val="auto"/>
      <w:sz w:val="24"/>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rPr>
  </w:style>
  <w:style w:type="paragraph" w:customStyle="1" w:styleId="IPPSubhead">
    <w:name w:val="IPP Subhead"/>
    <w:basedOn w:val="Normal"/>
    <w:qFormat/>
    <w:pPr>
      <w:keepNext/>
      <w:spacing w:before="100" w:after="0"/>
      <w:ind w:left="567" w:right="720" w:hanging="567"/>
    </w:pPr>
    <w:rPr>
      <w:b/>
      <w:i/>
      <w:color w:val="auto"/>
      <w:sz w:val="18"/>
    </w:rPr>
  </w:style>
  <w:style w:type="paragraph" w:customStyle="1" w:styleId="IPPBullet1Last">
    <w:name w:val="IPP Bullet1Last"/>
    <w:basedOn w:val="IPPNormal"/>
    <w:next w:val="IPPBullet1"/>
    <w:qFormat/>
    <w:pPr>
      <w:numPr>
        <w:numId w:val="20"/>
      </w:numPr>
      <w:tabs>
        <w:tab w:val="num" w:pos="360"/>
      </w:tabs>
      <w:ind w:left="360"/>
    </w:pPr>
    <w:rPr>
      <w:lang w:val="en-US"/>
    </w:rPr>
  </w:style>
  <w:style w:type="paragraph" w:customStyle="1" w:styleId="IPPTitle16pt">
    <w:name w:val="IPP Title16pt"/>
    <w:basedOn w:val="Normal"/>
    <w:qFormat/>
    <w:pPr>
      <w:spacing w:before="100" w:after="720"/>
      <w:ind w:left="1701" w:right="1701"/>
      <w:jc w:val="center"/>
    </w:pPr>
    <w:rPr>
      <w:rFonts w:ascii="Arial" w:hAnsi="Arial"/>
      <w:b/>
      <w:i/>
      <w:color w:val="auto"/>
      <w:sz w:val="32"/>
    </w:rPr>
  </w:style>
  <w:style w:type="paragraph" w:customStyle="1" w:styleId="IPPTitle18pt">
    <w:name w:val="IPP Title18pt"/>
    <w:basedOn w:val="Normal"/>
    <w:qFormat/>
    <w:pPr>
      <w:spacing w:before="100" w:after="360"/>
      <w:ind w:right="720"/>
      <w:jc w:val="center"/>
    </w:pPr>
    <w:rPr>
      <w:rFonts w:ascii="Arial" w:hAnsi="Arial"/>
      <w:b/>
      <w:i/>
      <w:color w:val="auto"/>
      <w:sz w:val="36"/>
    </w:rPr>
  </w:style>
  <w:style w:type="paragraph" w:customStyle="1" w:styleId="IPPAnnexHead">
    <w:name w:val="IPP AnnexHead"/>
    <w:basedOn w:val="IPPNormal"/>
    <w:next w:val="IPPNormal"/>
    <w:qFormat/>
    <w:pPr>
      <w:keepNext/>
      <w:numPr>
        <w:numId w:val="42"/>
      </w:numPr>
      <w:tabs>
        <w:tab w:val="left" w:pos="567"/>
      </w:tabs>
      <w:spacing w:before="120"/>
      <w:ind w:left="0" w:firstLine="0"/>
      <w:jc w:val="left"/>
      <w:outlineLvl w:val="1"/>
    </w:pPr>
    <w:rPr>
      <w:b/>
      <w:sz w:val="24"/>
    </w:rPr>
  </w:style>
  <w:style w:type="paragraph" w:customStyle="1" w:styleId="IPPNormalCloseSpace">
    <w:name w:val="IPP NormalCloseSpace"/>
    <w:basedOn w:val="Normal"/>
    <w:qFormat/>
    <w:pPr>
      <w:keepNext/>
      <w:numPr>
        <w:numId w:val="40"/>
      </w:numPr>
      <w:spacing w:before="100" w:after="60"/>
      <w:ind w:left="0" w:right="720" w:firstLine="0"/>
      <w:jc w:val="both"/>
    </w:pPr>
    <w:rPr>
      <w:i/>
      <w:color w:val="auto"/>
      <w:sz w:val="18"/>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rPr>
  </w:style>
  <w:style w:type="paragraph" w:customStyle="1" w:styleId="IPPArialTable">
    <w:name w:val="IPP Arial Table"/>
    <w:basedOn w:val="IPPArial"/>
    <w:qFormat/>
    <w:pPr>
      <w:spacing w:before="60" w:after="60"/>
      <w:jc w:val="left"/>
    </w:pPr>
  </w:style>
  <w:style w:type="paragraph" w:customStyle="1" w:styleId="IPPSubheadSpace">
    <w:name w:val="IPP Subhead Space"/>
    <w:basedOn w:val="IPPSubhead"/>
    <w:qFormat/>
    <w:pPr>
      <w:tabs>
        <w:tab w:val="left" w:pos="567"/>
      </w:tabs>
      <w:spacing w:before="60" w:after="60"/>
    </w:pPr>
  </w:style>
  <w:style w:type="paragraph" w:customStyle="1" w:styleId="IPPNumberedList">
    <w:name w:val="IPP NumberedList"/>
    <w:basedOn w:val="IPPBullet1"/>
    <w:qFormat/>
    <w:pPr>
      <w:numPr>
        <w:numId w:val="0"/>
      </w:numPr>
      <w:ind w:left="720" w:hanging="360"/>
    </w:pPr>
  </w:style>
  <w:style w:type="paragraph" w:customStyle="1" w:styleId="IPPNumberedListLast0">
    <w:name w:val="IPP NumberedListLast"/>
    <w:basedOn w:val="IPPNumberedList"/>
    <w:qFormat/>
    <w:pPr>
      <w:spacing w:after="180"/>
    </w:pPr>
  </w:style>
  <w:style w:type="paragraph" w:customStyle="1" w:styleId="IPPHdg1Num">
    <w:name w:val="IPP Hdg1Num"/>
    <w:basedOn w:val="IPPNormal"/>
    <w:next w:val="IPPNormal"/>
    <w:qFormat/>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qFormat/>
    <w:pPr>
      <w:numPr>
        <w:numId w:val="0"/>
      </w:numPr>
      <w:tabs>
        <w:tab w:val="num" w:pos="720"/>
      </w:tabs>
      <w:ind w:left="720" w:hanging="360"/>
    </w:pPr>
  </w:style>
  <w:style w:type="paragraph" w:customStyle="1" w:styleId="IPPLetterList">
    <w:name w:val="IPP LetterList"/>
    <w:basedOn w:val="IPPBullet2"/>
    <w:qFormat/>
    <w:pPr>
      <w:numPr>
        <w:numId w:val="24"/>
      </w:numPr>
      <w:jc w:val="left"/>
    </w:pPr>
  </w:style>
  <w:style w:type="paragraph" w:customStyle="1" w:styleId="IPPSubheadSpace3">
    <w:name w:val="IPP Subhead Space3"/>
    <w:basedOn w:val="IPPSubhead"/>
    <w:qFormat/>
    <w:pPr>
      <w:spacing w:before="60" w:after="60"/>
    </w:pPr>
  </w:style>
  <w:style w:type="paragraph" w:customStyle="1" w:styleId="font1">
    <w:name w:val="font1"/>
    <w:basedOn w:val="Normal"/>
    <w:pPr>
      <w:spacing w:before="100" w:after="100"/>
      <w:ind w:right="720"/>
    </w:pPr>
    <w:rPr>
      <w:rFonts w:ascii="Arial" w:hAnsi="Arial"/>
      <w:i/>
      <w:color w:val="auto"/>
      <w:sz w:val="20"/>
      <w:lang w:val="en-US"/>
    </w:rPr>
  </w:style>
  <w:style w:type="paragraph" w:customStyle="1" w:styleId="Contents">
    <w:name w:val="Contents"/>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qFormat/>
    <w:pPr>
      <w:ind w:left="851" w:right="851"/>
    </w:pPr>
    <w:rPr>
      <w:sz w:val="19"/>
    </w:rPr>
  </w:style>
  <w:style w:type="character" w:customStyle="1" w:styleId="NewParaChar">
    <w:name w:val="NewPara Char"/>
    <w:rPr>
      <w:rFonts w:ascii="Times New Roman" w:eastAsia="Times New Roman" w:hAnsi="Times New Roman" w:cs="Times New Roman"/>
      <w:noProof/>
      <w:szCs w:val="20"/>
    </w:rPr>
  </w:style>
  <w:style w:type="paragraph" w:customStyle="1" w:styleId="IPPHeading1Appendix">
    <w:name w:val="IPP Heading1 Appendix"/>
    <w:basedOn w:val="IPPHeading1"/>
    <w:qFormat/>
    <w:pPr>
      <w:ind w:left="720" w:hanging="360"/>
      <w:outlineLvl w:val="9"/>
    </w:pPr>
  </w:style>
  <w:style w:type="paragraph" w:customStyle="1" w:styleId="IPPHeadSectionAppendix">
    <w:name w:val="IPP HeadSection Appendix"/>
    <w:basedOn w:val="IPPHeadSection"/>
    <w:qFormat/>
    <w:pPr>
      <w:ind w:left="720" w:hanging="360"/>
      <w:outlineLvl w:val="9"/>
    </w:pPr>
  </w:style>
  <w:style w:type="paragraph" w:customStyle="1" w:styleId="IPPHeading2Appendix">
    <w:name w:val="IPP Heading2 Appendix"/>
    <w:basedOn w:val="IPPHeading2"/>
    <w:qFormat/>
    <w:pPr>
      <w:tabs>
        <w:tab w:val="left" w:pos="851"/>
        <w:tab w:val="left" w:pos="1134"/>
      </w:tabs>
      <w:ind w:left="720" w:hanging="360"/>
      <w:outlineLvl w:val="9"/>
    </w:pPr>
  </w:style>
  <w:style w:type="paragraph" w:customStyle="1" w:styleId="IPPAnnexHeadAppendix">
    <w:name w:val="IPP AnnexHead Appendix"/>
    <w:basedOn w:val="IPPAnnexHead"/>
    <w:qFormat/>
    <w:pPr>
      <w:numPr>
        <w:numId w:val="25"/>
      </w:numPr>
      <w:tabs>
        <w:tab w:val="clear" w:pos="567"/>
        <w:tab w:val="num" w:pos="1440"/>
      </w:tabs>
      <w:ind w:left="1440"/>
      <w:outlineLvl w:val="9"/>
    </w:pPr>
  </w:style>
  <w:style w:type="paragraph" w:customStyle="1" w:styleId="IPPIndent">
    <w:name w:val="IPP Indent"/>
    <w:basedOn w:val="Normal"/>
    <w:qFormat/>
    <w:pPr>
      <w:tabs>
        <w:tab w:val="left" w:pos="2835"/>
      </w:tabs>
      <w:spacing w:before="100" w:after="180"/>
      <w:ind w:left="567" w:right="720"/>
      <w:jc w:val="both"/>
    </w:pPr>
    <w:rPr>
      <w:rFonts w:eastAsia="Times"/>
      <w:i/>
      <w:color w:val="auto"/>
      <w:sz w:val="18"/>
    </w:rPr>
  </w:style>
  <w:style w:type="paragraph" w:customStyle="1" w:styleId="FooterLandscape">
    <w:name w:val="FooterLandscape"/>
    <w:basedOn w:val="Footer"/>
    <w:qFormat/>
    <w:pPr>
      <w:tabs>
        <w:tab w:val="clear" w:pos="4320"/>
        <w:tab w:val="clear" w:pos="8640"/>
        <w:tab w:val="right" w:pos="13892"/>
      </w:tabs>
      <w:spacing w:before="100" w:after="0"/>
      <w:ind w:right="720"/>
    </w:pPr>
    <w:rPr>
      <w:rFonts w:ascii="Arial" w:eastAsia="Times" w:hAnsi="Arial"/>
      <w:i/>
      <w:color w:val="auto"/>
      <w:sz w:val="18"/>
    </w:rPr>
  </w:style>
  <w:style w:type="paragraph" w:customStyle="1" w:styleId="IPPNumberClose">
    <w:name w:val="IPP NumberClose"/>
    <w:basedOn w:val="IPPNumber"/>
    <w:qFormat/>
    <w:pPr>
      <w:keepNext/>
      <w:spacing w:after="60"/>
    </w:pPr>
  </w:style>
  <w:style w:type="paragraph" w:customStyle="1" w:styleId="IPPNumber">
    <w:name w:val="IPP Number"/>
    <w:basedOn w:val="IPPNormal"/>
    <w:qFormat/>
    <w:pPr>
      <w:numPr>
        <w:numId w:val="0"/>
      </w:numPr>
      <w:tabs>
        <w:tab w:val="num" w:pos="720"/>
        <w:tab w:val="num" w:pos="2892"/>
      </w:tabs>
      <w:ind w:left="2892" w:hanging="579"/>
    </w:pPr>
  </w:style>
  <w:style w:type="paragraph" w:customStyle="1" w:styleId="IPPNumberedListLast">
    <w:name w:val="IPPNumberedListLast"/>
    <w:basedOn w:val="IPPNumberedList0"/>
    <w:qFormat/>
    <w:pPr>
      <w:numPr>
        <w:numId w:val="43"/>
      </w:numPr>
      <w:tabs>
        <w:tab w:val="num" w:pos="680"/>
      </w:tabs>
      <w:spacing w:after="180"/>
      <w:ind w:left="680" w:hanging="680"/>
    </w:pPr>
  </w:style>
  <w:style w:type="paragraph" w:customStyle="1" w:styleId="Comments">
    <w:name w:val="Comments"/>
    <w:basedOn w:val="Normal"/>
    <w:pPr>
      <w:spacing w:before="100" w:after="0"/>
      <w:ind w:left="284" w:right="720" w:hanging="284"/>
      <w:jc w:val="both"/>
    </w:pPr>
    <w:rPr>
      <w:i/>
      <w:color w:val="auto"/>
      <w:sz w:val="18"/>
    </w:rPr>
  </w:style>
  <w:style w:type="paragraph" w:customStyle="1" w:styleId="Indent1">
    <w:name w:val="Indent 1"/>
    <w:basedOn w:val="Normal"/>
    <w:qFormat/>
    <w:pPr>
      <w:spacing w:before="100" w:after="60"/>
      <w:ind w:left="567" w:right="720"/>
    </w:pPr>
    <w:rPr>
      <w:rFonts w:ascii="Georgia" w:eastAsia="Times" w:hAnsi="Georgia"/>
      <w:i/>
      <w:color w:val="auto"/>
      <w:sz w:val="18"/>
      <w:lang w:val="en-AU"/>
    </w:rPr>
  </w:style>
  <w:style w:type="paragraph" w:customStyle="1" w:styleId="Subhead">
    <w:name w:val="Subhead"/>
    <w:basedOn w:val="Normal"/>
    <w:qFormat/>
    <w:pPr>
      <w:keepNext/>
      <w:spacing w:before="120" w:after="60"/>
      <w:ind w:right="720"/>
    </w:pPr>
    <w:rPr>
      <w:rFonts w:ascii="Georgia" w:eastAsia="Times" w:hAnsi="Georgia"/>
      <w:b/>
      <w:i/>
      <w:color w:val="auto"/>
      <w:sz w:val="19"/>
      <w:lang w:val="en-AU"/>
    </w:rPr>
  </w:style>
  <w:style w:type="paragraph" w:customStyle="1" w:styleId="IPPNumberSubhead">
    <w:name w:val="IPP NumberSubhead"/>
    <w:basedOn w:val="IPPNumber"/>
    <w:qFormat/>
    <w:pPr>
      <w:keepNext/>
      <w:numPr>
        <w:numId w:val="44"/>
      </w:numPr>
      <w:tabs>
        <w:tab w:val="num" w:pos="567"/>
      </w:tabs>
      <w:spacing w:after="60"/>
      <w:ind w:firstLine="0"/>
    </w:pPr>
    <w:rPr>
      <w:b/>
    </w:rPr>
  </w:style>
  <w:style w:type="paragraph" w:customStyle="1" w:styleId="IPPSubheadNumber">
    <w:name w:val="IPP SubheadNumber"/>
    <w:basedOn w:val="IPPSubhead"/>
    <w:qFormat/>
    <w:pPr>
      <w:numPr>
        <w:numId w:val="27"/>
      </w:numPr>
      <w:tabs>
        <w:tab w:val="num" w:pos="720"/>
      </w:tabs>
      <w:ind w:left="720"/>
    </w:pPr>
  </w:style>
  <w:style w:type="paragraph" w:customStyle="1" w:styleId="IPPLetterListIndent">
    <w:name w:val="IPP LetterList Indent"/>
    <w:basedOn w:val="IPPLetterList"/>
    <w:qFormat/>
    <w:pPr>
      <w:numPr>
        <w:numId w:val="28"/>
      </w:numPr>
      <w:tabs>
        <w:tab w:val="clear" w:pos="567"/>
        <w:tab w:val="num" w:pos="720"/>
      </w:tabs>
      <w:ind w:left="720"/>
    </w:pPr>
  </w:style>
  <w:style w:type="paragraph" w:customStyle="1" w:styleId="IPPSubheadSpaceAfter">
    <w:name w:val="IPP Subhead SpaceAfter"/>
    <w:basedOn w:val="IPPSubhead"/>
    <w:qFormat/>
    <w:pPr>
      <w:spacing w:after="60"/>
    </w:pPr>
  </w:style>
  <w:style w:type="paragraph" w:customStyle="1" w:styleId="IPPArialFootnote">
    <w:name w:val="IPP Arial Footnote"/>
    <w:basedOn w:val="IPPArialTable"/>
    <w:qFormat/>
    <w:pPr>
      <w:tabs>
        <w:tab w:val="left" w:pos="567"/>
      </w:tabs>
      <w:ind w:left="567" w:hanging="567"/>
    </w:pPr>
    <w:rPr>
      <w:sz w:val="16"/>
    </w:rPr>
  </w:style>
  <w:style w:type="paragraph" w:customStyle="1" w:styleId="IPPContentsHead">
    <w:name w:val="IPP ContentsHead"/>
    <w:basedOn w:val="IPPSubhead"/>
    <w:next w:val="IPPNormal"/>
    <w:qFormat/>
    <w:pPr>
      <w:spacing w:after="240"/>
    </w:pPr>
    <w:rPr>
      <w:sz w:val="24"/>
    </w:rPr>
  </w:style>
  <w:style w:type="paragraph" w:customStyle="1" w:styleId="IPPNumberedListArial">
    <w:name w:val="IPP NumberedListArial"/>
    <w:basedOn w:val="IPPNumberedList"/>
    <w:qFormat/>
    <w:pPr>
      <w:numPr>
        <w:numId w:val="45"/>
      </w:numPr>
      <w:tabs>
        <w:tab w:val="num" w:pos="567"/>
      </w:tabs>
      <w:ind w:left="567" w:hanging="567"/>
    </w:pPr>
    <w:rPr>
      <w:rFonts w:ascii="Arial" w:hAnsi="Arial"/>
    </w:rPr>
  </w:style>
  <w:style w:type="paragraph" w:customStyle="1" w:styleId="IPPIndentClose">
    <w:name w:val="IPP Indent Close"/>
    <w:basedOn w:val="IPPNormal"/>
    <w:qFormat/>
    <w:pPr>
      <w:numPr>
        <w:numId w:val="46"/>
      </w:numPr>
      <w:tabs>
        <w:tab w:val="left" w:pos="2835"/>
      </w:tabs>
      <w:spacing w:after="60"/>
      <w:ind w:left="567" w:firstLine="0"/>
    </w:pPr>
  </w:style>
  <w:style w:type="paragraph" w:customStyle="1" w:styleId="IPPHdg2Num">
    <w:name w:val="IPP Hdg2Num"/>
    <w:basedOn w:val="IPPNormal"/>
    <w:next w:val="IPPNormal"/>
    <w:qFormat/>
    <w:pPr>
      <w:keepNext/>
      <w:tabs>
        <w:tab w:val="left" w:pos="567"/>
        <w:tab w:val="num" w:pos="680"/>
      </w:tabs>
      <w:spacing w:before="120" w:after="120"/>
      <w:ind w:left="680" w:hanging="680"/>
      <w:outlineLvl w:val="2"/>
    </w:pPr>
    <w:rPr>
      <w:b/>
      <w:sz w:val="24"/>
    </w:rPr>
  </w:style>
  <w:style w:type="character" w:customStyle="1" w:styleId="FollowedHyperlink1">
    <w:name w:val="FollowedHyperlink1"/>
    <w:rPr>
      <w:color w:val="800080"/>
      <w:u w:val="single"/>
    </w:rPr>
  </w:style>
  <w:style w:type="character" w:customStyle="1" w:styleId="txt">
    <w:name w:val="txt"/>
    <w:basedOn w:val="DefaultParagraphFont"/>
  </w:style>
  <w:style w:type="character" w:customStyle="1" w:styleId="highlight">
    <w:name w:val="highlight"/>
    <w:rPr>
      <w:rFonts w:cs="Times New Roman"/>
    </w:r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i/>
      <w:color w:val="auto"/>
      <w:sz w:val="20"/>
    </w:rPr>
  </w:style>
  <w:style w:type="character" w:customStyle="1" w:styleId="txtboldonly">
    <w:name w:val="txtboldonly"/>
    <w:basedOn w:val="DefaultParagraphFont"/>
  </w:style>
  <w:style w:type="paragraph" w:styleId="BodyTextFirstIndent2">
    <w:name w:val="Body Text First Indent 2"/>
    <w:basedOn w:val="BodyTextIndent"/>
    <w:semiHidden/>
    <w:pPr>
      <w:spacing w:after="120" w:line="240" w:lineRule="auto"/>
      <w:ind w:left="283" w:firstLine="210"/>
    </w:pPr>
    <w:rPr>
      <w:i/>
      <w:color w:val="auto"/>
      <w:sz w:val="24"/>
      <w:lang w:val="en-US"/>
    </w:rPr>
  </w:style>
  <w:style w:type="character" w:customStyle="1" w:styleId="pagination">
    <w:name w:val="pagination"/>
    <w:basedOn w:val="DefaultParagraphFont"/>
  </w:style>
  <w:style w:type="character" w:customStyle="1" w:styleId="CarCar5">
    <w:name w:val="Car Car5"/>
    <w:rPr>
      <w:rFonts w:cs="Consolas"/>
      <w:noProof w:val="0"/>
      <w:szCs w:val="24"/>
      <w:u w:val="single"/>
      <w:lang w:val="en-US" w:eastAsia="ja-JP" w:bidi="he-IL"/>
    </w:rPr>
  </w:style>
  <w:style w:type="character" w:customStyle="1" w:styleId="CarCar4">
    <w:name w:val="Car Car4"/>
    <w:rPr>
      <w:rFonts w:eastAsia="MS Mincho" w:cs="Arial"/>
      <w:b/>
      <w:bCs/>
      <w:iCs/>
      <w:noProof w:val="0"/>
      <w:kern w:val="32"/>
      <w:sz w:val="24"/>
      <w:szCs w:val="24"/>
      <w:lang w:val="en-US" w:eastAsia="ja-JP" w:bidi="ar-SA"/>
    </w:rPr>
  </w:style>
  <w:style w:type="character" w:customStyle="1" w:styleId="CarCar3">
    <w:name w:val="Car Car3"/>
    <w:locked/>
    <w:rPr>
      <w:rFonts w:eastAsia="MS Mincho" w:cs="Arial"/>
      <w:b/>
      <w:bCs/>
      <w:i/>
      <w:iCs/>
      <w:noProof w:val="0"/>
      <w:kern w:val="32"/>
      <w:sz w:val="24"/>
      <w:szCs w:val="26"/>
      <w:lang w:val="it-IT" w:eastAsia="ja-JP" w:bidi="ar-SA"/>
    </w:rPr>
  </w:style>
  <w:style w:type="paragraph" w:customStyle="1" w:styleId="CM7">
    <w:name w:val="CM7"/>
    <w:basedOn w:val="Normal"/>
    <w:next w:val="Normal"/>
    <w:pPr>
      <w:autoSpaceDE w:val="0"/>
      <w:autoSpaceDN w:val="0"/>
      <w:adjustRightInd w:val="0"/>
      <w:spacing w:after="0" w:line="198" w:lineRule="atLeast"/>
    </w:pPr>
    <w:rPr>
      <w:rFonts w:ascii="OJFKL G+ Melior" w:eastAsia="Calibri" w:hAnsi="OJFKL G+ Melior"/>
      <w:i/>
      <w:color w:val="auto"/>
      <w:sz w:val="18"/>
      <w:lang w:val="fr-FR"/>
    </w:rPr>
  </w:style>
  <w:style w:type="paragraph" w:customStyle="1" w:styleId="mainheader">
    <w:name w:val="mainheader"/>
    <w:basedOn w:val="Normal"/>
    <w:pPr>
      <w:spacing w:before="100" w:after="100"/>
    </w:pPr>
    <w:rPr>
      <w:rFonts w:eastAsia="MS Mincho"/>
      <w:i/>
      <w:color w:val="auto"/>
      <w:sz w:val="18"/>
      <w:lang w:val="fr-FR" w:eastAsia="ja-JP"/>
    </w:rPr>
  </w:style>
  <w:style w:type="character" w:customStyle="1" w:styleId="surname">
    <w:name w:val="surname"/>
    <w:basedOn w:val="DefaultParagraphFont"/>
  </w:style>
  <w:style w:type="character" w:customStyle="1" w:styleId="CarCar0">
    <w:name w:val="Car Car"/>
    <w:locked/>
    <w:rPr>
      <w:rFonts w:eastAsia="MS Mincho"/>
      <w:noProof w:val="0"/>
      <w:sz w:val="24"/>
      <w:szCs w:val="24"/>
      <w:lang w:val="fr-FR" w:eastAsia="ja-JP" w:bidi="ar-SA"/>
    </w:rPr>
  </w:style>
  <w:style w:type="character" w:customStyle="1" w:styleId="name0">
    <w:name w:val="name"/>
    <w:basedOn w:val="DefaultParagraphFont"/>
  </w:style>
  <w:style w:type="character" w:customStyle="1" w:styleId="forenames">
    <w:name w:val="forenames"/>
    <w:basedOn w:val="DefaultParagraphFont"/>
  </w:style>
  <w:style w:type="character" w:customStyle="1" w:styleId="txtsmall">
    <w:name w:val="txtsmall"/>
    <w:basedOn w:val="DefaultParagraphFont"/>
  </w:style>
  <w:style w:type="character" w:customStyle="1" w:styleId="mw-formatted-date">
    <w:name w:val="mw-formatted-date"/>
    <w:basedOn w:val="DefaultParagraphFont"/>
  </w:style>
  <w:style w:type="paragraph" w:customStyle="1" w:styleId="MediumGrid1-Accent22">
    <w:name w:val="Medium Grid 1 - Accent 22"/>
    <w:basedOn w:val="Normal"/>
    <w:qFormat/>
    <w:pPr>
      <w:spacing w:after="200" w:line="276" w:lineRule="auto"/>
      <w:ind w:left="720"/>
    </w:pPr>
    <w:rPr>
      <w:rFonts w:ascii="Calibri" w:eastAsia="Calibri" w:hAnsi="Calibri"/>
      <w:i/>
      <w:color w:val="auto"/>
    </w:rPr>
  </w:style>
  <w:style w:type="character" w:customStyle="1" w:styleId="CharChar3">
    <w:name w:val="Char Char3"/>
    <w:rPr>
      <w:sz w:val="22"/>
      <w:szCs w:val="22"/>
    </w:rPr>
  </w:style>
  <w:style w:type="character" w:customStyle="1" w:styleId="fm-citation-ids-label1">
    <w:name w:val="fm-citation-ids-label1"/>
    <w:rPr>
      <w:color w:val="333333"/>
    </w:rPr>
  </w:style>
  <w:style w:type="character" w:customStyle="1" w:styleId="citation-abbreviation2">
    <w:name w:val="citation-abbreviation2"/>
    <w:basedOn w:val="DefaultParagraphFont"/>
  </w:style>
  <w:style w:type="character" w:customStyle="1" w:styleId="citation-publication-date">
    <w:name w:val="citation-publication-date"/>
    <w:basedOn w:val="DefaultParagraphFont"/>
  </w:style>
  <w:style w:type="character" w:customStyle="1" w:styleId="citation-volume">
    <w:name w:val="citation-volume"/>
    <w:basedOn w:val="DefaultParagraphFont"/>
  </w:style>
  <w:style w:type="character" w:customStyle="1" w:styleId="citation-issue">
    <w:name w:val="citation-issue"/>
    <w:basedOn w:val="DefaultParagraphFont"/>
  </w:style>
  <w:style w:type="character" w:customStyle="1" w:styleId="citation-flpages">
    <w:name w:val="citation-flpages"/>
    <w:basedOn w:val="DefaultParagraphFont"/>
  </w:style>
  <w:style w:type="paragraph" w:customStyle="1" w:styleId="citation">
    <w:name w:val="citation"/>
    <w:basedOn w:val="Normal"/>
    <w:pPr>
      <w:spacing w:before="100" w:after="100"/>
    </w:pPr>
    <w:rPr>
      <w:i/>
      <w:color w:val="auto"/>
      <w:sz w:val="18"/>
    </w:rPr>
  </w:style>
  <w:style w:type="paragraph" w:customStyle="1" w:styleId="authlist">
    <w:name w:val="auth_list"/>
    <w:basedOn w:val="Normal"/>
    <w:pPr>
      <w:spacing w:before="100" w:after="100"/>
    </w:pPr>
    <w:rPr>
      <w:i/>
      <w:color w:val="auto"/>
      <w:sz w:val="18"/>
    </w:rPr>
  </w:style>
  <w:style w:type="paragraph" w:customStyle="1" w:styleId="MDthesisHeading2">
    <w:name w:val="MD thesis Heading 2"/>
    <w:basedOn w:val="Heading2"/>
    <w:next w:val="Normal"/>
    <w:autoRedefine/>
    <w:pPr>
      <w:tabs>
        <w:tab w:val="left" w:pos="709"/>
      </w:tabs>
      <w:spacing w:before="120" w:after="60" w:line="360" w:lineRule="auto"/>
      <w:ind w:left="709" w:firstLine="720"/>
    </w:pPr>
    <w:rPr>
      <w:b w:val="0"/>
      <w:i/>
      <w:snapToGrid/>
    </w:rPr>
  </w:style>
  <w:style w:type="paragraph" w:customStyle="1" w:styleId="title1">
    <w:name w:val="title1"/>
    <w:basedOn w:val="Normal"/>
    <w:pPr>
      <w:spacing w:after="0"/>
    </w:pPr>
    <w:rPr>
      <w:i/>
      <w:color w:val="auto"/>
      <w:sz w:val="29"/>
    </w:rPr>
  </w:style>
  <w:style w:type="paragraph" w:customStyle="1" w:styleId="rprtbody1">
    <w:name w:val="rprtbody1"/>
    <w:basedOn w:val="Normal"/>
    <w:pPr>
      <w:spacing w:before="34" w:after="34"/>
    </w:pPr>
    <w:rPr>
      <w:i/>
      <w:color w:val="auto"/>
      <w:sz w:val="28"/>
    </w:rPr>
  </w:style>
  <w:style w:type="paragraph" w:customStyle="1" w:styleId="aux1">
    <w:name w:val="aux1"/>
    <w:basedOn w:val="Normal"/>
    <w:pPr>
      <w:spacing w:after="0" w:line="320" w:lineRule="atLeast"/>
    </w:pPr>
    <w:rPr>
      <w:i/>
      <w:color w:val="auto"/>
      <w:sz w:val="18"/>
    </w:rPr>
  </w:style>
  <w:style w:type="character" w:customStyle="1" w:styleId="src1">
    <w:name w:val="src1"/>
    <w:rPr>
      <w:vanish w:val="0"/>
      <w:webHidden w:val="0"/>
      <w:specVanish w:val="0"/>
    </w:rPr>
  </w:style>
  <w:style w:type="character" w:customStyle="1" w:styleId="jrnl">
    <w:name w:val="jrnl"/>
    <w:basedOn w:val="DefaultParagraphFont"/>
  </w:style>
  <w:style w:type="character" w:customStyle="1" w:styleId="prevauthlinks1">
    <w:name w:val="prevauthlinks1"/>
    <w:rPr>
      <w:color w:val="C0C0C0"/>
      <w:u w:val="single"/>
    </w:rPr>
  </w:style>
  <w:style w:type="character" w:customStyle="1" w:styleId="nbapihighlight">
    <w:name w:val="nbapihighlight"/>
    <w:basedOn w:val="DefaultParagraphFont"/>
  </w:style>
  <w:style w:type="character" w:customStyle="1" w:styleId="bf">
    <w:name w:val="bf"/>
    <w:basedOn w:val="DefaultParagraphFont"/>
  </w:style>
  <w:style w:type="character" w:customStyle="1" w:styleId="it">
    <w:name w:val="it"/>
    <w:basedOn w:val="DefaultParagraphFont"/>
  </w:style>
  <w:style w:type="paragraph" w:customStyle="1" w:styleId="ptdocpara">
    <w:name w:val="ptdocpara"/>
    <w:basedOn w:val="Normal"/>
    <w:pPr>
      <w:spacing w:before="100" w:after="100"/>
    </w:pPr>
    <w:rPr>
      <w:i/>
      <w:color w:val="auto"/>
      <w:sz w:val="18"/>
    </w:rPr>
  </w:style>
  <w:style w:type="character" w:customStyle="1" w:styleId="ptdocpublication">
    <w:name w:val="ptdocpublication"/>
    <w:basedOn w:val="DefaultParagraphFont"/>
  </w:style>
  <w:style w:type="character" w:customStyle="1" w:styleId="ptdocissuevolume">
    <w:name w:val="ptdocissuevolume"/>
    <w:basedOn w:val="DefaultParagraphFont"/>
  </w:style>
  <w:style w:type="character" w:customStyle="1" w:styleId="ptdocissuedate">
    <w:name w:val="ptdocissuedate"/>
    <w:basedOn w:val="DefaultParagraphFont"/>
  </w:style>
  <w:style w:type="character" w:customStyle="1" w:styleId="ptdocissuepage">
    <w:name w:val="ptdocissuepage"/>
    <w:basedOn w:val="DefaultParagraphFont"/>
  </w:style>
  <w:style w:type="paragraph" w:customStyle="1" w:styleId="Referencetext121">
    <w:name w:val="סגנון Reference text + ‏12 נק מודגש1"/>
    <w:basedOn w:val="Normal"/>
    <w:autoRedefine/>
    <w:pPr>
      <w:spacing w:after="0" w:line="480" w:lineRule="auto"/>
      <w:jc w:val="both"/>
    </w:pPr>
    <w:rPr>
      <w:i/>
      <w:color w:val="auto"/>
      <w:sz w:val="18"/>
    </w:rPr>
  </w:style>
  <w:style w:type="paragraph" w:customStyle="1" w:styleId="10">
    <w:name w:val="סגנון כותרת 1 +"/>
    <w:basedOn w:val="Heading1"/>
    <w:pPr>
      <w:spacing w:before="240" w:after="60"/>
    </w:pPr>
    <w:rPr>
      <w:rFonts w:ascii="Arial" w:hAnsi="Arial"/>
      <w:i/>
      <w:color w:val="auto"/>
      <w:kern w:val="32"/>
      <w:sz w:val="32"/>
    </w:rPr>
  </w:style>
  <w:style w:type="paragraph" w:customStyle="1" w:styleId="14">
    <w:name w:val="אותיות גדולות 14"/>
    <w:basedOn w:val="10"/>
    <w:rPr>
      <w:b w:val="0"/>
    </w:rPr>
  </w:style>
  <w:style w:type="paragraph" w:customStyle="1" w:styleId="a3">
    <w:name w:val="טקסט מרכזי"/>
    <w:basedOn w:val="Normal"/>
    <w:pPr>
      <w:spacing w:after="0" w:line="480" w:lineRule="auto"/>
      <w:jc w:val="both"/>
    </w:pPr>
    <w:rPr>
      <w:rFonts w:ascii="Arial" w:hAnsi="Arial"/>
      <w:i/>
      <w:color w:val="auto"/>
      <w:sz w:val="18"/>
    </w:rPr>
  </w:style>
  <w:style w:type="character" w:customStyle="1" w:styleId="search1">
    <w:name w:val="search1"/>
    <w:rPr>
      <w:color w:val="228622"/>
    </w:rPr>
  </w:style>
  <w:style w:type="character" w:customStyle="1" w:styleId="style221">
    <w:name w:val="style221"/>
    <w:rPr>
      <w:color w:val="006633"/>
    </w:rPr>
  </w:style>
  <w:style w:type="character" w:customStyle="1" w:styleId="medium-normal1">
    <w:name w:val="medium-normal1"/>
    <w:rPr>
      <w:rFonts w:ascii="Arial" w:hAnsi="Arial" w:cs="Arial" w:hint="default"/>
      <w:b w:val="0"/>
      <w:bCs w:val="0"/>
      <w:i w:val="0"/>
      <w:iCs w:val="0"/>
      <w:sz w:val="20"/>
      <w:szCs w:val="20"/>
    </w:rPr>
  </w:style>
  <w:style w:type="character" w:styleId="HTMLVariable">
    <w:name w:val="HTML Variable"/>
    <w:rPr>
      <w:rFonts w:ascii="Verdana" w:hAnsi="Verdana" w:hint="default"/>
      <w:i w:val="0"/>
      <w:iCs w:val="0"/>
      <w:color w:val="000000"/>
      <w:sz w:val="20"/>
      <w:szCs w:val="20"/>
    </w:rPr>
  </w:style>
  <w:style w:type="paragraph" w:customStyle="1" w:styleId="last">
    <w:name w:val="last"/>
    <w:basedOn w:val="Normal"/>
    <w:pPr>
      <w:spacing w:before="100" w:after="100"/>
    </w:pPr>
    <w:rPr>
      <w:rFonts w:eastAsia="Calibri"/>
      <w:i/>
      <w:color w:val="auto"/>
      <w:sz w:val="18"/>
    </w:rPr>
  </w:style>
  <w:style w:type="paragraph" w:customStyle="1" w:styleId="firstlast">
    <w:name w:val="first last"/>
    <w:basedOn w:val="Normal"/>
    <w:pPr>
      <w:spacing w:before="100" w:after="100"/>
    </w:pPr>
    <w:rPr>
      <w:rFonts w:eastAsia="Calibri"/>
      <w:i/>
      <w:color w:val="auto"/>
      <w:sz w:val="18"/>
    </w:rPr>
  </w:style>
  <w:style w:type="character" w:customStyle="1" w:styleId="databold1">
    <w:name w:val="data_bold1"/>
    <w:rPr>
      <w:b/>
      <w:bCs/>
    </w:rPr>
  </w:style>
  <w:style w:type="paragraph" w:customStyle="1" w:styleId="normaltext">
    <w:name w:val="normaltext"/>
    <w:basedOn w:val="Normal"/>
    <w:pPr>
      <w:spacing w:before="120" w:after="60"/>
    </w:pPr>
    <w:rPr>
      <w:rFonts w:ascii="Arial" w:hAnsi="Arial"/>
      <w:i/>
      <w:sz w:val="20"/>
    </w:rPr>
  </w:style>
  <w:style w:type="paragraph" w:customStyle="1" w:styleId="heading10">
    <w:name w:val="heading1"/>
    <w:basedOn w:val="Normal"/>
    <w:next w:val="Normal"/>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Pr>
      <w:rFonts w:ascii="Times" w:hAnsi="Times"/>
      <w:b/>
      <w:noProof w:val="0"/>
      <w:sz w:val="24"/>
      <w:lang w:val="en-US" w:eastAsia="de-DE" w:bidi="ar-SA"/>
    </w:rPr>
  </w:style>
  <w:style w:type="paragraph" w:customStyle="1" w:styleId="literaturelist">
    <w:name w:val="literature list"/>
    <w:basedOn w:val="Normal"/>
    <w:pPr>
      <w:tabs>
        <w:tab w:val="num" w:pos="720"/>
        <w:tab w:val="left" w:pos="5760"/>
      </w:tabs>
      <w:spacing w:after="0" w:line="480" w:lineRule="auto"/>
      <w:ind w:left="720" w:right="170" w:hanging="360"/>
      <w:jc w:val="both"/>
      <w:outlineLvl w:val="0"/>
    </w:pPr>
    <w:rPr>
      <w:i/>
      <w:noProof/>
      <w:color w:val="auto"/>
      <w:sz w:val="18"/>
    </w:rPr>
  </w:style>
  <w:style w:type="character" w:customStyle="1" w:styleId="body1">
    <w:name w:val="body1"/>
    <w:rPr>
      <w:rFonts w:ascii="Verdana" w:hAnsi="Verdana" w:hint="default"/>
      <w:sz w:val="20"/>
      <w:szCs w:val="20"/>
    </w:rPr>
  </w:style>
  <w:style w:type="character" w:customStyle="1" w:styleId="bodybold1">
    <w:name w:val="bodybold1"/>
    <w:rPr>
      <w:rFonts w:ascii="Verdana" w:hAnsi="Verdana" w:hint="default"/>
      <w:b/>
      <w:bCs/>
      <w:sz w:val="20"/>
      <w:szCs w:val="20"/>
    </w:rPr>
  </w:style>
  <w:style w:type="paragraph" w:customStyle="1" w:styleId="CM1">
    <w:name w:val="CM1"/>
    <w:basedOn w:val="Default"/>
    <w:next w:val="Default"/>
    <w:pPr>
      <w:widowControl w:val="0"/>
    </w:pPr>
    <w:rPr>
      <w:color w:val="auto"/>
    </w:rPr>
  </w:style>
  <w:style w:type="paragraph" w:customStyle="1" w:styleId="CM2">
    <w:name w:val="CM2"/>
    <w:basedOn w:val="Default"/>
    <w:next w:val="Default"/>
    <w:pPr>
      <w:widowControl w:val="0"/>
      <w:spacing w:line="553" w:lineRule="atLeast"/>
    </w:pPr>
    <w:rPr>
      <w:color w:val="auto"/>
    </w:rPr>
  </w:style>
  <w:style w:type="paragraph" w:customStyle="1" w:styleId="CM27">
    <w:name w:val="CM27"/>
    <w:basedOn w:val="Default"/>
    <w:next w:val="Default"/>
    <w:pPr>
      <w:widowControl w:val="0"/>
      <w:spacing w:after="78"/>
    </w:pPr>
    <w:rPr>
      <w:color w:val="auto"/>
    </w:rPr>
  </w:style>
  <w:style w:type="paragraph" w:customStyle="1" w:styleId="CM3">
    <w:name w:val="CM3"/>
    <w:basedOn w:val="Default"/>
    <w:next w:val="Default"/>
    <w:pPr>
      <w:widowControl w:val="0"/>
      <w:numPr>
        <w:numId w:val="32"/>
      </w:numPr>
      <w:tabs>
        <w:tab w:val="clear" w:pos="720"/>
        <w:tab w:val="num" w:pos="680"/>
      </w:tabs>
      <w:spacing w:line="551" w:lineRule="atLeast"/>
      <w:ind w:left="0" w:firstLine="0"/>
    </w:pPr>
    <w:rPr>
      <w:color w:val="auto"/>
    </w:rPr>
  </w:style>
  <w:style w:type="paragraph" w:customStyle="1" w:styleId="CM28">
    <w:name w:val="CM28"/>
    <w:basedOn w:val="Default"/>
    <w:next w:val="Default"/>
    <w:pPr>
      <w:widowControl w:val="0"/>
      <w:spacing w:after="412"/>
    </w:pPr>
    <w:rPr>
      <w:color w:val="auto"/>
    </w:rPr>
  </w:style>
  <w:style w:type="paragraph" w:customStyle="1" w:styleId="CM30">
    <w:name w:val="CM30"/>
    <w:basedOn w:val="Default"/>
    <w:next w:val="Default"/>
    <w:pPr>
      <w:widowControl w:val="0"/>
      <w:spacing w:after="75"/>
    </w:pPr>
    <w:rPr>
      <w:color w:val="auto"/>
    </w:rPr>
  </w:style>
  <w:style w:type="paragraph" w:customStyle="1" w:styleId="CM10">
    <w:name w:val="CM10"/>
    <w:basedOn w:val="Default"/>
    <w:next w:val="Default"/>
    <w:pPr>
      <w:widowControl w:val="0"/>
      <w:spacing w:line="556" w:lineRule="atLeast"/>
    </w:pPr>
    <w:rPr>
      <w:color w:val="auto"/>
    </w:rPr>
  </w:style>
  <w:style w:type="paragraph" w:customStyle="1" w:styleId="CM32">
    <w:name w:val="CM32"/>
    <w:basedOn w:val="Default"/>
    <w:next w:val="Default"/>
    <w:pPr>
      <w:widowControl w:val="0"/>
      <w:spacing w:after="725"/>
    </w:pPr>
    <w:rPr>
      <w:color w:val="auto"/>
    </w:rPr>
  </w:style>
  <w:style w:type="paragraph" w:customStyle="1" w:styleId="CM33">
    <w:name w:val="CM33"/>
    <w:basedOn w:val="Default"/>
    <w:next w:val="Default"/>
    <w:pPr>
      <w:widowControl w:val="0"/>
      <w:numPr>
        <w:numId w:val="47"/>
      </w:numPr>
      <w:spacing w:after="538"/>
      <w:ind w:left="0" w:firstLine="0"/>
    </w:pPr>
    <w:rPr>
      <w:color w:val="auto"/>
    </w:rPr>
  </w:style>
  <w:style w:type="paragraph" w:customStyle="1" w:styleId="CM16">
    <w:name w:val="CM16"/>
    <w:basedOn w:val="Default"/>
    <w:next w:val="Default"/>
    <w:pPr>
      <w:widowControl w:val="0"/>
      <w:spacing w:line="553" w:lineRule="atLeast"/>
    </w:pPr>
    <w:rPr>
      <w:color w:val="auto"/>
    </w:rPr>
  </w:style>
  <w:style w:type="paragraph" w:customStyle="1" w:styleId="CM19">
    <w:name w:val="CM19"/>
    <w:basedOn w:val="Default"/>
    <w:next w:val="Default"/>
    <w:pPr>
      <w:widowControl w:val="0"/>
      <w:spacing w:line="268" w:lineRule="atLeast"/>
    </w:pPr>
    <w:rPr>
      <w:color w:val="auto"/>
    </w:rPr>
  </w:style>
  <w:style w:type="character" w:customStyle="1" w:styleId="ZchnZchn16">
    <w:name w:val="Zchn Zchn16"/>
    <w:rPr>
      <w:rFonts w:ascii="Arial" w:hAnsi="Arial" w:cs="Arial"/>
      <w:b/>
      <w:bCs/>
      <w:noProof w:val="0"/>
      <w:kern w:val="32"/>
      <w:sz w:val="32"/>
      <w:szCs w:val="32"/>
      <w:lang w:val="en-US" w:eastAsia="en-US" w:bidi="ar-SA"/>
    </w:rPr>
  </w:style>
  <w:style w:type="character" w:customStyle="1" w:styleId="ZchnZchn1">
    <w:name w:val="Zchn Zchn1"/>
    <w:rPr>
      <w:rFonts w:ascii="Cambria" w:hAnsi="Cambria"/>
      <w:b/>
      <w:bCs/>
      <w:noProof w:val="0"/>
      <w:kern w:val="28"/>
      <w:sz w:val="32"/>
      <w:szCs w:val="32"/>
      <w:lang w:val="ca-ES" w:eastAsia="en-US" w:bidi="ar-SA"/>
    </w:rPr>
  </w:style>
  <w:style w:type="paragraph" w:styleId="NoSpacing">
    <w:name w:val="No Spacing"/>
    <w:qFormat/>
    <w:rPr>
      <w:rFonts w:ascii="Times New Roman" w:hAnsi="Times New Roman"/>
      <w:sz w:val="24"/>
      <w:lang w:val="en-US" w:eastAsia="ko-KR"/>
    </w:rPr>
  </w:style>
  <w:style w:type="character" w:customStyle="1" w:styleId="ZchnZchn">
    <w:name w:val="Zchn Zchn"/>
    <w:rPr>
      <w:rFonts w:ascii="Calibri" w:hAnsi="Calibri"/>
      <w:noProof w:val="0"/>
      <w:lang w:val="ca-ES" w:eastAsia="en-US" w:bidi="ar-SA"/>
    </w:rPr>
  </w:style>
  <w:style w:type="paragraph" w:customStyle="1" w:styleId="references0">
    <w:name w:val="references"/>
    <w:basedOn w:val="Normal"/>
    <w:pPr>
      <w:spacing w:before="60" w:after="60"/>
      <w:ind w:left="1134" w:hanging="1134"/>
      <w:jc w:val="both"/>
    </w:pPr>
    <w:rPr>
      <w:rFonts w:ascii="Garamond" w:hAnsi="Garamond"/>
      <w:i/>
      <w:color w:val="auto"/>
      <w:sz w:val="20"/>
    </w:rPr>
  </w:style>
  <w:style w:type="paragraph" w:customStyle="1" w:styleId="refs">
    <w:name w:val="refs"/>
    <w:basedOn w:val="Normal"/>
    <w:pPr>
      <w:spacing w:before="100" w:after="100"/>
    </w:pPr>
    <w:rPr>
      <w:i/>
      <w:color w:val="auto"/>
      <w:sz w:val="18"/>
    </w:rPr>
  </w:style>
  <w:style w:type="character" w:customStyle="1" w:styleId="ital">
    <w:name w:val="ital"/>
    <w:basedOn w:val="DefaultParagraphFont"/>
  </w:style>
  <w:style w:type="paragraph" w:customStyle="1" w:styleId="Literaturverzeichnis">
    <w:name w:val="Literaturverzeichnis"/>
    <w:basedOn w:val="Normal"/>
    <w:next w:val="Normal"/>
    <w:unhideWhenUsed/>
    <w:pPr>
      <w:spacing w:after="200" w:line="276" w:lineRule="auto"/>
    </w:pPr>
    <w:rPr>
      <w:rFonts w:ascii="Calibri" w:hAnsi="Calibri"/>
      <w:i/>
      <w:color w:val="auto"/>
      <w:lang w:val="de-DE"/>
    </w:rPr>
  </w:style>
  <w:style w:type="character" w:customStyle="1" w:styleId="databold">
    <w:name w:val="data_bold"/>
    <w:basedOn w:val="DefaultParagraphFont"/>
  </w:style>
  <w:style w:type="character" w:customStyle="1" w:styleId="cmpparsedlocationcmpparsedstyle">
    <w:name w:val="cmp_parsed_location cmp_parsed_style"/>
    <w:basedOn w:val="DefaultParagraphFont"/>
  </w:style>
  <w:style w:type="paragraph" w:customStyle="1" w:styleId="MediumGrid1-Accent21">
    <w:name w:val="Medium Grid 1 - Accent 21"/>
    <w:basedOn w:val="Normal"/>
    <w:qFormat/>
    <w:pPr>
      <w:spacing w:after="200" w:line="276" w:lineRule="auto"/>
      <w:ind w:left="720"/>
    </w:pPr>
    <w:rPr>
      <w:rFonts w:ascii="Calibri" w:eastAsia="Calibri" w:hAnsi="Calibri"/>
      <w:b/>
      <w:i/>
      <w:color w:val="auto"/>
    </w:rPr>
  </w:style>
  <w:style w:type="paragraph" w:customStyle="1" w:styleId="ReferencesNIPIndia">
    <w:name w:val="References NIP India"/>
    <w:basedOn w:val="Normal"/>
    <w:qFormat/>
    <w:pPr>
      <w:spacing w:before="20" w:after="20"/>
      <w:ind w:left="709" w:right="720" w:hanging="709"/>
    </w:pPr>
    <w:rPr>
      <w:b/>
      <w:i/>
      <w:color w:val="auto"/>
      <w:sz w:val="18"/>
      <w:lang w:val="en-CA"/>
    </w:rPr>
  </w:style>
  <w:style w:type="character" w:customStyle="1" w:styleId="FootnoteTextChar">
    <w:name w:val="Footnote Text Char"/>
    <w:aliases w:val="Geneva 9 Char,Font: Geneva 9 Char,Boston 10 Char,f Char"/>
    <w:uiPriority w:val="99"/>
    <w:rPr>
      <w:sz w:val="20"/>
      <w:szCs w:val="20"/>
    </w:rPr>
  </w:style>
  <w:style w:type="character" w:customStyle="1" w:styleId="BodyTextIndent2Char">
    <w:name w:val="Body Text Indent 2 Char"/>
    <w:basedOn w:val="DefaultParagraphFont"/>
    <w:semiHidden/>
  </w:style>
  <w:style w:type="paragraph" w:customStyle="1" w:styleId="Textedebulles">
    <w:name w:val="Texte de bulles"/>
    <w:basedOn w:val="Normal"/>
    <w:semiHidden/>
    <w:pPr>
      <w:spacing w:before="100" w:after="0"/>
      <w:ind w:right="720"/>
      <w:jc w:val="both"/>
    </w:pPr>
    <w:rPr>
      <w:rFonts w:ascii="Tahoma" w:hAnsi="Tahoma"/>
      <w:color w:val="auto"/>
      <w:sz w:val="16"/>
    </w:rPr>
  </w:style>
  <w:style w:type="character" w:customStyle="1" w:styleId="CarCar2">
    <w:name w:val="Car Car2"/>
    <w:semiHidden/>
    <w:locked/>
    <w:rPr>
      <w:rFonts w:cs="MS Gothic"/>
      <w:noProof w:val="0"/>
      <w:lang w:val="en-US" w:eastAsia="ja-JP" w:bidi="he-IL"/>
    </w:rPr>
  </w:style>
  <w:style w:type="character" w:customStyle="1" w:styleId="CarCar1">
    <w:name w:val="Car Car1"/>
    <w:semiHidden/>
    <w:locked/>
    <w:rPr>
      <w:rFonts w:cs="MS Gothic"/>
      <w:noProof w:val="0"/>
      <w:lang w:val="en-US" w:eastAsia="ja-JP" w:bidi="he-IL"/>
    </w:rPr>
  </w:style>
  <w:style w:type="character" w:customStyle="1" w:styleId="CharChar4">
    <w:name w:val="Char Char4"/>
    <w:semiHidden/>
    <w:rPr>
      <w:sz w:val="22"/>
      <w:szCs w:val="22"/>
    </w:rPr>
  </w:style>
  <w:style w:type="character" w:customStyle="1" w:styleId="ZchnZchn15">
    <w:name w:val="Zchn Zchn15"/>
    <w:semiHidden/>
    <w:rPr>
      <w:rFonts w:ascii="Arial" w:hAnsi="Arial" w:cs="Arial"/>
      <w:b/>
      <w:bCs/>
      <w:i/>
      <w:iCs/>
      <w:noProof w:val="0"/>
      <w:sz w:val="28"/>
      <w:szCs w:val="28"/>
      <w:lang w:val="en-US" w:eastAsia="en-US" w:bidi="ar-SA"/>
    </w:rPr>
  </w:style>
  <w:style w:type="character" w:customStyle="1" w:styleId="ZchnZchn14">
    <w:name w:val="Zchn Zchn14"/>
    <w:semiHidden/>
    <w:rPr>
      <w:rFonts w:ascii="Arial" w:hAnsi="Arial" w:cs="Arial"/>
      <w:b/>
      <w:bCs/>
      <w:noProof w:val="0"/>
      <w:sz w:val="26"/>
      <w:szCs w:val="26"/>
      <w:lang w:val="en-US" w:eastAsia="en-US" w:bidi="ar-SA"/>
    </w:rPr>
  </w:style>
  <w:style w:type="character" w:customStyle="1" w:styleId="ZchnZchn13">
    <w:name w:val="Zchn Zchn13"/>
    <w:semiHidden/>
    <w:rPr>
      <w:rFonts w:ascii="Arial" w:hAnsi="Arial" w:cs="Arial"/>
      <w:b/>
      <w:bCs/>
      <w:noProof w:val="0"/>
      <w:sz w:val="24"/>
      <w:szCs w:val="24"/>
      <w:lang w:val="de-DE" w:eastAsia="de-DE" w:bidi="ar-SA"/>
    </w:rPr>
  </w:style>
  <w:style w:type="character" w:customStyle="1" w:styleId="ZchnZchn12">
    <w:name w:val="Zchn Zchn12"/>
    <w:semiHidden/>
    <w:rPr>
      <w:rFonts w:ascii="Arial" w:hAnsi="Arial" w:cs="Arial"/>
      <w:b/>
      <w:bCs/>
      <w:noProof w:val="0"/>
      <w:sz w:val="24"/>
      <w:szCs w:val="24"/>
      <w:lang w:val="de-DE" w:eastAsia="de-DE" w:bidi="ar-SA"/>
    </w:rPr>
  </w:style>
  <w:style w:type="character" w:customStyle="1" w:styleId="ZchnZchn11">
    <w:name w:val="Zchn Zchn11"/>
    <w:semiHidden/>
    <w:rPr>
      <w:rFonts w:ascii="Arial" w:hAnsi="Arial" w:cs="Arial"/>
      <w:b/>
      <w:bCs/>
      <w:noProof w:val="0"/>
      <w:lang w:val="de-DE" w:eastAsia="de-DE" w:bidi="ar-SA"/>
    </w:rPr>
  </w:style>
  <w:style w:type="character" w:customStyle="1" w:styleId="ZchnZchn10">
    <w:name w:val="Zchn Zchn10"/>
    <w:semiHidden/>
    <w:rPr>
      <w:rFonts w:ascii="Arial" w:hAnsi="Arial" w:cs="Arial"/>
      <w:b/>
      <w:bCs/>
      <w:noProof w:val="0"/>
      <w:sz w:val="28"/>
      <w:szCs w:val="28"/>
      <w:lang w:val="de-DE" w:eastAsia="de-DE" w:bidi="ar-SA"/>
    </w:rPr>
  </w:style>
  <w:style w:type="character" w:customStyle="1" w:styleId="ZchnZchn9">
    <w:name w:val="Zchn Zchn9"/>
    <w:semiHidden/>
    <w:rPr>
      <w:rFonts w:ascii="Arial" w:hAnsi="Arial" w:cs="Arial"/>
      <w:b/>
      <w:bCs/>
      <w:noProof w:val="0"/>
      <w:lang w:val="de-DE" w:eastAsia="de-DE" w:bidi="ar-SA"/>
    </w:rPr>
  </w:style>
  <w:style w:type="character" w:customStyle="1" w:styleId="ZchnZchn8">
    <w:name w:val="Zchn Zchn8"/>
    <w:semiHidden/>
    <w:rPr>
      <w:rFonts w:ascii="Arial" w:hAnsi="Arial" w:cs="Arial"/>
      <w:noProof w:val="0"/>
      <w:sz w:val="24"/>
      <w:szCs w:val="24"/>
      <w:lang w:val="de-DE" w:eastAsia="de-DE" w:bidi="ar-SA"/>
    </w:rPr>
  </w:style>
  <w:style w:type="character" w:customStyle="1" w:styleId="CharCharZchn">
    <w:name w:val="Char Char Zchn"/>
    <w:aliases w:val="Body Text Char Char Char Char Char Zchn,Body Text Char Char Char Char Zchn Zchn"/>
    <w:semiHidden/>
    <w:locked/>
    <w:rPr>
      <w:rFonts w:eastAsia="MS Mincho"/>
      <w:noProof w:val="0"/>
      <w:color w:val="000000"/>
      <w:sz w:val="24"/>
      <w:lang w:val="en-GB" w:eastAsia="zh-CN" w:bidi="ar-SA"/>
    </w:rPr>
  </w:style>
  <w:style w:type="character" w:customStyle="1" w:styleId="ZchnZchn4">
    <w:name w:val="Zchn Zchn4"/>
    <w:semiHidden/>
    <w:rPr>
      <w:noProof w:val="0"/>
      <w:sz w:val="24"/>
      <w:szCs w:val="24"/>
      <w:lang w:val="en-US" w:eastAsia="en-US" w:bidi="ar-SA"/>
    </w:rPr>
  </w:style>
  <w:style w:type="character" w:customStyle="1" w:styleId="ZchnZchn7">
    <w:name w:val="Zchn Zchn7"/>
    <w:semiHidden/>
    <w:rPr>
      <w:noProof w:val="0"/>
      <w:sz w:val="24"/>
      <w:szCs w:val="24"/>
      <w:lang w:val="en-US" w:eastAsia="en-US" w:bidi="ar-SA"/>
    </w:rPr>
  </w:style>
  <w:style w:type="character" w:customStyle="1" w:styleId="ZchnZchn6">
    <w:name w:val="Zchn Zchn6"/>
    <w:semiHidden/>
    <w:rPr>
      <w:rFonts w:ascii="Courier New" w:hAnsi="Courier New" w:cs="MS Gothic"/>
      <w:noProof w:val="0"/>
      <w:lang w:val="de-DE" w:eastAsia="de-DE" w:bidi="ar-SA"/>
    </w:rPr>
  </w:style>
  <w:style w:type="character" w:customStyle="1" w:styleId="ZchnZchn5">
    <w:name w:val="Zchn Zchn5"/>
    <w:semiHidden/>
    <w:rPr>
      <w:rFonts w:ascii="Arial" w:hAnsi="Arial" w:cs="Arial"/>
      <w:noProof w:val="0"/>
      <w:sz w:val="24"/>
      <w:szCs w:val="24"/>
      <w:lang w:val="de-DE" w:eastAsia="de-DE" w:bidi="ar-SA"/>
    </w:rPr>
  </w:style>
  <w:style w:type="character" w:customStyle="1" w:styleId="ZchnZchn3">
    <w:name w:val="Zchn Zchn3"/>
    <w:semiHidden/>
    <w:rPr>
      <w:rFonts w:ascii="Arial" w:hAnsi="Arial" w:cs="Arial"/>
      <w:noProof w:val="0"/>
      <w:sz w:val="24"/>
      <w:szCs w:val="24"/>
      <w:lang w:val="de-DE" w:eastAsia="de-DE" w:bidi="ar-SA"/>
    </w:rPr>
  </w:style>
  <w:style w:type="paragraph" w:customStyle="1" w:styleId="11">
    <w:name w:val="コメント内容1"/>
    <w:basedOn w:val="CommentText"/>
    <w:next w:val="CommentText"/>
    <w:semiHidden/>
    <w:pPr>
      <w:spacing w:after="0"/>
    </w:pPr>
    <w:rPr>
      <w:rFonts w:ascii="Century" w:eastAsia="MS Mincho" w:hAnsi="Century"/>
      <w:b/>
      <w:bCs/>
      <w:kern w:val="2"/>
      <w:sz w:val="24"/>
      <w:szCs w:val="24"/>
      <w:lang w:val="en-US" w:eastAsia="ja-JP"/>
    </w:rPr>
  </w:style>
  <w:style w:type="paragraph" w:customStyle="1" w:styleId="12">
    <w:name w:val="吹き出し1"/>
    <w:basedOn w:val="Normal"/>
    <w:semiHidden/>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pPr>
      <w:spacing w:after="0"/>
    </w:pPr>
    <w:rPr>
      <w:rFonts w:ascii="Century" w:eastAsia="MS Mincho" w:hAnsi="Century"/>
      <w:b/>
      <w:bCs/>
      <w:kern w:val="2"/>
      <w:sz w:val="24"/>
      <w:szCs w:val="24"/>
      <w:lang w:val="en-US" w:eastAsia="ja-JP"/>
    </w:rPr>
  </w:style>
  <w:style w:type="paragraph" w:customStyle="1" w:styleId="Textodeglobo1">
    <w:name w:val="Texto de globo1"/>
    <w:basedOn w:val="Normal"/>
    <w:semiHidden/>
    <w:pPr>
      <w:widowControl w:val="0"/>
      <w:spacing w:after="0"/>
      <w:jc w:val="both"/>
    </w:pPr>
    <w:rPr>
      <w:rFonts w:ascii="Tahoma" w:eastAsia="MS Mincho" w:hAnsi="Tahoma" w:cs="Times New Roman Bold"/>
      <w:color w:val="auto"/>
      <w:kern w:val="2"/>
      <w:sz w:val="16"/>
      <w:szCs w:val="16"/>
      <w:lang w:val="en-US" w:eastAsia="ja-JP"/>
    </w:rPr>
  </w:style>
  <w:style w:type="paragraph" w:customStyle="1" w:styleId="a7">
    <w:name w:val="スタイル"/>
    <w:pPr>
      <w:widowControl w:val="0"/>
      <w:autoSpaceDE w:val="0"/>
      <w:autoSpaceDN w:val="0"/>
      <w:adjustRightInd w:val="0"/>
    </w:pPr>
    <w:rPr>
      <w:rFonts w:ascii="Times New Roman" w:eastAsia="MS Mincho" w:hAnsi="Times New Roman"/>
      <w:sz w:val="24"/>
      <w:szCs w:val="24"/>
      <w:lang w:val="en-US" w:eastAsia="ja-JP"/>
    </w:rPr>
  </w:style>
  <w:style w:type="paragraph" w:customStyle="1" w:styleId="BodyText10">
    <w:name w:val="Body Text1"/>
    <w:basedOn w:val="Normal"/>
    <w:rPr>
      <w:szCs w:val="24"/>
    </w:rPr>
  </w:style>
  <w:style w:type="paragraph" w:customStyle="1" w:styleId="Tableandfigureheaders">
    <w:name w:val="Table and figure headers"/>
    <w:basedOn w:val="Caption"/>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pPr>
      <w:spacing w:before="0" w:after="0"/>
      <w:ind w:left="425" w:right="0"/>
    </w:pPr>
    <w:rPr>
      <w:rFonts w:ascii="Calibri" w:hAnsi="Calibri"/>
      <w:i w:val="0"/>
      <w:noProof/>
      <w:color w:val="auto"/>
      <w:sz w:val="18"/>
      <w:szCs w:val="22"/>
      <w:lang w:eastAsia="en-GB"/>
    </w:rPr>
  </w:style>
  <w:style w:type="character" w:customStyle="1" w:styleId="CharChar20">
    <w:name w:val="Char Char2"/>
    <w:locked/>
    <w:rPr>
      <w:b/>
      <w:bCs w:val="0"/>
      <w:noProof w:val="0"/>
      <w:color w:val="000000"/>
      <w:sz w:val="28"/>
      <w:lang w:val="en-GB" w:eastAsia="zh-CN" w:bidi="ar-SA"/>
    </w:rPr>
  </w:style>
  <w:style w:type="character" w:customStyle="1" w:styleId="CharChar10">
    <w:name w:val="Char Char1"/>
    <w:rPr>
      <w:rFonts w:ascii="Arial" w:hAnsi="Arial" w:cs="Arial" w:hint="default"/>
      <w:noProof w:val="0"/>
      <w:lang w:val="en-GB" w:eastAsia="zh-CN" w:bidi="ar-SA"/>
    </w:rPr>
  </w:style>
  <w:style w:type="character" w:customStyle="1" w:styleId="13">
    <w:name w:val="(文字) (文字)1"/>
    <w:rPr>
      <w:rFonts w:ascii="SimSun" w:eastAsia="SimSun" w:hint="eastAsia"/>
      <w:noProof w:val="0"/>
      <w:sz w:val="24"/>
      <w:szCs w:val="24"/>
      <w:lang w:val="en-US" w:eastAsia="zh-CN" w:bidi="ar-SA"/>
    </w:rPr>
  </w:style>
  <w:style w:type="character" w:customStyle="1" w:styleId="a8">
    <w:name w:val="(文字) (文字)"/>
    <w:rPr>
      <w:rFonts w:ascii="SimSun" w:eastAsia="SimSun" w:hint="eastAsia"/>
      <w:b/>
      <w:bCs/>
      <w:noProof w:val="0"/>
      <w:sz w:val="24"/>
      <w:szCs w:val="24"/>
      <w:lang w:val="en-US" w:eastAsia="en-US" w:bidi="ar-SA"/>
    </w:rPr>
  </w:style>
  <w:style w:type="character" w:customStyle="1" w:styleId="CarCar190">
    <w:name w:val="Car Car19"/>
    <w:locked/>
    <w:rPr>
      <w:rFonts w:ascii="MS Mincho" w:eastAsia="MS Mincho" w:hint="eastAsia"/>
      <w:noProof w:val="0"/>
      <w:color w:val="000000"/>
      <w:sz w:val="24"/>
      <w:szCs w:val="24"/>
      <w:lang w:val="en-GB" w:eastAsia="zh-CN" w:bidi="ar-SA"/>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F95F7D"/>
    <w:rPr>
      <w:sz w:val="28"/>
      <w:lang w:eastAsia="en-US"/>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rPr>
      <w:b/>
      <w:bCs w:val="0"/>
      <w:i/>
      <w:iCs w:val="0"/>
      <w:noProof w:val="0"/>
      <w:color w:val="000000"/>
      <w:sz w:val="24"/>
      <w:lang w:val="en-GB" w:eastAsia="en-US"/>
    </w:rPr>
  </w:style>
  <w:style w:type="character" w:customStyle="1" w:styleId="Heading4Char1">
    <w:name w:val="Heading 4 Char1"/>
    <w:rPr>
      <w:b/>
      <w:bCs w:val="0"/>
      <w:i/>
      <w:iCs w:val="0"/>
      <w:noProof w:val="0"/>
      <w:snapToGrid w:val="0"/>
      <w:color w:val="000000"/>
      <w:sz w:val="24"/>
      <w:lang w:val="en-GB" w:eastAsia="zh-CN"/>
    </w:rPr>
  </w:style>
  <w:style w:type="character" w:customStyle="1" w:styleId="Heading311ptBoldChar">
    <w:name w:val="Heading 3 + 11 pt Bold Char"/>
    <w:rPr>
      <w:b/>
      <w:sz w:val="24"/>
    </w:rPr>
  </w:style>
  <w:style w:type="character" w:customStyle="1" w:styleId="A20">
    <w:name w:val="A2"/>
    <w:rPr>
      <w:b/>
      <w:bCs w:val="0"/>
      <w:color w:val="000000"/>
      <w:sz w:val="12"/>
    </w:rPr>
  </w:style>
  <w:style w:type="character" w:customStyle="1" w:styleId="StyleHeading4Left0Firstline0Char">
    <w:name w:val="Style Heading 4 + Left:  0&quot; First line:  0&quot; Char"/>
    <w:rPr>
      <w:b/>
      <w:bCs w:val="0"/>
      <w:i/>
      <w:iCs w:val="0"/>
      <w:noProof w:val="0"/>
      <w:snapToGrid w:val="0"/>
      <w:color w:val="000000"/>
      <w:sz w:val="24"/>
      <w:lang w:val="en-GB" w:eastAsia="zh-CN"/>
    </w:rPr>
  </w:style>
  <w:style w:type="character" w:customStyle="1" w:styleId="ECMStableheaderChar">
    <w:name w:val="ECMS table header Char"/>
    <w:rPr>
      <w:b/>
      <w:bCs w:val="0"/>
      <w:noProof w:val="0"/>
      <w:sz w:val="24"/>
      <w:lang w:val="en-GB" w:eastAsia="en-GB"/>
    </w:rPr>
  </w:style>
  <w:style w:type="character" w:customStyle="1" w:styleId="maintext1">
    <w:name w:val="maintext1"/>
    <w:rPr>
      <w:rFonts w:ascii="Verdana" w:hAnsi="Verdana" w:hint="default"/>
      <w:sz w:val="20"/>
    </w:rPr>
  </w:style>
  <w:style w:type="character" w:customStyle="1" w:styleId="CharChar40">
    <w:name w:val="Char Char4"/>
    <w:locked/>
    <w:rPr>
      <w:noProof w:val="0"/>
      <w:sz w:val="24"/>
      <w:lang w:val="en-US" w:eastAsia="en-AU"/>
    </w:rPr>
  </w:style>
  <w:style w:type="character" w:customStyle="1" w:styleId="apple-style-span">
    <w:name w:val="apple-style-span"/>
    <w:rPr>
      <w:rFonts w:ascii="Times New Roman" w:hAnsi="Times New Roman" w:cs="Times New Roman" w:hint="default"/>
    </w:rPr>
  </w:style>
  <w:style w:type="character" w:customStyle="1" w:styleId="CharChar5">
    <w:name w:val="Char Char5"/>
    <w:locked/>
    <w:rPr>
      <w:rFonts w:ascii="Tahoma" w:hAnsi="Tahoma" w:cs="Times New Roman Bold" w:hint="default"/>
      <w:noProof w:val="0"/>
      <w:sz w:val="16"/>
      <w:lang w:val="en-US" w:eastAsia="en-US"/>
    </w:rPr>
  </w:style>
  <w:style w:type="character" w:customStyle="1" w:styleId="apple-converted-space">
    <w:name w:val="apple-converted-space"/>
    <w:rPr>
      <w:rFonts w:ascii="Times New Roman" w:hAnsi="Times New Roman" w:cs="Times New Roman" w:hint="default"/>
    </w:rPr>
  </w:style>
  <w:style w:type="character" w:customStyle="1" w:styleId="CharChar30">
    <w:name w:val="Char Char3"/>
    <w:locked/>
    <w:rPr>
      <w:noProof w:val="0"/>
      <w:color w:val="000000"/>
      <w:sz w:val="24"/>
      <w:lang w:val="en-GB" w:eastAsia="en-US"/>
    </w:rPr>
  </w:style>
  <w:style w:type="paragraph" w:customStyle="1" w:styleId="listparagraphcxspmiddle">
    <w:name w:val="listparagraphcxspmiddle"/>
    <w:basedOn w:val="Normal"/>
    <w:pPr>
      <w:spacing w:before="100" w:after="100"/>
    </w:pPr>
    <w:rPr>
      <w:color w:val="auto"/>
      <w:lang w:val="en-US"/>
    </w:rPr>
  </w:style>
  <w:style w:type="paragraph" w:customStyle="1" w:styleId="StyleBodyText1After6pt">
    <w:name w:val="Style Body Text1 + After:  6 pt"/>
    <w:basedOn w:val="BodyText10"/>
    <w:rPr>
      <w:szCs w:val="20"/>
    </w:rPr>
  </w:style>
  <w:style w:type="character" w:customStyle="1" w:styleId="DocumentMapChar">
    <w:name w:val="Document Map Char"/>
    <w:semiHidden/>
    <w:rPr>
      <w:rFonts w:ascii="Times New Roman" w:hAnsi="Times New Roman" w:cs="Times New Roman"/>
      <w:color w:val="000000"/>
      <w:sz w:val="0"/>
      <w:szCs w:val="0"/>
    </w:rPr>
  </w:style>
  <w:style w:type="character" w:customStyle="1" w:styleId="SubtitleChar">
    <w:name w:val="Subtitle Char"/>
    <w:uiPriority w:val="11"/>
    <w:rPr>
      <w:rFonts w:ascii="Cambria" w:eastAsia="Times New Roman" w:hAnsi="Cambria" w:cs="Times New Roman"/>
      <w:color w:val="000000"/>
      <w:sz w:val="24"/>
      <w:szCs w:val="24"/>
    </w:rPr>
  </w:style>
  <w:style w:type="character" w:customStyle="1" w:styleId="QuoteChar">
    <w:name w:val="Quote Char"/>
    <w:rPr>
      <w:rFonts w:ascii="Times New Roman" w:hAnsi="Times New Roman"/>
      <w:i/>
      <w:iCs/>
      <w:color w:val="000000"/>
      <w:sz w:val="24"/>
      <w:szCs w:val="24"/>
    </w:rPr>
  </w:style>
  <w:style w:type="character" w:customStyle="1" w:styleId="IntenseQuoteChar">
    <w:name w:val="Intense Quote Char"/>
    <w:rPr>
      <w:rFonts w:ascii="Times New Roman" w:hAnsi="Times New Roman"/>
      <w:b/>
      <w:bCs/>
      <w:i/>
      <w:iCs/>
      <w:color w:val="4F81BD"/>
      <w:sz w:val="24"/>
      <w:szCs w:val="24"/>
    </w:rPr>
  </w:style>
  <w:style w:type="character" w:customStyle="1" w:styleId="A00">
    <w:name w:val="A0"/>
    <w:rPr>
      <w:rFonts w:cs="Arial Unicode MS"/>
      <w:color w:val="000000"/>
      <w:sz w:val="22"/>
      <w:szCs w:val="22"/>
    </w:rPr>
  </w:style>
  <w:style w:type="character" w:customStyle="1" w:styleId="HTMLPreformattedChar">
    <w:name w:val="HTML Preformatted Char"/>
    <w:rPr>
      <w:rFonts w:ascii="Courier New" w:eastAsia="Times New Roman" w:hAnsi="Courier New" w:cs="Times"/>
    </w:rPr>
  </w:style>
  <w:style w:type="character" w:customStyle="1" w:styleId="srch-url21">
    <w:name w:val="srch-url21"/>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Pr>
      <w:rFonts w:ascii="Cambria" w:hAnsi="Cambria" w:cs="Times New Roman"/>
      <w:b/>
      <w:bCs/>
      <w:i/>
      <w:iCs/>
      <w:noProof w:val="0"/>
      <w:sz w:val="28"/>
      <w:szCs w:val="28"/>
      <w:lang w:val="en-AU" w:eastAsia="en-AU"/>
    </w:rPr>
  </w:style>
  <w:style w:type="character" w:customStyle="1" w:styleId="Titre3Car">
    <w:name w:val="Titre 3 Car"/>
    <w:aliases w:val="Heading 3 Char1 Char Car,Heading 3 Char Char Char Car,Char Char Char Char Car,Char Char1 Char Car,Sec Car"/>
    <w:locked/>
    <w:rPr>
      <w:rFonts w:cs="Times New Roman"/>
      <w:b/>
      <w:i/>
      <w:iCs/>
      <w:noProof w:val="0"/>
      <w:color w:val="000000"/>
      <w:sz w:val="24"/>
      <w:szCs w:val="24"/>
      <w:lang w:val="en-GB" w:eastAsia="en-US"/>
    </w:rPr>
  </w:style>
  <w:style w:type="character" w:customStyle="1" w:styleId="Titre4Car">
    <w:name w:val="Titre 4 Car"/>
    <w:aliases w:val="MainPara Car"/>
    <w:locked/>
    <w:rPr>
      <w:rFonts w:cs="Times New Roman"/>
      <w:bCs/>
      <w:i/>
      <w:noProof w:val="0"/>
      <w:sz w:val="28"/>
      <w:szCs w:val="28"/>
      <w:lang w:val="en-AU" w:eastAsia="en-AU"/>
    </w:rPr>
  </w:style>
  <w:style w:type="character" w:customStyle="1" w:styleId="Titre5Car">
    <w:name w:val="Titre 5 Car"/>
    <w:aliases w:val="Subpara 2 Car"/>
    <w:semiHidden/>
    <w:locked/>
    <w:rPr>
      <w:rFonts w:ascii="Calibri" w:hAnsi="Calibri" w:cs="Arial"/>
      <w:b/>
      <w:bCs/>
      <w:i/>
      <w:iCs/>
      <w:noProof w:val="0"/>
      <w:sz w:val="26"/>
      <w:szCs w:val="26"/>
      <w:lang w:val="en-AU" w:eastAsia="en-AU"/>
    </w:rPr>
  </w:style>
  <w:style w:type="character" w:customStyle="1" w:styleId="Titre6Car">
    <w:name w:val="Titre 6 Car"/>
    <w:semiHidden/>
    <w:locked/>
    <w:rPr>
      <w:rFonts w:ascii="Calibri" w:hAnsi="Calibri" w:cs="Arial"/>
      <w:b/>
      <w:bCs/>
      <w:noProof w:val="0"/>
      <w:lang w:val="en-AU" w:eastAsia="en-AU"/>
    </w:rPr>
  </w:style>
  <w:style w:type="character" w:customStyle="1" w:styleId="Titre7Car">
    <w:name w:val="Titre 7 Car"/>
    <w:aliases w:val="Subpara 4 Car"/>
    <w:semiHidden/>
    <w:locked/>
    <w:rPr>
      <w:rFonts w:ascii="Calibri" w:hAnsi="Calibri" w:cs="Arial"/>
      <w:noProof w:val="0"/>
      <w:sz w:val="24"/>
      <w:szCs w:val="24"/>
      <w:lang w:val="en-AU" w:eastAsia="en-AU"/>
    </w:rPr>
  </w:style>
  <w:style w:type="character" w:customStyle="1" w:styleId="Titre8Car">
    <w:name w:val="Titre 8 Car"/>
    <w:aliases w:val="Subpara 5 Car"/>
    <w:semiHidden/>
    <w:locked/>
    <w:rPr>
      <w:rFonts w:ascii="Calibri" w:hAnsi="Calibri" w:cs="Arial"/>
      <w:i/>
      <w:iCs/>
      <w:noProof w:val="0"/>
      <w:sz w:val="24"/>
      <w:szCs w:val="24"/>
      <w:lang w:val="en-AU" w:eastAsia="en-AU"/>
    </w:rPr>
  </w:style>
  <w:style w:type="character" w:customStyle="1" w:styleId="Titre9Car">
    <w:name w:val="Titre 9 Car"/>
    <w:aliases w:val="Subpara 6 Car"/>
    <w:semiHidden/>
    <w:locked/>
    <w:rPr>
      <w:rFonts w:ascii="Cambria" w:hAnsi="Cambria" w:cs="Times New Roman"/>
      <w:noProof w:val="0"/>
      <w:lang w:val="en-AU" w:eastAsia="en-AU"/>
    </w:rPr>
  </w:style>
  <w:style w:type="character" w:customStyle="1" w:styleId="TextedebullesCar">
    <w:name w:val="Texte de bulles Car"/>
    <w:semiHidden/>
    <w:locked/>
    <w:rPr>
      <w:rFonts w:cs="Times New Roman"/>
      <w:noProof w:val="0"/>
      <w:sz w:val="2"/>
      <w:lang w:val="en-AU" w:eastAsia="en-AU"/>
    </w:rPr>
  </w:style>
  <w:style w:type="character" w:customStyle="1" w:styleId="CorpsdetexteCar">
    <w:name w:val="Corps de texte Car"/>
    <w:aliases w:val="Char Char Car,Body Text Char Char Char Char Char Car,Body Text Char Char Char Char Car"/>
    <w:locked/>
    <w:rPr>
      <w:rFonts w:cs="Times New Roman"/>
      <w:noProof w:val="0"/>
      <w:sz w:val="24"/>
      <w:szCs w:val="24"/>
      <w:lang w:val="en-AU" w:eastAsia="en-AU"/>
    </w:rPr>
  </w:style>
  <w:style w:type="paragraph" w:customStyle="1" w:styleId="PrformatHTML">
    <w:name w:val="Préformaté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Pr>
      <w:rFonts w:ascii="Courier New" w:hAnsi="Courier New" w:cs="Chicago"/>
      <w:noProof w:val="0"/>
      <w:sz w:val="20"/>
      <w:szCs w:val="20"/>
      <w:lang w:val="en-AU" w:eastAsia="en-AU"/>
    </w:rPr>
  </w:style>
  <w:style w:type="character" w:customStyle="1" w:styleId="RetraitcorpsdetexteCar">
    <w:name w:val="Retrait corps de texte Car"/>
    <w:semiHidden/>
    <w:locked/>
    <w:rPr>
      <w:rFonts w:cs="Times New Roman"/>
      <w:noProof w:val="0"/>
      <w:sz w:val="24"/>
      <w:szCs w:val="24"/>
      <w:lang w:val="en-AU" w:eastAsia="en-AU"/>
    </w:rPr>
  </w:style>
  <w:style w:type="character" w:customStyle="1" w:styleId="Retraitcorpset1religCar">
    <w:name w:val="Retrait corps et 1re lig. Car"/>
    <w:basedOn w:val="RetraitcorpsdetexteCar"/>
    <w:semiHidden/>
    <w:locked/>
    <w:rPr>
      <w:rFonts w:cs="Times New Roman"/>
      <w:noProof w:val="0"/>
      <w:sz w:val="24"/>
      <w:szCs w:val="24"/>
      <w:lang w:val="en-AU" w:eastAsia="en-AU"/>
    </w:rPr>
  </w:style>
  <w:style w:type="character" w:customStyle="1" w:styleId="CommentaireCar">
    <w:name w:val="Commentaire Car"/>
    <w:locked/>
    <w:rPr>
      <w:rFonts w:eastAsia="Times New Roman"/>
      <w:noProof w:val="0"/>
      <w:lang w:val="en-AU" w:eastAsia="en-AU"/>
    </w:rPr>
  </w:style>
  <w:style w:type="paragraph" w:customStyle="1" w:styleId="Objetducommentaire">
    <w:name w:val="Objet du commentaire"/>
    <w:basedOn w:val="CommentText"/>
    <w:next w:val="CommentText"/>
    <w:semiHidden/>
    <w:pPr>
      <w:widowControl/>
      <w:spacing w:after="0"/>
    </w:pPr>
    <w:rPr>
      <w:rFonts w:ascii="Times New Roman" w:hAnsi="Times New Roman"/>
      <w:b/>
      <w:lang w:val="en-AU"/>
    </w:rPr>
  </w:style>
  <w:style w:type="character" w:customStyle="1" w:styleId="ObjetducommentaireCar">
    <w:name w:val="Objet du commentaire Car"/>
    <w:locked/>
    <w:rPr>
      <w:rFonts w:eastAsia="Times New Roman" w:cs="Times New Roman"/>
      <w:b/>
      <w:noProof w:val="0"/>
      <w:lang w:val="en-AU" w:eastAsia="en-AU"/>
    </w:rPr>
  </w:style>
  <w:style w:type="paragraph" w:customStyle="1" w:styleId="En-ttedetabledesmatires">
    <w:name w:val="En-tête de table des matières"/>
    <w:basedOn w:val="Heading1"/>
    <w:next w:val="Normal"/>
    <w:qFormat/>
    <w:pPr>
      <w:keepLines/>
      <w:spacing w:before="480" w:after="0" w:line="276" w:lineRule="auto"/>
      <w:ind w:left="0" w:firstLine="0"/>
      <w:outlineLvl w:val="9"/>
    </w:pPr>
    <w:rPr>
      <w:rFonts w:ascii="Cambria" w:eastAsia="MS Mincho" w:hAnsi="Cambria"/>
      <w:color w:val="808080"/>
      <w:lang w:val="fr-FR"/>
    </w:rPr>
  </w:style>
  <w:style w:type="paragraph" w:customStyle="1" w:styleId="Paragraphedeliste">
    <w:name w:val="Paragraphe de liste"/>
    <w:basedOn w:val="Normal"/>
    <w:qFormat/>
    <w:pPr>
      <w:spacing w:after="0"/>
    </w:pPr>
    <w:rPr>
      <w:rFonts w:eastAsia="MS Mincho"/>
      <w:color w:val="auto"/>
      <w:sz w:val="24"/>
      <w:lang w:val="en-AU"/>
    </w:rPr>
  </w:style>
  <w:style w:type="character" w:customStyle="1" w:styleId="bold0">
    <w:name w:val="bold"/>
    <w:rPr>
      <w:rFonts w:cs="Times New Roman"/>
    </w:rPr>
  </w:style>
  <w:style w:type="paragraph" w:customStyle="1" w:styleId="first">
    <w:name w:val="first"/>
    <w:basedOn w:val="Normal"/>
    <w:pPr>
      <w:spacing w:before="100" w:after="100"/>
    </w:pPr>
    <w:rPr>
      <w:rFonts w:eastAsia="MS Mincho"/>
      <w:color w:val="auto"/>
      <w:sz w:val="24"/>
      <w:lang w:val="fr-FR"/>
    </w:rPr>
  </w:style>
  <w:style w:type="character" w:customStyle="1" w:styleId="En-tteCar">
    <w:name w:val="En-tête Car"/>
    <w:locked/>
    <w:rPr>
      <w:rFonts w:cs="Times New Roman"/>
      <w:noProof w:val="0"/>
      <w:sz w:val="24"/>
      <w:szCs w:val="24"/>
      <w:lang w:val="en-AU" w:eastAsia="en-AU"/>
    </w:rPr>
  </w:style>
  <w:style w:type="character" w:customStyle="1" w:styleId="PieddepageCar">
    <w:name w:val="Pied de page Car"/>
    <w:locked/>
    <w:rPr>
      <w:rFonts w:cs="Times New Roman"/>
      <w:noProof w:val="0"/>
      <w:sz w:val="24"/>
      <w:szCs w:val="24"/>
      <w:lang w:val="en-AU" w:eastAsia="en-AU"/>
    </w:rPr>
  </w:style>
  <w:style w:type="character" w:customStyle="1" w:styleId="TitreCar">
    <w:name w:val="Titre Car"/>
    <w:locked/>
    <w:rPr>
      <w:rFonts w:ascii="Cambria" w:hAnsi="Cambria" w:cs="Times New Roman"/>
      <w:b/>
      <w:bCs/>
      <w:noProof w:val="0"/>
      <w:kern w:val="28"/>
      <w:sz w:val="32"/>
      <w:szCs w:val="32"/>
      <w:lang w:val="en-AU" w:eastAsia="en-AU"/>
    </w:rPr>
  </w:style>
  <w:style w:type="paragraph" w:customStyle="1" w:styleId="Sansinterligne">
    <w:name w:val="Sans interligne"/>
    <w:qFormat/>
    <w:rPr>
      <w:rFonts w:ascii="Times New Roman" w:eastAsia="MS Mincho" w:hAnsi="Times New Roman"/>
      <w:noProof/>
      <w:sz w:val="24"/>
      <w:lang w:val="nl-NL" w:eastAsia="nl-NL"/>
    </w:rPr>
  </w:style>
  <w:style w:type="character" w:customStyle="1" w:styleId="ExplorateurdedocumentsCar">
    <w:name w:val="Explorateur de documents Car"/>
    <w:semiHidden/>
    <w:locked/>
    <w:rPr>
      <w:rFonts w:ascii="Tahoma" w:hAnsi="Tahoma" w:cs="Times New Roman Bold"/>
      <w:noProof w:val="0"/>
      <w:sz w:val="16"/>
      <w:szCs w:val="16"/>
      <w:lang w:val="en-AU" w:eastAsia="en-AU"/>
    </w:rPr>
  </w:style>
  <w:style w:type="character" w:customStyle="1" w:styleId="hit">
    <w:name w:val="hit"/>
    <w:rPr>
      <w:rFonts w:cs="Times New Roman"/>
    </w:rPr>
  </w:style>
  <w:style w:type="character" w:customStyle="1" w:styleId="NotedebasdepageCar">
    <w:name w:val="Note de bas de page Car"/>
    <w:locked/>
    <w:rPr>
      <w:rFonts w:cs="Times New Roman"/>
      <w:noProof w:val="0"/>
      <w:sz w:val="24"/>
      <w:szCs w:val="24"/>
      <w:lang w:val="en-AU" w:eastAsia="en-AU"/>
    </w:rPr>
  </w:style>
  <w:style w:type="paragraph" w:customStyle="1" w:styleId="Rvision">
    <w:name w:val="Révision"/>
    <w:hidden/>
    <w:semiHidden/>
    <w:rPr>
      <w:rFonts w:ascii="Times New Roman" w:eastAsia="MS Mincho" w:hAnsi="Times New Roman"/>
      <w:sz w:val="24"/>
      <w:lang w:eastAsia="nl-NL"/>
    </w:rPr>
  </w:style>
  <w:style w:type="paragraph" w:customStyle="1" w:styleId="Ref">
    <w:name w:val="Ref"/>
    <w:basedOn w:val="Footnote"/>
    <w:pPr>
      <w:autoSpaceDE w:val="0"/>
      <w:autoSpaceDN w:val="0"/>
      <w:adjustRightInd w:val="0"/>
    </w:pPr>
    <w:rPr>
      <w:rFonts w:ascii="Calibri" w:eastAsia="MS Mincho" w:hAnsi="Calibri"/>
    </w:rPr>
  </w:style>
  <w:style w:type="character" w:customStyle="1" w:styleId="SansinterligneCar">
    <w:name w:val="Sans interligne Car"/>
    <w:rPr>
      <w:sz w:val="24"/>
      <w:szCs w:val="24"/>
      <w:lang w:bidi="ar-SA"/>
    </w:rPr>
  </w:style>
  <w:style w:type="paragraph" w:customStyle="1" w:styleId="Hea">
    <w:name w:val="Hea"/>
    <w:pPr>
      <w:autoSpaceDE w:val="0"/>
      <w:autoSpaceDN w:val="0"/>
    </w:pPr>
    <w:rPr>
      <w:rFonts w:ascii="Times New Roman" w:hAnsi="Times New Roman"/>
      <w:sz w:val="24"/>
      <w:lang w:val="en-US" w:eastAsia="nl-NL"/>
    </w:rPr>
  </w:style>
  <w:style w:type="paragraph" w:customStyle="1" w:styleId="PageImage">
    <w:name w:val="PageImage"/>
    <w:pPr>
      <w:autoSpaceDE w:val="0"/>
      <w:autoSpaceDN w:val="0"/>
      <w:spacing w:before="240"/>
      <w:jc w:val="center"/>
    </w:pPr>
    <w:rPr>
      <w:rFonts w:ascii="Times New Roman" w:hAnsi="Times New Roman"/>
      <w:lang w:eastAsia="nl-NL"/>
    </w:rPr>
  </w:style>
  <w:style w:type="paragraph" w:customStyle="1" w:styleId="Italicindent">
    <w:name w:val="Italic indent"/>
    <w:pPr>
      <w:autoSpaceDE w:val="0"/>
      <w:autoSpaceDN w:val="0"/>
      <w:spacing w:after="200" w:line="276" w:lineRule="auto"/>
      <w:ind w:left="1701" w:right="662"/>
    </w:pPr>
    <w:rPr>
      <w:rFonts w:ascii="Calibri" w:hAnsi="Calibri"/>
      <w:i/>
      <w:color w:val="000000"/>
      <w:lang w:val="en-GB" w:eastAsia="nl-NL"/>
    </w:rPr>
  </w:style>
  <w:style w:type="paragraph" w:customStyle="1" w:styleId="a9">
    <w:name w:val="("/>
    <w:pPr>
      <w:autoSpaceDE w:val="0"/>
      <w:autoSpaceDN w:val="0"/>
      <w:spacing w:after="160" w:line="240" w:lineRule="exact"/>
    </w:pPr>
    <w:rPr>
      <w:rFonts w:ascii="Times New Roman" w:hAnsi="Times New Roman"/>
      <w:lang w:val="en-US" w:eastAsia="nl-NL"/>
    </w:rPr>
  </w:style>
  <w:style w:type="character" w:customStyle="1" w:styleId="style61">
    <w:name w:val="style61"/>
    <w:rPr>
      <w:rFonts w:ascii="Verdana" w:hAnsi="Verdana" w:cs="Arial Narrow"/>
      <w:b/>
      <w:bCs/>
      <w:color w:val="808080"/>
      <w:sz w:val="24"/>
      <w:szCs w:val="24"/>
    </w:rPr>
  </w:style>
  <w:style w:type="paragraph" w:customStyle="1" w:styleId="Rvision1">
    <w:name w:val="Révision1"/>
    <w:hidden/>
    <w:semiHidden/>
    <w:rPr>
      <w:rFonts w:ascii="Times New Roman" w:eastAsia="MS Mincho" w:hAnsi="Times New Roman"/>
      <w:sz w:val="24"/>
      <w:szCs w:val="24"/>
      <w:lang w:val="en-US"/>
    </w:rPr>
  </w:style>
  <w:style w:type="paragraph" w:customStyle="1" w:styleId="Bibliographie1">
    <w:name w:val="Bibliographie1"/>
    <w:basedOn w:val="Normal"/>
    <w:next w:val="Normal"/>
    <w:pPr>
      <w:spacing w:before="120" w:after="120"/>
      <w:ind w:left="1134"/>
      <w:jc w:val="both"/>
    </w:pPr>
    <w:rPr>
      <w:rFonts w:ascii="Calibri" w:eastAsia="SimSun" w:hAnsi="Calibri"/>
      <w:color w:val="auto"/>
      <w:szCs w:val="22"/>
    </w:rPr>
  </w:style>
  <w:style w:type="paragraph" w:customStyle="1" w:styleId="Sansinterligne1">
    <w:name w:val="Sans interligne1"/>
    <w:basedOn w:val="Normal"/>
    <w:locked/>
    <w:pPr>
      <w:spacing w:after="0"/>
    </w:pPr>
    <w:rPr>
      <w:rFonts w:ascii="Arial" w:hAnsi="Arial" w:cs="Century"/>
      <w:color w:val="auto"/>
      <w:szCs w:val="22"/>
      <w:lang w:eastAsia="en-US"/>
    </w:rPr>
  </w:style>
  <w:style w:type="paragraph" w:customStyle="1" w:styleId="Citation1">
    <w:name w:val="Citation1"/>
    <w:basedOn w:val="Normal"/>
    <w:next w:val="Normal"/>
    <w:locked/>
    <w:pPr>
      <w:spacing w:before="200" w:after="0"/>
      <w:ind w:left="360" w:right="360"/>
    </w:pPr>
    <w:rPr>
      <w:i/>
      <w:iCs/>
      <w:sz w:val="24"/>
      <w:szCs w:val="24"/>
      <w:lang w:val="en-US" w:eastAsia="en-US"/>
    </w:rPr>
  </w:style>
  <w:style w:type="paragraph" w:customStyle="1" w:styleId="Citationintense1">
    <w:name w:val="Citation intense1"/>
    <w:basedOn w:val="Normal"/>
    <w:next w:val="Normal"/>
    <w:locked/>
    <w:pPr>
      <w:pBdr>
        <w:bottom w:val="single" w:sz="4" w:space="1" w:color="auto"/>
      </w:pBdr>
      <w:spacing w:before="200" w:after="280"/>
      <w:ind w:left="1008" w:right="1152"/>
      <w:jc w:val="both"/>
    </w:pPr>
    <w:rPr>
      <w:b/>
      <w:bCs/>
      <w:i/>
      <w:iCs/>
      <w:color w:val="4F81BD"/>
      <w:sz w:val="24"/>
      <w:szCs w:val="24"/>
      <w:lang w:val="en-US" w:eastAsia="en-US"/>
    </w:rPr>
  </w:style>
  <w:style w:type="character" w:customStyle="1" w:styleId="Emphaseple1">
    <w:name w:val="Emphase pâle1"/>
    <w:locked/>
    <w:rPr>
      <w:i/>
    </w:rPr>
  </w:style>
  <w:style w:type="character" w:customStyle="1" w:styleId="Emphaseintense1">
    <w:name w:val="Emphase intense1"/>
    <w:locked/>
    <w:rPr>
      <w:b/>
    </w:rPr>
  </w:style>
  <w:style w:type="character" w:customStyle="1" w:styleId="Rfrenceple1">
    <w:name w:val="Référence pâle1"/>
    <w:locked/>
    <w:rPr>
      <w:smallCaps/>
    </w:rPr>
  </w:style>
  <w:style w:type="character" w:customStyle="1" w:styleId="Rfrenceintense1">
    <w:name w:val="Référence intense1"/>
    <w:locked/>
    <w:rPr>
      <w:smallCaps/>
      <w:spacing w:val="5"/>
      <w:u w:val="single"/>
    </w:rPr>
  </w:style>
  <w:style w:type="character" w:customStyle="1" w:styleId="Titredulivre1">
    <w:name w:val="Titre du livre1"/>
    <w:locked/>
    <w:rPr>
      <w:i/>
      <w:smallCaps/>
      <w:spacing w:val="5"/>
    </w:rPr>
  </w:style>
  <w:style w:type="paragraph" w:customStyle="1" w:styleId="En-ttedetabledesmatires1">
    <w:name w:val="En-tête de table des matières1"/>
    <w:basedOn w:val="Heading1"/>
    <w:next w:val="Normal"/>
    <w:locked/>
    <w:pPr>
      <w:keepLines/>
      <w:tabs>
        <w:tab w:val="left" w:pos="851"/>
      </w:tabs>
      <w:spacing w:before="0"/>
      <w:ind w:left="1100" w:hanging="660"/>
      <w:outlineLvl w:val="9"/>
    </w:pPr>
    <w:rPr>
      <w:rFonts w:ascii="Arial" w:hAnsi="Arial"/>
      <w:bCs/>
      <w:color w:val="auto"/>
      <w:sz w:val="32"/>
      <w:szCs w:val="28"/>
      <w:lang w:val="nb-NO" w:eastAsia="en-US"/>
    </w:rPr>
  </w:style>
  <w:style w:type="paragraph" w:customStyle="1" w:styleId="BodyText11">
    <w:name w:val="Body Text11"/>
    <w:basedOn w:val="Normal"/>
    <w:pPr>
      <w:spacing w:after="0"/>
    </w:pPr>
  </w:style>
  <w:style w:type="paragraph" w:customStyle="1" w:styleId="paraindentFootnoteQPS">
    <w:name w:val="para indent Footnote QPS"/>
    <w:basedOn w:val="FootnoteText"/>
    <w:pPr>
      <w:widowControl/>
      <w:spacing w:after="0"/>
      <w:ind w:left="426" w:hanging="284"/>
    </w:pPr>
    <w:rPr>
      <w:rFonts w:ascii="Calibri" w:hAnsi="Calibri"/>
      <w:color w:val="000000"/>
      <w:sz w:val="16"/>
      <w:szCs w:val="18"/>
      <w:lang w:val="en-NZ" w:eastAsia="en-US"/>
    </w:rPr>
  </w:style>
  <w:style w:type="paragraph" w:customStyle="1" w:styleId="Paragraphedeliste1">
    <w:name w:val="Paragraphe de liste1"/>
    <w:basedOn w:val="Normal"/>
    <w:pPr>
      <w:ind w:left="720"/>
      <w:contextualSpacing/>
    </w:pPr>
  </w:style>
  <w:style w:type="paragraph" w:customStyle="1" w:styleId="yiv587168716msonormal">
    <w:name w:val="yiv587168716msonormal"/>
    <w:basedOn w:val="Normal"/>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pPr>
      <w:ind w:left="720"/>
      <w:contextualSpacing/>
    </w:pPr>
  </w:style>
  <w:style w:type="character" w:customStyle="1" w:styleId="st1">
    <w:name w:val="st1"/>
  </w:style>
  <w:style w:type="character" w:customStyle="1" w:styleId="Heading1Char21">
    <w:name w:val="Heading 1 Char21"/>
    <w:aliases w:val="Para (1) Char3,Heading 1 Char1 Char Char11,Heading 1 Char Char Char Char2,Para (1) Char Char Char Char2,Para (1) Char1 Char Char2,Heading 1 Char1 Char11,Heading 1 Char Char Char11,Para (1) Char Char Char11,Para (1) Char1 Char11"/>
    <w:rPr>
      <w:b/>
      <w:bCs/>
      <w:noProof w:val="0"/>
      <w:color w:val="000000"/>
      <w:sz w:val="28"/>
      <w:szCs w:val="28"/>
      <w:lang w:val="en-GB"/>
    </w:rPr>
  </w:style>
  <w:style w:type="character" w:customStyle="1" w:styleId="CharChar8">
    <w:name w:val="Char Char8"/>
    <w:locked/>
    <w:rPr>
      <w:rFonts w:ascii="Times New Roman" w:hAnsi="Times New Roman"/>
      <w:noProof w:val="0"/>
      <w:sz w:val="24"/>
      <w:lang w:eastAsia="ja-JP"/>
    </w:rPr>
  </w:style>
  <w:style w:type="character" w:customStyle="1" w:styleId="CharChar100">
    <w:name w:val="Char Char10"/>
    <w:semiHidden/>
    <w:locked/>
    <w:rPr>
      <w:rFonts w:ascii="Times New Roman" w:hAnsi="Times New Roman"/>
      <w:noProof w:val="0"/>
      <w:color w:val="000000"/>
      <w:sz w:val="20"/>
      <w:lang w:val="en-GB" w:eastAsia="zh-CN"/>
    </w:rPr>
  </w:style>
  <w:style w:type="character" w:styleId="HTMLCite">
    <w:name w:val="HTML Cite"/>
    <w:uiPriority w:val="99"/>
    <w:semiHidden/>
    <w:rPr>
      <w:rFonts w:cs="Times New Roman"/>
      <w:i/>
      <w:iCs/>
    </w:rPr>
  </w:style>
  <w:style w:type="character" w:customStyle="1" w:styleId="st">
    <w:name w:val="st"/>
  </w:style>
  <w:style w:type="paragraph" w:customStyle="1" w:styleId="TitleofManuscript">
    <w:name w:val="Title of Manuscript"/>
    <w:basedOn w:val="Normal"/>
    <w:pPr>
      <w:spacing w:after="0"/>
    </w:pPr>
    <w:rPr>
      <w:b/>
      <w:bCs/>
      <w:spacing w:val="-4"/>
      <w:sz w:val="32"/>
      <w:szCs w:val="32"/>
      <w:lang w:val="en-CA" w:eastAsia="en-CA"/>
    </w:rPr>
  </w:style>
  <w:style w:type="character" w:customStyle="1" w:styleId="author2">
    <w:name w:val="author2"/>
    <w:rPr>
      <w:rFonts w:cs="Times New Roman"/>
    </w:rPr>
  </w:style>
  <w:style w:type="character" w:customStyle="1" w:styleId="al-hide">
    <w:name w:val="al-hide"/>
    <w:rPr>
      <w:rFonts w:cs="Times New Roman"/>
    </w:rPr>
  </w:style>
  <w:style w:type="character" w:customStyle="1" w:styleId="al-vis">
    <w:name w:val="al-vis"/>
    <w:rPr>
      <w:rFonts w:cs="Times New Roman"/>
    </w:rPr>
  </w:style>
  <w:style w:type="character" w:customStyle="1" w:styleId="container2">
    <w:name w:val="container2"/>
    <w:rPr>
      <w:rFonts w:cs="Times New Roman"/>
    </w:rPr>
  </w:style>
  <w:style w:type="character" w:customStyle="1" w:styleId="year">
    <w:name w:val="year"/>
    <w:rPr>
      <w:rFonts w:cs="Times New Roman"/>
    </w:rPr>
  </w:style>
  <w:style w:type="character" w:customStyle="1" w:styleId="Para10">
    <w:name w:val="Para (1) ("/>
    <w:rPr>
      <w:b/>
      <w:bCs/>
      <w:noProof w:val="0"/>
      <w:kern w:val="32"/>
      <w:sz w:val="32"/>
      <w:szCs w:val="32"/>
      <w:lang w:val="en-US"/>
    </w:rPr>
  </w:style>
  <w:style w:type="paragraph" w:customStyle="1" w:styleId="aa">
    <w:name w:val="文字)"/>
    <w:pPr>
      <w:widowControl w:val="0"/>
      <w:autoSpaceDE w:val="0"/>
      <w:autoSpaceDN w:val="0"/>
    </w:pPr>
    <w:rPr>
      <w:rFonts w:ascii="Times New Roman" w:hAnsi="Times New Roman"/>
      <w:b/>
      <w:spacing w:val="-1"/>
      <w:kern w:val="32"/>
      <w:position w:val="-1"/>
      <w:sz w:val="32"/>
      <w:lang w:val="en-US"/>
    </w:rPr>
  </w:style>
  <w:style w:type="character" w:customStyle="1" w:styleId="SubParaa0">
    <w:name w:val="SubPara (a) ("/>
    <w:rPr>
      <w:b/>
      <w:bCs/>
      <w:i/>
      <w:iCs/>
      <w:noProof w:val="0"/>
      <w:kern w:val="2"/>
      <w:sz w:val="28"/>
      <w:szCs w:val="28"/>
      <w:lang w:val="en-US"/>
    </w:rPr>
  </w:style>
  <w:style w:type="character" w:customStyle="1" w:styleId="5">
    <w:name w:val="(5"/>
    <w:rPr>
      <w:b/>
      <w:bCs/>
      <w:noProof w:val="0"/>
      <w:sz w:val="24"/>
      <w:szCs w:val="24"/>
      <w:lang w:val="en-US"/>
    </w:rPr>
  </w:style>
  <w:style w:type="paragraph" w:customStyle="1" w:styleId="ListParagraph11">
    <w:name w:val="List Paragraph11"/>
    <w:basedOn w:val="Normal"/>
    <w:pPr>
      <w:autoSpaceDE w:val="0"/>
      <w:autoSpaceDN w:val="0"/>
      <w:spacing w:before="100" w:after="100"/>
      <w:ind w:left="720" w:right="720"/>
    </w:pPr>
    <w:rPr>
      <w:i/>
      <w:color w:val="auto"/>
      <w:sz w:val="24"/>
    </w:rPr>
  </w:style>
  <w:style w:type="paragraph" w:customStyle="1" w:styleId="4">
    <w:name w:val="(4"/>
    <w:basedOn w:val="Normal"/>
    <w:pPr>
      <w:tabs>
        <w:tab w:val="num" w:pos="2160"/>
      </w:tabs>
      <w:autoSpaceDE w:val="0"/>
      <w:autoSpaceDN w:val="0"/>
      <w:spacing w:before="100" w:after="160" w:line="240" w:lineRule="exact"/>
      <w:ind w:left="2160" w:right="720" w:hanging="360"/>
    </w:pPr>
    <w:rPr>
      <w:i/>
      <w:color w:val="auto"/>
      <w:sz w:val="20"/>
      <w:lang w:val="en-US"/>
    </w:rPr>
  </w:style>
  <w:style w:type="character" w:customStyle="1" w:styleId="BodyTextIndentChar1">
    <w:name w:val="Body Text Indent Char1"/>
    <w:semiHidden/>
    <w:rPr>
      <w:rFonts w:ascii="Times New Roman" w:hAnsi="Times New Roman" w:cs="Times New Roman"/>
      <w:sz w:val="20"/>
      <w:szCs w:val="20"/>
    </w:rPr>
  </w:style>
  <w:style w:type="character" w:customStyle="1" w:styleId="BodyTextFirstIndent2Char">
    <w:name w:val="Body Text First Indent 2 Char"/>
    <w:basedOn w:val="BodyTextIndentChar1"/>
    <w:semiHidden/>
    <w:rPr>
      <w:rFonts w:ascii="Times New Roman" w:hAnsi="Times New Roman" w:cs="Times New Roman"/>
      <w:sz w:val="20"/>
      <w:szCs w:val="20"/>
    </w:rPr>
  </w:style>
  <w:style w:type="character" w:customStyle="1" w:styleId="CarCar50">
    <w:name w:val="Car Car5"/>
    <w:rPr>
      <w:noProof w:val="0"/>
      <w:sz w:val="24"/>
      <w:szCs w:val="24"/>
      <w:u w:val="single"/>
      <w:lang w:val="en-US"/>
    </w:rPr>
  </w:style>
  <w:style w:type="character" w:customStyle="1" w:styleId="CarCar40">
    <w:name w:val="Car Car4"/>
    <w:rPr>
      <w:b/>
      <w:bCs/>
      <w:noProof w:val="0"/>
      <w:kern w:val="32"/>
      <w:sz w:val="24"/>
      <w:szCs w:val="24"/>
      <w:lang w:val="en-US"/>
    </w:rPr>
  </w:style>
  <w:style w:type="character" w:customStyle="1" w:styleId="CarCar30">
    <w:name w:val="Car Car3"/>
    <w:rPr>
      <w:b/>
      <w:bCs/>
      <w:i/>
      <w:iCs/>
      <w:noProof w:val="0"/>
      <w:kern w:val="32"/>
      <w:sz w:val="26"/>
      <w:szCs w:val="26"/>
      <w:lang w:val="it-IT"/>
    </w:rPr>
  </w:style>
  <w:style w:type="character" w:customStyle="1" w:styleId="CarCar6">
    <w:name w:val="Car Car6"/>
    <w:rPr>
      <w:noProof w:val="0"/>
      <w:sz w:val="24"/>
      <w:szCs w:val="24"/>
      <w:lang w:val="fr-FR"/>
    </w:rPr>
  </w:style>
  <w:style w:type="character" w:customStyle="1" w:styleId="ZchnZchn160">
    <w:name w:val="Zchn Zchn16"/>
    <w:rPr>
      <w:rFonts w:ascii="Arial" w:hAnsi="Arial" w:cs="Arial"/>
      <w:b/>
      <w:bCs/>
      <w:noProof w:val="0"/>
      <w:kern w:val="32"/>
      <w:sz w:val="32"/>
      <w:szCs w:val="32"/>
      <w:lang w:val="en-US"/>
    </w:rPr>
  </w:style>
  <w:style w:type="character" w:customStyle="1" w:styleId="ZchnZchn17">
    <w:name w:val="Zchn Zchn1"/>
    <w:rPr>
      <w:rFonts w:ascii="Cambria" w:hAnsi="Cambria" w:cs="MS Mincho"/>
      <w:b/>
      <w:bCs/>
      <w:noProof w:val="0"/>
      <w:kern w:val="28"/>
      <w:sz w:val="32"/>
      <w:szCs w:val="32"/>
      <w:lang w:val="ca-ES"/>
    </w:rPr>
  </w:style>
  <w:style w:type="character" w:customStyle="1" w:styleId="ZchnZchn0">
    <w:name w:val="Zchn Zchn"/>
    <w:rPr>
      <w:rFonts w:ascii="Calibri" w:hAnsi="Calibri" w:cs="Calibri"/>
      <w:noProof w:val="0"/>
      <w:lang w:val="ca-ES"/>
    </w:rPr>
  </w:style>
  <w:style w:type="character" w:customStyle="1" w:styleId="CarCar20">
    <w:name w:val="Car Car2"/>
    <w:rPr>
      <w:noProof w:val="0"/>
      <w:lang w:val="en-US"/>
    </w:rPr>
  </w:style>
  <w:style w:type="character" w:customStyle="1" w:styleId="CarCar10">
    <w:name w:val="Car Car1"/>
    <w:rPr>
      <w:noProof w:val="0"/>
      <w:lang w:val="en-US"/>
    </w:rPr>
  </w:style>
  <w:style w:type="character" w:customStyle="1" w:styleId="ZchnZchn150">
    <w:name w:val="Zchn Zchn15"/>
    <w:rPr>
      <w:rFonts w:ascii="Arial" w:hAnsi="Arial" w:cs="Arial"/>
      <w:b/>
      <w:bCs/>
      <w:i/>
      <w:iCs/>
      <w:noProof w:val="0"/>
      <w:sz w:val="28"/>
      <w:szCs w:val="28"/>
      <w:lang w:val="en-US"/>
    </w:rPr>
  </w:style>
  <w:style w:type="character" w:customStyle="1" w:styleId="ZchnZchn140">
    <w:name w:val="Zchn Zchn14"/>
    <w:rPr>
      <w:rFonts w:ascii="Arial" w:hAnsi="Arial" w:cs="Arial"/>
      <w:b/>
      <w:bCs/>
      <w:noProof w:val="0"/>
      <w:sz w:val="26"/>
      <w:szCs w:val="26"/>
      <w:lang w:val="en-US"/>
    </w:rPr>
  </w:style>
  <w:style w:type="character" w:customStyle="1" w:styleId="ZchnZchn130">
    <w:name w:val="Zchn Zchn13"/>
    <w:rPr>
      <w:rFonts w:ascii="Arial" w:hAnsi="Arial" w:cs="Arial"/>
      <w:b/>
      <w:bCs/>
      <w:noProof w:val="0"/>
      <w:sz w:val="24"/>
      <w:szCs w:val="24"/>
      <w:lang w:val="de-DE"/>
    </w:rPr>
  </w:style>
  <w:style w:type="character" w:customStyle="1" w:styleId="ZchnZchn120">
    <w:name w:val="Zchn Zchn12"/>
    <w:rPr>
      <w:rFonts w:ascii="Arial" w:hAnsi="Arial" w:cs="Arial"/>
      <w:b/>
      <w:bCs/>
      <w:noProof w:val="0"/>
      <w:sz w:val="24"/>
      <w:szCs w:val="24"/>
      <w:lang w:val="de-DE"/>
    </w:rPr>
  </w:style>
  <w:style w:type="character" w:customStyle="1" w:styleId="ZchnZchn110">
    <w:name w:val="Zchn Zchn11"/>
    <w:rPr>
      <w:rFonts w:ascii="Arial" w:hAnsi="Arial" w:cs="Arial"/>
      <w:b/>
      <w:bCs/>
      <w:noProof w:val="0"/>
      <w:lang w:val="de-DE"/>
    </w:rPr>
  </w:style>
  <w:style w:type="character" w:customStyle="1" w:styleId="ZchnZchn100">
    <w:name w:val="Zchn Zchn10"/>
    <w:rPr>
      <w:rFonts w:ascii="Arial" w:hAnsi="Arial" w:cs="Arial"/>
      <w:b/>
      <w:bCs/>
      <w:noProof w:val="0"/>
      <w:sz w:val="28"/>
      <w:szCs w:val="28"/>
      <w:lang w:val="de-DE"/>
    </w:rPr>
  </w:style>
  <w:style w:type="character" w:customStyle="1" w:styleId="ZchnZchn90">
    <w:name w:val="Zchn Zchn9"/>
    <w:rPr>
      <w:rFonts w:ascii="Arial" w:hAnsi="Arial" w:cs="Arial"/>
      <w:b/>
      <w:bCs/>
      <w:noProof w:val="0"/>
      <w:lang w:val="de-DE"/>
    </w:rPr>
  </w:style>
  <w:style w:type="character" w:customStyle="1" w:styleId="ZchnZchn80">
    <w:name w:val="Zchn Zchn8"/>
    <w:rPr>
      <w:rFonts w:ascii="Arial" w:hAnsi="Arial" w:cs="Arial"/>
      <w:noProof w:val="0"/>
      <w:sz w:val="24"/>
      <w:szCs w:val="24"/>
      <w:lang w:val="de-DE"/>
    </w:rPr>
  </w:style>
  <w:style w:type="character" w:customStyle="1" w:styleId="ZchnZchn40">
    <w:name w:val="Zchn Zchn4"/>
    <w:rPr>
      <w:noProof w:val="0"/>
      <w:sz w:val="24"/>
      <w:szCs w:val="24"/>
      <w:lang w:val="en-US"/>
    </w:rPr>
  </w:style>
  <w:style w:type="character" w:customStyle="1" w:styleId="ZchnZchn70">
    <w:name w:val="Zchn Zchn7"/>
    <w:rPr>
      <w:noProof w:val="0"/>
      <w:sz w:val="24"/>
      <w:szCs w:val="24"/>
      <w:lang w:val="en-US"/>
    </w:rPr>
  </w:style>
  <w:style w:type="character" w:customStyle="1" w:styleId="ZchnZchn60">
    <w:name w:val="Zchn Zchn6"/>
    <w:rPr>
      <w:rFonts w:ascii="Courier New" w:hAnsi="Courier New" w:cs="FrutigerLTStd-Light"/>
      <w:noProof w:val="0"/>
      <w:lang w:val="de-DE"/>
    </w:rPr>
  </w:style>
  <w:style w:type="character" w:customStyle="1" w:styleId="ZchnZchn50">
    <w:name w:val="Zchn Zchn5"/>
    <w:rPr>
      <w:rFonts w:ascii="Arial" w:hAnsi="Arial" w:cs="Arial"/>
      <w:noProof w:val="0"/>
      <w:sz w:val="24"/>
      <w:szCs w:val="24"/>
      <w:lang w:val="de-DE"/>
    </w:rPr>
  </w:style>
  <w:style w:type="character" w:customStyle="1" w:styleId="ZchnZchn30">
    <w:name w:val="Zchn Zchn3"/>
    <w:rPr>
      <w:rFonts w:ascii="Arial" w:hAnsi="Arial" w:cs="Arial"/>
      <w:noProof w:val="0"/>
      <w:sz w:val="24"/>
      <w:szCs w:val="24"/>
      <w:lang w:val="de-DE"/>
    </w:rPr>
  </w:style>
  <w:style w:type="character" w:customStyle="1" w:styleId="CharChar21">
    <w:name w:val="Char Char21"/>
    <w:rPr>
      <w:b/>
      <w:bCs/>
      <w:noProof w:val="0"/>
      <w:color w:val="000000"/>
      <w:sz w:val="28"/>
      <w:szCs w:val="28"/>
      <w:lang w:val="en-GB"/>
    </w:rPr>
  </w:style>
  <w:style w:type="character" w:customStyle="1" w:styleId="CharChar11">
    <w:name w:val="Char Char11"/>
    <w:rPr>
      <w:rFonts w:ascii="Arial" w:hAnsi="Arial" w:cs="Arial"/>
      <w:noProof w:val="0"/>
      <w:lang w:val="en-GB"/>
    </w:rPr>
  </w:style>
  <w:style w:type="character" w:customStyle="1" w:styleId="3">
    <w:name w:val="(3"/>
    <w:rPr>
      <w:noProof w:val="0"/>
      <w:sz w:val="24"/>
      <w:szCs w:val="24"/>
      <w:lang w:val="en-US"/>
    </w:rPr>
  </w:style>
  <w:style w:type="character" w:customStyle="1" w:styleId="2">
    <w:name w:val="(2"/>
    <w:rPr>
      <w:b/>
      <w:bCs/>
      <w:noProof w:val="0"/>
      <w:sz w:val="24"/>
      <w:szCs w:val="24"/>
      <w:lang w:val="en-US"/>
    </w:rPr>
  </w:style>
  <w:style w:type="character" w:customStyle="1" w:styleId="CarCar191">
    <w:name w:val="Car Car191"/>
    <w:rPr>
      <w:noProof w:val="0"/>
      <w:color w:val="000000"/>
      <w:sz w:val="24"/>
      <w:szCs w:val="24"/>
      <w:lang w:val="en-GB"/>
    </w:rPr>
  </w:style>
  <w:style w:type="character" w:customStyle="1" w:styleId="CharChar41">
    <w:name w:val="Char Char41"/>
    <w:rPr>
      <w:noProof w:val="0"/>
      <w:sz w:val="24"/>
      <w:szCs w:val="24"/>
      <w:lang w:val="en-US"/>
    </w:rPr>
  </w:style>
  <w:style w:type="character" w:customStyle="1" w:styleId="CharChar31">
    <w:name w:val="Char Char31"/>
    <w:rPr>
      <w:noProof w:val="0"/>
      <w:color w:val="000000"/>
      <w:sz w:val="24"/>
      <w:szCs w:val="24"/>
      <w:lang w:val="en-GB"/>
    </w:rPr>
  </w:style>
  <w:style w:type="paragraph" w:customStyle="1" w:styleId="15">
    <w:name w:val="(1"/>
    <w:pPr>
      <w:autoSpaceDE w:val="0"/>
      <w:autoSpaceDN w:val="0"/>
      <w:spacing w:after="160" w:line="240" w:lineRule="exact"/>
    </w:pPr>
    <w:rPr>
      <w:rFonts w:ascii="Times New Roman" w:hAnsi="Times New Roman"/>
      <w:sz w:val="24"/>
      <w:lang w:val="en-US"/>
    </w:rPr>
  </w:style>
  <w:style w:type="character" w:customStyle="1" w:styleId="scopustermhighlight">
    <w:name w:val="scopustermhighlight"/>
    <w:rPr>
      <w:rFonts w:ascii="Times New Roman" w:hAnsi="Times New Roman" w:cs="Times New Roman"/>
    </w:rPr>
  </w:style>
  <w:style w:type="paragraph" w:customStyle="1" w:styleId="marginb3">
    <w:name w:val="marginb3"/>
    <w:basedOn w:val="Normal"/>
    <w:pPr>
      <w:autoSpaceDE w:val="0"/>
      <w:autoSpaceDN w:val="0"/>
      <w:spacing w:before="100" w:after="100"/>
      <w:jc w:val="both"/>
    </w:pPr>
    <w:rPr>
      <w:color w:val="auto"/>
      <w:sz w:val="24"/>
      <w:lang w:val="fr-FR"/>
    </w:rPr>
  </w:style>
  <w:style w:type="character" w:customStyle="1" w:styleId="region">
    <w:name w:val="region"/>
    <w:rPr>
      <w:rFonts w:ascii="Times New Roman" w:hAnsi="Times New Roman" w:cs="Times New Roman"/>
    </w:rPr>
  </w:style>
  <w:style w:type="character" w:customStyle="1" w:styleId="documenttype">
    <w:name w:val="documenttype"/>
    <w:rPr>
      <w:rFonts w:ascii="Times New Roman" w:hAnsi="Times New Roman" w:cs="Times New Roman"/>
    </w:rPr>
  </w:style>
  <w:style w:type="paragraph" w:customStyle="1" w:styleId="HTOCReport">
    <w:name w:val="HTOC Report"/>
    <w:basedOn w:val="Normal"/>
    <w:pPr>
      <w:spacing w:after="0"/>
    </w:pPr>
    <w:rPr>
      <w:rFonts w:ascii="Times" w:eastAsia="SimSun" w:hAnsi="Times"/>
      <w:color w:val="auto"/>
      <w:lang w:eastAsia="ja-JP"/>
    </w:rPr>
  </w:style>
  <w:style w:type="character" w:customStyle="1" w:styleId="authorname">
    <w:name w:val="authorname"/>
    <w:basedOn w:val="DefaultParagraphFont"/>
  </w:style>
  <w:style w:type="character" w:customStyle="1" w:styleId="nlmx">
    <w:name w:val="nlm_x"/>
    <w:basedOn w:val="DefaultParagraphFont"/>
  </w:style>
  <w:style w:type="paragraph" w:customStyle="1" w:styleId="MediumGrid21">
    <w:name w:val="Medium Grid 21"/>
    <w:qFormat/>
    <w:pPr>
      <w:jc w:val="both"/>
    </w:pPr>
    <w:rPr>
      <w:rFonts w:ascii="Times New Roman" w:eastAsia="MS Mincho" w:hAnsi="Times New Roman"/>
      <w:sz w:val="24"/>
    </w:rPr>
  </w:style>
  <w:style w:type="paragraph" w:styleId="ListParagraph">
    <w:name w:val="List Paragraph"/>
    <w:basedOn w:val="Normal"/>
    <w:uiPriority w:val="34"/>
    <w:qFormat/>
    <w:rsid w:val="00326F62"/>
    <w:pPr>
      <w:widowControl w:val="0"/>
      <w:spacing w:after="0"/>
      <w:ind w:firstLineChars="200" w:firstLine="420"/>
      <w:jc w:val="both"/>
    </w:pPr>
    <w:rPr>
      <w:rFonts w:ascii="Calibri" w:eastAsia="SimSun" w:hAnsi="Calibri"/>
      <w:color w:val="auto"/>
      <w:kern w:val="2"/>
      <w:sz w:val="21"/>
      <w:szCs w:val="22"/>
    </w:rPr>
  </w:style>
  <w:style w:type="character" w:customStyle="1" w:styleId="articletypelabel">
    <w:name w:val="articletypelabel"/>
    <w:basedOn w:val="DefaultParagraphFont"/>
    <w:rsid w:val="00CA5E9C"/>
  </w:style>
  <w:style w:type="paragraph" w:customStyle="1" w:styleId="Refs0">
    <w:name w:val="Refs"/>
    <w:basedOn w:val="BodyText"/>
    <w:rsid w:val="00CA5E9C"/>
    <w:pPr>
      <w:spacing w:before="120" w:after="0" w:line="264" w:lineRule="auto"/>
      <w:ind w:left="567" w:hanging="567"/>
    </w:pPr>
    <w:rPr>
      <w:rFonts w:ascii="Arial" w:eastAsia="Calibri" w:hAnsi="Arial"/>
      <w:color w:val="auto"/>
      <w:sz w:val="20"/>
      <w:lang w:val="en-AU" w:eastAsia="en-NZ"/>
    </w:rPr>
  </w:style>
  <w:style w:type="character" w:customStyle="1" w:styleId="slug-pub-date3">
    <w:name w:val="slug-pub-date3"/>
    <w:basedOn w:val="DefaultParagraphFont"/>
    <w:rsid w:val="00CA5E9C"/>
  </w:style>
  <w:style w:type="character" w:customStyle="1" w:styleId="slug-vol">
    <w:name w:val="slug-vol"/>
    <w:basedOn w:val="DefaultParagraphFont"/>
    <w:rsid w:val="00CA5E9C"/>
  </w:style>
  <w:style w:type="character" w:customStyle="1" w:styleId="slug-issue">
    <w:name w:val="slug-issue"/>
    <w:basedOn w:val="DefaultParagraphFont"/>
    <w:rsid w:val="00CA5E9C"/>
  </w:style>
  <w:style w:type="character" w:customStyle="1" w:styleId="slug-pages3">
    <w:name w:val="slug-pages3"/>
    <w:basedOn w:val="DefaultParagraphFont"/>
    <w:rsid w:val="00CA5E9C"/>
  </w:style>
  <w:style w:type="table" w:styleId="TableGrid">
    <w:name w:val="Table Grid"/>
    <w:basedOn w:val="TableNormal"/>
    <w:uiPriority w:val="39"/>
    <w:rsid w:val="005B1FC8"/>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Char">
    <w:name w:val="Style1 Char"/>
    <w:basedOn w:val="DefaultParagraphFont"/>
    <w:link w:val="Style1"/>
    <w:rsid w:val="005B1FC8"/>
    <w:rPr>
      <w:rFonts w:ascii="Garamond" w:hAnsi="Garamond"/>
      <w:sz w:val="22"/>
      <w:lang w:eastAsia="zh-CN"/>
    </w:rPr>
  </w:style>
  <w:style w:type="character" w:customStyle="1" w:styleId="Style2Char">
    <w:name w:val="Style2 Char"/>
    <w:basedOn w:val="DefaultParagraphFont"/>
    <w:link w:val="Style2"/>
    <w:rsid w:val="005B1FC8"/>
    <w:rPr>
      <w:rFonts w:ascii="Times New Roman" w:hAnsi="Times New Roman"/>
      <w:sz w:val="22"/>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35" w:unhideWhenUsed="0" w:qFormat="1"/>
    <w:lsdException w:name="footnote reference" w:uiPriority="0"/>
    <w:lsdException w:name="line number" w:uiPriority="0"/>
    <w:lsdException w:name="page number" w:uiPriority="0"/>
    <w:lsdException w:name="endnote reference" w:uiPriority="0"/>
    <w:lsdException w:name="List Bullet" w:uiPriority="0"/>
    <w:lsdException w:name="List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autoRedefine/>
    <w:uiPriority w:val="9"/>
    <w:qFormat/>
    <w:rsid w:val="0030141E"/>
    <w:pPr>
      <w:keepNext/>
      <w:spacing w:before="120"/>
      <w:ind w:left="1080" w:hanging="1080"/>
      <w:outlineLvl w:val="0"/>
    </w:pPr>
    <w:rPr>
      <w:b/>
      <w:sz w:val="28"/>
    </w:rPr>
  </w:style>
  <w:style w:type="paragraph" w:styleId="Heading2">
    <w:name w:val="heading 2"/>
    <w:aliases w:val="SubPara (a),Heading 2 Char1 Char,SubPara (a) Char1 Char,Heading 2 Char3 Char Char,Heading 2 Char Char2 Char Char,Heading 2 Char1 Char Char1 Char Char,SubPara (a) Char Char Char1 Char Char,Heading 2 Char Char Char Char1 Char Char,Heading 2 C..."/>
    <w:basedOn w:val="Heading1"/>
    <w:next w:val="Normal"/>
    <w:autoRedefine/>
    <w:uiPriority w:val="9"/>
    <w:qFormat/>
    <w:rsid w:val="002B7818"/>
    <w:pPr>
      <w:widowControl w:val="0"/>
      <w:autoSpaceDE w:val="0"/>
      <w:autoSpaceDN w:val="0"/>
      <w:adjustRightInd w:val="0"/>
      <w:spacing w:before="0" w:after="120"/>
      <w:ind w:left="0" w:right="29" w:firstLine="0"/>
      <w:jc w:val="both"/>
      <w:outlineLvl w:val="1"/>
    </w:pPr>
    <w:rPr>
      <w:rFonts w:ascii="Tahoma" w:eastAsia="MS Mincho" w:hAnsi="Tahoma" w:cs="Tahoma"/>
      <w:snapToGrid w:val="0"/>
      <w:color w:val="auto"/>
      <w:sz w:val="20"/>
      <w:szCs w:val="22"/>
      <w:lang w:val="en-US" w:eastAsia="en-US"/>
    </w:rPr>
  </w:style>
  <w:style w:type="paragraph" w:styleId="Heading3">
    <w:name w:val="heading 3"/>
    <w:aliases w:val="Heading 3 Char1 Char,Heading 3 Char Char Char,Char Char Char Char,Char Char1 Char,Sec"/>
    <w:basedOn w:val="Heading2"/>
    <w:next w:val="Normal"/>
    <w:uiPriority w:val="9"/>
    <w:qFormat/>
    <w:pPr>
      <w:keepLines/>
      <w:tabs>
        <w:tab w:val="left" w:pos="1080"/>
      </w:tabs>
      <w:spacing w:before="120"/>
      <w:outlineLvl w:val="2"/>
    </w:pPr>
    <w:rPr>
      <w:b w:val="0"/>
      <w:i/>
    </w:rPr>
  </w:style>
  <w:style w:type="paragraph" w:styleId="Heading4">
    <w:name w:val="heading 4"/>
    <w:aliases w:val="MainPara"/>
    <w:basedOn w:val="Heading3"/>
    <w:next w:val="Normal"/>
    <w:autoRedefine/>
    <w:qFormat/>
    <w:rsid w:val="001E6351"/>
    <w:pPr>
      <w:keepLines w:val="0"/>
      <w:numPr>
        <w:ilvl w:val="3"/>
        <w:numId w:val="63"/>
      </w:numPr>
      <w:tabs>
        <w:tab w:val="left" w:pos="720"/>
      </w:tabs>
      <w:autoSpaceDE/>
      <w:autoSpaceDN/>
      <w:adjustRightInd/>
      <w:spacing w:before="0" w:after="60" w:line="276" w:lineRule="auto"/>
      <w:ind w:right="0"/>
      <w:outlineLvl w:val="3"/>
    </w:pPr>
    <w:rPr>
      <w:b/>
      <w:i w:val="0"/>
    </w:rPr>
  </w:style>
  <w:style w:type="paragraph" w:styleId="Heading5">
    <w:name w:val="heading 5"/>
    <w:aliases w:val="Subpara 2"/>
    <w:basedOn w:val="Heading1"/>
    <w:next w:val="Normal"/>
    <w:uiPriority w:val="9"/>
    <w:qFormat/>
    <w:pPr>
      <w:widowControl w:val="0"/>
      <w:ind w:left="1008" w:firstLine="0"/>
      <w:outlineLvl w:val="4"/>
    </w:pPr>
    <w:rPr>
      <w:b w:val="0"/>
      <w:i/>
      <w:sz w:val="22"/>
    </w:rPr>
  </w:style>
  <w:style w:type="paragraph" w:styleId="Heading6">
    <w:name w:val="heading 6"/>
    <w:aliases w:val="Subpara 3"/>
    <w:basedOn w:val="Normal"/>
    <w:next w:val="Normal"/>
    <w:uiPriority w:val="9"/>
    <w:qFormat/>
    <w:pPr>
      <w:keepNext/>
      <w:tabs>
        <w:tab w:val="left" w:pos="230"/>
        <w:tab w:val="left" w:pos="1877"/>
      </w:tabs>
      <w:spacing w:before="48"/>
      <w:outlineLvl w:val="5"/>
    </w:pPr>
  </w:style>
  <w:style w:type="paragraph" w:styleId="Heading7">
    <w:name w:val="heading 7"/>
    <w:aliases w:val="Subpara 4"/>
    <w:basedOn w:val="Normal"/>
    <w:next w:val="Normal"/>
    <w:uiPriority w:val="9"/>
    <w:qFormat/>
    <w:pPr>
      <w:keepNext/>
      <w:numPr>
        <w:ilvl w:val="6"/>
        <w:numId w:val="6"/>
      </w:numPr>
      <w:spacing w:before="48"/>
      <w:jc w:val="center"/>
      <w:outlineLvl w:val="6"/>
    </w:pPr>
    <w:rPr>
      <w:b/>
    </w:rPr>
  </w:style>
  <w:style w:type="paragraph" w:styleId="Heading8">
    <w:name w:val="heading 8"/>
    <w:aliases w:val="Subpara 5"/>
    <w:basedOn w:val="Normal"/>
    <w:next w:val="Normal"/>
    <w:uiPriority w:val="9"/>
    <w:qFormat/>
    <w:pPr>
      <w:keepNext/>
      <w:numPr>
        <w:ilvl w:val="7"/>
        <w:numId w:val="6"/>
      </w:numPr>
      <w:tabs>
        <w:tab w:val="left" w:pos="2160"/>
        <w:tab w:val="left" w:pos="2880"/>
        <w:tab w:val="left" w:pos="3600"/>
        <w:tab w:val="left" w:pos="6480"/>
        <w:tab w:val="left" w:pos="7290"/>
        <w:tab w:val="left" w:pos="7920"/>
        <w:tab w:val="left" w:pos="8640"/>
      </w:tabs>
      <w:spacing w:line="240" w:lineRule="exact"/>
      <w:outlineLvl w:val="7"/>
    </w:pPr>
    <w:rPr>
      <w:b/>
    </w:rPr>
  </w:style>
  <w:style w:type="paragraph" w:styleId="Heading9">
    <w:name w:val="heading 9"/>
    <w:aliases w:val="Subpara 6"/>
    <w:basedOn w:val="Normal"/>
    <w:next w:val="Normal"/>
    <w:uiPriority w:val="9"/>
    <w:qFormat/>
    <w:pPr>
      <w:keepNext/>
      <w:numPr>
        <w:ilvl w:val="8"/>
        <w:numId w:val="6"/>
      </w:numPr>
      <w:spacing w:line="240" w:lineRule="atLeas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
    <w:name w:val="Char Char2"/>
    <w:locked/>
    <w:rPr>
      <w:b/>
      <w:noProof w:val="0"/>
      <w:color w:val="000000"/>
      <w:sz w:val="28"/>
      <w:lang w:val="en-GB" w:eastAsia="zh-CN" w:bidi="ar-SA"/>
    </w:rPr>
  </w:style>
  <w:style w:type="character" w:customStyle="1" w:styleId="SubParaaCharChar">
    <w:name w:val="SubPara (a) Char Char"/>
    <w:rPr>
      <w:b/>
      <w:noProof w:val="0"/>
      <w:snapToGrid w:val="0"/>
      <w:color w:val="000000"/>
      <w:sz w:val="24"/>
      <w:szCs w:val="24"/>
      <w:lang w:val="en-GB" w:eastAsia="zh-CN" w:bidi="ar-SA"/>
    </w:rPr>
  </w:style>
  <w:style w:type="paragraph" w:styleId="BodyText">
    <w:name w:val="Body Text"/>
    <w:aliases w:val=" Char Char,Char Char,Body Text Char Char Char Char Char,Body Text Char Char Char Char"/>
    <w:basedOn w:val="Normal"/>
    <w:pPr>
      <w:spacing w:line="240" w:lineRule="atLeast"/>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Header">
    <w:name w:val="header"/>
    <w:aliases w:val="EthylHeader"/>
    <w:basedOn w:val="Normal"/>
    <w:uiPriority w:val="99"/>
    <w:pPr>
      <w:tabs>
        <w:tab w:val="center" w:pos="4320"/>
        <w:tab w:val="right" w:pos="8640"/>
      </w:tabs>
    </w:pPr>
  </w:style>
  <w:style w:type="paragraph" w:customStyle="1" w:styleId="ChapterHeading">
    <w:name w:val="Chapter Heading"/>
    <w:basedOn w:val="Heading1"/>
    <w:pPr>
      <w:keepNext w:val="0"/>
      <w:keepLines/>
      <w:ind w:left="2520" w:hanging="1440"/>
    </w:pPr>
    <w:rPr>
      <w:sz w:val="32"/>
    </w:rPr>
  </w:style>
  <w:style w:type="paragraph" w:customStyle="1" w:styleId="Bullet">
    <w:name w:val="Bullet"/>
    <w:basedOn w:val="Normal"/>
    <w:pPr>
      <w:numPr>
        <w:numId w:val="1"/>
      </w:numPr>
      <w:tabs>
        <w:tab w:val="left" w:pos="1531"/>
      </w:tabs>
      <w:spacing w:before="60" w:after="60"/>
    </w:pPr>
  </w:style>
  <w:style w:type="character" w:styleId="FootnoteReference">
    <w:name w:val="footnote reference"/>
    <w:aliases w:val="Footnote text,16 Point,Superscript 6 Point,number,Footnote reference number,Footnote symbol,note TESI,-E Fußnotenzeichen,SUPERS,stylish,ftref,Footnote Reference Superscript,-E Fuﬂnotenzeichen,-E Fuûnotenzeichen"/>
    <w:semiHidden/>
    <w:rPr>
      <w:vertAlign w:val="superscript"/>
    </w:rPr>
  </w:style>
  <w:style w:type="paragraph" w:styleId="ListBullet">
    <w:name w:val="List Bullet"/>
    <w:basedOn w:val="Normal"/>
    <w:pPr>
      <w:widowControl w:val="0"/>
      <w:ind w:left="425" w:hanging="425"/>
    </w:pPr>
    <w:rPr>
      <w:color w:val="auto"/>
    </w:rPr>
  </w:style>
  <w:style w:type="paragraph" w:styleId="ListNumber">
    <w:name w:val="List Number"/>
    <w:basedOn w:val="Normal"/>
    <w:pPr>
      <w:widowControl w:val="0"/>
      <w:spacing w:before="120"/>
      <w:ind w:left="1512" w:hanging="432"/>
    </w:pPr>
    <w:rPr>
      <w:color w:val="auto"/>
    </w:rPr>
  </w:style>
  <w:style w:type="paragraph" w:styleId="FootnoteText">
    <w:name w:val="footnote text"/>
    <w:aliases w:val="Geneva 9,Font: Geneva 9,Boston 10,f,Fußnotentextf,-E Fußnotentext,Fußnotentext Ursprung,-E Fußnotentext1,-E Fußnotentext2,-E Fußnotentext3,Fußnotentext Char1,Fußnotentext Char Char,Fußnotentext Char1 Char Char"/>
    <w:basedOn w:val="Normal"/>
    <w:pPr>
      <w:widowControl w:val="0"/>
    </w:pPr>
    <w:rPr>
      <w:color w:val="auto"/>
      <w:sz w:val="20"/>
    </w:rPr>
  </w:style>
  <w:style w:type="paragraph" w:styleId="BodyTextIndent">
    <w:name w:val="Body Text Indent"/>
    <w:basedOn w:val="Normal"/>
    <w:pPr>
      <w:spacing w:line="240" w:lineRule="atLeast"/>
      <w:ind w:left="2127" w:hanging="993"/>
    </w:pPr>
  </w:style>
  <w:style w:type="character" w:styleId="LineNumber">
    <w:name w:val="line number"/>
    <w:basedOn w:val="DefaultParagraphFont"/>
  </w:style>
  <w:style w:type="paragraph" w:customStyle="1" w:styleId="SummaryShading">
    <w:name w:val="Summary Shading"/>
    <w:basedOn w:val="Normal"/>
    <w:pPr>
      <w:shd w:val="pct5" w:color="808080" w:fill="auto"/>
      <w:spacing w:before="120" w:after="120"/>
      <w:jc w:val="both"/>
    </w:pPr>
    <w:rPr>
      <w:rFonts w:ascii="Garamond" w:hAnsi="Garamond"/>
      <w:color w:val="auto"/>
    </w:rPr>
  </w:style>
  <w:style w:type="paragraph" w:customStyle="1" w:styleId="MainText">
    <w:name w:val="Main Text"/>
    <w:pPr>
      <w:widowControl w:val="0"/>
      <w:spacing w:line="240" w:lineRule="exact"/>
      <w:ind w:left="567" w:hanging="567"/>
    </w:pPr>
    <w:rPr>
      <w:color w:val="000000"/>
      <w:lang w:val="en-US" w:eastAsia="zh-CN"/>
    </w:rPr>
  </w:style>
  <w:style w:type="paragraph" w:customStyle="1" w:styleId="Paragraph">
    <w:name w:val="Paragraph"/>
    <w:basedOn w:val="Normal"/>
    <w:pPr>
      <w:spacing w:before="120" w:after="120"/>
      <w:jc w:val="both"/>
    </w:pPr>
    <w:rPr>
      <w:rFonts w:ascii="Garamond" w:hAnsi="Garamond"/>
      <w:lang w:val="de-DE"/>
    </w:rPr>
  </w:style>
  <w:style w:type="paragraph" w:customStyle="1" w:styleId="DotPoints">
    <w:name w:val="Dot Points"/>
    <w:basedOn w:val="Normal"/>
    <w:pPr>
      <w:spacing w:after="60"/>
      <w:ind w:left="709" w:right="284" w:hanging="284"/>
      <w:jc w:val="both"/>
    </w:pPr>
    <w:rPr>
      <w:rFonts w:ascii="Garamond" w:hAnsi="Garamond"/>
      <w:color w:val="auto"/>
    </w:rPr>
  </w:style>
  <w:style w:type="paragraph" w:customStyle="1" w:styleId="Style1">
    <w:name w:val="Style1"/>
    <w:basedOn w:val="Normal"/>
    <w:link w:val="Style1Char"/>
    <w:qFormat/>
    <w:pPr>
      <w:spacing w:before="120" w:after="120" w:line="360" w:lineRule="auto"/>
    </w:pPr>
    <w:rPr>
      <w:rFonts w:ascii="Garamond" w:hAnsi="Garamond"/>
      <w:color w:val="auto"/>
      <w:lang w:val="en-AU"/>
    </w:rPr>
  </w:style>
  <w:style w:type="paragraph" w:customStyle="1" w:styleId="TableColumnHeading">
    <w:name w:val="Table Column Heading"/>
    <w:basedOn w:val="Normal"/>
    <w:pPr>
      <w:spacing w:before="80" w:after="120"/>
      <w:jc w:val="center"/>
    </w:pPr>
    <w:rPr>
      <w:rFonts w:ascii="Arial Narrow" w:hAnsi="Arial Narrow"/>
      <w:b/>
      <w:color w:val="auto"/>
      <w:sz w:val="20"/>
    </w:rPr>
  </w:style>
  <w:style w:type="paragraph" w:customStyle="1" w:styleId="TableDetails">
    <w:name w:val="Table Details"/>
    <w:basedOn w:val="Normal"/>
    <w:pPr>
      <w:spacing w:before="60" w:after="60"/>
      <w:ind w:left="113" w:right="113"/>
      <w:jc w:val="both"/>
    </w:pPr>
    <w:rPr>
      <w:rFonts w:ascii="Arial Narrow" w:hAnsi="Arial Narrow"/>
      <w:color w:val="auto"/>
      <w:sz w:val="20"/>
    </w:rPr>
  </w:style>
  <w:style w:type="paragraph" w:customStyle="1" w:styleId="TableHeading">
    <w:name w:val="Table Heading"/>
    <w:basedOn w:val="Normal"/>
    <w:pPr>
      <w:spacing w:before="120" w:after="120"/>
      <w:ind w:left="1134" w:hanging="1134"/>
      <w:jc w:val="both"/>
    </w:pPr>
    <w:rPr>
      <w:rFonts w:ascii="Arial" w:hAnsi="Arial"/>
      <w:b/>
      <w:color w:val="auto"/>
      <w:sz w:val="20"/>
    </w:rPr>
  </w:style>
  <w:style w:type="paragraph" w:customStyle="1" w:styleId="References">
    <w:name w:val="References"/>
    <w:basedOn w:val="Normal"/>
    <w:pPr>
      <w:keepLines/>
      <w:spacing w:before="60" w:after="60"/>
      <w:ind w:left="1134" w:hanging="1134"/>
      <w:jc w:val="both"/>
    </w:pPr>
    <w:rPr>
      <w:rFonts w:ascii="Garamond" w:hAnsi="Garamond"/>
      <w:color w:val="auto"/>
      <w:sz w:val="20"/>
    </w:rPr>
  </w:style>
  <w:style w:type="character" w:styleId="Hyperlink">
    <w:name w:val="Hyperlink"/>
    <w:uiPriority w:val="99"/>
    <w:rPr>
      <w:color w:val="0000FF"/>
      <w:u w:val="single"/>
    </w:rPr>
  </w:style>
  <w:style w:type="paragraph" w:styleId="Caption">
    <w:name w:val="caption"/>
    <w:basedOn w:val="Normal"/>
    <w:next w:val="Normal"/>
    <w:uiPriority w:val="35"/>
    <w:qFormat/>
    <w:pPr>
      <w:spacing w:line="240" w:lineRule="atLeast"/>
      <w:ind w:left="1077"/>
    </w:pPr>
    <w:rPr>
      <w:i/>
    </w:rPr>
  </w:style>
  <w:style w:type="character" w:styleId="CommentReference">
    <w:name w:val="annotation reference"/>
    <w:uiPriority w:val="99"/>
    <w:semiHidden/>
    <w:rPr>
      <w:sz w:val="16"/>
    </w:rPr>
  </w:style>
  <w:style w:type="paragraph" w:styleId="CommentText">
    <w:name w:val="annotation text"/>
    <w:basedOn w:val="Normal"/>
    <w:uiPriority w:val="99"/>
    <w:semiHidden/>
    <w:pPr>
      <w:widowControl w:val="0"/>
    </w:pPr>
    <w:rPr>
      <w:rFonts w:ascii="Arial" w:hAnsi="Arial"/>
      <w:color w:val="auto"/>
      <w:sz w:val="20"/>
    </w:rPr>
  </w:style>
  <w:style w:type="character" w:customStyle="1" w:styleId="CharChar1">
    <w:name w:val="Char Char1"/>
    <w:rPr>
      <w:rFonts w:ascii="Arial" w:hAnsi="Arial"/>
      <w:noProof w:val="0"/>
      <w:lang w:val="en-GB" w:eastAsia="zh-CN" w:bidi="ar-SA"/>
    </w:rPr>
  </w:style>
  <w:style w:type="paragraph" w:styleId="TOC1">
    <w:name w:val="toc 1"/>
    <w:basedOn w:val="Normal"/>
    <w:next w:val="Normal"/>
    <w:autoRedefine/>
    <w:uiPriority w:val="39"/>
    <w:qFormat/>
    <w:pPr>
      <w:keepNext/>
      <w:keepLines/>
      <w:tabs>
        <w:tab w:val="left" w:pos="1134"/>
        <w:tab w:val="right" w:leader="dot" w:pos="8640"/>
      </w:tabs>
      <w:spacing w:before="120" w:after="120"/>
      <w:ind w:left="1134" w:hanging="1134"/>
    </w:pPr>
    <w:rPr>
      <w:rFonts w:ascii="Times New Roman Bold" w:hAnsi="Times New Roman Bold"/>
      <w:b/>
      <w:caps/>
      <w:noProof/>
      <w:sz w:val="20"/>
    </w:rPr>
  </w:style>
  <w:style w:type="paragraph" w:styleId="TOC2">
    <w:name w:val="toc 2"/>
    <w:basedOn w:val="Normal"/>
    <w:next w:val="Normal"/>
    <w:autoRedefine/>
    <w:uiPriority w:val="39"/>
    <w:qFormat/>
    <w:rsid w:val="00F12A62"/>
    <w:pPr>
      <w:tabs>
        <w:tab w:val="left" w:pos="1134"/>
        <w:tab w:val="right" w:leader="dot" w:pos="8640"/>
      </w:tabs>
      <w:spacing w:before="20" w:after="20"/>
      <w:ind w:left="1145" w:right="720" w:hanging="907"/>
      <w:jc w:val="center"/>
    </w:pPr>
    <w:rPr>
      <w:smallCaps/>
      <w:noProof/>
      <w:sz w:val="20"/>
    </w:rPr>
  </w:style>
  <w:style w:type="paragraph" w:styleId="TOC3">
    <w:name w:val="toc 3"/>
    <w:basedOn w:val="Normal"/>
    <w:next w:val="Normal"/>
    <w:autoRedefine/>
    <w:uiPriority w:val="39"/>
    <w:qFormat/>
    <w:pPr>
      <w:tabs>
        <w:tab w:val="left" w:pos="1134"/>
        <w:tab w:val="right" w:leader="dot" w:pos="8640"/>
      </w:tabs>
      <w:spacing w:after="0"/>
      <w:ind w:left="1134" w:right="737" w:hanging="680"/>
    </w:pPr>
    <w:rPr>
      <w:i/>
      <w:noProof/>
      <w:sz w:val="20"/>
    </w:rPr>
  </w:style>
  <w:style w:type="paragraph" w:styleId="TOC4">
    <w:name w:val="toc 4"/>
    <w:basedOn w:val="Normal"/>
    <w:next w:val="Normal"/>
    <w:autoRedefine/>
    <w:uiPriority w:val="39"/>
    <w:pPr>
      <w:tabs>
        <w:tab w:val="left" w:pos="1440"/>
        <w:tab w:val="right" w:leader="dot" w:pos="8640"/>
      </w:tabs>
      <w:spacing w:after="0"/>
      <w:ind w:left="1440" w:right="722" w:hanging="720"/>
    </w:pPr>
    <w:rPr>
      <w:noProof/>
      <w:sz w:val="18"/>
    </w:rPr>
  </w:style>
  <w:style w:type="paragraph" w:styleId="TOC5">
    <w:name w:val="toc 5"/>
    <w:basedOn w:val="Normal"/>
    <w:next w:val="Normal"/>
    <w:autoRedefine/>
    <w:semiHidden/>
    <w:pPr>
      <w:spacing w:after="0"/>
      <w:ind w:left="960"/>
    </w:pPr>
    <w:rPr>
      <w:sz w:val="18"/>
    </w:rPr>
  </w:style>
  <w:style w:type="paragraph" w:styleId="TOC6">
    <w:name w:val="toc 6"/>
    <w:basedOn w:val="Normal"/>
    <w:next w:val="Normal"/>
    <w:autoRedefine/>
    <w:semiHidden/>
    <w:pPr>
      <w:spacing w:after="0"/>
      <w:ind w:left="1200"/>
    </w:pPr>
    <w:rPr>
      <w:sz w:val="18"/>
    </w:rPr>
  </w:style>
  <w:style w:type="paragraph" w:styleId="TOC7">
    <w:name w:val="toc 7"/>
    <w:basedOn w:val="Normal"/>
    <w:next w:val="Normal"/>
    <w:autoRedefine/>
    <w:semiHidden/>
    <w:pPr>
      <w:spacing w:after="0"/>
      <w:ind w:left="1440"/>
    </w:pPr>
    <w:rPr>
      <w:sz w:val="18"/>
    </w:rPr>
  </w:style>
  <w:style w:type="paragraph" w:styleId="TOC8">
    <w:name w:val="toc 8"/>
    <w:basedOn w:val="Normal"/>
    <w:next w:val="Normal"/>
    <w:autoRedefine/>
    <w:semiHidden/>
    <w:pPr>
      <w:spacing w:after="0"/>
      <w:ind w:left="1680"/>
    </w:pPr>
    <w:rPr>
      <w:sz w:val="18"/>
    </w:rPr>
  </w:style>
  <w:style w:type="paragraph" w:styleId="TOC9">
    <w:name w:val="toc 9"/>
    <w:basedOn w:val="Normal"/>
    <w:next w:val="Normal"/>
    <w:autoRedefine/>
    <w:semiHidden/>
    <w:pPr>
      <w:spacing w:after="0"/>
      <w:ind w:left="1920"/>
    </w:pPr>
    <w:rPr>
      <w:sz w:val="18"/>
    </w:rPr>
  </w:style>
  <w:style w:type="paragraph" w:customStyle="1" w:styleId="Table-Labels">
    <w:name w:val="Table-Labels"/>
    <w:basedOn w:val="Normal"/>
    <w:next w:val="Normal"/>
    <w:pPr>
      <w:keepNext/>
      <w:keepLines/>
      <w:spacing w:after="60"/>
      <w:ind w:left="2160" w:hanging="1080"/>
    </w:pPr>
    <w:rPr>
      <w:i/>
    </w:rPr>
  </w:style>
  <w:style w:type="paragraph" w:styleId="DocumentMap">
    <w:name w:val="Document Map"/>
    <w:basedOn w:val="Normal"/>
    <w:semiHidden/>
    <w:pPr>
      <w:shd w:val="clear" w:color="auto" w:fill="000080"/>
    </w:pPr>
    <w:rPr>
      <w:rFonts w:ascii="Tahoma" w:hAnsi="Tahoma"/>
    </w:rPr>
  </w:style>
  <w:style w:type="paragraph" w:customStyle="1" w:styleId="Table">
    <w:name w:val="Table"/>
    <w:basedOn w:val="Normal"/>
    <w:pPr>
      <w:keepLines/>
      <w:spacing w:after="0"/>
      <w:ind w:left="72" w:right="72"/>
    </w:pPr>
    <w:rPr>
      <w:snapToGrid w:val="0"/>
      <w:sz w:val="20"/>
    </w:rPr>
  </w:style>
  <w:style w:type="paragraph" w:customStyle="1" w:styleId="Tabel">
    <w:name w:val="Tabel"/>
    <w:basedOn w:val="Normal"/>
    <w:pPr>
      <w:spacing w:after="120"/>
    </w:pPr>
  </w:style>
  <w:style w:type="paragraph" w:styleId="BlockText">
    <w:name w:val="Block Text"/>
    <w:basedOn w:val="Normal"/>
    <w:pPr>
      <w:spacing w:before="120" w:after="120"/>
      <w:ind w:left="450" w:right="566"/>
      <w:jc w:val="both"/>
    </w:pPr>
    <w:rPr>
      <w:rFonts w:ascii="Garamond" w:hAnsi="Garamond"/>
      <w:i/>
      <w:color w:val="auto"/>
    </w:rPr>
  </w:style>
  <w:style w:type="paragraph" w:customStyle="1" w:styleId="Document">
    <w:name w:val="Document"/>
    <w:basedOn w:val="Normal"/>
    <w:pPr>
      <w:spacing w:after="0"/>
      <w:jc w:val="center"/>
    </w:pPr>
    <w:rPr>
      <w:rFonts w:ascii="CG Times" w:hAnsi="CG Times"/>
    </w:rPr>
  </w:style>
  <w:style w:type="paragraph" w:customStyle="1" w:styleId="Bibliogrphy">
    <w:name w:val="Bibliogrphy"/>
    <w:basedOn w:val="Normal"/>
    <w:pPr>
      <w:spacing w:after="0"/>
      <w:ind w:left="720" w:firstLine="720"/>
    </w:pPr>
    <w:rPr>
      <w:rFonts w:ascii="CG Times" w:hAnsi="CG Times"/>
    </w:rPr>
  </w:style>
  <w:style w:type="paragraph" w:customStyle="1" w:styleId="TechInit">
    <w:name w:val="Tech Init"/>
    <w:basedOn w:val="Normal"/>
    <w:pPr>
      <w:spacing w:after="0"/>
    </w:pPr>
    <w:rPr>
      <w:rFonts w:ascii="CG Times" w:hAnsi="CG Times"/>
    </w:rPr>
  </w:style>
  <w:style w:type="paragraph" w:customStyle="1" w:styleId="Technical">
    <w:name w:val="Technical"/>
    <w:basedOn w:val="Normal"/>
    <w:pPr>
      <w:spacing w:after="0"/>
    </w:pPr>
    <w:rPr>
      <w:rFonts w:ascii="CG Times" w:hAnsi="CG Times"/>
    </w:rPr>
  </w:style>
  <w:style w:type="paragraph" w:customStyle="1" w:styleId="Pleading">
    <w:name w:val="Pleading"/>
    <w:basedOn w:val="Normal"/>
    <w:pPr>
      <w:tabs>
        <w:tab w:val="right" w:pos="288"/>
      </w:tabs>
      <w:spacing w:after="0"/>
    </w:pPr>
    <w:rPr>
      <w:rFonts w:ascii="CG Times" w:hAnsi="CG Times"/>
    </w:rPr>
  </w:style>
  <w:style w:type="paragraph" w:customStyle="1" w:styleId="BulletList">
    <w:name w:val="Bullet List"/>
    <w:basedOn w:val="Normal"/>
    <w:pPr>
      <w:spacing w:after="0"/>
      <w:ind w:left="720"/>
    </w:pPr>
    <w:rPr>
      <w:rFonts w:ascii="Roman" w:hAnsi="Roman"/>
      <w:color w:val="auto"/>
      <w:lang w:val="it-IT"/>
    </w:rPr>
  </w:style>
  <w:style w:type="character" w:styleId="FollowedHyperlink">
    <w:name w:val="FollowedHyperlink"/>
    <w:uiPriority w:val="99"/>
    <w:rPr>
      <w:color w:val="800080"/>
      <w:u w:val="single"/>
    </w:rPr>
  </w:style>
  <w:style w:type="paragraph" w:styleId="Title">
    <w:name w:val="Title"/>
    <w:basedOn w:val="Normal"/>
    <w:qFormat/>
    <w:pPr>
      <w:spacing w:line="240" w:lineRule="atLeast"/>
      <w:jc w:val="center"/>
    </w:pPr>
    <w:rPr>
      <w:b/>
      <w:sz w:val="32"/>
    </w:rPr>
  </w:style>
  <w:style w:type="paragraph" w:customStyle="1" w:styleId="Outline">
    <w:name w:val="Outline"/>
    <w:basedOn w:val="Normal"/>
    <w:pPr>
      <w:spacing w:before="240" w:after="0"/>
    </w:pPr>
    <w:rPr>
      <w:rFonts w:eastAsia="SimSun"/>
      <w:color w:val="auto"/>
      <w:kern w:val="28"/>
    </w:rPr>
  </w:style>
  <w:style w:type="paragraph" w:customStyle="1" w:styleId="Body">
    <w:name w:val="Body"/>
    <w:pPr>
      <w:widowControl w:val="0"/>
    </w:pPr>
    <w:rPr>
      <w:rFonts w:ascii="Times New Roman" w:hAnsi="Times New Roman"/>
      <w:sz w:val="24"/>
      <w:lang w:val="en-GB" w:eastAsia="zh-CN"/>
    </w:rPr>
  </w:style>
  <w:style w:type="character" w:styleId="EndnoteReference">
    <w:name w:val="endnote reference"/>
    <w:semiHidden/>
    <w:rPr>
      <w:vertAlign w:val="superscript"/>
    </w:rPr>
  </w:style>
  <w:style w:type="paragraph" w:customStyle="1" w:styleId="DefaultText">
    <w:name w:val="Default Text"/>
    <w:basedOn w:val="Normal"/>
    <w:pPr>
      <w:autoSpaceDE w:val="0"/>
      <w:autoSpaceDN w:val="0"/>
      <w:adjustRightInd w:val="0"/>
      <w:spacing w:after="0"/>
    </w:pPr>
    <w:rPr>
      <w:color w:val="auto"/>
    </w:rPr>
  </w:style>
  <w:style w:type="paragraph" w:customStyle="1" w:styleId="MSNormal">
    <w:name w:val="MSNormal"/>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 Char,Char"/>
    <w:basedOn w:val="Normal"/>
    <w:uiPriority w:val="99"/>
    <w:pPr>
      <w:spacing w:after="0"/>
    </w:pPr>
    <w:rPr>
      <w:rFonts w:ascii="Courier" w:eastAsia="Times" w:hAnsi="Courier"/>
      <w:color w:val="auto"/>
    </w:rPr>
  </w:style>
  <w:style w:type="paragraph" w:customStyle="1" w:styleId="Reference">
    <w:name w:val="Reference"/>
    <w:basedOn w:val="Normal"/>
    <w:pPr>
      <w:spacing w:after="60"/>
      <w:ind w:left="284"/>
    </w:pPr>
    <w:rPr>
      <w:color w:val="auto"/>
    </w:rPr>
  </w:style>
  <w:style w:type="paragraph" w:customStyle="1" w:styleId="Figures">
    <w:name w:val="Figures"/>
    <w:basedOn w:val="Normal"/>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pPr>
      <w:widowControl w:val="0"/>
      <w:spacing w:after="0"/>
      <w:ind w:firstLine="720"/>
      <w:jc w:val="both"/>
    </w:pPr>
    <w:rPr>
      <w:snapToGrid w:val="0"/>
      <w:color w:val="auto"/>
    </w:rPr>
  </w:style>
  <w:style w:type="paragraph" w:styleId="BodyTextIndent3">
    <w:name w:val="Body Text Indent 3"/>
    <w:basedOn w:val="Normal"/>
    <w:pPr>
      <w:widowControl w:val="0"/>
      <w:spacing w:after="0"/>
      <w:ind w:firstLine="720"/>
      <w:jc w:val="both"/>
    </w:pPr>
    <w:rPr>
      <w:snapToGrid w:val="0"/>
      <w:color w:val="FF0000"/>
    </w:rPr>
  </w:style>
  <w:style w:type="paragraph" w:styleId="BodyText2">
    <w:name w:val="Body Text 2"/>
    <w:basedOn w:val="Normal"/>
    <w:pPr>
      <w:spacing w:after="0"/>
      <w:jc w:val="center"/>
    </w:pPr>
    <w:rPr>
      <w:color w:val="auto"/>
      <w:sz w:val="48"/>
    </w:rPr>
  </w:style>
  <w:style w:type="paragraph" w:styleId="BodyText3">
    <w:name w:val="Body Text 3"/>
    <w:basedOn w:val="Normal"/>
    <w:pPr>
      <w:spacing w:after="0"/>
      <w:jc w:val="center"/>
    </w:pPr>
    <w:rPr>
      <w:color w:val="auto"/>
      <w:sz w:val="36"/>
    </w:rPr>
  </w:style>
  <w:style w:type="paragraph" w:customStyle="1" w:styleId="DefinitionL">
    <w:name w:val="Definition 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napToGrid w:val="0"/>
      <w:sz w:val="24"/>
      <w:lang w:val="en-US" w:eastAsia="zh-CN"/>
    </w:rPr>
  </w:style>
  <w:style w:type="paragraph" w:customStyle="1" w:styleId="Tableheading0">
    <w:name w:val="Table heading"/>
    <w:basedOn w:val="Normal"/>
    <w:pPr>
      <w:keepNext/>
      <w:spacing w:before="120"/>
      <w:ind w:left="1984" w:hanging="907"/>
    </w:pPr>
    <w:rPr>
      <w:i/>
      <w:color w:val="auto"/>
    </w:rPr>
  </w:style>
  <w:style w:type="paragraph" w:customStyle="1" w:styleId="Figure">
    <w:name w:val="Figure"/>
    <w:basedOn w:val="Normal"/>
    <w:pPr>
      <w:widowControl w:val="0"/>
      <w:spacing w:line="-240" w:lineRule="auto"/>
      <w:ind w:left="1077"/>
    </w:pPr>
    <w:rPr>
      <w:rFonts w:ascii="Arial" w:hAnsi="Arial"/>
      <w:b/>
      <w:color w:val="auto"/>
    </w:rPr>
  </w:style>
  <w:style w:type="paragraph" w:styleId="Index1">
    <w:name w:val="index 1"/>
    <w:basedOn w:val="Normal"/>
    <w:next w:val="Normal"/>
    <w:autoRedefine/>
    <w:semiHidden/>
    <w:pPr>
      <w:ind w:left="240" w:hanging="240"/>
    </w:pPr>
    <w:rPr>
      <w:color w:val="auto"/>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qFormat/>
    <w:rPr>
      <w:b/>
    </w:rPr>
  </w:style>
  <w:style w:type="paragraph" w:styleId="BalloonText">
    <w:name w:val="Balloon Text"/>
    <w:basedOn w:val="Normal"/>
    <w:uiPriority w:val="99"/>
    <w:rPr>
      <w:rFonts w:ascii="Tahoma" w:eastAsia="SimSun" w:hAnsi="Tahoma"/>
      <w:sz w:val="16"/>
    </w:rPr>
  </w:style>
  <w:style w:type="paragraph" w:styleId="NormalWeb">
    <w:name w:val="Normal (Web)"/>
    <w:basedOn w:val="Normal"/>
    <w:uiPriority w:val="99"/>
    <w:pPr>
      <w:spacing w:before="100" w:after="100"/>
    </w:pPr>
    <w:rPr>
      <w:color w:val="auto"/>
      <w:lang w:val="en-US"/>
    </w:rPr>
  </w:style>
  <w:style w:type="paragraph" w:customStyle="1" w:styleId="Thesisheading1">
    <w:name w:val="Thesisheading1"/>
    <w:basedOn w:val="BodyTextIndent2"/>
    <w:pPr>
      <w:widowControl/>
      <w:numPr>
        <w:numId w:val="2"/>
      </w:numPr>
      <w:spacing w:line="360" w:lineRule="auto"/>
    </w:pPr>
    <w:rPr>
      <w:rFonts w:ascii="Arial" w:hAnsi="Arial"/>
      <w:b/>
      <w:caps/>
      <w:snapToGrid/>
      <w:sz w:val="32"/>
    </w:rPr>
  </w:style>
  <w:style w:type="paragraph" w:customStyle="1" w:styleId="Thesisheading4">
    <w:name w:val="Thesisheading4"/>
    <w:basedOn w:val="Heading3"/>
    <w:pPr>
      <w:numPr>
        <w:ilvl w:val="2"/>
        <w:numId w:val="2"/>
      </w:numPr>
      <w:tabs>
        <w:tab w:val="clear" w:pos="720"/>
        <w:tab w:val="num" w:pos="2880"/>
      </w:tabs>
      <w:spacing w:line="360" w:lineRule="auto"/>
      <w:ind w:left="2880" w:hanging="360"/>
    </w:pPr>
    <w:rPr>
      <w:rFonts w:ascii="Arial" w:hAnsi="Arial"/>
      <w:b/>
      <w:snapToGrid/>
    </w:rPr>
  </w:style>
  <w:style w:type="paragraph" w:customStyle="1" w:styleId="font5">
    <w:name w:val="font5"/>
    <w:basedOn w:val="Normal"/>
    <w:pPr>
      <w:spacing w:before="100" w:after="100"/>
    </w:pPr>
    <w:rPr>
      <w:rFonts w:ascii="Arial" w:eastAsia="Arial Unicode MS" w:hAnsi="Arial"/>
      <w:color w:val="00FF00"/>
      <w:sz w:val="20"/>
      <w:lang w:val="en-AU"/>
    </w:rPr>
  </w:style>
  <w:style w:type="paragraph" w:customStyle="1" w:styleId="xl34">
    <w:name w:val="xl34"/>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pPr>
      <w:spacing w:before="100" w:after="100"/>
    </w:pPr>
    <w:rPr>
      <w:rFonts w:ascii="Arial" w:eastAsia="Arial Unicode MS" w:hAnsi="Arial"/>
      <w:color w:val="auto"/>
      <w:lang w:val="en-AU"/>
    </w:rPr>
  </w:style>
  <w:style w:type="paragraph" w:customStyle="1" w:styleId="xl42">
    <w:name w:val="xl42"/>
    <w:basedOn w:val="Normal"/>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pPr>
      <w:spacing w:before="100" w:after="100"/>
      <w:jc w:val="center"/>
    </w:pPr>
    <w:rPr>
      <w:rFonts w:ascii="Arial" w:eastAsia="Arial Unicode MS" w:hAnsi="Arial"/>
      <w:color w:val="auto"/>
      <w:lang w:val="en-AU"/>
    </w:rPr>
  </w:style>
  <w:style w:type="paragraph" w:customStyle="1" w:styleId="xl44">
    <w:name w:val="xl44"/>
    <w:basedOn w:val="Normal"/>
    <w:pPr>
      <w:spacing w:before="100" w:after="100"/>
      <w:textAlignment w:val="top"/>
    </w:pPr>
    <w:rPr>
      <w:rFonts w:ascii="Arial" w:eastAsia="Arial Unicode MS" w:hAnsi="Arial"/>
      <w:color w:val="auto"/>
      <w:lang w:val="en-AU"/>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pPr>
      <w:autoSpaceDE w:val="0"/>
      <w:autoSpaceDN w:val="0"/>
      <w:adjustRightInd w:val="0"/>
    </w:pPr>
    <w:rPr>
      <w:rFonts w:ascii="Times New Roman" w:hAnsi="Times New Roman"/>
      <w:color w:val="000000"/>
      <w:sz w:val="24"/>
      <w:lang w:val="en-US"/>
    </w:rPr>
  </w:style>
  <w:style w:type="paragraph" w:styleId="ListNumber5">
    <w:name w:val="List Number 5"/>
    <w:basedOn w:val="Normal"/>
    <w:pPr>
      <w:numPr>
        <w:numId w:val="3"/>
      </w:numPr>
      <w:tabs>
        <w:tab w:val="clear" w:pos="1492"/>
        <w:tab w:val="num" w:pos="1800"/>
      </w:tabs>
      <w:spacing w:after="0"/>
      <w:ind w:left="1800"/>
    </w:pPr>
    <w:rPr>
      <w:color w:val="auto"/>
      <w:lang w:val="en-US"/>
    </w:rPr>
  </w:style>
  <w:style w:type="paragraph" w:customStyle="1" w:styleId="Sectionheading">
    <w:name w:val="Section heading"/>
    <w:basedOn w:val="Heading2"/>
    <w:pPr>
      <w:spacing w:before="120"/>
      <w:ind w:left="1080" w:hanging="1080"/>
    </w:pPr>
    <w:rPr>
      <w:snapToGrid/>
    </w:rPr>
  </w:style>
  <w:style w:type="paragraph" w:customStyle="1" w:styleId="Sectionsub-heading">
    <w:name w:val="Section sub-heading"/>
    <w:basedOn w:val="Heading3"/>
    <w:pPr>
      <w:tabs>
        <w:tab w:val="clear" w:pos="1080"/>
      </w:tabs>
      <w:spacing w:before="60"/>
      <w:ind w:left="2126" w:hanging="1049"/>
    </w:pPr>
    <w:rPr>
      <w:snapToGrid/>
    </w:rPr>
  </w:style>
  <w:style w:type="paragraph" w:customStyle="1" w:styleId="MainTextIndent">
    <w:name w:val="Main Text Indent"/>
    <w:basedOn w:val="MainText"/>
    <w:pPr>
      <w:tabs>
        <w:tab w:val="left" w:pos="567"/>
      </w:tabs>
      <w:ind w:left="993" w:hanging="993"/>
    </w:pPr>
  </w:style>
  <w:style w:type="paragraph" w:customStyle="1" w:styleId="MainTextDoubleIndent">
    <w:name w:val="Main Text Double Indent"/>
    <w:basedOn w:val="MainTextIndent"/>
    <w:pPr>
      <w:tabs>
        <w:tab w:val="left" w:pos="993"/>
      </w:tabs>
      <w:ind w:left="1418" w:hanging="1418"/>
    </w:pPr>
  </w:style>
  <w:style w:type="paragraph" w:customStyle="1" w:styleId="HeadingSub">
    <w:name w:val="Heading: Sub"/>
    <w:basedOn w:val="MainText"/>
    <w:rPr>
      <w:rFonts w:ascii="Futura" w:hAnsi="Futura"/>
    </w:rPr>
  </w:style>
  <w:style w:type="paragraph" w:customStyle="1" w:styleId="MainTextNon-indent">
    <w:name w:val="Main Text Non-indent"/>
    <w:basedOn w:val="MainText"/>
    <w:pPr>
      <w:ind w:left="0" w:firstLine="0"/>
    </w:pPr>
  </w:style>
  <w:style w:type="paragraph" w:customStyle="1" w:styleId="HeadingSection">
    <w:name w:val="Heading: Section"/>
    <w:basedOn w:val="Normal"/>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pPr>
      <w:jc w:val="center"/>
    </w:pPr>
    <w:rPr>
      <w:b/>
      <w:color w:val="auto"/>
    </w:rPr>
  </w:style>
  <w:style w:type="paragraph" w:customStyle="1" w:styleId="Closeup">
    <w:name w:val="Closeup"/>
    <w:basedOn w:val="Normal"/>
    <w:pPr>
      <w:spacing w:after="0"/>
    </w:pPr>
    <w:rPr>
      <w:color w:val="auto"/>
      <w:lang w:eastAsia="ja-JP"/>
    </w:rPr>
  </w:style>
  <w:style w:type="paragraph" w:customStyle="1" w:styleId="ScreenFormat-1">
    <w:name w:val="ScreenFormat-1"/>
    <w:basedOn w:val="Normal"/>
    <w:pPr>
      <w:spacing w:before="120" w:after="120"/>
    </w:pPr>
    <w:rPr>
      <w:color w:val="auto"/>
      <w:sz w:val="32"/>
      <w:lang w:eastAsia="ja-JP"/>
    </w:rPr>
  </w:style>
  <w:style w:type="paragraph" w:customStyle="1" w:styleId="TableText">
    <w:name w:val="TableText"/>
    <w:basedOn w:val="BodyText"/>
    <w:pPr>
      <w:keepLines/>
      <w:spacing w:after="0" w:line="240" w:lineRule="auto"/>
    </w:pPr>
    <w:rPr>
      <w:rFonts w:eastAsia="Times"/>
      <w:color w:val="auto"/>
      <w:sz w:val="20"/>
      <w:lang w:val="en-US" w:eastAsia="ja-JP"/>
    </w:rPr>
  </w:style>
  <w:style w:type="paragraph" w:customStyle="1" w:styleId="Equation">
    <w:name w:val="Equation"/>
    <w:basedOn w:val="BodyText"/>
    <w:pPr>
      <w:keepLines/>
      <w:tabs>
        <w:tab w:val="right" w:pos="9639"/>
      </w:tabs>
      <w:spacing w:after="0" w:line="240" w:lineRule="auto"/>
      <w:ind w:left="567"/>
    </w:pPr>
    <w:rPr>
      <w:rFonts w:eastAsia="Times"/>
      <w:color w:val="auto"/>
      <w:lang w:val="en-US" w:eastAsia="ja-JP"/>
    </w:rPr>
  </w:style>
  <w:style w:type="paragraph" w:customStyle="1" w:styleId="Note">
    <w:name w:val="Note"/>
    <w:basedOn w:val="BodyText"/>
    <w:pPr>
      <w:keepLines/>
      <w:pBdr>
        <w:top w:val="single" w:sz="2" w:space="1" w:color="808080"/>
        <w:left w:val="single" w:sz="2" w:space="4" w:color="808080"/>
        <w:bottom w:val="single" w:sz="2" w:space="1" w:color="808080"/>
        <w:right w:val="single" w:sz="2" w:space="4" w:color="808080"/>
      </w:pBdr>
      <w:spacing w:after="0" w:line="240" w:lineRule="auto"/>
    </w:pPr>
    <w:rPr>
      <w:rFonts w:eastAsia="Times"/>
      <w:i/>
      <w:color w:val="auto"/>
      <w:lang w:val="en-US" w:eastAsia="ja-JP"/>
    </w:rPr>
  </w:style>
  <w:style w:type="paragraph" w:customStyle="1" w:styleId="AR4Listbullet1">
    <w:name w:val="AR4 List bullet 1"/>
    <w:basedOn w:val="Normal"/>
    <w:pPr>
      <w:numPr>
        <w:numId w:val="4"/>
      </w:numPr>
      <w:spacing w:after="0"/>
    </w:pPr>
    <w:rPr>
      <w:rFonts w:ascii="Times" w:eastAsia="Times" w:hAnsi="Times"/>
      <w:color w:val="auto"/>
      <w:lang w:val="en-US" w:eastAsia="ja-JP"/>
    </w:rPr>
  </w:style>
  <w:style w:type="paragraph" w:customStyle="1" w:styleId="OurCaption">
    <w:name w:val="OurCaption"/>
    <w:basedOn w:val="Normal"/>
    <w:pPr>
      <w:spacing w:after="0"/>
      <w:ind w:right="12"/>
    </w:pPr>
    <w:rPr>
      <w:rFonts w:eastAsia="Times"/>
      <w:color w:val="auto"/>
      <w:sz w:val="20"/>
      <w:lang w:eastAsia="ja-JP"/>
    </w:rPr>
  </w:style>
  <w:style w:type="paragraph" w:customStyle="1" w:styleId="Paralevel1">
    <w:name w:val="Para level1"/>
    <w:basedOn w:val="Normal"/>
    <w:autoRedefine/>
    <w:pPr>
      <w:tabs>
        <w:tab w:val="left" w:pos="2070"/>
      </w:tabs>
      <w:suppressAutoHyphens/>
    </w:pPr>
    <w:rPr>
      <w:color w:val="auto"/>
      <w:sz w:val="20"/>
    </w:rPr>
  </w:style>
  <w:style w:type="paragraph" w:customStyle="1" w:styleId="CH4">
    <w:name w:val="CH4"/>
    <w:basedOn w:val="Normal"/>
    <w:autoRedefine/>
    <w:pPr>
      <w:keepNext/>
      <w:keepLines/>
      <w:numPr>
        <w:numId w:val="5"/>
      </w:numPr>
      <w:tabs>
        <w:tab w:val="clear" w:pos="0"/>
        <w:tab w:val="num" w:pos="360"/>
      </w:tabs>
      <w:spacing w:before="120"/>
      <w:ind w:left="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r"/>
    <w:rPr>
      <w:rFonts w:ascii="Arial" w:eastAsia="MS Mincho" w:hAnsi="Arial" w:cs="Arial"/>
      <w:b/>
      <w:bCs/>
      <w:noProof w:val="0"/>
      <w:kern w:val="32"/>
      <w:sz w:val="32"/>
      <w:szCs w:val="32"/>
      <w:lang w:val="en-US" w:eastAsia="ja-JP" w:bidi="ar-SA"/>
    </w:rPr>
  </w:style>
  <w:style w:type="paragraph" w:customStyle="1" w:styleId="Titulo3">
    <w:name w:val="Titulo 3"/>
    <w:basedOn w:val="Normal"/>
    <w:pPr>
      <w:widowControl w:val="0"/>
      <w:spacing w:after="0"/>
      <w:ind w:left="1185"/>
      <w:jc w:val="both"/>
    </w:pPr>
    <w:rPr>
      <w:rFonts w:eastAsia="MS Mincho"/>
      <w:b/>
      <w:i/>
      <w:color w:val="auto"/>
      <w:kern w:val="2"/>
      <w:lang w:val="en-US" w:eastAsia="ja-JP"/>
    </w:rPr>
  </w:style>
  <w:style w:type="paragraph" w:customStyle="1" w:styleId="Style2">
    <w:name w:val="Style2"/>
    <w:basedOn w:val="Normal"/>
    <w:link w:val="Style2Char"/>
    <w:qFormat/>
    <w:pPr>
      <w:spacing w:after="0"/>
    </w:pPr>
    <w:rPr>
      <w:color w:val="auto"/>
      <w:lang w:eastAsia="en-GB"/>
    </w:rPr>
  </w:style>
  <w:style w:type="paragraph" w:customStyle="1" w:styleId="TEXTO">
    <w:name w:val="TEXTO"/>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pPr>
      <w:spacing w:before="100" w:beforeAutospacing="1" w:after="100" w:afterAutospacing="1"/>
    </w:pPr>
    <w:rPr>
      <w:szCs w:val="24"/>
      <w:lang w:val="fr-FR" w:eastAsia="fr-FR"/>
    </w:rPr>
  </w:style>
  <w:style w:type="character" w:customStyle="1" w:styleId="epaltsans1">
    <w:name w:val="epaltsans1"/>
    <w:rPr>
      <w:rFonts w:ascii="Arial" w:hAnsi="Arial" w:cs="Arial" w:hint="default"/>
      <w:sz w:val="16"/>
      <w:szCs w:val="16"/>
    </w:rPr>
  </w:style>
  <w:style w:type="paragraph" w:styleId="List">
    <w:name w:val="List"/>
    <w:basedOn w:val="Normal"/>
    <w:semiHidden/>
    <w:pPr>
      <w:spacing w:after="0"/>
      <w:ind w:left="360" w:hanging="360"/>
    </w:pPr>
    <w:rPr>
      <w:color w:val="auto"/>
      <w:szCs w:val="24"/>
      <w:lang w:val="en-US" w:eastAsia="en-US"/>
    </w:rPr>
  </w:style>
  <w:style w:type="character" w:customStyle="1" w:styleId="w">
    <w:name w:val="w"/>
    <w:basedOn w:val="DefaultParagraphFont"/>
  </w:style>
  <w:style w:type="paragraph" w:customStyle="1" w:styleId="BodyTextLetterBullets">
    <w:name w:val="Body Text + Letter Bullets"/>
    <w:basedOn w:val="BodyText"/>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pPr>
      <w:tabs>
        <w:tab w:val="num" w:pos="360"/>
      </w:tabs>
      <w:spacing w:after="0" w:line="288" w:lineRule="auto"/>
    </w:pPr>
    <w:rPr>
      <w:color w:val="auto"/>
      <w:szCs w:val="22"/>
      <w:lang w:val="en-AU" w:eastAsia="en-US"/>
    </w:rPr>
  </w:style>
  <w:style w:type="paragraph" w:customStyle="1" w:styleId="BodyTextbullet">
    <w:name w:val="Body Text + bullet"/>
    <w:basedOn w:val="BodyText"/>
    <w:pPr>
      <w:tabs>
        <w:tab w:val="num" w:pos="360"/>
      </w:tabs>
      <w:spacing w:after="0" w:line="288" w:lineRule="auto"/>
    </w:pPr>
    <w:rPr>
      <w:color w:val="auto"/>
      <w:szCs w:val="22"/>
      <w:lang w:val="en-AU" w:eastAsia="en-US"/>
    </w:rPr>
  </w:style>
  <w:style w:type="paragraph" w:customStyle="1" w:styleId="Head1">
    <w:name w:val="Head 1"/>
    <w:basedOn w:val="Normal"/>
    <w:pPr>
      <w:tabs>
        <w:tab w:val="left" w:pos="340"/>
        <w:tab w:val="num" w:pos="720"/>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pP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58">
    <w:name w:val="xl5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59">
    <w:name w:val="xl59"/>
    <w:basedOn w:val="Normal"/>
    <w:pP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0">
    <w:name w:val="xl60"/>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1">
    <w:name w:val="xl61"/>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2">
    <w:name w:val="xl62"/>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3">
    <w:name w:val="xl6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4">
    <w:name w:val="xl6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5">
    <w:name w:val="xl65"/>
    <w:basedOn w:val="Normal"/>
    <w:pPr>
      <w:pBdr>
        <w:top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6">
    <w:name w:val="xl66"/>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7">
    <w:name w:val="xl67"/>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8">
    <w:name w:val="xl68"/>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9">
    <w:name w:val="xl69"/>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0">
    <w:name w:val="xl70"/>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1">
    <w:name w:val="xl7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2">
    <w:name w:val="xl72"/>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3">
    <w:name w:val="xl73"/>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4">
    <w:name w:val="xl7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5">
    <w:name w:val="xl75"/>
    <w:basedOn w:val="Normal"/>
    <w:pPr>
      <w:pBdr>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6">
    <w:name w:val="xl76"/>
    <w:basedOn w:val="Normal"/>
    <w:pPr>
      <w:pBdr>
        <w:lef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7">
    <w:name w:val="xl77"/>
    <w:basedOn w:val="Normal"/>
    <w:pPr>
      <w:pBdr>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8">
    <w:name w:val="xl7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9">
    <w:name w:val="xl79"/>
    <w:basedOn w:val="Normal"/>
    <w:pPr>
      <w:pBdr>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0">
    <w:name w:val="xl80"/>
    <w:basedOn w:val="Normal"/>
    <w:pPr>
      <w:pBdr>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1">
    <w:name w:val="xl81"/>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2">
    <w:name w:val="xl82"/>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3">
    <w:name w:val="xl83"/>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4">
    <w:name w:val="xl84"/>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7">
    <w:name w:val="xl8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0">
    <w:name w:val="xl90"/>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2">
    <w:name w:val="xl9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4">
    <w:name w:val="xl94"/>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5">
    <w:name w:val="xl9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6">
    <w:name w:val="xl96"/>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98">
    <w:name w:val="xl9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9">
    <w:name w:val="xl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3">
    <w:name w:val="xl103"/>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5">
    <w:name w:val="xl105"/>
    <w:basedOn w:val="Normal"/>
    <w:pPr>
      <w:pBdr>
        <w:top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7">
    <w:name w:val="xl107"/>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10">
    <w:name w:val="xl110"/>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13">
    <w:name w:val="xl113"/>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4">
    <w:name w:val="xl114"/>
    <w:basedOn w:val="Normal"/>
    <w:pPr>
      <w:pBdr>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5">
    <w:name w:val="xl115"/>
    <w:basedOn w:val="Normal"/>
    <w:pPr>
      <w:pBdr>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6">
    <w:name w:val="xl116"/>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9">
    <w:name w:val="xl119"/>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0">
    <w:name w:val="xl120"/>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1">
    <w:name w:val="xl121"/>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3">
    <w:name w:val="xl123"/>
    <w:basedOn w:val="Normal"/>
    <w:pPr>
      <w:pBdr>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4">
    <w:name w:val="xl124"/>
    <w:basedOn w:val="Normal"/>
    <w:pPr>
      <w:pBdr>
        <w:left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5">
    <w:name w:val="xl125"/>
    <w:basedOn w:val="Normal"/>
    <w:pPr>
      <w:pBdr>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26">
    <w:name w:val="xl126"/>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1">
    <w:name w:val="xl131"/>
    <w:basedOn w:val="Normal"/>
    <w:pPr>
      <w:pBdr>
        <w:top w:val="single" w:sz="4" w:space="0" w:color="auto"/>
        <w:bottom w:val="single" w:sz="8"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2">
    <w:name w:val="xl132"/>
    <w:basedOn w:val="Normal"/>
    <w:pPr>
      <w:pBdr>
        <w:top w:val="single" w:sz="4" w:space="0" w:color="auto"/>
        <w:bottom w:val="single" w:sz="8"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3">
    <w:name w:val="xl1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4">
    <w:name w:val="xl1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UnicodeMS"/>
      <w:color w:val="auto"/>
      <w:sz w:val="12"/>
      <w:szCs w:val="12"/>
      <w:lang w:val="en-AU" w:eastAsia="en-US"/>
    </w:rPr>
  </w:style>
  <w:style w:type="paragraph" w:customStyle="1" w:styleId="xl135">
    <w:name w:val="xl1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UnicodeMS"/>
      <w:color w:val="auto"/>
      <w:szCs w:val="24"/>
      <w:lang w:val="en-AU" w:eastAsia="en-US"/>
    </w:rPr>
  </w:style>
  <w:style w:type="paragraph" w:customStyle="1" w:styleId="xl136">
    <w:name w:val="xl136"/>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7">
    <w:name w:val="xl137"/>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8">
    <w:name w:val="xl138"/>
    <w:basedOn w:val="Normal"/>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pPr>
      <w:spacing w:after="0"/>
    </w:pPr>
    <w:rPr>
      <w:b/>
      <w:bCs/>
      <w:color w:val="auto"/>
      <w:sz w:val="28"/>
      <w:szCs w:val="28"/>
      <w:lang w:eastAsia="en-US"/>
    </w:rPr>
  </w:style>
  <w:style w:type="paragraph" w:customStyle="1" w:styleId="Anxtitle">
    <w:name w:val="Anx title"/>
    <w:basedOn w:val="Normal"/>
    <w:pPr>
      <w:spacing w:after="0"/>
      <w:ind w:left="1247"/>
    </w:pPr>
    <w:rPr>
      <w:b/>
      <w:bCs/>
      <w:color w:val="auto"/>
      <w:sz w:val="28"/>
      <w:szCs w:val="28"/>
      <w:lang w:eastAsia="en-US"/>
    </w:rPr>
  </w:style>
  <w:style w:type="paragraph" w:customStyle="1" w:styleId="Style10ptAfter6pt1">
    <w:name w:val="Style 10 pt After:  6 pt1"/>
    <w:basedOn w:val="Normal"/>
    <w:autoRedefine/>
    <w:pPr>
      <w:spacing w:after="120"/>
    </w:pPr>
    <w:rPr>
      <w:rFonts w:ascii="Arial" w:hAnsi="Arial"/>
      <w:color w:val="auto"/>
      <w:sz w:val="18"/>
      <w:lang w:eastAsia="en-US"/>
    </w:rPr>
  </w:style>
  <w:style w:type="paragraph" w:customStyle="1" w:styleId="StyleHeading311ptBold">
    <w:name w:val="Style Heading 3 + 11 pt Bold"/>
    <w:basedOn w:val="Heading3"/>
    <w:rPr>
      <w:b/>
      <w:bCs/>
      <w:iCs/>
    </w:rPr>
  </w:style>
  <w:style w:type="paragraph" w:customStyle="1" w:styleId="Subtitle">
    <w:name w:val="Sub title"/>
    <w:basedOn w:val="Heading2"/>
    <w:pPr>
      <w:spacing w:after="0"/>
      <w:ind w:left="1247"/>
    </w:pPr>
    <w:rPr>
      <w:snapToGrid/>
      <w:szCs w:val="24"/>
    </w:rPr>
  </w:style>
  <w:style w:type="character" w:customStyle="1" w:styleId="maintextbldleft1">
    <w:name w:val="maintextbldleft1"/>
    <w:rPr>
      <w:rFonts w:ascii="Arial" w:hAnsi="Arial" w:cs="Arial" w:hint="default"/>
      <w:b/>
      <w:bCs/>
      <w:strike w:val="0"/>
      <w:dstrike w:val="0"/>
      <w:color w:val="000000"/>
      <w:sz w:val="18"/>
      <w:szCs w:val="18"/>
      <w:u w:val="none"/>
      <w:effect w:val="none"/>
    </w:rPr>
  </w:style>
  <w:style w:type="character" w:customStyle="1" w:styleId="maintextleft1">
    <w:name w:val="maintextleft1"/>
    <w:rPr>
      <w:rFonts w:ascii="Arial" w:hAnsi="Arial" w:cs="Arial" w:hint="default"/>
      <w:strike w:val="0"/>
      <w:dstrike w:val="0"/>
      <w:color w:val="000000"/>
      <w:sz w:val="18"/>
      <w:szCs w:val="18"/>
      <w:u w:val="none"/>
      <w:effect w:val="none"/>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Part Char"/>
    <w:rPr>
      <w:b/>
      <w:noProof w:val="0"/>
      <w:color w:val="000000"/>
      <w:sz w:val="28"/>
      <w:lang w:val="en-GB" w:eastAsia="zh-CN" w:bidi="ar-SA"/>
    </w:rPr>
  </w:style>
  <w:style w:type="character" w:customStyle="1" w:styleId="Heading2Char">
    <w:name w:val="Heading 2 Char"/>
    <w:aliases w:val="SubPara (a) Char,Heading 2 Char1 Char Char,SubPara (a) Char1 Char Char,Heading 2 Char3 Char Char Char,Heading 2 Char Char2 Char Char Char,Heading 2 Char1 Char Char1 Char Char Char,SubPara (a) Char Char Char1 Char Char Char,Heading 2 Char1"/>
    <w:uiPriority w:val="9"/>
    <w:rPr>
      <w:b/>
      <w:noProof w:val="0"/>
      <w:snapToGrid w:val="0"/>
      <w:color w:val="000000"/>
      <w:sz w:val="24"/>
      <w:lang w:val="en-GB" w:eastAsia="zh-CN" w:bidi="ar-SA"/>
    </w:rPr>
  </w:style>
  <w:style w:type="character" w:customStyle="1" w:styleId="Heading3Char">
    <w:name w:val="Heading 3 Char"/>
    <w:aliases w:val="Sec Char"/>
    <w:uiPriority w:val="9"/>
    <w:rPr>
      <w:b w:val="0"/>
      <w:noProof w:val="0"/>
      <w:snapToGrid w:val="0"/>
      <w:color w:val="000000"/>
      <w:sz w:val="24"/>
      <w:lang w:val="en-GB" w:eastAsia="zh-CN" w:bidi="ar-SA"/>
    </w:rPr>
  </w:style>
  <w:style w:type="character" w:customStyle="1" w:styleId="Heading4Char">
    <w:name w:val="Heading 4 Char"/>
    <w:aliases w:val="MainPara Char"/>
    <w:rPr>
      <w:b w:val="0"/>
      <w:noProof w:val="0"/>
      <w:snapToGrid w:val="0"/>
      <w:color w:val="000000"/>
      <w:sz w:val="22"/>
      <w:lang w:val="en-GB" w:eastAsia="zh-CN" w:bidi="ar-SA"/>
    </w:rPr>
  </w:style>
  <w:style w:type="paragraph" w:customStyle="1" w:styleId="StyleHeading311ptBold1">
    <w:name w:val="Style Heading 3 + 11 pt Bold1"/>
    <w:basedOn w:val="Heading3"/>
    <w:rPr>
      <w:b/>
      <w:bCs/>
      <w:iCs/>
    </w:rPr>
  </w:style>
  <w:style w:type="paragraph" w:customStyle="1" w:styleId="ANNEXES">
    <w:name w:val="ANNEXES"/>
    <w:basedOn w:val="Normal"/>
    <w:pPr>
      <w:tabs>
        <w:tab w:val="left" w:pos="1080"/>
      </w:tabs>
      <w:spacing w:before="100" w:beforeAutospacing="1" w:after="100" w:afterAutospacing="1"/>
    </w:pPr>
    <w:rPr>
      <w:b/>
      <w:sz w:val="28"/>
    </w:rPr>
  </w:style>
  <w:style w:type="paragraph" w:customStyle="1" w:styleId="Executivesummary">
    <w:name w:val="Executive summary"/>
    <w:basedOn w:val="TOC1"/>
    <w:pPr>
      <w:spacing w:after="0"/>
      <w:ind w:left="0"/>
    </w:pPr>
    <w:rPr>
      <w:b w:val="0"/>
      <w:sz w:val="28"/>
    </w:rPr>
  </w:style>
  <w:style w:type="paragraph" w:customStyle="1" w:styleId="Execlevel2">
    <w:name w:val="Exec level2"/>
    <w:basedOn w:val="Anxhead"/>
    <w:rPr>
      <w:sz w:val="24"/>
    </w:rPr>
  </w:style>
  <w:style w:type="character" w:customStyle="1" w:styleId="AnxheadChar">
    <w:name w:val="Anx head Char"/>
    <w:rPr>
      <w:b/>
      <w:bCs/>
      <w:noProof w:val="0"/>
      <w:sz w:val="28"/>
      <w:szCs w:val="28"/>
      <w:lang w:val="en-GB" w:eastAsia="en-US" w:bidi="ar-SA"/>
    </w:rPr>
  </w:style>
  <w:style w:type="character" w:customStyle="1" w:styleId="Execlevel2Char">
    <w:name w:val="Exec level2 Char"/>
    <w:rPr>
      <w:b/>
      <w:bCs/>
      <w:noProof w:val="0"/>
      <w:sz w:val="24"/>
      <w:szCs w:val="28"/>
      <w:lang w:val="en-GB" w:eastAsia="en-US" w:bidi="ar-SA"/>
    </w:rPr>
  </w:style>
  <w:style w:type="character" w:customStyle="1" w:styleId="a">
    <w:name w:val="_"/>
    <w:basedOn w:val="DefaultParagraphFont"/>
  </w:style>
  <w:style w:type="paragraph" w:styleId="CommentSubject">
    <w:name w:val="annotation subject"/>
    <w:basedOn w:val="CommentText"/>
    <w:next w:val="CommentText"/>
    <w:uiPriority w:val="99"/>
    <w:semiHidden/>
    <w:pPr>
      <w:widowControl/>
      <w:spacing w:after="0"/>
    </w:pPr>
    <w:rPr>
      <w:rFonts w:ascii="Times New Roman" w:hAnsi="Times New Roman"/>
      <w:b/>
      <w:lang w:val="en-US"/>
    </w:rPr>
  </w:style>
  <w:style w:type="paragraph" w:customStyle="1" w:styleId="Indentedbullet">
    <w:name w:val="Indented bullet"/>
    <w:basedOn w:val="Indentedbodytext"/>
    <w:pPr>
      <w:tabs>
        <w:tab w:val="num" w:pos="1440"/>
      </w:tabs>
      <w:ind w:left="1434" w:hanging="357"/>
    </w:pPr>
  </w:style>
  <w:style w:type="paragraph" w:customStyle="1" w:styleId="Indentedbodytext">
    <w:name w:val="Indented body text"/>
    <w:basedOn w:val="Normal"/>
    <w:autoRedefine/>
    <w:pPr>
      <w:spacing w:after="120"/>
    </w:pPr>
    <w:rPr>
      <w:lang w:eastAsia="en-US"/>
    </w:rPr>
  </w:style>
  <w:style w:type="paragraph" w:customStyle="1" w:styleId="Smallnumberedbullet">
    <w:name w:val="Small numbered bullet"/>
    <w:basedOn w:val="Smallbullet"/>
    <w:pPr>
      <w:numPr>
        <w:numId w:val="0"/>
      </w:numPr>
      <w:ind w:left="539" w:hanging="539"/>
    </w:pPr>
  </w:style>
  <w:style w:type="paragraph" w:customStyle="1" w:styleId="Smallbullet">
    <w:name w:val="Small bullet"/>
    <w:basedOn w:val="BodyTextSmallBullets"/>
    <w:autoRedefine/>
    <w:pPr>
      <w:numPr>
        <w:numId w:val="8"/>
      </w:numPr>
      <w:tabs>
        <w:tab w:val="num" w:pos="426"/>
      </w:tabs>
      <w:spacing w:after="240" w:line="240" w:lineRule="auto"/>
      <w:ind w:left="425" w:hanging="425"/>
    </w:pPr>
  </w:style>
  <w:style w:type="paragraph" w:customStyle="1" w:styleId="BodyText1">
    <w:name w:val="Body Text1"/>
    <w:basedOn w:val="Normal"/>
    <w:rPr>
      <w:lang w:eastAsia="en-US"/>
    </w:rPr>
  </w:style>
  <w:style w:type="paragraph" w:customStyle="1" w:styleId="Heading311ptBold">
    <w:name w:val="Heading 3 + 11 pt Bold"/>
    <w:basedOn w:val="Heading3"/>
    <w:pPr>
      <w:numPr>
        <w:ilvl w:val="2"/>
        <w:numId w:val="7"/>
      </w:numPr>
      <w:tabs>
        <w:tab w:val="num" w:pos="1800"/>
      </w:tabs>
      <w:ind w:left="0" w:firstLine="0"/>
    </w:pPr>
    <w:rPr>
      <w:b/>
    </w:rPr>
  </w:style>
  <w:style w:type="paragraph" w:customStyle="1" w:styleId="Table5">
    <w:name w:val="Table 5"/>
    <w:basedOn w:val="Normal"/>
    <w:pPr>
      <w:spacing w:after="0" w:line="240" w:lineRule="exact"/>
      <w:ind w:left="567" w:hanging="567"/>
    </w:pPr>
    <w:rPr>
      <w:sz w:val="18"/>
      <w:lang w:eastAsia="ja-JP"/>
    </w:rPr>
  </w:style>
  <w:style w:type="paragraph" w:customStyle="1" w:styleId="ColorfulList-Accent11">
    <w:name w:val="Colorful List - Accent 11"/>
    <w:basedOn w:val="Normal"/>
    <w:qFormat/>
    <w:pPr>
      <w:spacing w:after="0"/>
      <w:ind w:left="720"/>
    </w:pPr>
    <w:rPr>
      <w:rFonts w:eastAsia="MS Mincho"/>
      <w:color w:val="auto"/>
      <w:szCs w:val="24"/>
      <w:lang w:val="en-US" w:eastAsia="ja-JP"/>
    </w:rPr>
  </w:style>
  <w:style w:type="character" w:customStyle="1" w:styleId="mw-headline">
    <w:name w:val="mw-headline"/>
    <w:basedOn w:val="DefaultParagraphFont"/>
  </w:style>
  <w:style w:type="paragraph" w:customStyle="1" w:styleId="ColorfulList-Accent12">
    <w:name w:val="Colorful List - Accent 12"/>
    <w:basedOn w:val="Normal"/>
    <w:qFormat/>
    <w:pPr>
      <w:spacing w:after="0"/>
    </w:pPr>
    <w:rPr>
      <w:rFonts w:ascii="Cambria" w:eastAsia="Cambria" w:hAnsi="Cambria"/>
      <w:color w:val="auto"/>
      <w:sz w:val="24"/>
      <w:lang w:val="en-US"/>
    </w:rPr>
  </w:style>
  <w:style w:type="paragraph" w:styleId="Subtitle0">
    <w:name w:val="Subtitle"/>
    <w:basedOn w:val="Normal"/>
    <w:uiPriority w:val="11"/>
    <w:qFormat/>
    <w:pPr>
      <w:spacing w:after="0"/>
      <w:jc w:val="center"/>
    </w:pPr>
    <w:rPr>
      <w:rFonts w:eastAsia="MS Mincho"/>
      <w:b/>
      <w:color w:val="auto"/>
      <w:lang w:val="en-US"/>
    </w:rPr>
  </w:style>
  <w:style w:type="paragraph" w:styleId="Revision">
    <w:name w:val="Revision"/>
    <w:hidden/>
    <w:uiPriority w:val="99"/>
    <w:semiHidden/>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Pr>
      <w:iCs/>
    </w:rPr>
  </w:style>
  <w:style w:type="paragraph" w:customStyle="1" w:styleId="ParaQPS">
    <w:name w:val="Para QPS"/>
    <w:basedOn w:val="Normal"/>
    <w:qFormat/>
    <w:pPr>
      <w:spacing w:before="120" w:after="120"/>
      <w:ind w:left="1134"/>
      <w:jc w:val="both"/>
    </w:pPr>
    <w:rPr>
      <w:rFonts w:cs="Cambria"/>
      <w:iCs/>
      <w:color w:val="auto"/>
      <w:szCs w:val="24"/>
      <w:lang w:val="en-US" w:eastAsia="en-US" w:bidi="en-US"/>
    </w:rPr>
  </w:style>
  <w:style w:type="paragraph" w:customStyle="1" w:styleId="ParaQPSItalicindent">
    <w:name w:val="Para QPS Italic indent"/>
    <w:basedOn w:val="ParaQPS"/>
    <w:rPr>
      <w:i/>
      <w:iCs w:val="0"/>
    </w:rPr>
  </w:style>
  <w:style w:type="paragraph" w:customStyle="1" w:styleId="ListParagraph1">
    <w:name w:val="List Paragraph1"/>
    <w:aliases w:val="Bullets"/>
    <w:basedOn w:val="Normal"/>
    <w:pPr>
      <w:numPr>
        <w:numId w:val="18"/>
      </w:numPr>
      <w:spacing w:before="60" w:after="60"/>
      <w:jc w:val="both"/>
    </w:pPr>
    <w:rPr>
      <w:rFonts w:ascii="Arial" w:eastAsia="SimSun" w:hAnsi="Arial" w:cs="Arial"/>
      <w:color w:val="auto"/>
      <w:szCs w:val="22"/>
      <w:lang w:eastAsia="en-GB" w:bidi="en-US"/>
    </w:rPr>
  </w:style>
  <w:style w:type="paragraph" w:styleId="Bibliography">
    <w:name w:val="Bibliography"/>
    <w:basedOn w:val="Normal"/>
    <w:next w:val="Normal"/>
    <w:pPr>
      <w:spacing w:before="120" w:after="120"/>
      <w:ind w:left="1134"/>
      <w:jc w:val="both"/>
    </w:pPr>
    <w:rPr>
      <w:rFonts w:ascii="Calibri" w:eastAsia="SimSun" w:hAnsi="Calibri"/>
      <w:color w:val="auto"/>
      <w:szCs w:val="22"/>
      <w:lang w:bidi="en-US"/>
    </w:rPr>
  </w:style>
  <w:style w:type="paragraph" w:customStyle="1" w:styleId="Footnote">
    <w:name w:val="Footnote"/>
    <w:basedOn w:val="FootnoteText"/>
    <w:pPr>
      <w:widowControl/>
      <w:spacing w:after="0"/>
    </w:pPr>
    <w:rPr>
      <w:rFonts w:eastAsia="SimSun"/>
      <w:sz w:val="18"/>
      <w:szCs w:val="22"/>
      <w:lang w:bidi="en-US"/>
    </w:rPr>
  </w:style>
  <w:style w:type="paragraph" w:customStyle="1" w:styleId="TableforUNEPreport">
    <w:name w:val="Table for UNEP report"/>
    <w:basedOn w:val="Caption"/>
    <w:pPr>
      <w:keepNext/>
      <w:spacing w:after="200" w:line="240" w:lineRule="auto"/>
      <w:ind w:left="0"/>
      <w:jc w:val="both"/>
    </w:pPr>
    <w:rPr>
      <w:rFonts w:ascii="Calibri" w:eastAsia="Calibri" w:hAnsi="Calibri"/>
      <w:b/>
      <w:bCs/>
      <w:i w:val="0"/>
      <w:color w:val="auto"/>
      <w:szCs w:val="18"/>
      <w:lang w:eastAsia="en-GB" w:bidi="en-US"/>
    </w:rPr>
  </w:style>
  <w:style w:type="character" w:customStyle="1" w:styleId="FooterChar">
    <w:name w:val="Footer Char"/>
    <w:uiPriority w:val="99"/>
    <w:rPr>
      <w:rFonts w:eastAsia="SimSun" w:cs="Times New Roman"/>
      <w:noProof w:val="0"/>
      <w:sz w:val="22"/>
      <w:lang w:val="x-none" w:eastAsia="zh-CN"/>
    </w:rPr>
  </w:style>
  <w:style w:type="character" w:customStyle="1" w:styleId="BodyText2Char">
    <w:name w:val="Body Text 2 Char"/>
    <w:rPr>
      <w:rFonts w:ascii="Times New Roman" w:hAnsi="Times New Roman" w:cs="Times New Roman"/>
      <w:b/>
      <w:bCs/>
      <w:sz w:val="24"/>
    </w:rPr>
  </w:style>
  <w:style w:type="paragraph" w:customStyle="1" w:styleId="TitleQPSReport">
    <w:name w:val="Title QPS Report"/>
    <w:basedOn w:val="Normal"/>
    <w:pPr>
      <w:spacing w:before="120" w:after="120"/>
      <w:jc w:val="center"/>
    </w:pPr>
    <w:rPr>
      <w:b/>
      <w:bCs/>
      <w:color w:val="auto"/>
      <w:sz w:val="28"/>
      <w:lang w:bidi="en-US"/>
    </w:rPr>
  </w:style>
  <w:style w:type="paragraph" w:customStyle="1" w:styleId="Bulletdash">
    <w:name w:val="Bullet dash"/>
    <w:basedOn w:val="Normal"/>
    <w:qFormat/>
    <w:pPr>
      <w:numPr>
        <w:numId w:val="19"/>
      </w:numPr>
      <w:spacing w:before="120" w:after="120"/>
      <w:ind w:left="1854"/>
      <w:jc w:val="both"/>
    </w:pPr>
    <w:rPr>
      <w:rFonts w:eastAsia="SimSun"/>
      <w:color w:val="auto"/>
      <w:szCs w:val="22"/>
      <w:lang w:bidi="en-US"/>
    </w:rPr>
  </w:style>
  <w:style w:type="paragraph" w:customStyle="1" w:styleId="Paraleft">
    <w:name w:val="Para left"/>
    <w:basedOn w:val="Normal"/>
    <w:qFormat/>
    <w:pPr>
      <w:keepNext/>
      <w:spacing w:before="120" w:after="120"/>
      <w:ind w:left="1134"/>
    </w:pPr>
    <w:rPr>
      <w:rFonts w:eastAsia="SimSun"/>
      <w:b/>
      <w:bCs/>
      <w:color w:val="auto"/>
      <w:szCs w:val="22"/>
      <w:lang w:eastAsia="ja-JP" w:bidi="en-US"/>
    </w:rPr>
  </w:style>
  <w:style w:type="paragraph" w:customStyle="1" w:styleId="TableandFiguretitles">
    <w:name w:val="Table and Figure titles"/>
    <w:basedOn w:val="Caption"/>
    <w:qFormat/>
    <w:pPr>
      <w:keepNext/>
      <w:spacing w:after="200" w:line="240" w:lineRule="auto"/>
      <w:ind w:left="1134"/>
      <w:jc w:val="both"/>
    </w:pPr>
    <w:rPr>
      <w:rFonts w:eastAsia="SimSun"/>
      <w:b/>
      <w:bCs/>
      <w:i w:val="0"/>
      <w:color w:val="auto"/>
      <w:szCs w:val="22"/>
      <w:lang w:bidi="en-US"/>
    </w:rPr>
  </w:style>
  <w:style w:type="paragraph" w:styleId="TableofFigures">
    <w:name w:val="table of figures"/>
    <w:basedOn w:val="Normal"/>
    <w:next w:val="Normal"/>
    <w:semiHidden/>
    <w:unhideWhenUsed/>
    <w:pPr>
      <w:spacing w:before="120" w:after="120"/>
      <w:ind w:left="1757" w:right="624" w:hanging="1077"/>
      <w:jc w:val="both"/>
    </w:pPr>
    <w:rPr>
      <w:rFonts w:eastAsia="SimSun"/>
      <w:b/>
      <w:caps/>
      <w:color w:val="auto"/>
      <w:szCs w:val="22"/>
      <w:lang w:bidi="en-US"/>
    </w:rPr>
  </w:style>
  <w:style w:type="paragraph" w:customStyle="1" w:styleId="StyleParaQPSItalic">
    <w:name w:val="Style Para QPS + Italic"/>
    <w:basedOn w:val="ParaQPS"/>
    <w:rPr>
      <w:i/>
    </w:rPr>
  </w:style>
  <w:style w:type="paragraph" w:customStyle="1" w:styleId="StyleLeft017cm">
    <w:name w:val="Style Left:  0.17 cm"/>
    <w:basedOn w:val="Normal"/>
    <w:pPr>
      <w:spacing w:before="120" w:after="120"/>
      <w:ind w:left="97"/>
      <w:jc w:val="both"/>
    </w:pPr>
    <w:rPr>
      <w:color w:val="auto"/>
      <w:lang w:bidi="en-US"/>
    </w:rPr>
  </w:style>
  <w:style w:type="paragraph" w:customStyle="1" w:styleId="StyleParaQPS11ptItalic">
    <w:name w:val="Style Para QPS + 11 pt Italic"/>
    <w:basedOn w:val="ParaQPS"/>
    <w:rPr>
      <w:i/>
    </w:rPr>
  </w:style>
  <w:style w:type="paragraph" w:customStyle="1" w:styleId="Bulletnumbered">
    <w:name w:val="Bullet numbered"/>
    <w:basedOn w:val="ParaQPS"/>
    <w:qFormat/>
    <w:pPr>
      <w:numPr>
        <w:numId w:val="21"/>
      </w:numPr>
    </w:pPr>
  </w:style>
  <w:style w:type="paragraph" w:customStyle="1" w:styleId="Annexheader">
    <w:name w:val="Annex header"/>
    <w:basedOn w:val="Header"/>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pPr>
      <w:tabs>
        <w:tab w:val="left" w:pos="1080"/>
      </w:tabs>
      <w:spacing w:after="0"/>
    </w:pPr>
    <w:rPr>
      <w:b/>
      <w:i/>
    </w:rPr>
  </w:style>
  <w:style w:type="paragraph" w:customStyle="1" w:styleId="0Heading0CharChar1Char">
    <w:name w:val="0 Heading 0 Char Char1 Char"/>
    <w:rPr>
      <w:rFonts w:ascii="Times New Roman" w:hAnsi="Times New Roman"/>
      <w:color w:val="000000"/>
      <w:sz w:val="24"/>
      <w:lang w:val="en-GB"/>
    </w:rPr>
  </w:style>
  <w:style w:type="character" w:customStyle="1" w:styleId="0Heading0CharChar1CharChar">
    <w:name w:val="0 Heading 0 Char Char1 Char Char"/>
    <w:rPr>
      <w:noProof w:val="0"/>
      <w:color w:val="000000"/>
      <w:sz w:val="24"/>
      <w:lang w:val="en-GB" w:eastAsia="en-US" w:bidi="ar-SA"/>
    </w:rPr>
  </w:style>
  <w:style w:type="character" w:customStyle="1" w:styleId="HeaderChar">
    <w:name w:val="Header Char"/>
    <w:aliases w:val="EthylHeader Char"/>
    <w:uiPriority w:val="99"/>
    <w:rPr>
      <w:noProof w:val="0"/>
      <w:color w:val="000000"/>
      <w:sz w:val="24"/>
      <w:lang w:val="en-GB" w:eastAsia="zh-CN"/>
    </w:rPr>
  </w:style>
  <w:style w:type="paragraph" w:customStyle="1" w:styleId="Alt2-LevelLegal1">
    <w:name w:val="Alt 2-Level Legal1"/>
    <w:basedOn w:val="Normal"/>
    <w:next w:val="Normal"/>
    <w:pPr>
      <w:numPr>
        <w:numId w:val="23"/>
      </w:numPr>
      <w:jc w:val="center"/>
      <w:outlineLvl w:val="0"/>
    </w:pPr>
    <w:rPr>
      <w:rFonts w:eastAsia="SimSun"/>
      <w:b/>
      <w:color w:val="auto"/>
      <w:szCs w:val="24"/>
    </w:rPr>
  </w:style>
  <w:style w:type="paragraph" w:customStyle="1" w:styleId="Alt2-LevelLegal2">
    <w:name w:val="Alt 2-Level Legal2"/>
    <w:basedOn w:val="Normal"/>
    <w:pPr>
      <w:numPr>
        <w:ilvl w:val="1"/>
        <w:numId w:val="23"/>
      </w:numPr>
      <w:outlineLvl w:val="1"/>
    </w:pPr>
    <w:rPr>
      <w:rFonts w:eastAsia="SimSun"/>
      <w:b/>
      <w:bCs/>
      <w:szCs w:val="24"/>
    </w:rPr>
  </w:style>
  <w:style w:type="paragraph" w:customStyle="1" w:styleId="Alt2-LevelLegal3">
    <w:name w:val="Alt 2-Level Legal3"/>
    <w:basedOn w:val="Normal"/>
    <w:pPr>
      <w:numPr>
        <w:ilvl w:val="2"/>
        <w:numId w:val="23"/>
      </w:numPr>
      <w:outlineLvl w:val="2"/>
    </w:pPr>
    <w:rPr>
      <w:rFonts w:eastAsia="SimSun"/>
      <w:b/>
      <w:szCs w:val="24"/>
    </w:rPr>
  </w:style>
  <w:style w:type="paragraph" w:customStyle="1" w:styleId="Alt2-LevelLegal4">
    <w:name w:val="Alt 2-Level Legal4"/>
    <w:basedOn w:val="Normal"/>
    <w:pPr>
      <w:numPr>
        <w:ilvl w:val="3"/>
        <w:numId w:val="23"/>
      </w:numPr>
      <w:outlineLvl w:val="3"/>
    </w:pPr>
    <w:rPr>
      <w:rFonts w:eastAsia="SimSun"/>
      <w:szCs w:val="24"/>
    </w:rPr>
  </w:style>
  <w:style w:type="paragraph" w:customStyle="1" w:styleId="Alt2-LevelLegal5">
    <w:name w:val="Alt 2-Level Legal5"/>
    <w:basedOn w:val="Normal"/>
    <w:pPr>
      <w:numPr>
        <w:ilvl w:val="4"/>
        <w:numId w:val="23"/>
      </w:numPr>
      <w:ind w:right="720"/>
      <w:jc w:val="both"/>
      <w:outlineLvl w:val="4"/>
    </w:pPr>
    <w:rPr>
      <w:rFonts w:eastAsia="SimSun"/>
      <w:szCs w:val="24"/>
    </w:rPr>
  </w:style>
  <w:style w:type="paragraph" w:customStyle="1" w:styleId="Alt2-LevelLegal6">
    <w:name w:val="Alt 2-Level Legal6"/>
    <w:basedOn w:val="Normal"/>
    <w:pPr>
      <w:numPr>
        <w:ilvl w:val="5"/>
        <w:numId w:val="23"/>
      </w:numPr>
      <w:jc w:val="both"/>
      <w:outlineLvl w:val="5"/>
    </w:pPr>
    <w:rPr>
      <w:rFonts w:eastAsia="SimSun"/>
      <w:szCs w:val="24"/>
    </w:rPr>
  </w:style>
  <w:style w:type="paragraph" w:customStyle="1" w:styleId="Alt2-LevelLegal7">
    <w:name w:val="Alt 2-Level Legal7"/>
    <w:basedOn w:val="Normal"/>
    <w:pPr>
      <w:numPr>
        <w:ilvl w:val="6"/>
        <w:numId w:val="23"/>
      </w:numPr>
      <w:ind w:left="1440"/>
      <w:outlineLvl w:val="6"/>
    </w:pPr>
    <w:rPr>
      <w:rFonts w:eastAsia="SimSun"/>
      <w:szCs w:val="24"/>
    </w:rPr>
  </w:style>
  <w:style w:type="character" w:styleId="Emphasis">
    <w:name w:val="Emphasis"/>
    <w:uiPriority w:val="20"/>
    <w:qFormat/>
    <w:rPr>
      <w:b/>
      <w:bCs/>
      <w:i/>
      <w:iCs/>
      <w:spacing w:val="10"/>
      <w:bdr w:val="none" w:sz="0" w:space="0" w:color="auto"/>
      <w:shd w:val="clear" w:color="auto" w:fill="auto"/>
    </w:rPr>
  </w:style>
  <w:style w:type="paragraph" w:customStyle="1" w:styleId="NoteLevel21">
    <w:name w:val="Note Level 21"/>
    <w:basedOn w:val="Normal"/>
    <w:qFormat/>
    <w:locked/>
    <w:pPr>
      <w:spacing w:after="0"/>
    </w:pPr>
    <w:rPr>
      <w:rFonts w:ascii="Arial" w:eastAsia="Calibri" w:hAnsi="Arial" w:cs="Consolas"/>
      <w:color w:val="auto"/>
      <w:szCs w:val="22"/>
      <w:lang w:eastAsia="en-US"/>
    </w:rPr>
  </w:style>
  <w:style w:type="paragraph" w:styleId="Quote">
    <w:name w:val="Quote"/>
    <w:basedOn w:val="Normal"/>
    <w:next w:val="Normal"/>
    <w:qFormat/>
    <w:locked/>
    <w:pPr>
      <w:spacing w:before="200" w:after="0"/>
      <w:ind w:left="360" w:right="360"/>
    </w:pPr>
    <w:rPr>
      <w:rFonts w:ascii="Arial" w:eastAsia="Calibri" w:hAnsi="Arial" w:cs="Consolas"/>
      <w:i/>
      <w:iCs/>
      <w:color w:val="auto"/>
      <w:szCs w:val="22"/>
      <w:lang w:eastAsia="en-US"/>
    </w:rPr>
  </w:style>
  <w:style w:type="paragraph" w:styleId="IntenseQuote">
    <w:name w:val="Intense Quote"/>
    <w:basedOn w:val="Normal"/>
    <w:next w:val="Normal"/>
    <w:qFormat/>
    <w:locked/>
    <w:pPr>
      <w:pBdr>
        <w:bottom w:val="single" w:sz="4" w:space="1" w:color="auto"/>
      </w:pBdr>
      <w:spacing w:before="200" w:after="280"/>
      <w:ind w:left="1008" w:right="1152"/>
      <w:jc w:val="both"/>
    </w:pPr>
    <w:rPr>
      <w:rFonts w:ascii="Arial" w:eastAsia="Calibri" w:hAnsi="Arial" w:cs="Consolas"/>
      <w:b/>
      <w:bCs/>
      <w:i/>
      <w:iCs/>
      <w:color w:val="auto"/>
      <w:szCs w:val="22"/>
      <w:lang w:eastAsia="en-US"/>
    </w:rPr>
  </w:style>
  <w:style w:type="character" w:styleId="SubtleEmphasis">
    <w:name w:val="Subtle Emphasis"/>
    <w:qFormat/>
    <w:locked/>
    <w:rPr>
      <w:i/>
      <w:iCs/>
    </w:rPr>
  </w:style>
  <w:style w:type="character" w:styleId="IntenseEmphasis">
    <w:name w:val="Intense Emphasis"/>
    <w:qFormat/>
    <w:locked/>
    <w:rPr>
      <w:b/>
      <w:bCs/>
    </w:rPr>
  </w:style>
  <w:style w:type="character" w:styleId="SubtleReference">
    <w:name w:val="Subtle Reference"/>
    <w:qFormat/>
    <w:locked/>
    <w:rPr>
      <w:smallCaps/>
    </w:rPr>
  </w:style>
  <w:style w:type="character" w:styleId="IntenseReference">
    <w:name w:val="Intense Reference"/>
    <w:qFormat/>
    <w:locked/>
    <w:rPr>
      <w:smallCaps/>
      <w:spacing w:val="5"/>
      <w:u w:val="single"/>
    </w:rPr>
  </w:style>
  <w:style w:type="character" w:styleId="BookTitle">
    <w:name w:val="Book Title"/>
    <w:qFormat/>
    <w:locked/>
    <w:rPr>
      <w:i/>
      <w:iCs/>
      <w:smallCaps/>
      <w:spacing w:val="5"/>
    </w:rPr>
  </w:style>
  <w:style w:type="paragraph" w:styleId="TOCHeading">
    <w:name w:val="TOC Heading"/>
    <w:basedOn w:val="Heading1"/>
    <w:next w:val="Normal"/>
    <w:uiPriority w:val="39"/>
    <w:qFormat/>
    <w:locked/>
    <w:pPr>
      <w:keepLines/>
      <w:spacing w:before="0"/>
      <w:ind w:left="0" w:firstLine="0"/>
      <w:outlineLvl w:val="9"/>
    </w:pPr>
    <w:rPr>
      <w:rFonts w:ascii="Arial" w:hAnsi="Arial"/>
      <w:bCs/>
      <w:color w:val="auto"/>
      <w:sz w:val="32"/>
      <w:szCs w:val="28"/>
      <w:lang w:eastAsia="en-US"/>
    </w:rPr>
  </w:style>
  <w:style w:type="character" w:customStyle="1" w:styleId="PlainTextChar">
    <w:name w:val="Plain Text Char"/>
    <w:uiPriority w:val="99"/>
    <w:rPr>
      <w:rFonts w:ascii="Consolas" w:hAnsi="Consolas" w:cs="Consolas"/>
      <w:noProof w:val="0"/>
      <w:sz w:val="21"/>
      <w:szCs w:val="21"/>
      <w:lang w:val="en-US" w:eastAsia="en-US"/>
    </w:rPr>
  </w:style>
  <w:style w:type="character" w:customStyle="1" w:styleId="BodyTextIndent3Char">
    <w:name w:val="Body Text Indent 3 Char"/>
    <w:rPr>
      <w:rFonts w:ascii="Times New Roman" w:eastAsia="MS Mincho" w:hAnsi="Times New Roman" w:cs="Times New Roman"/>
      <w:noProof w:val="0"/>
      <w:snapToGrid w:val="0"/>
      <w:color w:val="FF0000"/>
      <w:sz w:val="24"/>
      <w:lang w:eastAsia="zh-CN"/>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Pr>
      <w:rFonts w:ascii="Arial" w:eastAsia="MS Mincho" w:hAnsi="Arial" w:cs="Arial"/>
      <w:b/>
      <w:bCs/>
      <w:noProof w:val="0"/>
      <w:kern w:val="32"/>
      <w:sz w:val="32"/>
      <w:szCs w:val="32"/>
      <w:lang w:val="en-US" w:eastAsia="ja-JP" w:bidi="ar-SA"/>
    </w:rPr>
  </w:style>
  <w:style w:type="paragraph" w:customStyle="1" w:styleId="a0">
    <w:name w:val="吹き出し"/>
    <w:basedOn w:val="Normal"/>
    <w:semiHidden/>
    <w:pPr>
      <w:spacing w:after="0"/>
    </w:pPr>
    <w:rPr>
      <w:rFonts w:ascii="Tahoma" w:eastAsia="MS Mincho" w:hAnsi="Tahoma" w:cs="Consolas"/>
      <w:color w:val="auto"/>
      <w:sz w:val="16"/>
      <w:szCs w:val="16"/>
      <w:lang w:val="en-US" w:eastAsia="en-US"/>
    </w:rPr>
  </w:style>
  <w:style w:type="character" w:customStyle="1" w:styleId="SubParaa">
    <w:name w:val="SubPara (a) (文字) (文字)"/>
    <w:rPr>
      <w:rFonts w:ascii="Arial" w:eastAsia="MS Mincho" w:hAnsi="Arial" w:cs="Arial"/>
      <w:b/>
      <w:bCs/>
      <w:i/>
      <w:iCs/>
      <w:noProof w:val="0"/>
      <w:kern w:val="2"/>
      <w:sz w:val="28"/>
      <w:szCs w:val="28"/>
      <w:lang w:val="en-US" w:eastAsia="ja-JP" w:bidi="ar-SA"/>
    </w:rPr>
  </w:style>
  <w:style w:type="character" w:customStyle="1" w:styleId="1">
    <w:name w:val="(文字) (文字)1"/>
    <w:rPr>
      <w:rFonts w:eastAsia="SimSun"/>
      <w:noProof w:val="0"/>
      <w:sz w:val="24"/>
      <w:szCs w:val="24"/>
      <w:lang w:val="en-US" w:eastAsia="zh-CN" w:bidi="ar-SA"/>
    </w:rPr>
  </w:style>
  <w:style w:type="paragraph" w:customStyle="1" w:styleId="a1">
    <w:name w:val="コメント内容"/>
    <w:basedOn w:val="CommentText"/>
    <w:next w:val="CommentText"/>
    <w:pPr>
      <w:widowControl/>
      <w:spacing w:after="0"/>
    </w:pPr>
    <w:rPr>
      <w:rFonts w:ascii="Times New Roman" w:eastAsia="MS Mincho" w:hAnsi="Times New Roman"/>
      <w:b/>
      <w:bCs/>
      <w:lang w:val="en-US" w:eastAsia="en-US"/>
    </w:rPr>
  </w:style>
  <w:style w:type="character" w:customStyle="1" w:styleId="a2">
    <w:name w:val="(文字) (文字)"/>
    <w:rPr>
      <w:rFonts w:eastAsia="SimSun"/>
      <w:b/>
      <w:bCs/>
      <w:noProof w:val="0"/>
      <w:sz w:val="24"/>
      <w:szCs w:val="24"/>
      <w:lang w:val="en-US" w:eastAsia="en-US" w:bidi="ar-SA"/>
    </w:rPr>
  </w:style>
  <w:style w:type="character" w:customStyle="1" w:styleId="CarCar19">
    <w:name w:val="Car Car19"/>
    <w:locked/>
    <w:rPr>
      <w:rFonts w:eastAsia="MS Mincho"/>
      <w:noProof w:val="0"/>
      <w:color w:val="000000"/>
      <w:sz w:val="24"/>
      <w:szCs w:val="24"/>
      <w:lang w:val="en-GB" w:eastAsia="zh-CN" w:bidi="ar-SA"/>
    </w:rPr>
  </w:style>
  <w:style w:type="paragraph" w:customStyle="1" w:styleId="Decisionparagraphs">
    <w:name w:val="Decision paragraphs"/>
    <w:basedOn w:val="Normal"/>
    <w:autoRedefine/>
    <w:pPr>
      <w:spacing w:after="0"/>
    </w:pPr>
    <w:rPr>
      <w:i/>
      <w:color w:val="auto"/>
      <w:lang w:eastAsia="en-US"/>
    </w:rPr>
  </w:style>
  <w:style w:type="paragraph" w:customStyle="1" w:styleId="Style3">
    <w:name w:val="Style3"/>
    <w:basedOn w:val="Heading1"/>
    <w:pPr>
      <w:tabs>
        <w:tab w:val="left" w:pos="0"/>
        <w:tab w:val="left" w:pos="720"/>
        <w:tab w:val="num" w:pos="1492"/>
      </w:tabs>
      <w:spacing w:before="0" w:after="0"/>
      <w:ind w:left="720" w:hanging="720"/>
    </w:pPr>
    <w:rPr>
      <w:szCs w:val="28"/>
    </w:rPr>
  </w:style>
  <w:style w:type="paragraph" w:customStyle="1" w:styleId="Style4">
    <w:name w:val="Style4"/>
    <w:basedOn w:val="Heading2"/>
    <w:qFormat/>
    <w:pPr>
      <w:tabs>
        <w:tab w:val="left" w:pos="720"/>
      </w:tabs>
      <w:spacing w:after="0"/>
      <w:ind w:left="720" w:hanging="720"/>
    </w:pPr>
    <w:rPr>
      <w:snapToGrid/>
    </w:rPr>
  </w:style>
  <w:style w:type="paragraph" w:customStyle="1" w:styleId="Style5">
    <w:name w:val="Style5"/>
    <w:basedOn w:val="Heading311ptBold"/>
    <w:autoRedefine/>
    <w:pPr>
      <w:numPr>
        <w:ilvl w:val="0"/>
        <w:numId w:val="0"/>
      </w:numPr>
      <w:tabs>
        <w:tab w:val="clear" w:pos="1800"/>
        <w:tab w:val="left" w:pos="720"/>
        <w:tab w:val="center" w:pos="1440"/>
      </w:tabs>
      <w:spacing w:before="0" w:after="0"/>
    </w:pPr>
    <w:rPr>
      <w:b w:val="0"/>
      <w:snapToGrid/>
    </w:rPr>
  </w:style>
  <w:style w:type="paragraph" w:customStyle="1" w:styleId="Style6">
    <w:name w:val="Style6"/>
    <w:basedOn w:val="Heading311ptBold"/>
    <w:next w:val="Style5"/>
    <w:pPr>
      <w:numPr>
        <w:ilvl w:val="0"/>
        <w:numId w:val="0"/>
      </w:numPr>
      <w:tabs>
        <w:tab w:val="clear" w:pos="1800"/>
        <w:tab w:val="left" w:pos="720"/>
        <w:tab w:val="center" w:pos="1440"/>
      </w:tabs>
      <w:spacing w:before="0" w:after="0"/>
    </w:pPr>
    <w:rPr>
      <w:b w:val="0"/>
      <w:snapToGrid/>
    </w:rPr>
  </w:style>
  <w:style w:type="paragraph" w:customStyle="1" w:styleId="Style7">
    <w:name w:val="Style7"/>
    <w:basedOn w:val="Heading311ptBold"/>
    <w:pPr>
      <w:numPr>
        <w:ilvl w:val="0"/>
        <w:numId w:val="0"/>
      </w:numPr>
      <w:tabs>
        <w:tab w:val="clear" w:pos="1800"/>
        <w:tab w:val="left" w:pos="720"/>
        <w:tab w:val="center" w:pos="1440"/>
      </w:tabs>
      <w:spacing w:before="0" w:after="0"/>
      <w:ind w:left="720" w:hanging="720"/>
    </w:pPr>
    <w:rPr>
      <w:b w:val="0"/>
      <w:snapToGrid/>
    </w:rPr>
  </w:style>
  <w:style w:type="paragraph" w:customStyle="1" w:styleId="StyleHeading2SubParaaHeading2Char1CharSubParaaChar1">
    <w:name w:val="Style Heading 2SubPara (a)Heading 2 Char1 CharSubPara (a) Char1 ..."/>
    <w:basedOn w:val="Heading2"/>
    <w:autoRedefine/>
    <w:pPr>
      <w:tabs>
        <w:tab w:val="left" w:pos="720"/>
      </w:tabs>
      <w:spacing w:after="0"/>
    </w:pPr>
    <w:rPr>
      <w:bCs/>
      <w:snapToGrid/>
      <w:szCs w:val="20"/>
    </w:rPr>
  </w:style>
  <w:style w:type="paragraph" w:customStyle="1" w:styleId="StyleStyleHeading2SubParaaHeading2Char1CharSubParaaCha">
    <w:name w:val="Style Style Heading 2SubPara (a)Heading 2 Char1 CharSubPara (a) Cha..."/>
    <w:basedOn w:val="StyleHeading2SubParaaHeading2Char1CharSubParaaChar1"/>
  </w:style>
  <w:style w:type="paragraph" w:customStyle="1" w:styleId="StyleHeading4Left0Firstline0">
    <w:name w:val="Style Heading 4 + Left:  0&quot; First line:  0&quot;"/>
    <w:basedOn w:val="Heading4"/>
    <w:autoRedefine/>
    <w:pPr>
      <w:tabs>
        <w:tab w:val="clear" w:pos="1080"/>
      </w:tabs>
      <w:spacing w:after="0"/>
      <w:ind w:left="720"/>
    </w:pPr>
    <w:rPr>
      <w:b w:val="0"/>
      <w:bCs/>
      <w:snapToGrid/>
      <w:szCs w:val="20"/>
    </w:rPr>
  </w:style>
  <w:style w:type="paragraph" w:styleId="ListBullet2">
    <w:name w:val="List Bullet 2"/>
    <w:basedOn w:val="Normal"/>
    <w:semiHidden/>
    <w:pPr>
      <w:tabs>
        <w:tab w:val="num" w:pos="643"/>
      </w:tabs>
      <w:spacing w:after="0"/>
      <w:ind w:left="643" w:hanging="360"/>
    </w:pPr>
    <w:rPr>
      <w:color w:val="auto"/>
      <w:szCs w:val="24"/>
      <w:lang w:eastAsia="en-GB"/>
    </w:rPr>
  </w:style>
  <w:style w:type="paragraph" w:styleId="ListBullet3">
    <w:name w:val="List Bullet 3"/>
    <w:basedOn w:val="Normal"/>
    <w:semiHidden/>
    <w:pPr>
      <w:tabs>
        <w:tab w:val="num" w:pos="926"/>
      </w:tabs>
      <w:spacing w:after="0"/>
      <w:ind w:left="926" w:hanging="360"/>
    </w:pPr>
    <w:rPr>
      <w:color w:val="auto"/>
      <w:szCs w:val="24"/>
      <w:lang w:eastAsia="en-GB"/>
    </w:rPr>
  </w:style>
  <w:style w:type="paragraph" w:styleId="ListBullet4">
    <w:name w:val="List Bullet 4"/>
    <w:basedOn w:val="Normal"/>
    <w:semiHidden/>
    <w:pPr>
      <w:tabs>
        <w:tab w:val="num" w:pos="1209"/>
      </w:tabs>
      <w:spacing w:after="0"/>
      <w:ind w:left="1209" w:hanging="360"/>
    </w:pPr>
    <w:rPr>
      <w:color w:val="auto"/>
      <w:szCs w:val="24"/>
      <w:lang w:eastAsia="en-GB"/>
    </w:rPr>
  </w:style>
  <w:style w:type="paragraph" w:customStyle="1" w:styleId="ECMSHeading1">
    <w:name w:val="ECMS Heading 1"/>
    <w:basedOn w:val="Heading1"/>
    <w:pPr>
      <w:spacing w:after="1080"/>
      <w:ind w:left="0" w:firstLine="0"/>
    </w:pPr>
    <w:rPr>
      <w:rFonts w:ascii="Garamond" w:hAnsi="Garamond" w:cs="Arial"/>
      <w:bCs/>
      <w:color w:val="auto"/>
      <w:sz w:val="48"/>
      <w:szCs w:val="18"/>
      <w:lang w:eastAsia="en-GB"/>
    </w:rPr>
  </w:style>
  <w:style w:type="paragraph" w:customStyle="1" w:styleId="ECMStableheader">
    <w:name w:val="ECMS table header"/>
    <w:basedOn w:val="Normal"/>
    <w:pPr>
      <w:spacing w:after="0"/>
      <w:ind w:left="1320" w:hanging="1320"/>
    </w:pPr>
    <w:rPr>
      <w:b/>
      <w:color w:val="auto"/>
      <w:szCs w:val="24"/>
      <w:lang w:eastAsia="en-GB"/>
    </w:rPr>
  </w:style>
  <w:style w:type="paragraph" w:customStyle="1" w:styleId="Paralevel3">
    <w:name w:val="Para level3"/>
    <w:basedOn w:val="Normal"/>
    <w:autoRedefine/>
    <w:pPr>
      <w:numPr>
        <w:numId w:val="26"/>
      </w:numPr>
      <w:tabs>
        <w:tab w:val="clear" w:pos="2892"/>
        <w:tab w:val="num" w:pos="360"/>
      </w:tabs>
      <w:suppressAutoHyphens/>
      <w:spacing w:after="120"/>
      <w:ind w:left="0" w:firstLine="0"/>
    </w:pPr>
    <w:rPr>
      <w:color w:val="auto"/>
      <w:sz w:val="20"/>
      <w:lang w:eastAsia="en-US"/>
    </w:rPr>
  </w:style>
  <w:style w:type="character" w:customStyle="1" w:styleId="ANNEXESChar">
    <w:name w:val="ANNEXES Char"/>
    <w:rPr>
      <w:b/>
      <w:noProof w:val="0"/>
      <w:color w:val="000000"/>
      <w:sz w:val="28"/>
      <w:lang w:val="en-GB" w:eastAsia="zh-CN" w:bidi="ar-SA"/>
    </w:rPr>
  </w:style>
  <w:style w:type="character" w:customStyle="1" w:styleId="BodyTextChar">
    <w:name w:val="Body Text Char"/>
    <w:aliases w:val=" Char Char Char,Char Char Char,Body Text Char Char Char Char Char Char,Body Text Char Char Char Char Char1"/>
    <w:rPr>
      <w:rFonts w:ascii="Times New Roman" w:hAnsi="Times New Roman"/>
      <w:noProof w:val="0"/>
      <w:color w:val="000000"/>
      <w:lang w:val="en-GB" w:eastAsia="zh-CN"/>
    </w:rPr>
  </w:style>
  <w:style w:type="character" w:customStyle="1" w:styleId="BodyTextIndentChar">
    <w:name w:val="Body Text Indent Char"/>
    <w:rPr>
      <w:rFonts w:ascii="Times New Roman" w:hAnsi="Times New Roman"/>
      <w:noProof w:val="0"/>
      <w:color w:val="000000"/>
      <w:lang w:val="en-GB" w:eastAsia="zh-CN"/>
    </w:rPr>
  </w:style>
  <w:style w:type="paragraph" w:customStyle="1" w:styleId="ColorfulShading-Accent31">
    <w:name w:val="Colorful Shading - Accent 31"/>
    <w:basedOn w:val="Normal"/>
    <w:qFormat/>
    <w:pPr>
      <w:spacing w:after="0"/>
    </w:pPr>
    <w:rPr>
      <w:rFonts w:ascii="Cambria" w:eastAsia="Cambria" w:hAnsi="Cambria"/>
      <w:color w:val="auto"/>
      <w:sz w:val="24"/>
      <w:lang w:val="en-US"/>
    </w:rPr>
  </w:style>
  <w:style w:type="paragraph" w:customStyle="1" w:styleId="summarylevel3">
    <w:name w:val="summary level3"/>
    <w:basedOn w:val="Heading3"/>
    <w:next w:val="Normal"/>
    <w:pPr>
      <w:keepLines w:val="0"/>
      <w:suppressLineNumbers/>
      <w:tabs>
        <w:tab w:val="left" w:pos="851"/>
      </w:tabs>
      <w:spacing w:before="100"/>
    </w:pPr>
    <w:rPr>
      <w:rFonts w:ascii="Times New Roman Bold" w:hAnsi="Times New Roman Bold"/>
      <w:snapToGrid/>
      <w:lang w:val="en-AU"/>
    </w:rPr>
  </w:style>
  <w:style w:type="paragraph" w:customStyle="1" w:styleId="intro">
    <w:name w:val="intro"/>
    <w:basedOn w:val="Normal"/>
    <w:pPr>
      <w:spacing w:before="100" w:after="100"/>
    </w:pPr>
    <w:rPr>
      <w:color w:val="auto"/>
      <w:sz w:val="24"/>
      <w:lang w:val="en-US" w:eastAsia="ja-JP"/>
    </w:rPr>
  </w:style>
  <w:style w:type="paragraph" w:customStyle="1" w:styleId="BodyTextLeft">
    <w:name w:val="Body Text Left"/>
    <w:basedOn w:val="Normal"/>
    <w:pPr>
      <w:widowControl w:val="0"/>
    </w:pPr>
    <w:rPr>
      <w:rFonts w:eastAsia="MS Mincho"/>
      <w:color w:val="auto"/>
      <w:kern w:val="2"/>
      <w:sz w:val="24"/>
      <w:lang w:eastAsia="ja-JP"/>
    </w:rPr>
  </w:style>
  <w:style w:type="paragraph" w:customStyle="1" w:styleId="bullet0">
    <w:name w:val="bullet"/>
    <w:basedOn w:val="Normal"/>
    <w:autoRedefine/>
    <w:pPr>
      <w:spacing w:after="0"/>
      <w:ind w:left="1080"/>
    </w:pPr>
    <w:rPr>
      <w:color w:val="auto"/>
      <w:sz w:val="24"/>
    </w:rPr>
  </w:style>
  <w:style w:type="paragraph" w:customStyle="1" w:styleId="ExecSumHeading">
    <w:name w:val="Exec Sum Heading"/>
    <w:basedOn w:val="Heading1"/>
    <w:pPr>
      <w:widowControl w:val="0"/>
      <w:tabs>
        <w:tab w:val="left" w:pos="851"/>
      </w:tabs>
      <w:spacing w:before="240"/>
    </w:pPr>
    <w:rPr>
      <w:rFonts w:ascii="Times New Roman Bold" w:eastAsia="MS Mincho" w:hAnsi="Times New Roman Bold"/>
      <w:color w:val="auto"/>
      <w:kern w:val="32"/>
      <w:sz w:val="30"/>
    </w:rPr>
  </w:style>
  <w:style w:type="character" w:customStyle="1" w:styleId="text">
    <w:name w:val="text"/>
    <w:basedOn w:val="DefaultParagraphFont"/>
  </w:style>
  <w:style w:type="paragraph" w:customStyle="1" w:styleId="StyleHeading1Para1Heading1Char1CharHeading1CharCharC">
    <w:name w:val="Style Heading 1Para (1)Heading 1 Char1 CharHeading 1 Char Char C..."/>
    <w:basedOn w:val="Heading1"/>
    <w:pPr>
      <w:tabs>
        <w:tab w:val="left" w:pos="851"/>
      </w:tabs>
      <w:spacing w:before="240" w:after="60"/>
    </w:pPr>
    <w:rPr>
      <w:rFonts w:ascii="Times New Roman Bold" w:hAnsi="Times New Roman Bold"/>
      <w:kern w:val="32"/>
      <w:sz w:val="30"/>
      <w:lang w:val="en-US"/>
    </w:rPr>
  </w:style>
  <w:style w:type="character" w:customStyle="1" w:styleId="StyleHeading1Para1Heading1Char1CharHeading1CharCharCChar">
    <w:name w:val="Style Heading 1Para (1)Heading 1 Char1 CharHeading 1 Char Char C... Char"/>
    <w:rPr>
      <w:rFonts w:cs="Arial"/>
      <w:b/>
      <w:bCs/>
      <w:noProof w:val="0"/>
      <w:color w:val="000000"/>
      <w:kern w:val="32"/>
      <w:sz w:val="28"/>
      <w:szCs w:val="32"/>
      <w:lang w:val="en-US" w:eastAsia="en-US" w:bidi="ar-SA"/>
    </w:rPr>
  </w:style>
  <w:style w:type="paragraph" w:customStyle="1" w:styleId="StyleBodyTextLeftAfter0pt">
    <w:name w:val="Style Body Text Left + After:  0 pt"/>
    <w:basedOn w:val="BodyTextLeft"/>
    <w:rPr>
      <w:lang w:eastAsia="zh-CN"/>
    </w:rPr>
  </w:style>
  <w:style w:type="paragraph" w:customStyle="1" w:styleId="StyleBodyTextIndent2Firstline0cm">
    <w:name w:val="Style Body Text Indent 2 + First line:  0 cm"/>
    <w:basedOn w:val="BodyTextIndent2"/>
    <w:pPr>
      <w:spacing w:after="240"/>
      <w:ind w:firstLine="0"/>
    </w:pPr>
  </w:style>
  <w:style w:type="paragraph" w:customStyle="1" w:styleId="StyleBodyTextIndent2Firstline0cm1">
    <w:name w:val="Style Body Text Indent 2 + First line:  0 cm1"/>
    <w:basedOn w:val="BodyTextIndent2"/>
    <w:pPr>
      <w:spacing w:after="240"/>
      <w:ind w:firstLine="0"/>
    </w:pPr>
  </w:style>
  <w:style w:type="paragraph" w:customStyle="1" w:styleId="NormalBold">
    <w:name w:val="Normal + Bold"/>
    <w:aliases w:val="Italic,Centered"/>
    <w:basedOn w:val="Execlevel3"/>
    <w:pPr>
      <w:spacing w:after="240"/>
      <w:jc w:val="center"/>
    </w:pPr>
  </w:style>
  <w:style w:type="paragraph" w:styleId="List5">
    <w:name w:val="List 5"/>
    <w:basedOn w:val="Normal"/>
    <w:semiHidden/>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255612"/>
    <w:pPr>
      <w:tabs>
        <w:tab w:val="left" w:pos="720"/>
        <w:tab w:val="right" w:pos="9360"/>
      </w:tabs>
      <w:spacing w:after="0"/>
    </w:pPr>
    <w:rPr>
      <w:rFonts w:ascii="Helvetica" w:hAnsi="Helvetica"/>
      <w:color w:val="auto"/>
      <w:lang w:val="en-US"/>
    </w:rPr>
  </w:style>
  <w:style w:type="character" w:customStyle="1" w:styleId="CommentTextChar1">
    <w:name w:val="Comment Text Char1"/>
    <w:rPr>
      <w:rFonts w:cs="Times New Roman"/>
      <w:noProof w:val="0"/>
      <w:sz w:val="24"/>
      <w:lang w:val="en-US" w:eastAsia="ja-JP"/>
    </w:rPr>
  </w:style>
  <w:style w:type="character" w:customStyle="1" w:styleId="CommentTextChar">
    <w:name w:val="Comment Text Char"/>
    <w:uiPriority w:val="99"/>
    <w:rPr>
      <w:rFonts w:ascii="Times New Roman" w:hAnsi="Times New Roman" w:cs="Times New Roman"/>
      <w:noProof w:val="0"/>
      <w:sz w:val="24"/>
      <w:lang w:val="x-none" w:eastAsia="ja-JP"/>
    </w:rPr>
  </w:style>
  <w:style w:type="character" w:customStyle="1" w:styleId="BalloonTextChar">
    <w:name w:val="Balloon Text Char"/>
    <w:uiPriority w:val="99"/>
    <w:rPr>
      <w:rFonts w:ascii="Tahoma" w:hAnsi="Tahoma" w:cs="MS Mincho"/>
      <w:sz w:val="16"/>
    </w:rPr>
  </w:style>
  <w:style w:type="character" w:customStyle="1" w:styleId="CommentSubjectChar">
    <w:name w:val="Comment Subject Char"/>
    <w:uiPriority w:val="99"/>
    <w:rPr>
      <w:rFonts w:eastAsia="Times New Roman" w:cs="Times New Roman"/>
      <w:b/>
      <w:bCs/>
      <w:noProof w:val="0"/>
      <w:sz w:val="24"/>
      <w:lang w:val="en-US" w:eastAsia="ja-JP"/>
    </w:rPr>
  </w:style>
  <w:style w:type="character" w:customStyle="1" w:styleId="Heading5Char">
    <w:name w:val="Heading 5 Char"/>
    <w:aliases w:val="Subpara 2 Char"/>
    <w:uiPriority w:val="9"/>
    <w:rPr>
      <w:rFonts w:ascii="Cambria" w:eastAsia="Times New Roman" w:hAnsi="Cambria" w:cs="Times New Roman"/>
      <w:color w:val="243F60"/>
    </w:rPr>
  </w:style>
  <w:style w:type="character" w:customStyle="1" w:styleId="Heading6Char">
    <w:name w:val="Heading 6 Char"/>
    <w:aliases w:val="Subpara 3 Char"/>
    <w:uiPriority w:val="9"/>
    <w:rPr>
      <w:rFonts w:ascii="Cambria" w:eastAsia="Times New Roman" w:hAnsi="Cambria" w:cs="Times New Roman"/>
      <w:i/>
      <w:iCs/>
      <w:color w:val="243F60"/>
    </w:rPr>
  </w:style>
  <w:style w:type="character" w:customStyle="1" w:styleId="Heading7Char">
    <w:name w:val="Heading 7 Char"/>
    <w:aliases w:val="Subpara 4 Char"/>
    <w:uiPriority w:val="9"/>
    <w:rPr>
      <w:rFonts w:ascii="Cambria" w:eastAsia="Times New Roman" w:hAnsi="Cambria" w:cs="Times New Roman"/>
      <w:i/>
      <w:iCs/>
      <w:color w:val="404040"/>
    </w:rPr>
  </w:style>
  <w:style w:type="character" w:customStyle="1" w:styleId="Heading8Char">
    <w:name w:val="Heading 8 Char"/>
    <w:aliases w:val="Subpara 5 Char"/>
    <w:uiPriority w:val="9"/>
    <w:rPr>
      <w:rFonts w:ascii="Cambria" w:eastAsia="Times New Roman" w:hAnsi="Cambria" w:cs="Times New Roman"/>
      <w:color w:val="404040"/>
      <w:sz w:val="20"/>
      <w:szCs w:val="20"/>
    </w:rPr>
  </w:style>
  <w:style w:type="character" w:customStyle="1" w:styleId="Heading9Char">
    <w:name w:val="Heading 9 Char"/>
    <w:aliases w:val="Subpara 6 Char"/>
    <w:uiPriority w:val="9"/>
    <w:rPr>
      <w:rFonts w:ascii="Cambria" w:eastAsia="Times New Roman" w:hAnsi="Cambria" w:cs="Times New Roman"/>
      <w:i/>
      <w:iCs/>
      <w:color w:val="404040"/>
      <w:sz w:val="20"/>
      <w:szCs w:val="20"/>
    </w:rPr>
  </w:style>
  <w:style w:type="paragraph" w:customStyle="1" w:styleId="Paraindent">
    <w:name w:val="Para indent"/>
    <w:basedOn w:val="Normal"/>
    <w:qFormat/>
    <w:pPr>
      <w:widowControl w:val="0"/>
      <w:spacing w:before="120" w:after="120"/>
      <w:ind w:left="709" w:right="720"/>
      <w:jc w:val="both"/>
    </w:pPr>
    <w:rPr>
      <w:i/>
      <w:sz w:val="20"/>
    </w:rPr>
  </w:style>
  <w:style w:type="paragraph" w:customStyle="1" w:styleId="BulletsinTable">
    <w:name w:val="Bullets in Table"/>
    <w:basedOn w:val="ListParagraph1"/>
    <w:qFormat/>
    <w:pPr>
      <w:numPr>
        <w:numId w:val="9"/>
      </w:numPr>
      <w:autoSpaceDE w:val="0"/>
      <w:autoSpaceDN w:val="0"/>
      <w:adjustRightInd w:val="0"/>
      <w:ind w:left="720" w:right="720"/>
      <w:jc w:val="left"/>
    </w:pPr>
    <w:rPr>
      <w:rFonts w:ascii="Times New Roman" w:eastAsia="Times New Roman" w:hAnsi="Times New Roman"/>
      <w:i/>
      <w:color w:val="000000"/>
      <w:sz w:val="20"/>
      <w:lang w:val="en"/>
    </w:rPr>
  </w:style>
  <w:style w:type="paragraph" w:customStyle="1" w:styleId="Annex">
    <w:name w:val="Annex"/>
    <w:basedOn w:val="Caption"/>
    <w:qFormat/>
    <w:pPr>
      <w:spacing w:before="100" w:after="100" w:line="240" w:lineRule="auto"/>
      <w:ind w:left="426" w:right="720"/>
    </w:pPr>
    <w:rPr>
      <w:b/>
      <w:caps/>
      <w:color w:val="auto"/>
      <w:sz w:val="20"/>
    </w:rPr>
  </w:style>
  <w:style w:type="paragraph" w:customStyle="1" w:styleId="Tableandfigureheadings">
    <w:name w:val="Table and figure headings"/>
    <w:basedOn w:val="TableofFigures"/>
    <w:qFormat/>
    <w:pPr>
      <w:keepNext/>
      <w:ind w:left="0" w:right="720" w:firstLine="0"/>
      <w:jc w:val="left"/>
    </w:pPr>
    <w:rPr>
      <w:rFonts w:eastAsia="Times New Roman"/>
      <w:i/>
      <w:caps w:val="0"/>
      <w:sz w:val="24"/>
    </w:rPr>
  </w:style>
  <w:style w:type="paragraph" w:customStyle="1" w:styleId="Bulletsnumbered">
    <w:name w:val="Bullets numbered"/>
    <w:basedOn w:val="Paraindent"/>
    <w:qFormat/>
    <w:pPr>
      <w:tabs>
        <w:tab w:val="num" w:pos="720"/>
      </w:tabs>
      <w:ind w:left="1560" w:hanging="720"/>
    </w:pPr>
  </w:style>
  <w:style w:type="paragraph" w:customStyle="1" w:styleId="Style">
    <w:name w:val="Style"/>
    <w:pPr>
      <w:widowControl w:val="0"/>
      <w:numPr>
        <w:numId w:val="29"/>
      </w:numPr>
      <w:tabs>
        <w:tab w:val="clear" w:pos="720"/>
      </w:tabs>
      <w:autoSpaceDE w:val="0"/>
      <w:autoSpaceDN w:val="0"/>
      <w:adjustRightInd w:val="0"/>
      <w:ind w:left="0" w:firstLine="0"/>
    </w:pPr>
    <w:rPr>
      <w:rFonts w:ascii="Arial" w:hAnsi="Arial"/>
      <w:sz w:val="24"/>
      <w:lang w:val="en-GB" w:eastAsia="ko-KR"/>
    </w:rPr>
  </w:style>
  <w:style w:type="paragraph" w:customStyle="1" w:styleId="Chapternumber">
    <w:name w:val="Chapter number"/>
    <w:basedOn w:val="Normal"/>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Pr>
      <w:rFonts w:ascii="FrutigerLTStd-Bold" w:hAnsi="FrutigerLTStd-Bold" w:cs="Verdana"/>
      <w:b/>
      <w:bCs/>
    </w:rPr>
  </w:style>
  <w:style w:type="paragraph" w:customStyle="1" w:styleId="Section3numbered">
    <w:name w:val="Section 3 numbered"/>
    <w:pPr>
      <w:numPr>
        <w:numId w:val="30"/>
      </w:numPr>
      <w:tabs>
        <w:tab w:val="clear" w:pos="72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pPr>
      <w:tabs>
        <w:tab w:val="num" w:pos="0"/>
      </w:tabs>
      <w:spacing w:after="227"/>
      <w:ind w:left="578"/>
    </w:pPr>
    <w:rPr>
      <w:rFonts w:ascii="FrutigerLTStd-Light" w:hAnsi="FrutigerLTStd-Light"/>
      <w:color w:val="000000"/>
      <w:sz w:val="24"/>
      <w:lang w:val="en-GB" w:eastAsia="ko-KR"/>
    </w:rPr>
  </w:style>
  <w:style w:type="paragraph" w:customStyle="1" w:styleId="BasicParagraph">
    <w:name w:val="[Basic Paragraph]"/>
    <w:basedOn w:val="Normal"/>
    <w:pPr>
      <w:widowControl w:val="0"/>
      <w:numPr>
        <w:numId w:val="31"/>
      </w:numPr>
      <w:tabs>
        <w:tab w:val="clear" w:pos="720"/>
      </w:tabs>
      <w:autoSpaceDE w:val="0"/>
      <w:autoSpaceDN w:val="0"/>
      <w:adjustRightInd w:val="0"/>
      <w:spacing w:before="100" w:after="0" w:line="288" w:lineRule="auto"/>
      <w:ind w:left="0" w:right="720" w:firstLine="0"/>
      <w:textAlignment w:val="center"/>
    </w:pPr>
    <w:rPr>
      <w:rFonts w:ascii="Times-Roman" w:hAnsi="Times-Roman"/>
      <w:i/>
      <w:sz w:val="24"/>
      <w:lang w:val="en-US"/>
    </w:rPr>
  </w:style>
  <w:style w:type="character" w:customStyle="1" w:styleId="t1">
    <w:name w:val="t1"/>
    <w:basedOn w:val="DefaultParagraphFont"/>
  </w:style>
  <w:style w:type="paragraph" w:customStyle="1" w:styleId="Bulletstechnologytable">
    <w:name w:val="Bullets technology table"/>
    <w:basedOn w:val="BulletsinTable"/>
    <w:qFormat/>
    <w:pPr>
      <w:ind w:left="175" w:hanging="142"/>
    </w:pPr>
  </w:style>
  <w:style w:type="paragraph" w:customStyle="1" w:styleId="Recommendationsnumbered">
    <w:name w:val="Recommendations numbered"/>
    <w:basedOn w:val="Bulletsnumbered"/>
    <w:qFormat/>
    <w:pPr>
      <w:ind w:left="1134" w:hanging="425"/>
    </w:pPr>
  </w:style>
  <w:style w:type="paragraph" w:customStyle="1" w:styleId="wbtbullet1">
    <w:name w:val="wbtbullet1"/>
    <w:basedOn w:val="Normal"/>
    <w:pPr>
      <w:spacing w:before="100" w:after="0"/>
      <w:ind w:right="720"/>
      <w:jc w:val="both"/>
    </w:pPr>
    <w:rPr>
      <w:rFonts w:ascii="Verdana" w:hAnsi="Verdana"/>
      <w:i/>
      <w:color w:val="auto"/>
      <w:sz w:val="16"/>
    </w:rPr>
  </w:style>
  <w:style w:type="paragraph" w:customStyle="1" w:styleId="Box">
    <w:name w:val="Box"/>
    <w:basedOn w:val="BodyText"/>
    <w:qFormat/>
    <w:pPr>
      <w:numPr>
        <w:ilvl w:val="1"/>
        <w:numId w:val="7"/>
      </w:numPr>
      <w:pBdr>
        <w:top w:val="single" w:sz="4" w:space="1" w:color="auto"/>
        <w:left w:val="single" w:sz="4" w:space="4" w:color="auto"/>
        <w:bottom w:val="single" w:sz="4" w:space="1" w:color="auto"/>
        <w:right w:val="single" w:sz="4" w:space="4" w:color="auto"/>
      </w:pBdr>
      <w:spacing w:before="100" w:after="0" w:line="240" w:lineRule="auto"/>
      <w:ind w:right="720"/>
    </w:pPr>
    <w:rPr>
      <w:rFonts w:ascii="Calibri" w:hAnsi="Calibri"/>
      <w:i/>
      <w:color w:val="auto"/>
      <w:spacing w:val="-2"/>
      <w:sz w:val="18"/>
      <w:lang w:val="en-US"/>
    </w:rPr>
  </w:style>
  <w:style w:type="character" w:customStyle="1" w:styleId="content1">
    <w:name w:val="content1"/>
    <w:rPr>
      <w:rFonts w:ascii="Trebuchet MS" w:hAnsi="Trebuchet MS" w:hint="default"/>
      <w:color w:val="292929"/>
      <w:sz w:val="18"/>
      <w:szCs w:val="18"/>
    </w:rPr>
  </w:style>
  <w:style w:type="character" w:customStyle="1" w:styleId="smbody1">
    <w:name w:val="smbody1"/>
    <w:rPr>
      <w:rFonts w:ascii="Verdana" w:hAnsi="Verdana" w:hint="default"/>
      <w:color w:val="333333"/>
      <w:sz w:val="15"/>
      <w:szCs w:val="15"/>
    </w:rPr>
  </w:style>
  <w:style w:type="paragraph" w:customStyle="1" w:styleId="Text0">
    <w:name w:val="Text"/>
    <w:basedOn w:val="Normal"/>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pPr>
      <w:keepLines w:val="0"/>
      <w:numPr>
        <w:ilvl w:val="2"/>
        <w:numId w:val="1"/>
      </w:numPr>
      <w:tabs>
        <w:tab w:val="num" w:pos="1800"/>
      </w:tabs>
      <w:spacing w:before="240" w:after="60"/>
      <w:ind w:left="1440" w:firstLine="0"/>
    </w:pPr>
    <w:rPr>
      <w:b/>
      <w:i w:val="0"/>
      <w:snapToGrid/>
    </w:rPr>
  </w:style>
  <w:style w:type="character" w:customStyle="1" w:styleId="TitleChar">
    <w:name w:val="Title Char"/>
    <w:rPr>
      <w:rFonts w:ascii="Arial" w:eastAsia="Times New Roman" w:hAnsi="Arial" w:cs="Arial"/>
      <w:b/>
      <w:bCs/>
      <w:kern w:val="28"/>
      <w:sz w:val="28"/>
      <w:szCs w:val="32"/>
      <w:lang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character" w:customStyle="1" w:styleId="BodyText3Char">
    <w:name w:val="Body Text 3 Char"/>
    <w:rPr>
      <w:rFonts w:ascii="Arial" w:eastAsia="Times New Roman" w:hAnsi="Arial" w:cs="Times New Roman"/>
      <w:sz w:val="16"/>
      <w:szCs w:val="16"/>
      <w:lang w:eastAsia="en-US"/>
    </w:rPr>
  </w:style>
  <w:style w:type="paragraph" w:customStyle="1" w:styleId="TablesinAnnexlandscape">
    <w:name w:val="Tables in Annex landscape"/>
    <w:basedOn w:val="Table"/>
    <w:qFormat/>
    <w:pPr>
      <w:keepLines w:val="0"/>
      <w:spacing w:before="120" w:after="120"/>
      <w:ind w:left="709" w:right="720"/>
    </w:pPr>
    <w:rPr>
      <w:b/>
      <w:i/>
      <w:snapToGrid/>
    </w:rPr>
  </w:style>
  <w:style w:type="paragraph" w:customStyle="1" w:styleId="Tablefootnote">
    <w:name w:val="Table footnote"/>
    <w:basedOn w:val="Normal"/>
    <w:qFormat/>
    <w:pPr>
      <w:tabs>
        <w:tab w:val="left" w:pos="3000"/>
      </w:tabs>
      <w:spacing w:before="100" w:after="0"/>
      <w:ind w:left="709" w:right="720"/>
    </w:pPr>
    <w:rPr>
      <w:i/>
      <w:color w:val="auto"/>
      <w:sz w:val="18"/>
    </w:rPr>
  </w:style>
  <w:style w:type="paragraph" w:customStyle="1" w:styleId="TableinfrontwithmeandKJ">
    <w:name w:val="Table in front with me and KJ"/>
    <w:basedOn w:val="Normal"/>
    <w:qFormat/>
    <w:pPr>
      <w:spacing w:before="60" w:after="60"/>
      <w:ind w:right="720"/>
    </w:pPr>
    <w:rPr>
      <w:i/>
      <w:color w:val="auto"/>
      <w:sz w:val="18"/>
    </w:rPr>
  </w:style>
  <w:style w:type="paragraph" w:customStyle="1" w:styleId="ParaindentItalicsubheader">
    <w:name w:val="Para indent Italic subheader"/>
    <w:basedOn w:val="Paraindent"/>
    <w:qFormat/>
    <w:rPr>
      <w:i w:val="0"/>
    </w:rPr>
  </w:style>
  <w:style w:type="paragraph" w:customStyle="1" w:styleId="Paratextintable">
    <w:name w:val="Para text in table"/>
    <w:basedOn w:val="Normal"/>
    <w:qFormat/>
    <w:pPr>
      <w:spacing w:before="120" w:after="120"/>
      <w:ind w:right="720"/>
    </w:pPr>
    <w:rPr>
      <w:color w:val="auto"/>
      <w:sz w:val="18"/>
      <w:lang w:val="en-US"/>
    </w:rPr>
  </w:style>
  <w:style w:type="paragraph" w:customStyle="1" w:styleId="Bulletsnumberedintable">
    <w:name w:val="Bullets numbered in table"/>
    <w:basedOn w:val="ListParagraph1"/>
    <w:qFormat/>
    <w:pPr>
      <w:numPr>
        <w:numId w:val="10"/>
      </w:numPr>
      <w:spacing w:before="100" w:after="0"/>
      <w:ind w:right="720"/>
      <w:jc w:val="left"/>
    </w:pPr>
    <w:rPr>
      <w:rFonts w:ascii="Times New Roman" w:eastAsia="Times New Roman" w:hAnsi="Times New Roman"/>
      <w:i/>
      <w:sz w:val="18"/>
      <w:lang w:val="en-US"/>
    </w:rPr>
  </w:style>
  <w:style w:type="paragraph" w:customStyle="1" w:styleId="Paranumbered">
    <w:name w:val="Para numbered"/>
    <w:basedOn w:val="ListParagraph1"/>
    <w:qFormat/>
    <w:pPr>
      <w:numPr>
        <w:numId w:val="11"/>
      </w:numPr>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qFormat/>
    <w:pPr>
      <w:numPr>
        <w:numId w:val="0"/>
      </w:numPr>
      <w:autoSpaceDE w:val="0"/>
      <w:autoSpaceDN w:val="0"/>
      <w:adjustRightInd w:val="0"/>
      <w:ind w:left="1985" w:right="720" w:hanging="360"/>
      <w:jc w:val="left"/>
    </w:pPr>
    <w:rPr>
      <w:rFonts w:ascii="Times New Roman" w:eastAsia="Times New Roman" w:hAnsi="Times New Roman"/>
      <w:i/>
      <w:color w:val="000000"/>
      <w:lang w:val="en"/>
    </w:rPr>
  </w:style>
  <w:style w:type="paragraph" w:customStyle="1" w:styleId="TableandFigureVol1">
    <w:name w:val="Table and Figure Vol 1"/>
    <w:basedOn w:val="Caption"/>
    <w:qFormat/>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pPr>
      <w:numPr>
        <w:numId w:val="33"/>
      </w:numPr>
      <w:spacing w:before="180" w:after="0" w:line="250" w:lineRule="exact"/>
      <w:ind w:left="0" w:right="720" w:firstLine="0"/>
      <w:jc w:val="both"/>
    </w:pPr>
    <w:rPr>
      <w:i/>
      <w:color w:val="auto"/>
      <w:sz w:val="20"/>
    </w:rPr>
  </w:style>
  <w:style w:type="character" w:customStyle="1" w:styleId="ft">
    <w:name w:val="ft"/>
  </w:style>
  <w:style w:type="character" w:customStyle="1" w:styleId="googqs-tidbit-0">
    <w:name w:val="goog_qs-tidbit-0"/>
    <w:basedOn w:val="DefaultParagraphFont"/>
  </w:style>
  <w:style w:type="character" w:customStyle="1" w:styleId="style81">
    <w:name w:val="style81"/>
    <w:rPr>
      <w:rFonts w:ascii="Verdana" w:hAnsi="Verdana" w:hint="default"/>
      <w:color w:val="008000"/>
      <w:sz w:val="27"/>
      <w:szCs w:val="27"/>
    </w:rPr>
  </w:style>
  <w:style w:type="character" w:customStyle="1" w:styleId="A6">
    <w:name w:val="A6"/>
    <w:rPr>
      <w:rFonts w:cs="Georgia"/>
      <w:color w:val="000000"/>
      <w:sz w:val="20"/>
      <w:szCs w:val="20"/>
    </w:rPr>
  </w:style>
  <w:style w:type="character" w:customStyle="1" w:styleId="googqs-tidbit1">
    <w:name w:val="goog_qs-tidbit1"/>
    <w:rPr>
      <w:vanish w:val="0"/>
      <w:webHidden w:val="0"/>
      <w:specVanish w:val="0"/>
    </w:rPr>
  </w:style>
  <w:style w:type="paragraph" w:customStyle="1" w:styleId="bodytext0">
    <w:name w:val="bodytext"/>
    <w:basedOn w:val="Normal"/>
    <w:pPr>
      <w:spacing w:before="100" w:after="100"/>
      <w:ind w:right="720"/>
    </w:pPr>
    <w:rPr>
      <w:i/>
      <w:color w:val="auto"/>
      <w:sz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pPr>
      <w:numPr>
        <w:numId w:val="13"/>
      </w:numPr>
      <w:spacing w:before="100" w:after="0"/>
      <w:ind w:right="720"/>
    </w:pPr>
    <w:rPr>
      <w:i/>
      <w:noProof/>
      <w:color w:val="auto"/>
      <w:sz w:val="18"/>
    </w:rPr>
  </w:style>
  <w:style w:type="character" w:customStyle="1" w:styleId="Bold">
    <w:name w:val="Bold"/>
    <w:rPr>
      <w:b/>
    </w:rPr>
  </w:style>
  <w:style w:type="character" w:customStyle="1" w:styleId="BoldItalic">
    <w:name w:val="Bold Italic"/>
    <w:rPr>
      <w:b/>
      <w:i/>
    </w:rPr>
  </w:style>
  <w:style w:type="character" w:customStyle="1" w:styleId="BoldItalicUnderline">
    <w:name w:val="Bold Italic Underline"/>
    <w:rPr>
      <w:b/>
      <w:i/>
      <w:u w:val="single"/>
    </w:rPr>
  </w:style>
  <w:style w:type="character" w:customStyle="1" w:styleId="BoldUnderline">
    <w:name w:val="Bold Underline"/>
    <w:rPr>
      <w:b/>
      <w:u w:val="single"/>
    </w:rPr>
  </w:style>
  <w:style w:type="paragraph" w:customStyle="1" w:styleId="BoxText">
    <w:name w:val="Box Text"/>
    <w:basedOn w:val="BoxNewPara"/>
    <w:pPr>
      <w:tabs>
        <w:tab w:val="clear" w:pos="425"/>
        <w:tab w:val="left" w:pos="426"/>
      </w:tabs>
    </w:pPr>
  </w:style>
  <w:style w:type="paragraph" w:customStyle="1" w:styleId="BoxNewPara">
    <w:name w:val="Box NewPara"/>
    <w:basedOn w:val="Normal"/>
    <w:next w:val="Normal"/>
    <w:pPr>
      <w:pBdr>
        <w:left w:val="single" w:sz="6" w:space="1" w:color="auto"/>
        <w:right w:val="single" w:sz="6" w:space="1" w:color="auto"/>
      </w:pBdr>
      <w:shd w:val="pct10" w:color="auto" w:fill="auto"/>
      <w:tabs>
        <w:tab w:val="left" w:pos="425"/>
        <w:tab w:val="num" w:pos="720"/>
      </w:tabs>
      <w:spacing w:before="100" w:after="0"/>
      <w:ind w:left="720" w:right="720" w:hanging="360"/>
      <w:jc w:val="both"/>
    </w:pPr>
    <w:rPr>
      <w:i/>
      <w:noProof/>
      <w:color w:val="auto"/>
      <w:sz w:val="20"/>
    </w:rPr>
  </w:style>
  <w:style w:type="paragraph" w:customStyle="1" w:styleId="FigureCaption">
    <w:name w:val="Figure Caption"/>
    <w:basedOn w:val="Normal"/>
    <w:pPr>
      <w:spacing w:before="120" w:after="0"/>
      <w:ind w:right="720"/>
    </w:pPr>
    <w:rPr>
      <w:noProof/>
      <w:color w:val="auto"/>
      <w:sz w:val="18"/>
    </w:rPr>
  </w:style>
  <w:style w:type="paragraph" w:customStyle="1" w:styleId="BoxNote">
    <w:name w:val="Box Note"/>
    <w:basedOn w:val="Normal"/>
    <w:next w:val="Normal"/>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pPr>
      <w:numPr>
        <w:numId w:val="35"/>
      </w:numPr>
      <w:tabs>
        <w:tab w:val="clear" w:pos="720"/>
        <w:tab w:val="left" w:pos="709"/>
      </w:tabs>
      <w:spacing w:before="160" w:after="20"/>
      <w:ind w:left="0" w:right="720" w:firstLine="0"/>
    </w:pPr>
    <w:rPr>
      <w:i/>
      <w:noProof/>
      <w:color w:val="auto"/>
      <w:sz w:val="18"/>
    </w:rPr>
  </w:style>
  <w:style w:type="paragraph" w:customStyle="1" w:styleId="BoxParaTitle">
    <w:name w:val="Box ParaTitle"/>
    <w:basedOn w:val="BoxNote"/>
    <w:rPr>
      <w:b/>
      <w:i/>
    </w:rPr>
  </w:style>
  <w:style w:type="paragraph" w:customStyle="1" w:styleId="BoxRandList1">
    <w:name w:val="Box RandList 1"/>
    <w:basedOn w:val="Normal"/>
    <w:pPr>
      <w:numPr>
        <w:numId w:val="15"/>
      </w:numPr>
      <w:pBdr>
        <w:left w:val="single" w:sz="6" w:space="10" w:color="auto"/>
        <w:right w:val="single" w:sz="6" w:space="10" w:color="auto"/>
      </w:pBdr>
      <w:shd w:val="pct10" w:color="auto" w:fill="auto"/>
      <w:tabs>
        <w:tab w:val="left" w:pos="437"/>
      </w:tabs>
      <w:spacing w:before="100" w:after="0" w:line="360" w:lineRule="auto"/>
      <w:ind w:left="437" w:right="181" w:hanging="256"/>
      <w:jc w:val="both"/>
    </w:pPr>
    <w:rPr>
      <w:i/>
      <w:noProof/>
      <w:color w:val="auto"/>
      <w:sz w:val="20"/>
    </w:rPr>
  </w:style>
  <w:style w:type="paragraph" w:customStyle="1" w:styleId="RandListLev1">
    <w:name w:val="Rand List Lev1"/>
    <w:basedOn w:val="Normal"/>
    <w:pPr>
      <w:numPr>
        <w:numId w:val="12"/>
      </w:numPr>
      <w:tabs>
        <w:tab w:val="left" w:pos="754"/>
      </w:tabs>
      <w:spacing w:before="100" w:after="0"/>
      <w:ind w:left="754" w:right="720" w:hanging="357"/>
    </w:pPr>
    <w:rPr>
      <w:i/>
      <w:noProof/>
      <w:color w:val="auto"/>
      <w:sz w:val="18"/>
    </w:rPr>
  </w:style>
  <w:style w:type="paragraph" w:customStyle="1" w:styleId="BoxRandList2">
    <w:name w:val="Box RandList 2"/>
    <w:basedOn w:val="BoxRandList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numId w:val="36"/>
      </w:numPr>
      <w:pBdr>
        <w:left w:val="single" w:sz="6" w:space="8" w:color="auto"/>
        <w:right w:val="single" w:sz="6" w:space="10" w:color="auto"/>
      </w:pBdr>
      <w:shd w:val="pct10" w:color="auto" w:fill="auto"/>
      <w:tabs>
        <w:tab w:val="num" w:pos="567"/>
      </w:tabs>
      <w:spacing w:before="100" w:after="0" w:line="360" w:lineRule="auto"/>
      <w:ind w:left="567" w:right="181" w:hanging="425"/>
      <w:jc w:val="both"/>
    </w:pPr>
    <w:rPr>
      <w:i/>
      <w:noProof/>
      <w:color w:val="auto"/>
      <w:sz w:val="20"/>
    </w:rPr>
  </w:style>
  <w:style w:type="paragraph" w:customStyle="1" w:styleId="BoxSeqList3">
    <w:name w:val="Box SeqList 3"/>
    <w:basedOn w:val="BoxSeqList2"/>
    <w:pPr>
      <w:numPr>
        <w:ilvl w:val="0"/>
        <w:numId w:val="34"/>
      </w:numPr>
      <w:pBdr>
        <w:left w:val="single" w:sz="6" w:space="30" w:color="auto"/>
        <w:right w:val="single" w:sz="6" w:space="30" w:color="auto"/>
      </w:pBdr>
      <w:tabs>
        <w:tab w:val="clear" w:pos="720"/>
        <w:tab w:val="num" w:pos="1009"/>
      </w:tabs>
      <w:ind w:left="1009" w:right="584" w:hanging="425"/>
    </w:pPr>
  </w:style>
  <w:style w:type="paragraph" w:customStyle="1" w:styleId="BoxSeqList2">
    <w:name w:val="Box SeqList 2"/>
    <w:basedOn w:val="BoxSeqList1"/>
    <w:pPr>
      <w:numPr>
        <w:ilvl w:val="2"/>
        <w:numId w:val="14"/>
      </w:numPr>
      <w:pBdr>
        <w:left w:val="single" w:sz="6" w:space="20" w:color="auto"/>
      </w:pBdr>
      <w:tabs>
        <w:tab w:val="clear" w:pos="2160"/>
      </w:tabs>
      <w:ind w:hanging="360"/>
    </w:pPr>
  </w:style>
  <w:style w:type="paragraph" w:customStyle="1" w:styleId="TableTitle">
    <w:name w:val="Table Title"/>
    <w:basedOn w:val="Normal"/>
    <w:pPr>
      <w:keepNext/>
      <w:spacing w:before="120" w:after="0"/>
      <w:ind w:right="720"/>
    </w:pPr>
    <w:rPr>
      <w:b/>
      <w:i/>
      <w:noProof/>
      <w:color w:val="auto"/>
      <w:sz w:val="18"/>
    </w:rPr>
  </w:style>
  <w:style w:type="paragraph" w:customStyle="1" w:styleId="TableEntry">
    <w:name w:val="TableEntry"/>
    <w:basedOn w:val="Normal"/>
    <w:pPr>
      <w:numPr>
        <w:ilvl w:val="1"/>
        <w:numId w:val="35"/>
      </w:numPr>
      <w:spacing w:before="80" w:after="0"/>
      <w:ind w:left="0" w:right="720" w:firstLine="0"/>
    </w:pPr>
    <w:rPr>
      <w:i/>
      <w:noProof/>
      <w:color w:val="auto"/>
      <w:sz w:val="18"/>
    </w:rPr>
  </w:style>
  <w:style w:type="paragraph" w:customStyle="1" w:styleId="BoxTitle">
    <w:name w:val="Box Title"/>
    <w:basedOn w:val="Normal"/>
    <w:next w:val="BoxText"/>
    <w:pPr>
      <w:numPr>
        <w:ilvl w:val="3"/>
        <w:numId w:val="35"/>
      </w:numPr>
      <w:pBdr>
        <w:top w:val="single" w:sz="6" w:space="7" w:color="auto"/>
        <w:left w:val="single" w:sz="6" w:space="7" w:color="auto"/>
        <w:right w:val="single" w:sz="6" w:space="7" w:color="auto"/>
      </w:pBdr>
      <w:shd w:val="pct10" w:color="auto" w:fill="auto"/>
      <w:spacing w:before="120" w:after="0" w:line="360" w:lineRule="auto"/>
      <w:ind w:left="119" w:right="119" w:firstLine="0"/>
      <w:jc w:val="center"/>
    </w:pPr>
    <w:rPr>
      <w:b/>
      <w:noProof/>
      <w:color w:val="auto"/>
      <w:sz w:val="20"/>
    </w:rPr>
  </w:style>
  <w:style w:type="character" w:customStyle="1" w:styleId="Chart">
    <w:name w:val="Chart"/>
    <w:basedOn w:val="DefaultParagraphFont"/>
  </w:style>
  <w:style w:type="paragraph" w:customStyle="1" w:styleId="RandListLev2">
    <w:name w:val="Rand List Lev2"/>
    <w:basedOn w:val="RandListLev1"/>
    <w:pPr>
      <w:tabs>
        <w:tab w:val="clear" w:pos="754"/>
        <w:tab w:val="left" w:pos="1134"/>
      </w:tabs>
      <w:ind w:left="1134"/>
    </w:pPr>
  </w:style>
  <w:style w:type="paragraph" w:customStyle="1" w:styleId="RandListLev3">
    <w:name w:val="Rand List Lev3"/>
    <w:basedOn w:val="RandListLev2"/>
    <w:pPr>
      <w:tabs>
        <w:tab w:val="clear" w:pos="1134"/>
        <w:tab w:val="left" w:pos="1559"/>
      </w:tabs>
      <w:ind w:left="1559"/>
    </w:pPr>
  </w:style>
  <w:style w:type="paragraph" w:customStyle="1" w:styleId="RandListLev4">
    <w:name w:val="Rand List Lev4"/>
    <w:basedOn w:val="RandListLev3"/>
    <w:pPr>
      <w:tabs>
        <w:tab w:val="clear" w:pos="1559"/>
        <w:tab w:val="left" w:pos="1984"/>
      </w:tabs>
      <w:ind w:left="1984"/>
    </w:pPr>
  </w:style>
  <w:style w:type="paragraph" w:customStyle="1" w:styleId="DefListHeader">
    <w:name w:val="Def List Header"/>
    <w:basedOn w:val="Normal"/>
    <w:next w:val="Normal"/>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pPr>
      <w:spacing w:before="120" w:after="480"/>
      <w:ind w:right="720"/>
      <w:jc w:val="center"/>
    </w:pPr>
    <w:rPr>
      <w:i/>
      <w:smallCaps/>
      <w:noProof/>
      <w:color w:val="808080"/>
      <w:sz w:val="56"/>
    </w:rPr>
  </w:style>
  <w:style w:type="paragraph" w:customStyle="1" w:styleId="EndBox">
    <w:name w:val="EndBox"/>
    <w:basedOn w:val="Normal"/>
    <w:next w:val="Normal"/>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pPr>
      <w:spacing w:before="120" w:after="0"/>
      <w:ind w:right="720"/>
    </w:pPr>
    <w:rPr>
      <w:i/>
      <w:noProof/>
      <w:color w:val="auto"/>
      <w:sz w:val="18"/>
    </w:rPr>
  </w:style>
  <w:style w:type="paragraph" w:customStyle="1" w:styleId="FigureTitle">
    <w:name w:val="Figure Title"/>
    <w:basedOn w:val="Normal"/>
    <w:pPr>
      <w:keepNext/>
      <w:spacing w:before="120" w:after="0"/>
      <w:ind w:right="720"/>
    </w:pPr>
    <w:rPr>
      <w:b/>
      <w:noProof/>
      <w:color w:val="auto"/>
      <w:sz w:val="18"/>
    </w:rPr>
  </w:style>
  <w:style w:type="character" w:customStyle="1" w:styleId="Graph">
    <w:name w:val="Graph"/>
    <w:basedOn w:val="DefaultParagraphFont"/>
  </w:style>
  <w:style w:type="character" w:customStyle="1" w:styleId="Image">
    <w:name w:val="Image"/>
    <w:basedOn w:val="DefaultParagraphFont"/>
  </w:style>
  <w:style w:type="character" w:customStyle="1" w:styleId="ItalicUnderline">
    <w:name w:val="Italic Underline"/>
    <w:rPr>
      <w:i/>
      <w:u w:val="single"/>
    </w:rPr>
  </w:style>
  <w:style w:type="paragraph" w:customStyle="1" w:styleId="ListHeader">
    <w:name w:val="List Header"/>
    <w:basedOn w:val="Normal"/>
    <w:pPr>
      <w:keepNext/>
      <w:spacing w:before="120" w:after="0"/>
      <w:ind w:right="720"/>
    </w:pPr>
    <w:rPr>
      <w:i/>
      <w:noProof/>
      <w:color w:val="auto"/>
      <w:sz w:val="18"/>
    </w:rPr>
  </w:style>
  <w:style w:type="paragraph" w:customStyle="1" w:styleId="MeetInfo">
    <w:name w:val="MeetInfo"/>
    <w:basedOn w:val="Normal"/>
    <w:next w:val="Normal"/>
    <w:pPr>
      <w:tabs>
        <w:tab w:val="left" w:pos="426"/>
      </w:tabs>
      <w:spacing w:before="60" w:after="0"/>
      <w:ind w:right="720"/>
    </w:pPr>
    <w:rPr>
      <w:i/>
      <w:noProof/>
      <w:color w:val="auto"/>
      <w:sz w:val="18"/>
    </w:rPr>
  </w:style>
  <w:style w:type="paragraph" w:customStyle="1" w:styleId="SpacePara">
    <w:name w:val="SpacePara"/>
    <w:basedOn w:val="Normal"/>
    <w:next w:val="DocTitle"/>
    <w:pPr>
      <w:spacing w:before="100" w:after="0" w:line="480" w:lineRule="auto"/>
      <w:ind w:right="720"/>
    </w:pPr>
    <w:rPr>
      <w:i/>
      <w:noProof/>
      <w:color w:val="auto"/>
      <w:sz w:val="18"/>
    </w:rPr>
  </w:style>
  <w:style w:type="character" w:customStyle="1" w:styleId="NroPara">
    <w:name w:val="NroPara"/>
    <w:basedOn w:val="DefaultParagraphFont"/>
  </w:style>
  <w:style w:type="character" w:customStyle="1" w:styleId="NumBox">
    <w:name w:val="NumBox"/>
    <w:basedOn w:val="DefaultParagraphFont"/>
  </w:style>
  <w:style w:type="character" w:customStyle="1" w:styleId="NumFigure">
    <w:name w:val="NumFigure"/>
    <w:basedOn w:val="DefaultParagraphFont"/>
  </w:style>
  <w:style w:type="character" w:customStyle="1" w:styleId="NumTable">
    <w:name w:val="NumTable"/>
    <w:basedOn w:val="DefaultParagraphFont"/>
  </w:style>
  <w:style w:type="paragraph" w:customStyle="1" w:styleId="PgBrk">
    <w:name w:val="PgBrk"/>
    <w:basedOn w:val="Normal"/>
    <w:next w:val="Heading1"/>
    <w:pPr>
      <w:pageBreakBefore/>
      <w:spacing w:before="120" w:after="0" w:line="14" w:lineRule="exact"/>
      <w:ind w:right="720"/>
    </w:pPr>
    <w:rPr>
      <w:i/>
      <w:noProof/>
      <w:color w:val="auto"/>
      <w:sz w:val="18"/>
    </w:rPr>
  </w:style>
  <w:style w:type="paragraph" w:customStyle="1" w:styleId="StartBack">
    <w:name w:val="StartBack"/>
    <w:basedOn w:val="SpacePara"/>
    <w:next w:val="Normal"/>
  </w:style>
  <w:style w:type="paragraph" w:customStyle="1" w:styleId="StartBody">
    <w:name w:val="StartBody"/>
    <w:basedOn w:val="SpacePara"/>
    <w:next w:val="Normal"/>
  </w:style>
  <w:style w:type="paragraph" w:customStyle="1" w:styleId="TBL-COLMNhd">
    <w:name w:val="TBL-COLMNhd"/>
    <w:basedOn w:val="Normal"/>
    <w:pPr>
      <w:tabs>
        <w:tab w:val="left" w:pos="-720"/>
      </w:tabs>
      <w:suppressAutoHyphens/>
      <w:spacing w:before="60" w:after="20"/>
      <w:ind w:right="720"/>
      <w:jc w:val="center"/>
    </w:pPr>
    <w:rPr>
      <w:b/>
      <w:i/>
      <w:noProof/>
      <w:color w:val="auto"/>
      <w:sz w:val="18"/>
    </w:rPr>
  </w:style>
  <w:style w:type="character" w:customStyle="1" w:styleId="Term">
    <w:name w:val="Term"/>
    <w:rPr>
      <w:b/>
    </w:rPr>
  </w:style>
  <w:style w:type="character" w:customStyle="1" w:styleId="TermHeading">
    <w:name w:val="Term Heading"/>
    <w:rPr>
      <w:b/>
    </w:rPr>
  </w:style>
  <w:style w:type="paragraph" w:customStyle="1" w:styleId="TOCRef">
    <w:name w:val="TOCRef"/>
    <w:basedOn w:val="Normal"/>
    <w:next w:val="TOC1"/>
    <w:pPr>
      <w:spacing w:before="120" w:after="0" w:line="200" w:lineRule="exact"/>
      <w:ind w:right="720"/>
      <w:jc w:val="right"/>
    </w:pPr>
    <w:rPr>
      <w:i/>
      <w:noProof/>
      <w:color w:val="auto"/>
      <w:sz w:val="18"/>
    </w:rPr>
  </w:style>
  <w:style w:type="paragraph" w:customStyle="1" w:styleId="TOCTitle">
    <w:name w:val="TOCTitle"/>
    <w:basedOn w:val="Normal"/>
    <w:next w:val="TOCRef"/>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Pr>
      <w:u w:val="single"/>
    </w:rPr>
  </w:style>
  <w:style w:type="character" w:customStyle="1" w:styleId="XReference">
    <w:name w:val="XReference"/>
    <w:rPr>
      <w:color w:val="0000FF"/>
    </w:rPr>
  </w:style>
  <w:style w:type="paragraph" w:customStyle="1" w:styleId="Format1">
    <w:name w:val="Format1"/>
    <w:basedOn w:val="Normal"/>
    <w:pPr>
      <w:spacing w:before="60" w:after="0"/>
      <w:ind w:right="720"/>
    </w:pPr>
    <w:rPr>
      <w:rFonts w:ascii="Courier New" w:hAnsi="Courier New"/>
      <w:i/>
      <w:noProof/>
      <w:color w:val="auto"/>
      <w:sz w:val="18"/>
    </w:rPr>
  </w:style>
  <w:style w:type="paragraph" w:customStyle="1" w:styleId="Format2">
    <w:name w:val="Format2"/>
    <w:basedOn w:val="Normal"/>
    <w:pPr>
      <w:spacing w:before="60" w:after="0"/>
      <w:ind w:right="720"/>
    </w:pPr>
    <w:rPr>
      <w:rFonts w:ascii="Courier New" w:hAnsi="Courier New"/>
      <w:i/>
      <w:noProof/>
      <w:color w:val="auto"/>
      <w:sz w:val="16"/>
    </w:rPr>
  </w:style>
  <w:style w:type="paragraph" w:customStyle="1" w:styleId="RightJust">
    <w:name w:val="RightJust"/>
    <w:basedOn w:val="Normal"/>
    <w:pPr>
      <w:spacing w:before="120" w:after="0"/>
      <w:ind w:right="720"/>
      <w:jc w:val="right"/>
    </w:pPr>
    <w:rPr>
      <w:i/>
      <w:noProof/>
      <w:color w:val="auto"/>
      <w:sz w:val="18"/>
    </w:rPr>
  </w:style>
  <w:style w:type="paragraph" w:customStyle="1" w:styleId="BlockQuote">
    <w:name w:val="BlockQuote"/>
    <w:basedOn w:val="Normal"/>
    <w:pPr>
      <w:spacing w:before="60" w:after="0"/>
      <w:ind w:left="284" w:right="284"/>
    </w:pPr>
    <w:rPr>
      <w:noProof/>
      <w:color w:val="auto"/>
      <w:sz w:val="18"/>
    </w:rPr>
  </w:style>
  <w:style w:type="paragraph" w:customStyle="1" w:styleId="BoxBlankLine">
    <w:name w:val="Box BlankLine"/>
    <w:basedOn w:val="BlankLine"/>
    <w:next w:val="Normal"/>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pPr>
      <w:shd w:val="pct10" w:color="auto" w:fill="auto"/>
      <w:spacing w:before="100" w:after="0"/>
      <w:ind w:right="720"/>
      <w:jc w:val="both"/>
    </w:pPr>
    <w:rPr>
      <w:noProof/>
      <w:color w:val="auto"/>
      <w:sz w:val="20"/>
    </w:rPr>
  </w:style>
  <w:style w:type="paragraph" w:customStyle="1" w:styleId="BoxTableTitle">
    <w:name w:val="Box Table Title"/>
    <w:basedOn w:val="Normal"/>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pPr>
      <w:shd w:val="pct10" w:color="auto" w:fill="auto"/>
      <w:spacing w:before="120" w:after="0"/>
      <w:ind w:right="720"/>
      <w:jc w:val="both"/>
    </w:pPr>
    <w:rPr>
      <w:i/>
      <w:noProof/>
      <w:color w:val="auto"/>
      <w:sz w:val="20"/>
    </w:rPr>
  </w:style>
  <w:style w:type="character" w:customStyle="1" w:styleId="BoxFigInfo-C">
    <w:name w:val="BoxFigInfo-C"/>
    <w:basedOn w:val="DefaultParagraphFont"/>
  </w:style>
  <w:style w:type="paragraph" w:customStyle="1" w:styleId="BoxFigInfo-P">
    <w:name w:val="BoxFigInfo-P"/>
    <w:basedOn w:val="BoxText"/>
  </w:style>
  <w:style w:type="paragraph" w:customStyle="1" w:styleId="BoxFigTitle">
    <w:name w:val="BoxFigTitle"/>
    <w:basedOn w:val="BoxFigCaption"/>
    <w:pPr>
      <w:keepNext/>
    </w:pPr>
    <w:rPr>
      <w:b/>
      <w:i/>
    </w:rPr>
  </w:style>
  <w:style w:type="paragraph" w:customStyle="1" w:styleId="BoxTblColHd">
    <w:name w:val="BoxTblColHd"/>
    <w:basedOn w:val="BoxTblEntry"/>
    <w:rPr>
      <w:b/>
    </w:rPr>
  </w:style>
  <w:style w:type="paragraph" w:customStyle="1" w:styleId="DashListLev1">
    <w:name w:val="Dash List Lev1"/>
    <w:basedOn w:val="Normal"/>
    <w:pPr>
      <w:tabs>
        <w:tab w:val="num" w:pos="720"/>
      </w:tabs>
      <w:spacing w:before="100" w:after="0"/>
      <w:ind w:left="720" w:right="720" w:hanging="360"/>
    </w:pPr>
    <w:rPr>
      <w:i/>
      <w:noProof/>
      <w:color w:val="auto"/>
      <w:sz w:val="18"/>
    </w:rPr>
  </w:style>
  <w:style w:type="paragraph" w:customStyle="1" w:styleId="DashListLev2">
    <w:name w:val="Dash List Lev2"/>
    <w:basedOn w:val="DashListLev1"/>
    <w:pPr>
      <w:numPr>
        <w:numId w:val="17"/>
      </w:numPr>
      <w:tabs>
        <w:tab w:val="num" w:pos="2892"/>
      </w:tabs>
      <w:ind w:left="981" w:hanging="357"/>
    </w:pPr>
  </w:style>
  <w:style w:type="paragraph" w:customStyle="1" w:styleId="DashListLev3">
    <w:name w:val="Dash List Lev3"/>
    <w:basedOn w:val="DashListLev2"/>
    <w:pPr>
      <w:numPr>
        <w:numId w:val="16"/>
      </w:numPr>
      <w:ind w:left="1208" w:hanging="357"/>
    </w:pPr>
  </w:style>
  <w:style w:type="paragraph" w:customStyle="1" w:styleId="DashListLev4">
    <w:name w:val="Dash List Lev4"/>
    <w:basedOn w:val="DashListLev3"/>
    <w:pPr>
      <w:numPr>
        <w:numId w:val="38"/>
      </w:numPr>
      <w:ind w:left="1434" w:hanging="357"/>
    </w:pPr>
  </w:style>
  <w:style w:type="paragraph" w:styleId="EndnoteText">
    <w:name w:val="endnote text"/>
    <w:basedOn w:val="Normal"/>
    <w:semiHidden/>
    <w:pPr>
      <w:numPr>
        <w:numId w:val="37"/>
      </w:numPr>
      <w:spacing w:before="120" w:after="0"/>
      <w:ind w:left="0" w:right="720" w:firstLine="0"/>
    </w:pPr>
    <w:rPr>
      <w:i/>
      <w:noProof/>
      <w:color w:val="auto"/>
      <w:sz w:val="18"/>
    </w:rPr>
  </w:style>
  <w:style w:type="character" w:customStyle="1" w:styleId="EndnoteTextChar">
    <w:name w:val="Endnote Text Char"/>
    <w:semiHidden/>
    <w:rPr>
      <w:rFonts w:ascii="Times New Roman" w:eastAsia="Times New Roman" w:hAnsi="Times New Roman" w:cs="Times New Roman"/>
      <w:noProof/>
      <w:szCs w:val="20"/>
    </w:rPr>
  </w:style>
  <w:style w:type="character" w:customStyle="1" w:styleId="FigInfo-C">
    <w:name w:val="FigInfo-C"/>
    <w:basedOn w:val="DefaultParagraphFont"/>
  </w:style>
  <w:style w:type="paragraph" w:customStyle="1" w:styleId="ParaNote">
    <w:name w:val="Para Note"/>
    <w:basedOn w:val="Note"/>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rFonts w:eastAsia="Times New Roman"/>
      <w:b/>
      <w:noProof/>
      <w:sz w:val="18"/>
    </w:rPr>
  </w:style>
  <w:style w:type="character" w:customStyle="1" w:styleId="Picture">
    <w:name w:val="Picture"/>
    <w:basedOn w:val="DefaultParagraphFont"/>
  </w:style>
  <w:style w:type="paragraph" w:customStyle="1" w:styleId="PlainList1">
    <w:name w:val="PlainList 1"/>
    <w:basedOn w:val="Normal"/>
    <w:pPr>
      <w:spacing w:before="100" w:after="0"/>
      <w:ind w:right="720"/>
    </w:pPr>
    <w:rPr>
      <w:i/>
      <w:noProof/>
      <w:color w:val="auto"/>
      <w:sz w:val="18"/>
    </w:rPr>
  </w:style>
  <w:style w:type="paragraph" w:customStyle="1" w:styleId="PlainList2">
    <w:name w:val="PlainList 2"/>
    <w:basedOn w:val="PlainList1"/>
    <w:pPr>
      <w:ind w:left="567"/>
    </w:pPr>
  </w:style>
  <w:style w:type="paragraph" w:customStyle="1" w:styleId="PlainList3">
    <w:name w:val="PlainList 3"/>
    <w:basedOn w:val="PlainList2"/>
    <w:pPr>
      <w:ind w:left="1134"/>
    </w:pPr>
  </w:style>
  <w:style w:type="paragraph" w:customStyle="1" w:styleId="PlainList4">
    <w:name w:val="PlainList 4"/>
    <w:basedOn w:val="PlainList3"/>
    <w:pPr>
      <w:ind w:left="1701"/>
    </w:pPr>
  </w:style>
  <w:style w:type="character" w:customStyle="1" w:styleId="Quote1">
    <w:name w:val="Quote1"/>
    <w:rPr>
      <w:rFonts w:ascii="Times New Roman" w:hAnsi="Times New Roman"/>
      <w:i/>
      <w:sz w:val="20"/>
    </w:rPr>
  </w:style>
  <w:style w:type="character" w:customStyle="1" w:styleId="NroSeq">
    <w:name w:val="NroSeq"/>
    <w:rPr>
      <w:color w:val="0000FF"/>
    </w:rPr>
  </w:style>
  <w:style w:type="character" w:customStyle="1" w:styleId="NroTOC">
    <w:name w:val="NroTOC"/>
    <w:rPr>
      <w:color w:val="auto"/>
      <w:sz w:val="22"/>
      <w:u w:val="none"/>
      <w:vertAlign w:val="baseline"/>
    </w:rPr>
  </w:style>
  <w:style w:type="paragraph" w:customStyle="1" w:styleId="PrelimNote">
    <w:name w:val="PrelimNote"/>
    <w:basedOn w:val="Normal"/>
    <w:next w:val="Normal"/>
    <w:pPr>
      <w:spacing w:before="120" w:after="0"/>
      <w:ind w:left="709" w:right="709"/>
    </w:pPr>
    <w:rPr>
      <w:i/>
      <w:noProof/>
      <w:color w:val="auto"/>
      <w:sz w:val="18"/>
    </w:rPr>
  </w:style>
  <w:style w:type="paragraph" w:customStyle="1" w:styleId="CentredJust">
    <w:name w:val="CentredJust"/>
    <w:basedOn w:val="Normal"/>
    <w:pPr>
      <w:spacing w:before="120" w:after="0"/>
      <w:ind w:right="720"/>
      <w:jc w:val="center"/>
    </w:pPr>
    <w:rPr>
      <w:i/>
      <w:noProof/>
      <w:color w:val="auto"/>
      <w:sz w:val="18"/>
    </w:rPr>
  </w:style>
  <w:style w:type="character" w:customStyle="1" w:styleId="Subscript">
    <w:name w:val="Subscript"/>
    <w:rPr>
      <w:noProof w:val="0"/>
      <w:vertAlign w:val="subscript"/>
      <w:lang w:val="en-GB"/>
    </w:rPr>
  </w:style>
  <w:style w:type="character" w:customStyle="1" w:styleId="Superscript">
    <w:name w:val="Superscript"/>
    <w:rPr>
      <w:noProof w:val="0"/>
      <w:vertAlign w:val="superscript"/>
      <w:lang w:val="en-GB"/>
    </w:rPr>
  </w:style>
  <w:style w:type="paragraph" w:customStyle="1" w:styleId="ListDel">
    <w:name w:val="ListDel"/>
    <w:basedOn w:val="Normal"/>
    <w:next w:val="Country"/>
    <w:pPr>
      <w:spacing w:before="120" w:after="0"/>
      <w:ind w:right="720"/>
      <w:jc w:val="center"/>
    </w:pPr>
    <w:rPr>
      <w:b/>
      <w:i/>
      <w:noProof/>
      <w:color w:val="auto"/>
      <w:sz w:val="18"/>
    </w:rPr>
  </w:style>
  <w:style w:type="paragraph" w:customStyle="1" w:styleId="Country">
    <w:name w:val="Country"/>
    <w:basedOn w:val="Normal"/>
    <w:next w:val="Role"/>
    <w:pPr>
      <w:keepNext/>
      <w:spacing w:before="120" w:after="0"/>
      <w:ind w:right="720"/>
    </w:pPr>
    <w:rPr>
      <w:b/>
      <w:i/>
      <w:caps/>
      <w:noProof/>
      <w:color w:val="auto"/>
      <w:sz w:val="18"/>
    </w:rPr>
  </w:style>
  <w:style w:type="paragraph" w:customStyle="1" w:styleId="Role">
    <w:name w:val="Role"/>
    <w:basedOn w:val="Normal"/>
    <w:next w:val="Name"/>
    <w:pPr>
      <w:keepNext/>
      <w:spacing w:before="120" w:after="0"/>
      <w:ind w:right="720"/>
    </w:pPr>
    <w:rPr>
      <w:i/>
      <w:noProof/>
      <w:color w:val="auto"/>
      <w:sz w:val="18"/>
    </w:rPr>
  </w:style>
  <w:style w:type="paragraph" w:customStyle="1" w:styleId="Name">
    <w:name w:val="Name"/>
    <w:basedOn w:val="Normal"/>
    <w:pPr>
      <w:keepLines/>
      <w:spacing w:before="120" w:after="0"/>
      <w:ind w:left="284" w:right="720"/>
    </w:pPr>
    <w:rPr>
      <w:i/>
      <w:noProof/>
      <w:color w:val="auto"/>
      <w:sz w:val="18"/>
    </w:rPr>
  </w:style>
  <w:style w:type="paragraph" w:customStyle="1" w:styleId="ColumnBreak">
    <w:name w:val="ColumnBreak"/>
    <w:basedOn w:val="Normal"/>
    <w:next w:val="Normal"/>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pPr>
      <w:numPr>
        <w:ilvl w:val="1"/>
        <w:numId w:val="13"/>
      </w:numPr>
      <w:spacing w:before="100" w:after="0"/>
      <w:ind w:right="720"/>
    </w:pPr>
    <w:rPr>
      <w:i/>
      <w:noProof/>
      <w:color w:val="auto"/>
      <w:sz w:val="18"/>
    </w:rPr>
  </w:style>
  <w:style w:type="paragraph" w:customStyle="1" w:styleId="SeqListLev2">
    <w:name w:val="Seq List Lev2"/>
    <w:basedOn w:val="SeqListLev1"/>
    <w:pPr>
      <w:numPr>
        <w:ilvl w:val="2"/>
      </w:numPr>
    </w:pPr>
  </w:style>
  <w:style w:type="paragraph" w:customStyle="1" w:styleId="SeqListLev3">
    <w:name w:val="Seq List Lev3"/>
    <w:basedOn w:val="SeqListLev2"/>
    <w:pPr>
      <w:numPr>
        <w:ilvl w:val="3"/>
      </w:numPr>
    </w:pPr>
  </w:style>
  <w:style w:type="paragraph" w:customStyle="1" w:styleId="SeqListLev4">
    <w:name w:val="Seq List Lev4"/>
    <w:basedOn w:val="SeqListLev3"/>
    <w:pPr>
      <w:numPr>
        <w:ilvl w:val="0"/>
        <w:numId w:val="0"/>
      </w:numPr>
      <w:tabs>
        <w:tab w:val="num" w:pos="567"/>
        <w:tab w:val="num" w:pos="1440"/>
        <w:tab w:val="num" w:pos="2126"/>
      </w:tabs>
      <w:ind w:left="2126" w:hanging="425"/>
    </w:pPr>
  </w:style>
  <w:style w:type="paragraph" w:customStyle="1" w:styleId="CarCar">
    <w:name w:val="Car Car"/>
    <w:basedOn w:val="Normal"/>
    <w:pPr>
      <w:numPr>
        <w:ilvl w:val="2"/>
        <w:numId w:val="35"/>
      </w:numPr>
      <w:tabs>
        <w:tab w:val="num" w:pos="805"/>
      </w:tabs>
      <w:spacing w:before="100" w:after="160" w:line="240" w:lineRule="exact"/>
      <w:ind w:left="0" w:right="720" w:firstLine="0"/>
    </w:pPr>
    <w:rPr>
      <w:rFonts w:ascii="Tahoma" w:eastAsia="MS Mincho" w:hAnsi="Tahoma"/>
      <w:i/>
      <w:color w:val="auto"/>
      <w:sz w:val="20"/>
      <w:lang w:val="en-US"/>
    </w:rPr>
  </w:style>
  <w:style w:type="paragraph" w:customStyle="1" w:styleId="ListParagraph10">
    <w:name w:val="List Paragraph1"/>
    <w:basedOn w:val="Normal"/>
    <w:qFormat/>
    <w:pPr>
      <w:spacing w:before="100" w:after="100"/>
      <w:ind w:left="720" w:right="720"/>
    </w:pPr>
    <w:rPr>
      <w:rFonts w:eastAsia="Calibri"/>
      <w:i/>
      <w:color w:val="auto"/>
      <w:sz w:val="24"/>
    </w:rPr>
  </w:style>
  <w:style w:type="paragraph" w:customStyle="1" w:styleId="CharChar">
    <w:name w:val="(文字) (文字) Char (文字) (文字) Char"/>
    <w:basedOn w:val="Normal"/>
    <w:pPr>
      <w:tabs>
        <w:tab w:val="num" w:pos="2160"/>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qFormat/>
    <w:pPr>
      <w:numPr>
        <w:numId w:val="0"/>
      </w:numPr>
      <w:tabs>
        <w:tab w:val="left" w:pos="567"/>
      </w:tabs>
      <w:spacing w:after="60"/>
      <w:ind w:left="720" w:hanging="360"/>
    </w:pPr>
  </w:style>
  <w:style w:type="paragraph" w:customStyle="1" w:styleId="IPPNormal">
    <w:name w:val="IPP Normal"/>
    <w:basedOn w:val="Normal"/>
    <w:qFormat/>
    <w:pPr>
      <w:numPr>
        <w:numId w:val="39"/>
      </w:numPr>
      <w:spacing w:before="100" w:after="180"/>
      <w:ind w:left="0" w:right="720" w:firstLine="0"/>
      <w:jc w:val="both"/>
    </w:pPr>
    <w:rPr>
      <w:rFonts w:eastAsia="Times"/>
      <w:i/>
      <w:color w:val="auto"/>
      <w:sz w:val="18"/>
    </w:rPr>
  </w:style>
  <w:style w:type="paragraph" w:customStyle="1" w:styleId="IPPBullet1">
    <w:name w:val="IPP Bullet1"/>
    <w:basedOn w:val="Normal"/>
    <w:qFormat/>
    <w:pPr>
      <w:numPr>
        <w:numId w:val="22"/>
      </w:numPr>
      <w:spacing w:before="100" w:after="60"/>
      <w:ind w:right="720"/>
      <w:jc w:val="both"/>
    </w:pPr>
    <w:rPr>
      <w:rFonts w:eastAsia="Times"/>
      <w:i/>
      <w:color w:val="auto"/>
      <w:sz w:val="18"/>
    </w:rPr>
  </w:style>
  <w:style w:type="paragraph" w:customStyle="1" w:styleId="IPPTitle16ptIndent">
    <w:name w:val="IPP Title16pt Indent"/>
    <w:basedOn w:val="Normal"/>
    <w:qFormat/>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qFormat/>
    <w:pPr>
      <w:keepNext/>
      <w:numPr>
        <w:numId w:val="41"/>
      </w:numPr>
      <w:tabs>
        <w:tab w:val="left" w:pos="851"/>
      </w:tabs>
      <w:spacing w:before="360" w:after="120"/>
      <w:ind w:left="851" w:right="720" w:hanging="851"/>
      <w:jc w:val="both"/>
      <w:outlineLvl w:val="0"/>
    </w:pPr>
    <w:rPr>
      <w:rFonts w:eastAsia="Times"/>
      <w:b/>
      <w:i/>
      <w:caps/>
      <w:color w:val="auto"/>
      <w:sz w:val="24"/>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rPr>
  </w:style>
  <w:style w:type="paragraph" w:customStyle="1" w:styleId="IPPSubhead">
    <w:name w:val="IPP Subhead"/>
    <w:basedOn w:val="Normal"/>
    <w:qFormat/>
    <w:pPr>
      <w:keepNext/>
      <w:spacing w:before="100" w:after="0"/>
      <w:ind w:left="567" w:right="720" w:hanging="567"/>
    </w:pPr>
    <w:rPr>
      <w:b/>
      <w:i/>
      <w:color w:val="auto"/>
      <w:sz w:val="18"/>
    </w:rPr>
  </w:style>
  <w:style w:type="paragraph" w:customStyle="1" w:styleId="IPPBullet1Last">
    <w:name w:val="IPP Bullet1Last"/>
    <w:basedOn w:val="IPPNormal"/>
    <w:next w:val="IPPBullet1"/>
    <w:qFormat/>
    <w:pPr>
      <w:numPr>
        <w:numId w:val="20"/>
      </w:numPr>
      <w:tabs>
        <w:tab w:val="num" w:pos="360"/>
      </w:tabs>
      <w:ind w:left="360"/>
    </w:pPr>
    <w:rPr>
      <w:lang w:val="en-US"/>
    </w:rPr>
  </w:style>
  <w:style w:type="paragraph" w:customStyle="1" w:styleId="IPPTitle16pt">
    <w:name w:val="IPP Title16pt"/>
    <w:basedOn w:val="Normal"/>
    <w:qFormat/>
    <w:pPr>
      <w:spacing w:before="100" w:after="720"/>
      <w:ind w:left="1701" w:right="1701"/>
      <w:jc w:val="center"/>
    </w:pPr>
    <w:rPr>
      <w:rFonts w:ascii="Arial" w:hAnsi="Arial"/>
      <w:b/>
      <w:i/>
      <w:color w:val="auto"/>
      <w:sz w:val="32"/>
    </w:rPr>
  </w:style>
  <w:style w:type="paragraph" w:customStyle="1" w:styleId="IPPTitle18pt">
    <w:name w:val="IPP Title18pt"/>
    <w:basedOn w:val="Normal"/>
    <w:qFormat/>
    <w:pPr>
      <w:spacing w:before="100" w:after="360"/>
      <w:ind w:right="720"/>
      <w:jc w:val="center"/>
    </w:pPr>
    <w:rPr>
      <w:rFonts w:ascii="Arial" w:hAnsi="Arial"/>
      <w:b/>
      <w:i/>
      <w:color w:val="auto"/>
      <w:sz w:val="36"/>
    </w:rPr>
  </w:style>
  <w:style w:type="paragraph" w:customStyle="1" w:styleId="IPPAnnexHead">
    <w:name w:val="IPP AnnexHead"/>
    <w:basedOn w:val="IPPNormal"/>
    <w:next w:val="IPPNormal"/>
    <w:qFormat/>
    <w:pPr>
      <w:keepNext/>
      <w:numPr>
        <w:numId w:val="42"/>
      </w:numPr>
      <w:tabs>
        <w:tab w:val="left" w:pos="567"/>
      </w:tabs>
      <w:spacing w:before="120"/>
      <w:ind w:left="0" w:firstLine="0"/>
      <w:jc w:val="left"/>
      <w:outlineLvl w:val="1"/>
    </w:pPr>
    <w:rPr>
      <w:b/>
      <w:sz w:val="24"/>
    </w:rPr>
  </w:style>
  <w:style w:type="paragraph" w:customStyle="1" w:styleId="IPPNormalCloseSpace">
    <w:name w:val="IPP NormalCloseSpace"/>
    <w:basedOn w:val="Normal"/>
    <w:qFormat/>
    <w:pPr>
      <w:keepNext/>
      <w:numPr>
        <w:numId w:val="40"/>
      </w:numPr>
      <w:spacing w:before="100" w:after="60"/>
      <w:ind w:left="0" w:right="720" w:firstLine="0"/>
      <w:jc w:val="both"/>
    </w:pPr>
    <w:rPr>
      <w:i/>
      <w:color w:val="auto"/>
      <w:sz w:val="18"/>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rPr>
  </w:style>
  <w:style w:type="paragraph" w:customStyle="1" w:styleId="IPPArialTable">
    <w:name w:val="IPP Arial Table"/>
    <w:basedOn w:val="IPPArial"/>
    <w:qFormat/>
    <w:pPr>
      <w:spacing w:before="60" w:after="60"/>
      <w:jc w:val="left"/>
    </w:pPr>
  </w:style>
  <w:style w:type="paragraph" w:customStyle="1" w:styleId="IPPSubheadSpace">
    <w:name w:val="IPP Subhead Space"/>
    <w:basedOn w:val="IPPSubhead"/>
    <w:qFormat/>
    <w:pPr>
      <w:tabs>
        <w:tab w:val="left" w:pos="567"/>
      </w:tabs>
      <w:spacing w:before="60" w:after="60"/>
    </w:pPr>
  </w:style>
  <w:style w:type="paragraph" w:customStyle="1" w:styleId="IPPNumberedList">
    <w:name w:val="IPP NumberedList"/>
    <w:basedOn w:val="IPPBullet1"/>
    <w:qFormat/>
    <w:pPr>
      <w:numPr>
        <w:numId w:val="0"/>
      </w:numPr>
      <w:ind w:left="720" w:hanging="360"/>
    </w:pPr>
  </w:style>
  <w:style w:type="paragraph" w:customStyle="1" w:styleId="IPPNumberedListLast0">
    <w:name w:val="IPP NumberedListLast"/>
    <w:basedOn w:val="IPPNumberedList"/>
    <w:qFormat/>
    <w:pPr>
      <w:spacing w:after="180"/>
    </w:pPr>
  </w:style>
  <w:style w:type="paragraph" w:customStyle="1" w:styleId="IPPHdg1Num">
    <w:name w:val="IPP Hdg1Num"/>
    <w:basedOn w:val="IPPNormal"/>
    <w:next w:val="IPPNormal"/>
    <w:qFormat/>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qFormat/>
    <w:pPr>
      <w:numPr>
        <w:numId w:val="0"/>
      </w:numPr>
      <w:tabs>
        <w:tab w:val="num" w:pos="720"/>
      </w:tabs>
      <w:ind w:left="720" w:hanging="360"/>
    </w:pPr>
  </w:style>
  <w:style w:type="paragraph" w:customStyle="1" w:styleId="IPPLetterList">
    <w:name w:val="IPP LetterList"/>
    <w:basedOn w:val="IPPBullet2"/>
    <w:qFormat/>
    <w:pPr>
      <w:numPr>
        <w:numId w:val="24"/>
      </w:numPr>
      <w:jc w:val="left"/>
    </w:pPr>
  </w:style>
  <w:style w:type="paragraph" w:customStyle="1" w:styleId="IPPSubheadSpace3">
    <w:name w:val="IPP Subhead Space3"/>
    <w:basedOn w:val="IPPSubhead"/>
    <w:qFormat/>
    <w:pPr>
      <w:spacing w:before="60" w:after="60"/>
    </w:pPr>
  </w:style>
  <w:style w:type="paragraph" w:customStyle="1" w:styleId="font1">
    <w:name w:val="font1"/>
    <w:basedOn w:val="Normal"/>
    <w:pPr>
      <w:spacing w:before="100" w:after="100"/>
      <w:ind w:right="720"/>
    </w:pPr>
    <w:rPr>
      <w:rFonts w:ascii="Arial" w:hAnsi="Arial"/>
      <w:i/>
      <w:color w:val="auto"/>
      <w:sz w:val="20"/>
      <w:lang w:val="en-US"/>
    </w:rPr>
  </w:style>
  <w:style w:type="paragraph" w:customStyle="1" w:styleId="Contents">
    <w:name w:val="Contents"/>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qFormat/>
    <w:pPr>
      <w:ind w:left="851" w:right="851"/>
    </w:pPr>
    <w:rPr>
      <w:sz w:val="19"/>
    </w:rPr>
  </w:style>
  <w:style w:type="character" w:customStyle="1" w:styleId="NewParaChar">
    <w:name w:val="NewPara Char"/>
    <w:rPr>
      <w:rFonts w:ascii="Times New Roman" w:eastAsia="Times New Roman" w:hAnsi="Times New Roman" w:cs="Times New Roman"/>
      <w:noProof/>
      <w:szCs w:val="20"/>
    </w:rPr>
  </w:style>
  <w:style w:type="paragraph" w:customStyle="1" w:styleId="IPPHeading1Appendix">
    <w:name w:val="IPP Heading1 Appendix"/>
    <w:basedOn w:val="IPPHeading1"/>
    <w:qFormat/>
    <w:pPr>
      <w:ind w:left="720" w:hanging="360"/>
      <w:outlineLvl w:val="9"/>
    </w:pPr>
  </w:style>
  <w:style w:type="paragraph" w:customStyle="1" w:styleId="IPPHeadSectionAppendix">
    <w:name w:val="IPP HeadSection Appendix"/>
    <w:basedOn w:val="IPPHeadSection"/>
    <w:qFormat/>
    <w:pPr>
      <w:ind w:left="720" w:hanging="360"/>
      <w:outlineLvl w:val="9"/>
    </w:pPr>
  </w:style>
  <w:style w:type="paragraph" w:customStyle="1" w:styleId="IPPHeading2Appendix">
    <w:name w:val="IPP Heading2 Appendix"/>
    <w:basedOn w:val="IPPHeading2"/>
    <w:qFormat/>
    <w:pPr>
      <w:tabs>
        <w:tab w:val="left" w:pos="851"/>
        <w:tab w:val="left" w:pos="1134"/>
      </w:tabs>
      <w:ind w:left="720" w:hanging="360"/>
      <w:outlineLvl w:val="9"/>
    </w:pPr>
  </w:style>
  <w:style w:type="paragraph" w:customStyle="1" w:styleId="IPPAnnexHeadAppendix">
    <w:name w:val="IPP AnnexHead Appendix"/>
    <w:basedOn w:val="IPPAnnexHead"/>
    <w:qFormat/>
    <w:pPr>
      <w:numPr>
        <w:numId w:val="25"/>
      </w:numPr>
      <w:tabs>
        <w:tab w:val="clear" w:pos="567"/>
        <w:tab w:val="num" w:pos="1440"/>
      </w:tabs>
      <w:ind w:left="1440"/>
      <w:outlineLvl w:val="9"/>
    </w:pPr>
  </w:style>
  <w:style w:type="paragraph" w:customStyle="1" w:styleId="IPPIndent">
    <w:name w:val="IPP Indent"/>
    <w:basedOn w:val="Normal"/>
    <w:qFormat/>
    <w:pPr>
      <w:tabs>
        <w:tab w:val="left" w:pos="2835"/>
      </w:tabs>
      <w:spacing w:before="100" w:after="180"/>
      <w:ind w:left="567" w:right="720"/>
      <w:jc w:val="both"/>
    </w:pPr>
    <w:rPr>
      <w:rFonts w:eastAsia="Times"/>
      <w:i/>
      <w:color w:val="auto"/>
      <w:sz w:val="18"/>
    </w:rPr>
  </w:style>
  <w:style w:type="paragraph" w:customStyle="1" w:styleId="FooterLandscape">
    <w:name w:val="FooterLandscape"/>
    <w:basedOn w:val="Footer"/>
    <w:qFormat/>
    <w:pPr>
      <w:tabs>
        <w:tab w:val="clear" w:pos="4320"/>
        <w:tab w:val="clear" w:pos="8640"/>
        <w:tab w:val="right" w:pos="13892"/>
      </w:tabs>
      <w:spacing w:before="100" w:after="0"/>
      <w:ind w:right="720"/>
    </w:pPr>
    <w:rPr>
      <w:rFonts w:ascii="Arial" w:eastAsia="Times" w:hAnsi="Arial"/>
      <w:i/>
      <w:color w:val="auto"/>
      <w:sz w:val="18"/>
    </w:rPr>
  </w:style>
  <w:style w:type="paragraph" w:customStyle="1" w:styleId="IPPNumberClose">
    <w:name w:val="IPP NumberClose"/>
    <w:basedOn w:val="IPPNumber"/>
    <w:qFormat/>
    <w:pPr>
      <w:keepNext/>
      <w:spacing w:after="60"/>
    </w:pPr>
  </w:style>
  <w:style w:type="paragraph" w:customStyle="1" w:styleId="IPPNumber">
    <w:name w:val="IPP Number"/>
    <w:basedOn w:val="IPPNormal"/>
    <w:qFormat/>
    <w:pPr>
      <w:numPr>
        <w:numId w:val="0"/>
      </w:numPr>
      <w:tabs>
        <w:tab w:val="num" w:pos="720"/>
        <w:tab w:val="num" w:pos="2892"/>
      </w:tabs>
      <w:ind w:left="2892" w:hanging="579"/>
    </w:pPr>
  </w:style>
  <w:style w:type="paragraph" w:customStyle="1" w:styleId="IPPNumberedListLast">
    <w:name w:val="IPPNumberedListLast"/>
    <w:basedOn w:val="IPPNumberedList0"/>
    <w:qFormat/>
    <w:pPr>
      <w:numPr>
        <w:numId w:val="43"/>
      </w:numPr>
      <w:tabs>
        <w:tab w:val="num" w:pos="680"/>
      </w:tabs>
      <w:spacing w:after="180"/>
      <w:ind w:left="680" w:hanging="680"/>
    </w:pPr>
  </w:style>
  <w:style w:type="paragraph" w:customStyle="1" w:styleId="Comments">
    <w:name w:val="Comments"/>
    <w:basedOn w:val="Normal"/>
    <w:pPr>
      <w:spacing w:before="100" w:after="0"/>
      <w:ind w:left="284" w:right="720" w:hanging="284"/>
      <w:jc w:val="both"/>
    </w:pPr>
    <w:rPr>
      <w:i/>
      <w:color w:val="auto"/>
      <w:sz w:val="18"/>
    </w:rPr>
  </w:style>
  <w:style w:type="paragraph" w:customStyle="1" w:styleId="Indent1">
    <w:name w:val="Indent 1"/>
    <w:basedOn w:val="Normal"/>
    <w:qFormat/>
    <w:pPr>
      <w:spacing w:before="100" w:after="60"/>
      <w:ind w:left="567" w:right="720"/>
    </w:pPr>
    <w:rPr>
      <w:rFonts w:ascii="Georgia" w:eastAsia="Times" w:hAnsi="Georgia"/>
      <w:i/>
      <w:color w:val="auto"/>
      <w:sz w:val="18"/>
      <w:lang w:val="en-AU"/>
    </w:rPr>
  </w:style>
  <w:style w:type="paragraph" w:customStyle="1" w:styleId="Subhead">
    <w:name w:val="Subhead"/>
    <w:basedOn w:val="Normal"/>
    <w:qFormat/>
    <w:pPr>
      <w:keepNext/>
      <w:spacing w:before="120" w:after="60"/>
      <w:ind w:right="720"/>
    </w:pPr>
    <w:rPr>
      <w:rFonts w:ascii="Georgia" w:eastAsia="Times" w:hAnsi="Georgia"/>
      <w:b/>
      <w:i/>
      <w:color w:val="auto"/>
      <w:sz w:val="19"/>
      <w:lang w:val="en-AU"/>
    </w:rPr>
  </w:style>
  <w:style w:type="paragraph" w:customStyle="1" w:styleId="IPPNumberSubhead">
    <w:name w:val="IPP NumberSubhead"/>
    <w:basedOn w:val="IPPNumber"/>
    <w:qFormat/>
    <w:pPr>
      <w:keepNext/>
      <w:numPr>
        <w:numId w:val="44"/>
      </w:numPr>
      <w:tabs>
        <w:tab w:val="num" w:pos="567"/>
      </w:tabs>
      <w:spacing w:after="60"/>
      <w:ind w:firstLine="0"/>
    </w:pPr>
    <w:rPr>
      <w:b/>
    </w:rPr>
  </w:style>
  <w:style w:type="paragraph" w:customStyle="1" w:styleId="IPPSubheadNumber">
    <w:name w:val="IPP SubheadNumber"/>
    <w:basedOn w:val="IPPSubhead"/>
    <w:qFormat/>
    <w:pPr>
      <w:numPr>
        <w:numId w:val="27"/>
      </w:numPr>
      <w:tabs>
        <w:tab w:val="num" w:pos="720"/>
      </w:tabs>
      <w:ind w:left="720"/>
    </w:pPr>
  </w:style>
  <w:style w:type="paragraph" w:customStyle="1" w:styleId="IPPLetterListIndent">
    <w:name w:val="IPP LetterList Indent"/>
    <w:basedOn w:val="IPPLetterList"/>
    <w:qFormat/>
    <w:pPr>
      <w:numPr>
        <w:numId w:val="28"/>
      </w:numPr>
      <w:tabs>
        <w:tab w:val="clear" w:pos="567"/>
        <w:tab w:val="num" w:pos="720"/>
      </w:tabs>
      <w:ind w:left="720"/>
    </w:pPr>
  </w:style>
  <w:style w:type="paragraph" w:customStyle="1" w:styleId="IPPSubheadSpaceAfter">
    <w:name w:val="IPP Subhead SpaceAfter"/>
    <w:basedOn w:val="IPPSubhead"/>
    <w:qFormat/>
    <w:pPr>
      <w:spacing w:after="60"/>
    </w:pPr>
  </w:style>
  <w:style w:type="paragraph" w:customStyle="1" w:styleId="IPPArialFootnote">
    <w:name w:val="IPP Arial Footnote"/>
    <w:basedOn w:val="IPPArialTable"/>
    <w:qFormat/>
    <w:pPr>
      <w:tabs>
        <w:tab w:val="left" w:pos="567"/>
      </w:tabs>
      <w:ind w:left="567" w:hanging="567"/>
    </w:pPr>
    <w:rPr>
      <w:sz w:val="16"/>
    </w:rPr>
  </w:style>
  <w:style w:type="paragraph" w:customStyle="1" w:styleId="IPPContentsHead">
    <w:name w:val="IPP ContentsHead"/>
    <w:basedOn w:val="IPPSubhead"/>
    <w:next w:val="IPPNormal"/>
    <w:qFormat/>
    <w:pPr>
      <w:spacing w:after="240"/>
    </w:pPr>
    <w:rPr>
      <w:sz w:val="24"/>
    </w:rPr>
  </w:style>
  <w:style w:type="paragraph" w:customStyle="1" w:styleId="IPPNumberedListArial">
    <w:name w:val="IPP NumberedListArial"/>
    <w:basedOn w:val="IPPNumberedList"/>
    <w:qFormat/>
    <w:pPr>
      <w:numPr>
        <w:numId w:val="45"/>
      </w:numPr>
      <w:tabs>
        <w:tab w:val="num" w:pos="567"/>
      </w:tabs>
      <w:ind w:left="567" w:hanging="567"/>
    </w:pPr>
    <w:rPr>
      <w:rFonts w:ascii="Arial" w:hAnsi="Arial"/>
    </w:rPr>
  </w:style>
  <w:style w:type="paragraph" w:customStyle="1" w:styleId="IPPIndentClose">
    <w:name w:val="IPP Indent Close"/>
    <w:basedOn w:val="IPPNormal"/>
    <w:qFormat/>
    <w:pPr>
      <w:numPr>
        <w:numId w:val="46"/>
      </w:numPr>
      <w:tabs>
        <w:tab w:val="left" w:pos="2835"/>
      </w:tabs>
      <w:spacing w:after="60"/>
      <w:ind w:left="567" w:firstLine="0"/>
    </w:pPr>
  </w:style>
  <w:style w:type="paragraph" w:customStyle="1" w:styleId="IPPHdg2Num">
    <w:name w:val="IPP Hdg2Num"/>
    <w:basedOn w:val="IPPNormal"/>
    <w:next w:val="IPPNormal"/>
    <w:qFormat/>
    <w:pPr>
      <w:keepNext/>
      <w:tabs>
        <w:tab w:val="left" w:pos="567"/>
        <w:tab w:val="num" w:pos="680"/>
      </w:tabs>
      <w:spacing w:before="120" w:after="120"/>
      <w:ind w:left="680" w:hanging="680"/>
      <w:outlineLvl w:val="2"/>
    </w:pPr>
    <w:rPr>
      <w:b/>
      <w:sz w:val="24"/>
    </w:rPr>
  </w:style>
  <w:style w:type="character" w:customStyle="1" w:styleId="FollowedHyperlink1">
    <w:name w:val="FollowedHyperlink1"/>
    <w:rPr>
      <w:color w:val="800080"/>
      <w:u w:val="single"/>
    </w:rPr>
  </w:style>
  <w:style w:type="character" w:customStyle="1" w:styleId="txt">
    <w:name w:val="txt"/>
    <w:basedOn w:val="DefaultParagraphFont"/>
  </w:style>
  <w:style w:type="character" w:customStyle="1" w:styleId="highlight">
    <w:name w:val="highlight"/>
    <w:rPr>
      <w:rFonts w:cs="Times New Roman"/>
    </w:r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i/>
      <w:color w:val="auto"/>
      <w:sz w:val="20"/>
    </w:rPr>
  </w:style>
  <w:style w:type="character" w:customStyle="1" w:styleId="txtboldonly">
    <w:name w:val="txtboldonly"/>
    <w:basedOn w:val="DefaultParagraphFont"/>
  </w:style>
  <w:style w:type="paragraph" w:styleId="BodyTextFirstIndent2">
    <w:name w:val="Body Text First Indent 2"/>
    <w:basedOn w:val="BodyTextIndent"/>
    <w:semiHidden/>
    <w:pPr>
      <w:spacing w:after="120" w:line="240" w:lineRule="auto"/>
      <w:ind w:left="283" w:firstLine="210"/>
    </w:pPr>
    <w:rPr>
      <w:i/>
      <w:color w:val="auto"/>
      <w:sz w:val="24"/>
      <w:lang w:val="en-US"/>
    </w:rPr>
  </w:style>
  <w:style w:type="character" w:customStyle="1" w:styleId="pagination">
    <w:name w:val="pagination"/>
    <w:basedOn w:val="DefaultParagraphFont"/>
  </w:style>
  <w:style w:type="character" w:customStyle="1" w:styleId="CarCar5">
    <w:name w:val="Car Car5"/>
    <w:rPr>
      <w:rFonts w:cs="Consolas"/>
      <w:noProof w:val="0"/>
      <w:szCs w:val="24"/>
      <w:u w:val="single"/>
      <w:lang w:val="en-US" w:eastAsia="ja-JP" w:bidi="he-IL"/>
    </w:rPr>
  </w:style>
  <w:style w:type="character" w:customStyle="1" w:styleId="CarCar4">
    <w:name w:val="Car Car4"/>
    <w:rPr>
      <w:rFonts w:eastAsia="MS Mincho" w:cs="Arial"/>
      <w:b/>
      <w:bCs/>
      <w:iCs/>
      <w:noProof w:val="0"/>
      <w:kern w:val="32"/>
      <w:sz w:val="24"/>
      <w:szCs w:val="24"/>
      <w:lang w:val="en-US" w:eastAsia="ja-JP" w:bidi="ar-SA"/>
    </w:rPr>
  </w:style>
  <w:style w:type="character" w:customStyle="1" w:styleId="CarCar3">
    <w:name w:val="Car Car3"/>
    <w:locked/>
    <w:rPr>
      <w:rFonts w:eastAsia="MS Mincho" w:cs="Arial"/>
      <w:b/>
      <w:bCs/>
      <w:i/>
      <w:iCs/>
      <w:noProof w:val="0"/>
      <w:kern w:val="32"/>
      <w:sz w:val="24"/>
      <w:szCs w:val="26"/>
      <w:lang w:val="it-IT" w:eastAsia="ja-JP" w:bidi="ar-SA"/>
    </w:rPr>
  </w:style>
  <w:style w:type="paragraph" w:customStyle="1" w:styleId="CM7">
    <w:name w:val="CM7"/>
    <w:basedOn w:val="Normal"/>
    <w:next w:val="Normal"/>
    <w:pPr>
      <w:autoSpaceDE w:val="0"/>
      <w:autoSpaceDN w:val="0"/>
      <w:adjustRightInd w:val="0"/>
      <w:spacing w:after="0" w:line="198" w:lineRule="atLeast"/>
    </w:pPr>
    <w:rPr>
      <w:rFonts w:ascii="OJFKL G+ Melior" w:eastAsia="Calibri" w:hAnsi="OJFKL G+ Melior"/>
      <w:i/>
      <w:color w:val="auto"/>
      <w:sz w:val="18"/>
      <w:lang w:val="fr-FR"/>
    </w:rPr>
  </w:style>
  <w:style w:type="paragraph" w:customStyle="1" w:styleId="mainheader">
    <w:name w:val="mainheader"/>
    <w:basedOn w:val="Normal"/>
    <w:pPr>
      <w:spacing w:before="100" w:after="100"/>
    </w:pPr>
    <w:rPr>
      <w:rFonts w:eastAsia="MS Mincho"/>
      <w:i/>
      <w:color w:val="auto"/>
      <w:sz w:val="18"/>
      <w:lang w:val="fr-FR" w:eastAsia="ja-JP"/>
    </w:rPr>
  </w:style>
  <w:style w:type="character" w:customStyle="1" w:styleId="surname">
    <w:name w:val="surname"/>
    <w:basedOn w:val="DefaultParagraphFont"/>
  </w:style>
  <w:style w:type="character" w:customStyle="1" w:styleId="CarCar0">
    <w:name w:val="Car Car"/>
    <w:locked/>
    <w:rPr>
      <w:rFonts w:eastAsia="MS Mincho"/>
      <w:noProof w:val="0"/>
      <w:sz w:val="24"/>
      <w:szCs w:val="24"/>
      <w:lang w:val="fr-FR" w:eastAsia="ja-JP" w:bidi="ar-SA"/>
    </w:rPr>
  </w:style>
  <w:style w:type="character" w:customStyle="1" w:styleId="name0">
    <w:name w:val="name"/>
    <w:basedOn w:val="DefaultParagraphFont"/>
  </w:style>
  <w:style w:type="character" w:customStyle="1" w:styleId="forenames">
    <w:name w:val="forenames"/>
    <w:basedOn w:val="DefaultParagraphFont"/>
  </w:style>
  <w:style w:type="character" w:customStyle="1" w:styleId="txtsmall">
    <w:name w:val="txtsmall"/>
    <w:basedOn w:val="DefaultParagraphFont"/>
  </w:style>
  <w:style w:type="character" w:customStyle="1" w:styleId="mw-formatted-date">
    <w:name w:val="mw-formatted-date"/>
    <w:basedOn w:val="DefaultParagraphFont"/>
  </w:style>
  <w:style w:type="paragraph" w:customStyle="1" w:styleId="MediumGrid1-Accent22">
    <w:name w:val="Medium Grid 1 - Accent 22"/>
    <w:basedOn w:val="Normal"/>
    <w:qFormat/>
    <w:pPr>
      <w:spacing w:after="200" w:line="276" w:lineRule="auto"/>
      <w:ind w:left="720"/>
    </w:pPr>
    <w:rPr>
      <w:rFonts w:ascii="Calibri" w:eastAsia="Calibri" w:hAnsi="Calibri"/>
      <w:i/>
      <w:color w:val="auto"/>
    </w:rPr>
  </w:style>
  <w:style w:type="character" w:customStyle="1" w:styleId="CharChar3">
    <w:name w:val="Char Char3"/>
    <w:rPr>
      <w:sz w:val="22"/>
      <w:szCs w:val="22"/>
    </w:rPr>
  </w:style>
  <w:style w:type="character" w:customStyle="1" w:styleId="fm-citation-ids-label1">
    <w:name w:val="fm-citation-ids-label1"/>
    <w:rPr>
      <w:color w:val="333333"/>
    </w:rPr>
  </w:style>
  <w:style w:type="character" w:customStyle="1" w:styleId="citation-abbreviation2">
    <w:name w:val="citation-abbreviation2"/>
    <w:basedOn w:val="DefaultParagraphFont"/>
  </w:style>
  <w:style w:type="character" w:customStyle="1" w:styleId="citation-publication-date">
    <w:name w:val="citation-publication-date"/>
    <w:basedOn w:val="DefaultParagraphFont"/>
  </w:style>
  <w:style w:type="character" w:customStyle="1" w:styleId="citation-volume">
    <w:name w:val="citation-volume"/>
    <w:basedOn w:val="DefaultParagraphFont"/>
  </w:style>
  <w:style w:type="character" w:customStyle="1" w:styleId="citation-issue">
    <w:name w:val="citation-issue"/>
    <w:basedOn w:val="DefaultParagraphFont"/>
  </w:style>
  <w:style w:type="character" w:customStyle="1" w:styleId="citation-flpages">
    <w:name w:val="citation-flpages"/>
    <w:basedOn w:val="DefaultParagraphFont"/>
  </w:style>
  <w:style w:type="paragraph" w:customStyle="1" w:styleId="citation">
    <w:name w:val="citation"/>
    <w:basedOn w:val="Normal"/>
    <w:pPr>
      <w:spacing w:before="100" w:after="100"/>
    </w:pPr>
    <w:rPr>
      <w:i/>
      <w:color w:val="auto"/>
      <w:sz w:val="18"/>
    </w:rPr>
  </w:style>
  <w:style w:type="paragraph" w:customStyle="1" w:styleId="authlist">
    <w:name w:val="auth_list"/>
    <w:basedOn w:val="Normal"/>
    <w:pPr>
      <w:spacing w:before="100" w:after="100"/>
    </w:pPr>
    <w:rPr>
      <w:i/>
      <w:color w:val="auto"/>
      <w:sz w:val="18"/>
    </w:rPr>
  </w:style>
  <w:style w:type="paragraph" w:customStyle="1" w:styleId="MDthesisHeading2">
    <w:name w:val="MD thesis Heading 2"/>
    <w:basedOn w:val="Heading2"/>
    <w:next w:val="Normal"/>
    <w:autoRedefine/>
    <w:pPr>
      <w:tabs>
        <w:tab w:val="left" w:pos="709"/>
      </w:tabs>
      <w:spacing w:before="120" w:after="60" w:line="360" w:lineRule="auto"/>
      <w:ind w:left="709" w:firstLine="720"/>
    </w:pPr>
    <w:rPr>
      <w:b w:val="0"/>
      <w:i/>
      <w:snapToGrid/>
    </w:rPr>
  </w:style>
  <w:style w:type="paragraph" w:customStyle="1" w:styleId="title1">
    <w:name w:val="title1"/>
    <w:basedOn w:val="Normal"/>
    <w:pPr>
      <w:spacing w:after="0"/>
    </w:pPr>
    <w:rPr>
      <w:i/>
      <w:color w:val="auto"/>
      <w:sz w:val="29"/>
    </w:rPr>
  </w:style>
  <w:style w:type="paragraph" w:customStyle="1" w:styleId="rprtbody1">
    <w:name w:val="rprtbody1"/>
    <w:basedOn w:val="Normal"/>
    <w:pPr>
      <w:spacing w:before="34" w:after="34"/>
    </w:pPr>
    <w:rPr>
      <w:i/>
      <w:color w:val="auto"/>
      <w:sz w:val="28"/>
    </w:rPr>
  </w:style>
  <w:style w:type="paragraph" w:customStyle="1" w:styleId="aux1">
    <w:name w:val="aux1"/>
    <w:basedOn w:val="Normal"/>
    <w:pPr>
      <w:spacing w:after="0" w:line="320" w:lineRule="atLeast"/>
    </w:pPr>
    <w:rPr>
      <w:i/>
      <w:color w:val="auto"/>
      <w:sz w:val="18"/>
    </w:rPr>
  </w:style>
  <w:style w:type="character" w:customStyle="1" w:styleId="src1">
    <w:name w:val="src1"/>
    <w:rPr>
      <w:vanish w:val="0"/>
      <w:webHidden w:val="0"/>
      <w:specVanish w:val="0"/>
    </w:rPr>
  </w:style>
  <w:style w:type="character" w:customStyle="1" w:styleId="jrnl">
    <w:name w:val="jrnl"/>
    <w:basedOn w:val="DefaultParagraphFont"/>
  </w:style>
  <w:style w:type="character" w:customStyle="1" w:styleId="prevauthlinks1">
    <w:name w:val="prevauthlinks1"/>
    <w:rPr>
      <w:color w:val="C0C0C0"/>
      <w:u w:val="single"/>
    </w:rPr>
  </w:style>
  <w:style w:type="character" w:customStyle="1" w:styleId="nbapihighlight">
    <w:name w:val="nbapihighlight"/>
    <w:basedOn w:val="DefaultParagraphFont"/>
  </w:style>
  <w:style w:type="character" w:customStyle="1" w:styleId="bf">
    <w:name w:val="bf"/>
    <w:basedOn w:val="DefaultParagraphFont"/>
  </w:style>
  <w:style w:type="character" w:customStyle="1" w:styleId="it">
    <w:name w:val="it"/>
    <w:basedOn w:val="DefaultParagraphFont"/>
  </w:style>
  <w:style w:type="paragraph" w:customStyle="1" w:styleId="ptdocpara">
    <w:name w:val="ptdocpara"/>
    <w:basedOn w:val="Normal"/>
    <w:pPr>
      <w:spacing w:before="100" w:after="100"/>
    </w:pPr>
    <w:rPr>
      <w:i/>
      <w:color w:val="auto"/>
      <w:sz w:val="18"/>
    </w:rPr>
  </w:style>
  <w:style w:type="character" w:customStyle="1" w:styleId="ptdocpublication">
    <w:name w:val="ptdocpublication"/>
    <w:basedOn w:val="DefaultParagraphFont"/>
  </w:style>
  <w:style w:type="character" w:customStyle="1" w:styleId="ptdocissuevolume">
    <w:name w:val="ptdocissuevolume"/>
    <w:basedOn w:val="DefaultParagraphFont"/>
  </w:style>
  <w:style w:type="character" w:customStyle="1" w:styleId="ptdocissuedate">
    <w:name w:val="ptdocissuedate"/>
    <w:basedOn w:val="DefaultParagraphFont"/>
  </w:style>
  <w:style w:type="character" w:customStyle="1" w:styleId="ptdocissuepage">
    <w:name w:val="ptdocissuepage"/>
    <w:basedOn w:val="DefaultParagraphFont"/>
  </w:style>
  <w:style w:type="paragraph" w:customStyle="1" w:styleId="Referencetext121">
    <w:name w:val="סגנון Reference text + ‏12 נק מודגש1"/>
    <w:basedOn w:val="Normal"/>
    <w:autoRedefine/>
    <w:pPr>
      <w:spacing w:after="0" w:line="480" w:lineRule="auto"/>
      <w:jc w:val="both"/>
    </w:pPr>
    <w:rPr>
      <w:i/>
      <w:color w:val="auto"/>
      <w:sz w:val="18"/>
    </w:rPr>
  </w:style>
  <w:style w:type="paragraph" w:customStyle="1" w:styleId="10">
    <w:name w:val="סגנון כותרת 1 +"/>
    <w:basedOn w:val="Heading1"/>
    <w:pPr>
      <w:spacing w:before="240" w:after="60"/>
    </w:pPr>
    <w:rPr>
      <w:rFonts w:ascii="Arial" w:hAnsi="Arial"/>
      <w:i/>
      <w:color w:val="auto"/>
      <w:kern w:val="32"/>
      <w:sz w:val="32"/>
    </w:rPr>
  </w:style>
  <w:style w:type="paragraph" w:customStyle="1" w:styleId="14">
    <w:name w:val="אותיות גדולות 14"/>
    <w:basedOn w:val="10"/>
    <w:rPr>
      <w:b w:val="0"/>
    </w:rPr>
  </w:style>
  <w:style w:type="paragraph" w:customStyle="1" w:styleId="a3">
    <w:name w:val="טקסט מרכזי"/>
    <w:basedOn w:val="Normal"/>
    <w:pPr>
      <w:spacing w:after="0" w:line="480" w:lineRule="auto"/>
      <w:jc w:val="both"/>
    </w:pPr>
    <w:rPr>
      <w:rFonts w:ascii="Arial" w:hAnsi="Arial"/>
      <w:i/>
      <w:color w:val="auto"/>
      <w:sz w:val="18"/>
    </w:rPr>
  </w:style>
  <w:style w:type="character" w:customStyle="1" w:styleId="search1">
    <w:name w:val="search1"/>
    <w:rPr>
      <w:color w:val="228622"/>
    </w:rPr>
  </w:style>
  <w:style w:type="character" w:customStyle="1" w:styleId="style221">
    <w:name w:val="style221"/>
    <w:rPr>
      <w:color w:val="006633"/>
    </w:rPr>
  </w:style>
  <w:style w:type="character" w:customStyle="1" w:styleId="medium-normal1">
    <w:name w:val="medium-normal1"/>
    <w:rPr>
      <w:rFonts w:ascii="Arial" w:hAnsi="Arial" w:cs="Arial" w:hint="default"/>
      <w:b w:val="0"/>
      <w:bCs w:val="0"/>
      <w:i w:val="0"/>
      <w:iCs w:val="0"/>
      <w:sz w:val="20"/>
      <w:szCs w:val="20"/>
    </w:rPr>
  </w:style>
  <w:style w:type="character" w:styleId="HTMLVariable">
    <w:name w:val="HTML Variable"/>
    <w:rPr>
      <w:rFonts w:ascii="Verdana" w:hAnsi="Verdana" w:hint="default"/>
      <w:i w:val="0"/>
      <w:iCs w:val="0"/>
      <w:color w:val="000000"/>
      <w:sz w:val="20"/>
      <w:szCs w:val="20"/>
    </w:rPr>
  </w:style>
  <w:style w:type="paragraph" w:customStyle="1" w:styleId="last">
    <w:name w:val="last"/>
    <w:basedOn w:val="Normal"/>
    <w:pPr>
      <w:spacing w:before="100" w:after="100"/>
    </w:pPr>
    <w:rPr>
      <w:rFonts w:eastAsia="Calibri"/>
      <w:i/>
      <w:color w:val="auto"/>
      <w:sz w:val="18"/>
    </w:rPr>
  </w:style>
  <w:style w:type="paragraph" w:customStyle="1" w:styleId="firstlast">
    <w:name w:val="first last"/>
    <w:basedOn w:val="Normal"/>
    <w:pPr>
      <w:spacing w:before="100" w:after="100"/>
    </w:pPr>
    <w:rPr>
      <w:rFonts w:eastAsia="Calibri"/>
      <w:i/>
      <w:color w:val="auto"/>
      <w:sz w:val="18"/>
    </w:rPr>
  </w:style>
  <w:style w:type="character" w:customStyle="1" w:styleId="databold1">
    <w:name w:val="data_bold1"/>
    <w:rPr>
      <w:b/>
      <w:bCs/>
    </w:rPr>
  </w:style>
  <w:style w:type="paragraph" w:customStyle="1" w:styleId="normaltext">
    <w:name w:val="normaltext"/>
    <w:basedOn w:val="Normal"/>
    <w:pPr>
      <w:spacing w:before="120" w:after="60"/>
    </w:pPr>
    <w:rPr>
      <w:rFonts w:ascii="Arial" w:hAnsi="Arial"/>
      <w:i/>
      <w:sz w:val="20"/>
    </w:rPr>
  </w:style>
  <w:style w:type="paragraph" w:customStyle="1" w:styleId="heading10">
    <w:name w:val="heading1"/>
    <w:basedOn w:val="Normal"/>
    <w:next w:val="Normal"/>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Pr>
      <w:rFonts w:ascii="Times" w:hAnsi="Times"/>
      <w:b/>
      <w:noProof w:val="0"/>
      <w:sz w:val="24"/>
      <w:lang w:val="en-US" w:eastAsia="de-DE" w:bidi="ar-SA"/>
    </w:rPr>
  </w:style>
  <w:style w:type="paragraph" w:customStyle="1" w:styleId="literaturelist">
    <w:name w:val="literature list"/>
    <w:basedOn w:val="Normal"/>
    <w:pPr>
      <w:tabs>
        <w:tab w:val="num" w:pos="720"/>
        <w:tab w:val="left" w:pos="5760"/>
      </w:tabs>
      <w:spacing w:after="0" w:line="480" w:lineRule="auto"/>
      <w:ind w:left="720" w:right="170" w:hanging="360"/>
      <w:jc w:val="both"/>
      <w:outlineLvl w:val="0"/>
    </w:pPr>
    <w:rPr>
      <w:i/>
      <w:noProof/>
      <w:color w:val="auto"/>
      <w:sz w:val="18"/>
    </w:rPr>
  </w:style>
  <w:style w:type="character" w:customStyle="1" w:styleId="body1">
    <w:name w:val="body1"/>
    <w:rPr>
      <w:rFonts w:ascii="Verdana" w:hAnsi="Verdana" w:hint="default"/>
      <w:sz w:val="20"/>
      <w:szCs w:val="20"/>
    </w:rPr>
  </w:style>
  <w:style w:type="character" w:customStyle="1" w:styleId="bodybold1">
    <w:name w:val="bodybold1"/>
    <w:rPr>
      <w:rFonts w:ascii="Verdana" w:hAnsi="Verdana" w:hint="default"/>
      <w:b/>
      <w:bCs/>
      <w:sz w:val="20"/>
      <w:szCs w:val="20"/>
    </w:rPr>
  </w:style>
  <w:style w:type="paragraph" w:customStyle="1" w:styleId="CM1">
    <w:name w:val="CM1"/>
    <w:basedOn w:val="Default"/>
    <w:next w:val="Default"/>
    <w:pPr>
      <w:widowControl w:val="0"/>
    </w:pPr>
    <w:rPr>
      <w:color w:val="auto"/>
    </w:rPr>
  </w:style>
  <w:style w:type="paragraph" w:customStyle="1" w:styleId="CM2">
    <w:name w:val="CM2"/>
    <w:basedOn w:val="Default"/>
    <w:next w:val="Default"/>
    <w:pPr>
      <w:widowControl w:val="0"/>
      <w:spacing w:line="553" w:lineRule="atLeast"/>
    </w:pPr>
    <w:rPr>
      <w:color w:val="auto"/>
    </w:rPr>
  </w:style>
  <w:style w:type="paragraph" w:customStyle="1" w:styleId="CM27">
    <w:name w:val="CM27"/>
    <w:basedOn w:val="Default"/>
    <w:next w:val="Default"/>
    <w:pPr>
      <w:widowControl w:val="0"/>
      <w:spacing w:after="78"/>
    </w:pPr>
    <w:rPr>
      <w:color w:val="auto"/>
    </w:rPr>
  </w:style>
  <w:style w:type="paragraph" w:customStyle="1" w:styleId="CM3">
    <w:name w:val="CM3"/>
    <w:basedOn w:val="Default"/>
    <w:next w:val="Default"/>
    <w:pPr>
      <w:widowControl w:val="0"/>
      <w:numPr>
        <w:numId w:val="32"/>
      </w:numPr>
      <w:tabs>
        <w:tab w:val="clear" w:pos="720"/>
        <w:tab w:val="num" w:pos="680"/>
      </w:tabs>
      <w:spacing w:line="551" w:lineRule="atLeast"/>
      <w:ind w:left="0" w:firstLine="0"/>
    </w:pPr>
    <w:rPr>
      <w:color w:val="auto"/>
    </w:rPr>
  </w:style>
  <w:style w:type="paragraph" w:customStyle="1" w:styleId="CM28">
    <w:name w:val="CM28"/>
    <w:basedOn w:val="Default"/>
    <w:next w:val="Default"/>
    <w:pPr>
      <w:widowControl w:val="0"/>
      <w:spacing w:after="412"/>
    </w:pPr>
    <w:rPr>
      <w:color w:val="auto"/>
    </w:rPr>
  </w:style>
  <w:style w:type="paragraph" w:customStyle="1" w:styleId="CM30">
    <w:name w:val="CM30"/>
    <w:basedOn w:val="Default"/>
    <w:next w:val="Default"/>
    <w:pPr>
      <w:widowControl w:val="0"/>
      <w:spacing w:after="75"/>
    </w:pPr>
    <w:rPr>
      <w:color w:val="auto"/>
    </w:rPr>
  </w:style>
  <w:style w:type="paragraph" w:customStyle="1" w:styleId="CM10">
    <w:name w:val="CM10"/>
    <w:basedOn w:val="Default"/>
    <w:next w:val="Default"/>
    <w:pPr>
      <w:widowControl w:val="0"/>
      <w:spacing w:line="556" w:lineRule="atLeast"/>
    </w:pPr>
    <w:rPr>
      <w:color w:val="auto"/>
    </w:rPr>
  </w:style>
  <w:style w:type="paragraph" w:customStyle="1" w:styleId="CM32">
    <w:name w:val="CM32"/>
    <w:basedOn w:val="Default"/>
    <w:next w:val="Default"/>
    <w:pPr>
      <w:widowControl w:val="0"/>
      <w:spacing w:after="725"/>
    </w:pPr>
    <w:rPr>
      <w:color w:val="auto"/>
    </w:rPr>
  </w:style>
  <w:style w:type="paragraph" w:customStyle="1" w:styleId="CM33">
    <w:name w:val="CM33"/>
    <w:basedOn w:val="Default"/>
    <w:next w:val="Default"/>
    <w:pPr>
      <w:widowControl w:val="0"/>
      <w:numPr>
        <w:numId w:val="47"/>
      </w:numPr>
      <w:spacing w:after="538"/>
      <w:ind w:left="0" w:firstLine="0"/>
    </w:pPr>
    <w:rPr>
      <w:color w:val="auto"/>
    </w:rPr>
  </w:style>
  <w:style w:type="paragraph" w:customStyle="1" w:styleId="CM16">
    <w:name w:val="CM16"/>
    <w:basedOn w:val="Default"/>
    <w:next w:val="Default"/>
    <w:pPr>
      <w:widowControl w:val="0"/>
      <w:spacing w:line="553" w:lineRule="atLeast"/>
    </w:pPr>
    <w:rPr>
      <w:color w:val="auto"/>
    </w:rPr>
  </w:style>
  <w:style w:type="paragraph" w:customStyle="1" w:styleId="CM19">
    <w:name w:val="CM19"/>
    <w:basedOn w:val="Default"/>
    <w:next w:val="Default"/>
    <w:pPr>
      <w:widowControl w:val="0"/>
      <w:spacing w:line="268" w:lineRule="atLeast"/>
    </w:pPr>
    <w:rPr>
      <w:color w:val="auto"/>
    </w:rPr>
  </w:style>
  <w:style w:type="character" w:customStyle="1" w:styleId="ZchnZchn16">
    <w:name w:val="Zchn Zchn16"/>
    <w:rPr>
      <w:rFonts w:ascii="Arial" w:hAnsi="Arial" w:cs="Arial"/>
      <w:b/>
      <w:bCs/>
      <w:noProof w:val="0"/>
      <w:kern w:val="32"/>
      <w:sz w:val="32"/>
      <w:szCs w:val="32"/>
      <w:lang w:val="en-US" w:eastAsia="en-US" w:bidi="ar-SA"/>
    </w:rPr>
  </w:style>
  <w:style w:type="character" w:customStyle="1" w:styleId="ZchnZchn1">
    <w:name w:val="Zchn Zchn1"/>
    <w:rPr>
      <w:rFonts w:ascii="Cambria" w:hAnsi="Cambria"/>
      <w:b/>
      <w:bCs/>
      <w:noProof w:val="0"/>
      <w:kern w:val="28"/>
      <w:sz w:val="32"/>
      <w:szCs w:val="32"/>
      <w:lang w:val="ca-ES" w:eastAsia="en-US" w:bidi="ar-SA"/>
    </w:rPr>
  </w:style>
  <w:style w:type="paragraph" w:styleId="NoSpacing">
    <w:name w:val="No Spacing"/>
    <w:qFormat/>
    <w:rPr>
      <w:rFonts w:ascii="Times New Roman" w:hAnsi="Times New Roman"/>
      <w:sz w:val="24"/>
      <w:lang w:val="en-US" w:eastAsia="ko-KR"/>
    </w:rPr>
  </w:style>
  <w:style w:type="character" w:customStyle="1" w:styleId="ZchnZchn">
    <w:name w:val="Zchn Zchn"/>
    <w:rPr>
      <w:rFonts w:ascii="Calibri" w:hAnsi="Calibri"/>
      <w:noProof w:val="0"/>
      <w:lang w:val="ca-ES" w:eastAsia="en-US" w:bidi="ar-SA"/>
    </w:rPr>
  </w:style>
  <w:style w:type="paragraph" w:customStyle="1" w:styleId="references0">
    <w:name w:val="references"/>
    <w:basedOn w:val="Normal"/>
    <w:pPr>
      <w:spacing w:before="60" w:after="60"/>
      <w:ind w:left="1134" w:hanging="1134"/>
      <w:jc w:val="both"/>
    </w:pPr>
    <w:rPr>
      <w:rFonts w:ascii="Garamond" w:hAnsi="Garamond"/>
      <w:i/>
      <w:color w:val="auto"/>
      <w:sz w:val="20"/>
    </w:rPr>
  </w:style>
  <w:style w:type="paragraph" w:customStyle="1" w:styleId="refs">
    <w:name w:val="refs"/>
    <w:basedOn w:val="Normal"/>
    <w:pPr>
      <w:spacing w:before="100" w:after="100"/>
    </w:pPr>
    <w:rPr>
      <w:i/>
      <w:color w:val="auto"/>
      <w:sz w:val="18"/>
    </w:rPr>
  </w:style>
  <w:style w:type="character" w:customStyle="1" w:styleId="ital">
    <w:name w:val="ital"/>
    <w:basedOn w:val="DefaultParagraphFont"/>
  </w:style>
  <w:style w:type="paragraph" w:customStyle="1" w:styleId="Literaturverzeichnis">
    <w:name w:val="Literaturverzeichnis"/>
    <w:basedOn w:val="Normal"/>
    <w:next w:val="Normal"/>
    <w:unhideWhenUsed/>
    <w:pPr>
      <w:spacing w:after="200" w:line="276" w:lineRule="auto"/>
    </w:pPr>
    <w:rPr>
      <w:rFonts w:ascii="Calibri" w:hAnsi="Calibri"/>
      <w:i/>
      <w:color w:val="auto"/>
      <w:lang w:val="de-DE"/>
    </w:rPr>
  </w:style>
  <w:style w:type="character" w:customStyle="1" w:styleId="databold">
    <w:name w:val="data_bold"/>
    <w:basedOn w:val="DefaultParagraphFont"/>
  </w:style>
  <w:style w:type="character" w:customStyle="1" w:styleId="cmpparsedlocationcmpparsedstyle">
    <w:name w:val="cmp_parsed_location cmp_parsed_style"/>
    <w:basedOn w:val="DefaultParagraphFont"/>
  </w:style>
  <w:style w:type="paragraph" w:customStyle="1" w:styleId="MediumGrid1-Accent21">
    <w:name w:val="Medium Grid 1 - Accent 21"/>
    <w:basedOn w:val="Normal"/>
    <w:qFormat/>
    <w:pPr>
      <w:spacing w:after="200" w:line="276" w:lineRule="auto"/>
      <w:ind w:left="720"/>
    </w:pPr>
    <w:rPr>
      <w:rFonts w:ascii="Calibri" w:eastAsia="Calibri" w:hAnsi="Calibri"/>
      <w:b/>
      <w:i/>
      <w:color w:val="auto"/>
    </w:rPr>
  </w:style>
  <w:style w:type="paragraph" w:customStyle="1" w:styleId="ReferencesNIPIndia">
    <w:name w:val="References NIP India"/>
    <w:basedOn w:val="Normal"/>
    <w:qFormat/>
    <w:pPr>
      <w:spacing w:before="20" w:after="20"/>
      <w:ind w:left="709" w:right="720" w:hanging="709"/>
    </w:pPr>
    <w:rPr>
      <w:b/>
      <w:i/>
      <w:color w:val="auto"/>
      <w:sz w:val="18"/>
      <w:lang w:val="en-CA"/>
    </w:rPr>
  </w:style>
  <w:style w:type="character" w:customStyle="1" w:styleId="FootnoteTextChar">
    <w:name w:val="Footnote Text Char"/>
    <w:aliases w:val="Geneva 9 Char,Font: Geneva 9 Char,Boston 10 Char,f Char"/>
    <w:uiPriority w:val="99"/>
    <w:rPr>
      <w:sz w:val="20"/>
      <w:szCs w:val="20"/>
    </w:rPr>
  </w:style>
  <w:style w:type="character" w:customStyle="1" w:styleId="BodyTextIndent2Char">
    <w:name w:val="Body Text Indent 2 Char"/>
    <w:basedOn w:val="DefaultParagraphFont"/>
    <w:semiHidden/>
  </w:style>
  <w:style w:type="paragraph" w:customStyle="1" w:styleId="Textedebulles">
    <w:name w:val="Texte de bulles"/>
    <w:basedOn w:val="Normal"/>
    <w:semiHidden/>
    <w:pPr>
      <w:spacing w:before="100" w:after="0"/>
      <w:ind w:right="720"/>
      <w:jc w:val="both"/>
    </w:pPr>
    <w:rPr>
      <w:rFonts w:ascii="Tahoma" w:hAnsi="Tahoma"/>
      <w:color w:val="auto"/>
      <w:sz w:val="16"/>
    </w:rPr>
  </w:style>
  <w:style w:type="character" w:customStyle="1" w:styleId="CarCar2">
    <w:name w:val="Car Car2"/>
    <w:semiHidden/>
    <w:locked/>
    <w:rPr>
      <w:rFonts w:cs="MS Gothic"/>
      <w:noProof w:val="0"/>
      <w:lang w:val="en-US" w:eastAsia="ja-JP" w:bidi="he-IL"/>
    </w:rPr>
  </w:style>
  <w:style w:type="character" w:customStyle="1" w:styleId="CarCar1">
    <w:name w:val="Car Car1"/>
    <w:semiHidden/>
    <w:locked/>
    <w:rPr>
      <w:rFonts w:cs="MS Gothic"/>
      <w:noProof w:val="0"/>
      <w:lang w:val="en-US" w:eastAsia="ja-JP" w:bidi="he-IL"/>
    </w:rPr>
  </w:style>
  <w:style w:type="character" w:customStyle="1" w:styleId="CharChar4">
    <w:name w:val="Char Char4"/>
    <w:semiHidden/>
    <w:rPr>
      <w:sz w:val="22"/>
      <w:szCs w:val="22"/>
    </w:rPr>
  </w:style>
  <w:style w:type="character" w:customStyle="1" w:styleId="ZchnZchn15">
    <w:name w:val="Zchn Zchn15"/>
    <w:semiHidden/>
    <w:rPr>
      <w:rFonts w:ascii="Arial" w:hAnsi="Arial" w:cs="Arial"/>
      <w:b/>
      <w:bCs/>
      <w:i/>
      <w:iCs/>
      <w:noProof w:val="0"/>
      <w:sz w:val="28"/>
      <w:szCs w:val="28"/>
      <w:lang w:val="en-US" w:eastAsia="en-US" w:bidi="ar-SA"/>
    </w:rPr>
  </w:style>
  <w:style w:type="character" w:customStyle="1" w:styleId="ZchnZchn14">
    <w:name w:val="Zchn Zchn14"/>
    <w:semiHidden/>
    <w:rPr>
      <w:rFonts w:ascii="Arial" w:hAnsi="Arial" w:cs="Arial"/>
      <w:b/>
      <w:bCs/>
      <w:noProof w:val="0"/>
      <w:sz w:val="26"/>
      <w:szCs w:val="26"/>
      <w:lang w:val="en-US" w:eastAsia="en-US" w:bidi="ar-SA"/>
    </w:rPr>
  </w:style>
  <w:style w:type="character" w:customStyle="1" w:styleId="ZchnZchn13">
    <w:name w:val="Zchn Zchn13"/>
    <w:semiHidden/>
    <w:rPr>
      <w:rFonts w:ascii="Arial" w:hAnsi="Arial" w:cs="Arial"/>
      <w:b/>
      <w:bCs/>
      <w:noProof w:val="0"/>
      <w:sz w:val="24"/>
      <w:szCs w:val="24"/>
      <w:lang w:val="de-DE" w:eastAsia="de-DE" w:bidi="ar-SA"/>
    </w:rPr>
  </w:style>
  <w:style w:type="character" w:customStyle="1" w:styleId="ZchnZchn12">
    <w:name w:val="Zchn Zchn12"/>
    <w:semiHidden/>
    <w:rPr>
      <w:rFonts w:ascii="Arial" w:hAnsi="Arial" w:cs="Arial"/>
      <w:b/>
      <w:bCs/>
      <w:noProof w:val="0"/>
      <w:sz w:val="24"/>
      <w:szCs w:val="24"/>
      <w:lang w:val="de-DE" w:eastAsia="de-DE" w:bidi="ar-SA"/>
    </w:rPr>
  </w:style>
  <w:style w:type="character" w:customStyle="1" w:styleId="ZchnZchn11">
    <w:name w:val="Zchn Zchn11"/>
    <w:semiHidden/>
    <w:rPr>
      <w:rFonts w:ascii="Arial" w:hAnsi="Arial" w:cs="Arial"/>
      <w:b/>
      <w:bCs/>
      <w:noProof w:val="0"/>
      <w:lang w:val="de-DE" w:eastAsia="de-DE" w:bidi="ar-SA"/>
    </w:rPr>
  </w:style>
  <w:style w:type="character" w:customStyle="1" w:styleId="ZchnZchn10">
    <w:name w:val="Zchn Zchn10"/>
    <w:semiHidden/>
    <w:rPr>
      <w:rFonts w:ascii="Arial" w:hAnsi="Arial" w:cs="Arial"/>
      <w:b/>
      <w:bCs/>
      <w:noProof w:val="0"/>
      <w:sz w:val="28"/>
      <w:szCs w:val="28"/>
      <w:lang w:val="de-DE" w:eastAsia="de-DE" w:bidi="ar-SA"/>
    </w:rPr>
  </w:style>
  <w:style w:type="character" w:customStyle="1" w:styleId="ZchnZchn9">
    <w:name w:val="Zchn Zchn9"/>
    <w:semiHidden/>
    <w:rPr>
      <w:rFonts w:ascii="Arial" w:hAnsi="Arial" w:cs="Arial"/>
      <w:b/>
      <w:bCs/>
      <w:noProof w:val="0"/>
      <w:lang w:val="de-DE" w:eastAsia="de-DE" w:bidi="ar-SA"/>
    </w:rPr>
  </w:style>
  <w:style w:type="character" w:customStyle="1" w:styleId="ZchnZchn8">
    <w:name w:val="Zchn Zchn8"/>
    <w:semiHidden/>
    <w:rPr>
      <w:rFonts w:ascii="Arial" w:hAnsi="Arial" w:cs="Arial"/>
      <w:noProof w:val="0"/>
      <w:sz w:val="24"/>
      <w:szCs w:val="24"/>
      <w:lang w:val="de-DE" w:eastAsia="de-DE" w:bidi="ar-SA"/>
    </w:rPr>
  </w:style>
  <w:style w:type="character" w:customStyle="1" w:styleId="CharCharZchn">
    <w:name w:val="Char Char Zchn"/>
    <w:aliases w:val="Body Text Char Char Char Char Char Zchn,Body Text Char Char Char Char Zchn Zchn"/>
    <w:semiHidden/>
    <w:locked/>
    <w:rPr>
      <w:rFonts w:eastAsia="MS Mincho"/>
      <w:noProof w:val="0"/>
      <w:color w:val="000000"/>
      <w:sz w:val="24"/>
      <w:lang w:val="en-GB" w:eastAsia="zh-CN" w:bidi="ar-SA"/>
    </w:rPr>
  </w:style>
  <w:style w:type="character" w:customStyle="1" w:styleId="ZchnZchn4">
    <w:name w:val="Zchn Zchn4"/>
    <w:semiHidden/>
    <w:rPr>
      <w:noProof w:val="0"/>
      <w:sz w:val="24"/>
      <w:szCs w:val="24"/>
      <w:lang w:val="en-US" w:eastAsia="en-US" w:bidi="ar-SA"/>
    </w:rPr>
  </w:style>
  <w:style w:type="character" w:customStyle="1" w:styleId="ZchnZchn7">
    <w:name w:val="Zchn Zchn7"/>
    <w:semiHidden/>
    <w:rPr>
      <w:noProof w:val="0"/>
      <w:sz w:val="24"/>
      <w:szCs w:val="24"/>
      <w:lang w:val="en-US" w:eastAsia="en-US" w:bidi="ar-SA"/>
    </w:rPr>
  </w:style>
  <w:style w:type="character" w:customStyle="1" w:styleId="ZchnZchn6">
    <w:name w:val="Zchn Zchn6"/>
    <w:semiHidden/>
    <w:rPr>
      <w:rFonts w:ascii="Courier New" w:hAnsi="Courier New" w:cs="MS Gothic"/>
      <w:noProof w:val="0"/>
      <w:lang w:val="de-DE" w:eastAsia="de-DE" w:bidi="ar-SA"/>
    </w:rPr>
  </w:style>
  <w:style w:type="character" w:customStyle="1" w:styleId="ZchnZchn5">
    <w:name w:val="Zchn Zchn5"/>
    <w:semiHidden/>
    <w:rPr>
      <w:rFonts w:ascii="Arial" w:hAnsi="Arial" w:cs="Arial"/>
      <w:noProof w:val="0"/>
      <w:sz w:val="24"/>
      <w:szCs w:val="24"/>
      <w:lang w:val="de-DE" w:eastAsia="de-DE" w:bidi="ar-SA"/>
    </w:rPr>
  </w:style>
  <w:style w:type="character" w:customStyle="1" w:styleId="ZchnZchn3">
    <w:name w:val="Zchn Zchn3"/>
    <w:semiHidden/>
    <w:rPr>
      <w:rFonts w:ascii="Arial" w:hAnsi="Arial" w:cs="Arial"/>
      <w:noProof w:val="0"/>
      <w:sz w:val="24"/>
      <w:szCs w:val="24"/>
      <w:lang w:val="de-DE" w:eastAsia="de-DE" w:bidi="ar-SA"/>
    </w:rPr>
  </w:style>
  <w:style w:type="paragraph" w:customStyle="1" w:styleId="11">
    <w:name w:val="コメント内容1"/>
    <w:basedOn w:val="CommentText"/>
    <w:next w:val="CommentText"/>
    <w:semiHidden/>
    <w:pPr>
      <w:spacing w:after="0"/>
    </w:pPr>
    <w:rPr>
      <w:rFonts w:ascii="Century" w:eastAsia="MS Mincho" w:hAnsi="Century"/>
      <w:b/>
      <w:bCs/>
      <w:kern w:val="2"/>
      <w:sz w:val="24"/>
      <w:szCs w:val="24"/>
      <w:lang w:val="en-US" w:eastAsia="ja-JP"/>
    </w:rPr>
  </w:style>
  <w:style w:type="paragraph" w:customStyle="1" w:styleId="12">
    <w:name w:val="吹き出し1"/>
    <w:basedOn w:val="Normal"/>
    <w:semiHidden/>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pPr>
      <w:spacing w:after="0"/>
    </w:pPr>
    <w:rPr>
      <w:rFonts w:ascii="Century" w:eastAsia="MS Mincho" w:hAnsi="Century"/>
      <w:b/>
      <w:bCs/>
      <w:kern w:val="2"/>
      <w:sz w:val="24"/>
      <w:szCs w:val="24"/>
      <w:lang w:val="en-US" w:eastAsia="ja-JP"/>
    </w:rPr>
  </w:style>
  <w:style w:type="paragraph" w:customStyle="1" w:styleId="Textodeglobo1">
    <w:name w:val="Texto de globo1"/>
    <w:basedOn w:val="Normal"/>
    <w:semiHidden/>
    <w:pPr>
      <w:widowControl w:val="0"/>
      <w:spacing w:after="0"/>
      <w:jc w:val="both"/>
    </w:pPr>
    <w:rPr>
      <w:rFonts w:ascii="Tahoma" w:eastAsia="MS Mincho" w:hAnsi="Tahoma" w:cs="Times New Roman Bold"/>
      <w:color w:val="auto"/>
      <w:kern w:val="2"/>
      <w:sz w:val="16"/>
      <w:szCs w:val="16"/>
      <w:lang w:val="en-US" w:eastAsia="ja-JP"/>
    </w:rPr>
  </w:style>
  <w:style w:type="paragraph" w:customStyle="1" w:styleId="a7">
    <w:name w:val="スタイル"/>
    <w:pPr>
      <w:widowControl w:val="0"/>
      <w:autoSpaceDE w:val="0"/>
      <w:autoSpaceDN w:val="0"/>
      <w:adjustRightInd w:val="0"/>
    </w:pPr>
    <w:rPr>
      <w:rFonts w:ascii="Times New Roman" w:eastAsia="MS Mincho" w:hAnsi="Times New Roman"/>
      <w:sz w:val="24"/>
      <w:szCs w:val="24"/>
      <w:lang w:val="en-US" w:eastAsia="ja-JP"/>
    </w:rPr>
  </w:style>
  <w:style w:type="paragraph" w:customStyle="1" w:styleId="BodyText10">
    <w:name w:val="Body Text1"/>
    <w:basedOn w:val="Normal"/>
    <w:rPr>
      <w:szCs w:val="24"/>
    </w:rPr>
  </w:style>
  <w:style w:type="paragraph" w:customStyle="1" w:styleId="Tableandfigureheaders">
    <w:name w:val="Table and figure headers"/>
    <w:basedOn w:val="Caption"/>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pPr>
      <w:spacing w:before="0" w:after="0"/>
      <w:ind w:left="425" w:right="0"/>
    </w:pPr>
    <w:rPr>
      <w:rFonts w:ascii="Calibri" w:hAnsi="Calibri"/>
      <w:i w:val="0"/>
      <w:noProof/>
      <w:color w:val="auto"/>
      <w:sz w:val="18"/>
      <w:szCs w:val="22"/>
      <w:lang w:eastAsia="en-GB"/>
    </w:rPr>
  </w:style>
  <w:style w:type="character" w:customStyle="1" w:styleId="CharChar20">
    <w:name w:val="Char Char2"/>
    <w:locked/>
    <w:rPr>
      <w:b/>
      <w:bCs w:val="0"/>
      <w:noProof w:val="0"/>
      <w:color w:val="000000"/>
      <w:sz w:val="28"/>
      <w:lang w:val="en-GB" w:eastAsia="zh-CN" w:bidi="ar-SA"/>
    </w:rPr>
  </w:style>
  <w:style w:type="character" w:customStyle="1" w:styleId="CharChar10">
    <w:name w:val="Char Char1"/>
    <w:rPr>
      <w:rFonts w:ascii="Arial" w:hAnsi="Arial" w:cs="Arial" w:hint="default"/>
      <w:noProof w:val="0"/>
      <w:lang w:val="en-GB" w:eastAsia="zh-CN" w:bidi="ar-SA"/>
    </w:rPr>
  </w:style>
  <w:style w:type="character" w:customStyle="1" w:styleId="13">
    <w:name w:val="(文字) (文字)1"/>
    <w:rPr>
      <w:rFonts w:ascii="SimSun" w:eastAsia="SimSun" w:hint="eastAsia"/>
      <w:noProof w:val="0"/>
      <w:sz w:val="24"/>
      <w:szCs w:val="24"/>
      <w:lang w:val="en-US" w:eastAsia="zh-CN" w:bidi="ar-SA"/>
    </w:rPr>
  </w:style>
  <w:style w:type="character" w:customStyle="1" w:styleId="a8">
    <w:name w:val="(文字) (文字)"/>
    <w:rPr>
      <w:rFonts w:ascii="SimSun" w:eastAsia="SimSun" w:hint="eastAsia"/>
      <w:b/>
      <w:bCs/>
      <w:noProof w:val="0"/>
      <w:sz w:val="24"/>
      <w:szCs w:val="24"/>
      <w:lang w:val="en-US" w:eastAsia="en-US" w:bidi="ar-SA"/>
    </w:rPr>
  </w:style>
  <w:style w:type="character" w:customStyle="1" w:styleId="CarCar190">
    <w:name w:val="Car Car19"/>
    <w:locked/>
    <w:rPr>
      <w:rFonts w:ascii="MS Mincho" w:eastAsia="MS Mincho" w:hint="eastAsia"/>
      <w:noProof w:val="0"/>
      <w:color w:val="000000"/>
      <w:sz w:val="24"/>
      <w:szCs w:val="24"/>
      <w:lang w:val="en-GB" w:eastAsia="zh-CN" w:bidi="ar-SA"/>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F95F7D"/>
    <w:rPr>
      <w:sz w:val="28"/>
      <w:lang w:eastAsia="en-US"/>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rPr>
      <w:b/>
      <w:bCs w:val="0"/>
      <w:i/>
      <w:iCs w:val="0"/>
      <w:noProof w:val="0"/>
      <w:color w:val="000000"/>
      <w:sz w:val="24"/>
      <w:lang w:val="en-GB" w:eastAsia="en-US"/>
    </w:rPr>
  </w:style>
  <w:style w:type="character" w:customStyle="1" w:styleId="Heading4Char1">
    <w:name w:val="Heading 4 Char1"/>
    <w:rPr>
      <w:b/>
      <w:bCs w:val="0"/>
      <w:i/>
      <w:iCs w:val="0"/>
      <w:noProof w:val="0"/>
      <w:snapToGrid w:val="0"/>
      <w:color w:val="000000"/>
      <w:sz w:val="24"/>
      <w:lang w:val="en-GB" w:eastAsia="zh-CN"/>
    </w:rPr>
  </w:style>
  <w:style w:type="character" w:customStyle="1" w:styleId="Heading311ptBoldChar">
    <w:name w:val="Heading 3 + 11 pt Bold Char"/>
    <w:rPr>
      <w:b/>
      <w:sz w:val="24"/>
    </w:rPr>
  </w:style>
  <w:style w:type="character" w:customStyle="1" w:styleId="A20">
    <w:name w:val="A2"/>
    <w:rPr>
      <w:b/>
      <w:bCs w:val="0"/>
      <w:color w:val="000000"/>
      <w:sz w:val="12"/>
    </w:rPr>
  </w:style>
  <w:style w:type="character" w:customStyle="1" w:styleId="StyleHeading4Left0Firstline0Char">
    <w:name w:val="Style Heading 4 + Left:  0&quot; First line:  0&quot; Char"/>
    <w:rPr>
      <w:b/>
      <w:bCs w:val="0"/>
      <w:i/>
      <w:iCs w:val="0"/>
      <w:noProof w:val="0"/>
      <w:snapToGrid w:val="0"/>
      <w:color w:val="000000"/>
      <w:sz w:val="24"/>
      <w:lang w:val="en-GB" w:eastAsia="zh-CN"/>
    </w:rPr>
  </w:style>
  <w:style w:type="character" w:customStyle="1" w:styleId="ECMStableheaderChar">
    <w:name w:val="ECMS table header Char"/>
    <w:rPr>
      <w:b/>
      <w:bCs w:val="0"/>
      <w:noProof w:val="0"/>
      <w:sz w:val="24"/>
      <w:lang w:val="en-GB" w:eastAsia="en-GB"/>
    </w:rPr>
  </w:style>
  <w:style w:type="character" w:customStyle="1" w:styleId="maintext1">
    <w:name w:val="maintext1"/>
    <w:rPr>
      <w:rFonts w:ascii="Verdana" w:hAnsi="Verdana" w:hint="default"/>
      <w:sz w:val="20"/>
    </w:rPr>
  </w:style>
  <w:style w:type="character" w:customStyle="1" w:styleId="CharChar40">
    <w:name w:val="Char Char4"/>
    <w:locked/>
    <w:rPr>
      <w:noProof w:val="0"/>
      <w:sz w:val="24"/>
      <w:lang w:val="en-US" w:eastAsia="en-AU"/>
    </w:rPr>
  </w:style>
  <w:style w:type="character" w:customStyle="1" w:styleId="apple-style-span">
    <w:name w:val="apple-style-span"/>
    <w:rPr>
      <w:rFonts w:ascii="Times New Roman" w:hAnsi="Times New Roman" w:cs="Times New Roman" w:hint="default"/>
    </w:rPr>
  </w:style>
  <w:style w:type="character" w:customStyle="1" w:styleId="CharChar5">
    <w:name w:val="Char Char5"/>
    <w:locked/>
    <w:rPr>
      <w:rFonts w:ascii="Tahoma" w:hAnsi="Tahoma" w:cs="Times New Roman Bold" w:hint="default"/>
      <w:noProof w:val="0"/>
      <w:sz w:val="16"/>
      <w:lang w:val="en-US" w:eastAsia="en-US"/>
    </w:rPr>
  </w:style>
  <w:style w:type="character" w:customStyle="1" w:styleId="apple-converted-space">
    <w:name w:val="apple-converted-space"/>
    <w:rPr>
      <w:rFonts w:ascii="Times New Roman" w:hAnsi="Times New Roman" w:cs="Times New Roman" w:hint="default"/>
    </w:rPr>
  </w:style>
  <w:style w:type="character" w:customStyle="1" w:styleId="CharChar30">
    <w:name w:val="Char Char3"/>
    <w:locked/>
    <w:rPr>
      <w:noProof w:val="0"/>
      <w:color w:val="000000"/>
      <w:sz w:val="24"/>
      <w:lang w:val="en-GB" w:eastAsia="en-US"/>
    </w:rPr>
  </w:style>
  <w:style w:type="paragraph" w:customStyle="1" w:styleId="listparagraphcxspmiddle">
    <w:name w:val="listparagraphcxspmiddle"/>
    <w:basedOn w:val="Normal"/>
    <w:pPr>
      <w:spacing w:before="100" w:after="100"/>
    </w:pPr>
    <w:rPr>
      <w:color w:val="auto"/>
      <w:lang w:val="en-US"/>
    </w:rPr>
  </w:style>
  <w:style w:type="paragraph" w:customStyle="1" w:styleId="StyleBodyText1After6pt">
    <w:name w:val="Style Body Text1 + After:  6 pt"/>
    <w:basedOn w:val="BodyText10"/>
    <w:rPr>
      <w:szCs w:val="20"/>
    </w:rPr>
  </w:style>
  <w:style w:type="character" w:customStyle="1" w:styleId="DocumentMapChar">
    <w:name w:val="Document Map Char"/>
    <w:semiHidden/>
    <w:rPr>
      <w:rFonts w:ascii="Times New Roman" w:hAnsi="Times New Roman" w:cs="Times New Roman"/>
      <w:color w:val="000000"/>
      <w:sz w:val="0"/>
      <w:szCs w:val="0"/>
    </w:rPr>
  </w:style>
  <w:style w:type="character" w:customStyle="1" w:styleId="SubtitleChar">
    <w:name w:val="Subtitle Char"/>
    <w:uiPriority w:val="11"/>
    <w:rPr>
      <w:rFonts w:ascii="Cambria" w:eastAsia="Times New Roman" w:hAnsi="Cambria" w:cs="Times New Roman"/>
      <w:color w:val="000000"/>
      <w:sz w:val="24"/>
      <w:szCs w:val="24"/>
    </w:rPr>
  </w:style>
  <w:style w:type="character" w:customStyle="1" w:styleId="QuoteChar">
    <w:name w:val="Quote Char"/>
    <w:rPr>
      <w:rFonts w:ascii="Times New Roman" w:hAnsi="Times New Roman"/>
      <w:i/>
      <w:iCs/>
      <w:color w:val="000000"/>
      <w:sz w:val="24"/>
      <w:szCs w:val="24"/>
    </w:rPr>
  </w:style>
  <w:style w:type="character" w:customStyle="1" w:styleId="IntenseQuoteChar">
    <w:name w:val="Intense Quote Char"/>
    <w:rPr>
      <w:rFonts w:ascii="Times New Roman" w:hAnsi="Times New Roman"/>
      <w:b/>
      <w:bCs/>
      <w:i/>
      <w:iCs/>
      <w:color w:val="4F81BD"/>
      <w:sz w:val="24"/>
      <w:szCs w:val="24"/>
    </w:rPr>
  </w:style>
  <w:style w:type="character" w:customStyle="1" w:styleId="A00">
    <w:name w:val="A0"/>
    <w:rPr>
      <w:rFonts w:cs="Arial Unicode MS"/>
      <w:color w:val="000000"/>
      <w:sz w:val="22"/>
      <w:szCs w:val="22"/>
    </w:rPr>
  </w:style>
  <w:style w:type="character" w:customStyle="1" w:styleId="HTMLPreformattedChar">
    <w:name w:val="HTML Preformatted Char"/>
    <w:rPr>
      <w:rFonts w:ascii="Courier New" w:eastAsia="Times New Roman" w:hAnsi="Courier New" w:cs="Times"/>
    </w:rPr>
  </w:style>
  <w:style w:type="character" w:customStyle="1" w:styleId="srch-url21">
    <w:name w:val="srch-url21"/>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Pr>
      <w:rFonts w:ascii="Cambria" w:hAnsi="Cambria" w:cs="Times New Roman"/>
      <w:b/>
      <w:bCs/>
      <w:i/>
      <w:iCs/>
      <w:noProof w:val="0"/>
      <w:sz w:val="28"/>
      <w:szCs w:val="28"/>
      <w:lang w:val="en-AU" w:eastAsia="en-AU"/>
    </w:rPr>
  </w:style>
  <w:style w:type="character" w:customStyle="1" w:styleId="Titre3Car">
    <w:name w:val="Titre 3 Car"/>
    <w:aliases w:val="Heading 3 Char1 Char Car,Heading 3 Char Char Char Car,Char Char Char Char Car,Char Char1 Char Car,Sec Car"/>
    <w:locked/>
    <w:rPr>
      <w:rFonts w:cs="Times New Roman"/>
      <w:b/>
      <w:i/>
      <w:iCs/>
      <w:noProof w:val="0"/>
      <w:color w:val="000000"/>
      <w:sz w:val="24"/>
      <w:szCs w:val="24"/>
      <w:lang w:val="en-GB" w:eastAsia="en-US"/>
    </w:rPr>
  </w:style>
  <w:style w:type="character" w:customStyle="1" w:styleId="Titre4Car">
    <w:name w:val="Titre 4 Car"/>
    <w:aliases w:val="MainPara Car"/>
    <w:locked/>
    <w:rPr>
      <w:rFonts w:cs="Times New Roman"/>
      <w:bCs/>
      <w:i/>
      <w:noProof w:val="0"/>
      <w:sz w:val="28"/>
      <w:szCs w:val="28"/>
      <w:lang w:val="en-AU" w:eastAsia="en-AU"/>
    </w:rPr>
  </w:style>
  <w:style w:type="character" w:customStyle="1" w:styleId="Titre5Car">
    <w:name w:val="Titre 5 Car"/>
    <w:aliases w:val="Subpara 2 Car"/>
    <w:semiHidden/>
    <w:locked/>
    <w:rPr>
      <w:rFonts w:ascii="Calibri" w:hAnsi="Calibri" w:cs="Arial"/>
      <w:b/>
      <w:bCs/>
      <w:i/>
      <w:iCs/>
      <w:noProof w:val="0"/>
      <w:sz w:val="26"/>
      <w:szCs w:val="26"/>
      <w:lang w:val="en-AU" w:eastAsia="en-AU"/>
    </w:rPr>
  </w:style>
  <w:style w:type="character" w:customStyle="1" w:styleId="Titre6Car">
    <w:name w:val="Titre 6 Car"/>
    <w:semiHidden/>
    <w:locked/>
    <w:rPr>
      <w:rFonts w:ascii="Calibri" w:hAnsi="Calibri" w:cs="Arial"/>
      <w:b/>
      <w:bCs/>
      <w:noProof w:val="0"/>
      <w:lang w:val="en-AU" w:eastAsia="en-AU"/>
    </w:rPr>
  </w:style>
  <w:style w:type="character" w:customStyle="1" w:styleId="Titre7Car">
    <w:name w:val="Titre 7 Car"/>
    <w:aliases w:val="Subpara 4 Car"/>
    <w:semiHidden/>
    <w:locked/>
    <w:rPr>
      <w:rFonts w:ascii="Calibri" w:hAnsi="Calibri" w:cs="Arial"/>
      <w:noProof w:val="0"/>
      <w:sz w:val="24"/>
      <w:szCs w:val="24"/>
      <w:lang w:val="en-AU" w:eastAsia="en-AU"/>
    </w:rPr>
  </w:style>
  <w:style w:type="character" w:customStyle="1" w:styleId="Titre8Car">
    <w:name w:val="Titre 8 Car"/>
    <w:aliases w:val="Subpara 5 Car"/>
    <w:semiHidden/>
    <w:locked/>
    <w:rPr>
      <w:rFonts w:ascii="Calibri" w:hAnsi="Calibri" w:cs="Arial"/>
      <w:i/>
      <w:iCs/>
      <w:noProof w:val="0"/>
      <w:sz w:val="24"/>
      <w:szCs w:val="24"/>
      <w:lang w:val="en-AU" w:eastAsia="en-AU"/>
    </w:rPr>
  </w:style>
  <w:style w:type="character" w:customStyle="1" w:styleId="Titre9Car">
    <w:name w:val="Titre 9 Car"/>
    <w:aliases w:val="Subpara 6 Car"/>
    <w:semiHidden/>
    <w:locked/>
    <w:rPr>
      <w:rFonts w:ascii="Cambria" w:hAnsi="Cambria" w:cs="Times New Roman"/>
      <w:noProof w:val="0"/>
      <w:lang w:val="en-AU" w:eastAsia="en-AU"/>
    </w:rPr>
  </w:style>
  <w:style w:type="character" w:customStyle="1" w:styleId="TextedebullesCar">
    <w:name w:val="Texte de bulles Car"/>
    <w:semiHidden/>
    <w:locked/>
    <w:rPr>
      <w:rFonts w:cs="Times New Roman"/>
      <w:noProof w:val="0"/>
      <w:sz w:val="2"/>
      <w:lang w:val="en-AU" w:eastAsia="en-AU"/>
    </w:rPr>
  </w:style>
  <w:style w:type="character" w:customStyle="1" w:styleId="CorpsdetexteCar">
    <w:name w:val="Corps de texte Car"/>
    <w:aliases w:val="Char Char Car,Body Text Char Char Char Char Char Car,Body Text Char Char Char Char Car"/>
    <w:locked/>
    <w:rPr>
      <w:rFonts w:cs="Times New Roman"/>
      <w:noProof w:val="0"/>
      <w:sz w:val="24"/>
      <w:szCs w:val="24"/>
      <w:lang w:val="en-AU" w:eastAsia="en-AU"/>
    </w:rPr>
  </w:style>
  <w:style w:type="paragraph" w:customStyle="1" w:styleId="PrformatHTML">
    <w:name w:val="Préformaté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Pr>
      <w:rFonts w:ascii="Courier New" w:hAnsi="Courier New" w:cs="Chicago"/>
      <w:noProof w:val="0"/>
      <w:sz w:val="20"/>
      <w:szCs w:val="20"/>
      <w:lang w:val="en-AU" w:eastAsia="en-AU"/>
    </w:rPr>
  </w:style>
  <w:style w:type="character" w:customStyle="1" w:styleId="RetraitcorpsdetexteCar">
    <w:name w:val="Retrait corps de texte Car"/>
    <w:semiHidden/>
    <w:locked/>
    <w:rPr>
      <w:rFonts w:cs="Times New Roman"/>
      <w:noProof w:val="0"/>
      <w:sz w:val="24"/>
      <w:szCs w:val="24"/>
      <w:lang w:val="en-AU" w:eastAsia="en-AU"/>
    </w:rPr>
  </w:style>
  <w:style w:type="character" w:customStyle="1" w:styleId="Retraitcorpset1religCar">
    <w:name w:val="Retrait corps et 1re lig. Car"/>
    <w:basedOn w:val="RetraitcorpsdetexteCar"/>
    <w:semiHidden/>
    <w:locked/>
    <w:rPr>
      <w:rFonts w:cs="Times New Roman"/>
      <w:noProof w:val="0"/>
      <w:sz w:val="24"/>
      <w:szCs w:val="24"/>
      <w:lang w:val="en-AU" w:eastAsia="en-AU"/>
    </w:rPr>
  </w:style>
  <w:style w:type="character" w:customStyle="1" w:styleId="CommentaireCar">
    <w:name w:val="Commentaire Car"/>
    <w:locked/>
    <w:rPr>
      <w:rFonts w:eastAsia="Times New Roman"/>
      <w:noProof w:val="0"/>
      <w:lang w:val="en-AU" w:eastAsia="en-AU"/>
    </w:rPr>
  </w:style>
  <w:style w:type="paragraph" w:customStyle="1" w:styleId="Objetducommentaire">
    <w:name w:val="Objet du commentaire"/>
    <w:basedOn w:val="CommentText"/>
    <w:next w:val="CommentText"/>
    <w:semiHidden/>
    <w:pPr>
      <w:widowControl/>
      <w:spacing w:after="0"/>
    </w:pPr>
    <w:rPr>
      <w:rFonts w:ascii="Times New Roman" w:hAnsi="Times New Roman"/>
      <w:b/>
      <w:lang w:val="en-AU"/>
    </w:rPr>
  </w:style>
  <w:style w:type="character" w:customStyle="1" w:styleId="ObjetducommentaireCar">
    <w:name w:val="Objet du commentaire Car"/>
    <w:locked/>
    <w:rPr>
      <w:rFonts w:eastAsia="Times New Roman" w:cs="Times New Roman"/>
      <w:b/>
      <w:noProof w:val="0"/>
      <w:lang w:val="en-AU" w:eastAsia="en-AU"/>
    </w:rPr>
  </w:style>
  <w:style w:type="paragraph" w:customStyle="1" w:styleId="En-ttedetabledesmatires">
    <w:name w:val="En-tête de table des matières"/>
    <w:basedOn w:val="Heading1"/>
    <w:next w:val="Normal"/>
    <w:qFormat/>
    <w:pPr>
      <w:keepLines/>
      <w:spacing w:before="480" w:after="0" w:line="276" w:lineRule="auto"/>
      <w:ind w:left="0" w:firstLine="0"/>
      <w:outlineLvl w:val="9"/>
    </w:pPr>
    <w:rPr>
      <w:rFonts w:ascii="Cambria" w:eastAsia="MS Mincho" w:hAnsi="Cambria"/>
      <w:color w:val="808080"/>
      <w:lang w:val="fr-FR"/>
    </w:rPr>
  </w:style>
  <w:style w:type="paragraph" w:customStyle="1" w:styleId="Paragraphedeliste">
    <w:name w:val="Paragraphe de liste"/>
    <w:basedOn w:val="Normal"/>
    <w:qFormat/>
    <w:pPr>
      <w:spacing w:after="0"/>
    </w:pPr>
    <w:rPr>
      <w:rFonts w:eastAsia="MS Mincho"/>
      <w:color w:val="auto"/>
      <w:sz w:val="24"/>
      <w:lang w:val="en-AU"/>
    </w:rPr>
  </w:style>
  <w:style w:type="character" w:customStyle="1" w:styleId="bold0">
    <w:name w:val="bold"/>
    <w:rPr>
      <w:rFonts w:cs="Times New Roman"/>
    </w:rPr>
  </w:style>
  <w:style w:type="paragraph" w:customStyle="1" w:styleId="first">
    <w:name w:val="first"/>
    <w:basedOn w:val="Normal"/>
    <w:pPr>
      <w:spacing w:before="100" w:after="100"/>
    </w:pPr>
    <w:rPr>
      <w:rFonts w:eastAsia="MS Mincho"/>
      <w:color w:val="auto"/>
      <w:sz w:val="24"/>
      <w:lang w:val="fr-FR"/>
    </w:rPr>
  </w:style>
  <w:style w:type="character" w:customStyle="1" w:styleId="En-tteCar">
    <w:name w:val="En-tête Car"/>
    <w:locked/>
    <w:rPr>
      <w:rFonts w:cs="Times New Roman"/>
      <w:noProof w:val="0"/>
      <w:sz w:val="24"/>
      <w:szCs w:val="24"/>
      <w:lang w:val="en-AU" w:eastAsia="en-AU"/>
    </w:rPr>
  </w:style>
  <w:style w:type="character" w:customStyle="1" w:styleId="PieddepageCar">
    <w:name w:val="Pied de page Car"/>
    <w:locked/>
    <w:rPr>
      <w:rFonts w:cs="Times New Roman"/>
      <w:noProof w:val="0"/>
      <w:sz w:val="24"/>
      <w:szCs w:val="24"/>
      <w:lang w:val="en-AU" w:eastAsia="en-AU"/>
    </w:rPr>
  </w:style>
  <w:style w:type="character" w:customStyle="1" w:styleId="TitreCar">
    <w:name w:val="Titre Car"/>
    <w:locked/>
    <w:rPr>
      <w:rFonts w:ascii="Cambria" w:hAnsi="Cambria" w:cs="Times New Roman"/>
      <w:b/>
      <w:bCs/>
      <w:noProof w:val="0"/>
      <w:kern w:val="28"/>
      <w:sz w:val="32"/>
      <w:szCs w:val="32"/>
      <w:lang w:val="en-AU" w:eastAsia="en-AU"/>
    </w:rPr>
  </w:style>
  <w:style w:type="paragraph" w:customStyle="1" w:styleId="Sansinterligne">
    <w:name w:val="Sans interligne"/>
    <w:qFormat/>
    <w:rPr>
      <w:rFonts w:ascii="Times New Roman" w:eastAsia="MS Mincho" w:hAnsi="Times New Roman"/>
      <w:noProof/>
      <w:sz w:val="24"/>
      <w:lang w:val="nl-NL" w:eastAsia="nl-NL"/>
    </w:rPr>
  </w:style>
  <w:style w:type="character" w:customStyle="1" w:styleId="ExplorateurdedocumentsCar">
    <w:name w:val="Explorateur de documents Car"/>
    <w:semiHidden/>
    <w:locked/>
    <w:rPr>
      <w:rFonts w:ascii="Tahoma" w:hAnsi="Tahoma" w:cs="Times New Roman Bold"/>
      <w:noProof w:val="0"/>
      <w:sz w:val="16"/>
      <w:szCs w:val="16"/>
      <w:lang w:val="en-AU" w:eastAsia="en-AU"/>
    </w:rPr>
  </w:style>
  <w:style w:type="character" w:customStyle="1" w:styleId="hit">
    <w:name w:val="hit"/>
    <w:rPr>
      <w:rFonts w:cs="Times New Roman"/>
    </w:rPr>
  </w:style>
  <w:style w:type="character" w:customStyle="1" w:styleId="NotedebasdepageCar">
    <w:name w:val="Note de bas de page Car"/>
    <w:locked/>
    <w:rPr>
      <w:rFonts w:cs="Times New Roman"/>
      <w:noProof w:val="0"/>
      <w:sz w:val="24"/>
      <w:szCs w:val="24"/>
      <w:lang w:val="en-AU" w:eastAsia="en-AU"/>
    </w:rPr>
  </w:style>
  <w:style w:type="paragraph" w:customStyle="1" w:styleId="Rvision">
    <w:name w:val="Révision"/>
    <w:hidden/>
    <w:semiHidden/>
    <w:rPr>
      <w:rFonts w:ascii="Times New Roman" w:eastAsia="MS Mincho" w:hAnsi="Times New Roman"/>
      <w:sz w:val="24"/>
      <w:lang w:eastAsia="nl-NL"/>
    </w:rPr>
  </w:style>
  <w:style w:type="paragraph" w:customStyle="1" w:styleId="Ref">
    <w:name w:val="Ref"/>
    <w:basedOn w:val="Footnote"/>
    <w:pPr>
      <w:autoSpaceDE w:val="0"/>
      <w:autoSpaceDN w:val="0"/>
      <w:adjustRightInd w:val="0"/>
    </w:pPr>
    <w:rPr>
      <w:rFonts w:ascii="Calibri" w:eastAsia="MS Mincho" w:hAnsi="Calibri"/>
    </w:rPr>
  </w:style>
  <w:style w:type="character" w:customStyle="1" w:styleId="SansinterligneCar">
    <w:name w:val="Sans interligne Car"/>
    <w:rPr>
      <w:sz w:val="24"/>
      <w:szCs w:val="24"/>
      <w:lang w:bidi="ar-SA"/>
    </w:rPr>
  </w:style>
  <w:style w:type="paragraph" w:customStyle="1" w:styleId="Hea">
    <w:name w:val="Hea"/>
    <w:pPr>
      <w:autoSpaceDE w:val="0"/>
      <w:autoSpaceDN w:val="0"/>
    </w:pPr>
    <w:rPr>
      <w:rFonts w:ascii="Times New Roman" w:hAnsi="Times New Roman"/>
      <w:sz w:val="24"/>
      <w:lang w:val="en-US" w:eastAsia="nl-NL"/>
    </w:rPr>
  </w:style>
  <w:style w:type="paragraph" w:customStyle="1" w:styleId="PageImage">
    <w:name w:val="PageImage"/>
    <w:pPr>
      <w:autoSpaceDE w:val="0"/>
      <w:autoSpaceDN w:val="0"/>
      <w:spacing w:before="240"/>
      <w:jc w:val="center"/>
    </w:pPr>
    <w:rPr>
      <w:rFonts w:ascii="Times New Roman" w:hAnsi="Times New Roman"/>
      <w:lang w:eastAsia="nl-NL"/>
    </w:rPr>
  </w:style>
  <w:style w:type="paragraph" w:customStyle="1" w:styleId="Italicindent">
    <w:name w:val="Italic indent"/>
    <w:pPr>
      <w:autoSpaceDE w:val="0"/>
      <w:autoSpaceDN w:val="0"/>
      <w:spacing w:after="200" w:line="276" w:lineRule="auto"/>
      <w:ind w:left="1701" w:right="662"/>
    </w:pPr>
    <w:rPr>
      <w:rFonts w:ascii="Calibri" w:hAnsi="Calibri"/>
      <w:i/>
      <w:color w:val="000000"/>
      <w:lang w:val="en-GB" w:eastAsia="nl-NL"/>
    </w:rPr>
  </w:style>
  <w:style w:type="paragraph" w:customStyle="1" w:styleId="a9">
    <w:name w:val="("/>
    <w:pPr>
      <w:autoSpaceDE w:val="0"/>
      <w:autoSpaceDN w:val="0"/>
      <w:spacing w:after="160" w:line="240" w:lineRule="exact"/>
    </w:pPr>
    <w:rPr>
      <w:rFonts w:ascii="Times New Roman" w:hAnsi="Times New Roman"/>
      <w:lang w:val="en-US" w:eastAsia="nl-NL"/>
    </w:rPr>
  </w:style>
  <w:style w:type="character" w:customStyle="1" w:styleId="style61">
    <w:name w:val="style61"/>
    <w:rPr>
      <w:rFonts w:ascii="Verdana" w:hAnsi="Verdana" w:cs="Arial Narrow"/>
      <w:b/>
      <w:bCs/>
      <w:color w:val="808080"/>
      <w:sz w:val="24"/>
      <w:szCs w:val="24"/>
    </w:rPr>
  </w:style>
  <w:style w:type="paragraph" w:customStyle="1" w:styleId="Rvision1">
    <w:name w:val="Révision1"/>
    <w:hidden/>
    <w:semiHidden/>
    <w:rPr>
      <w:rFonts w:ascii="Times New Roman" w:eastAsia="MS Mincho" w:hAnsi="Times New Roman"/>
      <w:sz w:val="24"/>
      <w:szCs w:val="24"/>
      <w:lang w:val="en-US"/>
    </w:rPr>
  </w:style>
  <w:style w:type="paragraph" w:customStyle="1" w:styleId="Bibliographie1">
    <w:name w:val="Bibliographie1"/>
    <w:basedOn w:val="Normal"/>
    <w:next w:val="Normal"/>
    <w:pPr>
      <w:spacing w:before="120" w:after="120"/>
      <w:ind w:left="1134"/>
      <w:jc w:val="both"/>
    </w:pPr>
    <w:rPr>
      <w:rFonts w:ascii="Calibri" w:eastAsia="SimSun" w:hAnsi="Calibri"/>
      <w:color w:val="auto"/>
      <w:szCs w:val="22"/>
    </w:rPr>
  </w:style>
  <w:style w:type="paragraph" w:customStyle="1" w:styleId="Sansinterligne1">
    <w:name w:val="Sans interligne1"/>
    <w:basedOn w:val="Normal"/>
    <w:locked/>
    <w:pPr>
      <w:spacing w:after="0"/>
    </w:pPr>
    <w:rPr>
      <w:rFonts w:ascii="Arial" w:hAnsi="Arial" w:cs="Century"/>
      <w:color w:val="auto"/>
      <w:szCs w:val="22"/>
      <w:lang w:eastAsia="en-US"/>
    </w:rPr>
  </w:style>
  <w:style w:type="paragraph" w:customStyle="1" w:styleId="Citation1">
    <w:name w:val="Citation1"/>
    <w:basedOn w:val="Normal"/>
    <w:next w:val="Normal"/>
    <w:locked/>
    <w:pPr>
      <w:spacing w:before="200" w:after="0"/>
      <w:ind w:left="360" w:right="360"/>
    </w:pPr>
    <w:rPr>
      <w:i/>
      <w:iCs/>
      <w:sz w:val="24"/>
      <w:szCs w:val="24"/>
      <w:lang w:val="en-US" w:eastAsia="en-US"/>
    </w:rPr>
  </w:style>
  <w:style w:type="paragraph" w:customStyle="1" w:styleId="Citationintense1">
    <w:name w:val="Citation intense1"/>
    <w:basedOn w:val="Normal"/>
    <w:next w:val="Normal"/>
    <w:locked/>
    <w:pPr>
      <w:pBdr>
        <w:bottom w:val="single" w:sz="4" w:space="1" w:color="auto"/>
      </w:pBdr>
      <w:spacing w:before="200" w:after="280"/>
      <w:ind w:left="1008" w:right="1152"/>
      <w:jc w:val="both"/>
    </w:pPr>
    <w:rPr>
      <w:b/>
      <w:bCs/>
      <w:i/>
      <w:iCs/>
      <w:color w:val="4F81BD"/>
      <w:sz w:val="24"/>
      <w:szCs w:val="24"/>
      <w:lang w:val="en-US" w:eastAsia="en-US"/>
    </w:rPr>
  </w:style>
  <w:style w:type="character" w:customStyle="1" w:styleId="Emphaseple1">
    <w:name w:val="Emphase pâle1"/>
    <w:locked/>
    <w:rPr>
      <w:i/>
    </w:rPr>
  </w:style>
  <w:style w:type="character" w:customStyle="1" w:styleId="Emphaseintense1">
    <w:name w:val="Emphase intense1"/>
    <w:locked/>
    <w:rPr>
      <w:b/>
    </w:rPr>
  </w:style>
  <w:style w:type="character" w:customStyle="1" w:styleId="Rfrenceple1">
    <w:name w:val="Référence pâle1"/>
    <w:locked/>
    <w:rPr>
      <w:smallCaps/>
    </w:rPr>
  </w:style>
  <w:style w:type="character" w:customStyle="1" w:styleId="Rfrenceintense1">
    <w:name w:val="Référence intense1"/>
    <w:locked/>
    <w:rPr>
      <w:smallCaps/>
      <w:spacing w:val="5"/>
      <w:u w:val="single"/>
    </w:rPr>
  </w:style>
  <w:style w:type="character" w:customStyle="1" w:styleId="Titredulivre1">
    <w:name w:val="Titre du livre1"/>
    <w:locked/>
    <w:rPr>
      <w:i/>
      <w:smallCaps/>
      <w:spacing w:val="5"/>
    </w:rPr>
  </w:style>
  <w:style w:type="paragraph" w:customStyle="1" w:styleId="En-ttedetabledesmatires1">
    <w:name w:val="En-tête de table des matières1"/>
    <w:basedOn w:val="Heading1"/>
    <w:next w:val="Normal"/>
    <w:locked/>
    <w:pPr>
      <w:keepLines/>
      <w:tabs>
        <w:tab w:val="left" w:pos="851"/>
      </w:tabs>
      <w:spacing w:before="0"/>
      <w:ind w:left="1100" w:hanging="660"/>
      <w:outlineLvl w:val="9"/>
    </w:pPr>
    <w:rPr>
      <w:rFonts w:ascii="Arial" w:hAnsi="Arial"/>
      <w:bCs/>
      <w:color w:val="auto"/>
      <w:sz w:val="32"/>
      <w:szCs w:val="28"/>
      <w:lang w:val="nb-NO" w:eastAsia="en-US"/>
    </w:rPr>
  </w:style>
  <w:style w:type="paragraph" w:customStyle="1" w:styleId="BodyText11">
    <w:name w:val="Body Text11"/>
    <w:basedOn w:val="Normal"/>
    <w:pPr>
      <w:spacing w:after="0"/>
    </w:pPr>
  </w:style>
  <w:style w:type="paragraph" w:customStyle="1" w:styleId="paraindentFootnoteQPS">
    <w:name w:val="para indent Footnote QPS"/>
    <w:basedOn w:val="FootnoteText"/>
    <w:pPr>
      <w:widowControl/>
      <w:spacing w:after="0"/>
      <w:ind w:left="426" w:hanging="284"/>
    </w:pPr>
    <w:rPr>
      <w:rFonts w:ascii="Calibri" w:hAnsi="Calibri"/>
      <w:color w:val="000000"/>
      <w:sz w:val="16"/>
      <w:szCs w:val="18"/>
      <w:lang w:val="en-NZ" w:eastAsia="en-US"/>
    </w:rPr>
  </w:style>
  <w:style w:type="paragraph" w:customStyle="1" w:styleId="Paragraphedeliste1">
    <w:name w:val="Paragraphe de liste1"/>
    <w:basedOn w:val="Normal"/>
    <w:pPr>
      <w:ind w:left="720"/>
      <w:contextualSpacing/>
    </w:pPr>
  </w:style>
  <w:style w:type="paragraph" w:customStyle="1" w:styleId="yiv587168716msonormal">
    <w:name w:val="yiv587168716msonormal"/>
    <w:basedOn w:val="Normal"/>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pPr>
      <w:ind w:left="720"/>
      <w:contextualSpacing/>
    </w:pPr>
  </w:style>
  <w:style w:type="character" w:customStyle="1" w:styleId="st1">
    <w:name w:val="st1"/>
  </w:style>
  <w:style w:type="character" w:customStyle="1" w:styleId="Heading1Char21">
    <w:name w:val="Heading 1 Char21"/>
    <w:aliases w:val="Para (1) Char3,Heading 1 Char1 Char Char11,Heading 1 Char Char Char Char2,Para (1) Char Char Char Char2,Para (1) Char1 Char Char2,Heading 1 Char1 Char11,Heading 1 Char Char Char11,Para (1) Char Char Char11,Para (1) Char1 Char11"/>
    <w:rPr>
      <w:b/>
      <w:bCs/>
      <w:noProof w:val="0"/>
      <w:color w:val="000000"/>
      <w:sz w:val="28"/>
      <w:szCs w:val="28"/>
      <w:lang w:val="en-GB"/>
    </w:rPr>
  </w:style>
  <w:style w:type="character" w:customStyle="1" w:styleId="CharChar8">
    <w:name w:val="Char Char8"/>
    <w:locked/>
    <w:rPr>
      <w:rFonts w:ascii="Times New Roman" w:hAnsi="Times New Roman"/>
      <w:noProof w:val="0"/>
      <w:sz w:val="24"/>
      <w:lang w:eastAsia="ja-JP"/>
    </w:rPr>
  </w:style>
  <w:style w:type="character" w:customStyle="1" w:styleId="CharChar100">
    <w:name w:val="Char Char10"/>
    <w:semiHidden/>
    <w:locked/>
    <w:rPr>
      <w:rFonts w:ascii="Times New Roman" w:hAnsi="Times New Roman"/>
      <w:noProof w:val="0"/>
      <w:color w:val="000000"/>
      <w:sz w:val="20"/>
      <w:lang w:val="en-GB" w:eastAsia="zh-CN"/>
    </w:rPr>
  </w:style>
  <w:style w:type="character" w:styleId="HTMLCite">
    <w:name w:val="HTML Cite"/>
    <w:uiPriority w:val="99"/>
    <w:semiHidden/>
    <w:rPr>
      <w:rFonts w:cs="Times New Roman"/>
      <w:i/>
      <w:iCs/>
    </w:rPr>
  </w:style>
  <w:style w:type="character" w:customStyle="1" w:styleId="st">
    <w:name w:val="st"/>
  </w:style>
  <w:style w:type="paragraph" w:customStyle="1" w:styleId="TitleofManuscript">
    <w:name w:val="Title of Manuscript"/>
    <w:basedOn w:val="Normal"/>
    <w:pPr>
      <w:spacing w:after="0"/>
    </w:pPr>
    <w:rPr>
      <w:b/>
      <w:bCs/>
      <w:spacing w:val="-4"/>
      <w:sz w:val="32"/>
      <w:szCs w:val="32"/>
      <w:lang w:val="en-CA" w:eastAsia="en-CA"/>
    </w:rPr>
  </w:style>
  <w:style w:type="character" w:customStyle="1" w:styleId="author2">
    <w:name w:val="author2"/>
    <w:rPr>
      <w:rFonts w:cs="Times New Roman"/>
    </w:rPr>
  </w:style>
  <w:style w:type="character" w:customStyle="1" w:styleId="al-hide">
    <w:name w:val="al-hide"/>
    <w:rPr>
      <w:rFonts w:cs="Times New Roman"/>
    </w:rPr>
  </w:style>
  <w:style w:type="character" w:customStyle="1" w:styleId="al-vis">
    <w:name w:val="al-vis"/>
    <w:rPr>
      <w:rFonts w:cs="Times New Roman"/>
    </w:rPr>
  </w:style>
  <w:style w:type="character" w:customStyle="1" w:styleId="container2">
    <w:name w:val="container2"/>
    <w:rPr>
      <w:rFonts w:cs="Times New Roman"/>
    </w:rPr>
  </w:style>
  <w:style w:type="character" w:customStyle="1" w:styleId="year">
    <w:name w:val="year"/>
    <w:rPr>
      <w:rFonts w:cs="Times New Roman"/>
    </w:rPr>
  </w:style>
  <w:style w:type="character" w:customStyle="1" w:styleId="Para10">
    <w:name w:val="Para (1) ("/>
    <w:rPr>
      <w:b/>
      <w:bCs/>
      <w:noProof w:val="0"/>
      <w:kern w:val="32"/>
      <w:sz w:val="32"/>
      <w:szCs w:val="32"/>
      <w:lang w:val="en-US"/>
    </w:rPr>
  </w:style>
  <w:style w:type="paragraph" w:customStyle="1" w:styleId="aa">
    <w:name w:val="文字)"/>
    <w:pPr>
      <w:widowControl w:val="0"/>
      <w:autoSpaceDE w:val="0"/>
      <w:autoSpaceDN w:val="0"/>
    </w:pPr>
    <w:rPr>
      <w:rFonts w:ascii="Times New Roman" w:hAnsi="Times New Roman"/>
      <w:b/>
      <w:spacing w:val="-1"/>
      <w:kern w:val="32"/>
      <w:position w:val="-1"/>
      <w:sz w:val="32"/>
      <w:lang w:val="en-US"/>
    </w:rPr>
  </w:style>
  <w:style w:type="character" w:customStyle="1" w:styleId="SubParaa0">
    <w:name w:val="SubPara (a) ("/>
    <w:rPr>
      <w:b/>
      <w:bCs/>
      <w:i/>
      <w:iCs/>
      <w:noProof w:val="0"/>
      <w:kern w:val="2"/>
      <w:sz w:val="28"/>
      <w:szCs w:val="28"/>
      <w:lang w:val="en-US"/>
    </w:rPr>
  </w:style>
  <w:style w:type="character" w:customStyle="1" w:styleId="5">
    <w:name w:val="(5"/>
    <w:rPr>
      <w:b/>
      <w:bCs/>
      <w:noProof w:val="0"/>
      <w:sz w:val="24"/>
      <w:szCs w:val="24"/>
      <w:lang w:val="en-US"/>
    </w:rPr>
  </w:style>
  <w:style w:type="paragraph" w:customStyle="1" w:styleId="ListParagraph11">
    <w:name w:val="List Paragraph11"/>
    <w:basedOn w:val="Normal"/>
    <w:pPr>
      <w:autoSpaceDE w:val="0"/>
      <w:autoSpaceDN w:val="0"/>
      <w:spacing w:before="100" w:after="100"/>
      <w:ind w:left="720" w:right="720"/>
    </w:pPr>
    <w:rPr>
      <w:i/>
      <w:color w:val="auto"/>
      <w:sz w:val="24"/>
    </w:rPr>
  </w:style>
  <w:style w:type="paragraph" w:customStyle="1" w:styleId="4">
    <w:name w:val="(4"/>
    <w:basedOn w:val="Normal"/>
    <w:pPr>
      <w:tabs>
        <w:tab w:val="num" w:pos="2160"/>
      </w:tabs>
      <w:autoSpaceDE w:val="0"/>
      <w:autoSpaceDN w:val="0"/>
      <w:spacing w:before="100" w:after="160" w:line="240" w:lineRule="exact"/>
      <w:ind w:left="2160" w:right="720" w:hanging="360"/>
    </w:pPr>
    <w:rPr>
      <w:i/>
      <w:color w:val="auto"/>
      <w:sz w:val="20"/>
      <w:lang w:val="en-US"/>
    </w:rPr>
  </w:style>
  <w:style w:type="character" w:customStyle="1" w:styleId="BodyTextIndentChar1">
    <w:name w:val="Body Text Indent Char1"/>
    <w:semiHidden/>
    <w:rPr>
      <w:rFonts w:ascii="Times New Roman" w:hAnsi="Times New Roman" w:cs="Times New Roman"/>
      <w:sz w:val="20"/>
      <w:szCs w:val="20"/>
    </w:rPr>
  </w:style>
  <w:style w:type="character" w:customStyle="1" w:styleId="BodyTextFirstIndent2Char">
    <w:name w:val="Body Text First Indent 2 Char"/>
    <w:basedOn w:val="BodyTextIndentChar1"/>
    <w:semiHidden/>
    <w:rPr>
      <w:rFonts w:ascii="Times New Roman" w:hAnsi="Times New Roman" w:cs="Times New Roman"/>
      <w:sz w:val="20"/>
      <w:szCs w:val="20"/>
    </w:rPr>
  </w:style>
  <w:style w:type="character" w:customStyle="1" w:styleId="CarCar50">
    <w:name w:val="Car Car5"/>
    <w:rPr>
      <w:noProof w:val="0"/>
      <w:sz w:val="24"/>
      <w:szCs w:val="24"/>
      <w:u w:val="single"/>
      <w:lang w:val="en-US"/>
    </w:rPr>
  </w:style>
  <w:style w:type="character" w:customStyle="1" w:styleId="CarCar40">
    <w:name w:val="Car Car4"/>
    <w:rPr>
      <w:b/>
      <w:bCs/>
      <w:noProof w:val="0"/>
      <w:kern w:val="32"/>
      <w:sz w:val="24"/>
      <w:szCs w:val="24"/>
      <w:lang w:val="en-US"/>
    </w:rPr>
  </w:style>
  <w:style w:type="character" w:customStyle="1" w:styleId="CarCar30">
    <w:name w:val="Car Car3"/>
    <w:rPr>
      <w:b/>
      <w:bCs/>
      <w:i/>
      <w:iCs/>
      <w:noProof w:val="0"/>
      <w:kern w:val="32"/>
      <w:sz w:val="26"/>
      <w:szCs w:val="26"/>
      <w:lang w:val="it-IT"/>
    </w:rPr>
  </w:style>
  <w:style w:type="character" w:customStyle="1" w:styleId="CarCar6">
    <w:name w:val="Car Car6"/>
    <w:rPr>
      <w:noProof w:val="0"/>
      <w:sz w:val="24"/>
      <w:szCs w:val="24"/>
      <w:lang w:val="fr-FR"/>
    </w:rPr>
  </w:style>
  <w:style w:type="character" w:customStyle="1" w:styleId="ZchnZchn160">
    <w:name w:val="Zchn Zchn16"/>
    <w:rPr>
      <w:rFonts w:ascii="Arial" w:hAnsi="Arial" w:cs="Arial"/>
      <w:b/>
      <w:bCs/>
      <w:noProof w:val="0"/>
      <w:kern w:val="32"/>
      <w:sz w:val="32"/>
      <w:szCs w:val="32"/>
      <w:lang w:val="en-US"/>
    </w:rPr>
  </w:style>
  <w:style w:type="character" w:customStyle="1" w:styleId="ZchnZchn17">
    <w:name w:val="Zchn Zchn1"/>
    <w:rPr>
      <w:rFonts w:ascii="Cambria" w:hAnsi="Cambria" w:cs="MS Mincho"/>
      <w:b/>
      <w:bCs/>
      <w:noProof w:val="0"/>
      <w:kern w:val="28"/>
      <w:sz w:val="32"/>
      <w:szCs w:val="32"/>
      <w:lang w:val="ca-ES"/>
    </w:rPr>
  </w:style>
  <w:style w:type="character" w:customStyle="1" w:styleId="ZchnZchn0">
    <w:name w:val="Zchn Zchn"/>
    <w:rPr>
      <w:rFonts w:ascii="Calibri" w:hAnsi="Calibri" w:cs="Calibri"/>
      <w:noProof w:val="0"/>
      <w:lang w:val="ca-ES"/>
    </w:rPr>
  </w:style>
  <w:style w:type="character" w:customStyle="1" w:styleId="CarCar20">
    <w:name w:val="Car Car2"/>
    <w:rPr>
      <w:noProof w:val="0"/>
      <w:lang w:val="en-US"/>
    </w:rPr>
  </w:style>
  <w:style w:type="character" w:customStyle="1" w:styleId="CarCar10">
    <w:name w:val="Car Car1"/>
    <w:rPr>
      <w:noProof w:val="0"/>
      <w:lang w:val="en-US"/>
    </w:rPr>
  </w:style>
  <w:style w:type="character" w:customStyle="1" w:styleId="ZchnZchn150">
    <w:name w:val="Zchn Zchn15"/>
    <w:rPr>
      <w:rFonts w:ascii="Arial" w:hAnsi="Arial" w:cs="Arial"/>
      <w:b/>
      <w:bCs/>
      <w:i/>
      <w:iCs/>
      <w:noProof w:val="0"/>
      <w:sz w:val="28"/>
      <w:szCs w:val="28"/>
      <w:lang w:val="en-US"/>
    </w:rPr>
  </w:style>
  <w:style w:type="character" w:customStyle="1" w:styleId="ZchnZchn140">
    <w:name w:val="Zchn Zchn14"/>
    <w:rPr>
      <w:rFonts w:ascii="Arial" w:hAnsi="Arial" w:cs="Arial"/>
      <w:b/>
      <w:bCs/>
      <w:noProof w:val="0"/>
      <w:sz w:val="26"/>
      <w:szCs w:val="26"/>
      <w:lang w:val="en-US"/>
    </w:rPr>
  </w:style>
  <w:style w:type="character" w:customStyle="1" w:styleId="ZchnZchn130">
    <w:name w:val="Zchn Zchn13"/>
    <w:rPr>
      <w:rFonts w:ascii="Arial" w:hAnsi="Arial" w:cs="Arial"/>
      <w:b/>
      <w:bCs/>
      <w:noProof w:val="0"/>
      <w:sz w:val="24"/>
      <w:szCs w:val="24"/>
      <w:lang w:val="de-DE"/>
    </w:rPr>
  </w:style>
  <w:style w:type="character" w:customStyle="1" w:styleId="ZchnZchn120">
    <w:name w:val="Zchn Zchn12"/>
    <w:rPr>
      <w:rFonts w:ascii="Arial" w:hAnsi="Arial" w:cs="Arial"/>
      <w:b/>
      <w:bCs/>
      <w:noProof w:val="0"/>
      <w:sz w:val="24"/>
      <w:szCs w:val="24"/>
      <w:lang w:val="de-DE"/>
    </w:rPr>
  </w:style>
  <w:style w:type="character" w:customStyle="1" w:styleId="ZchnZchn110">
    <w:name w:val="Zchn Zchn11"/>
    <w:rPr>
      <w:rFonts w:ascii="Arial" w:hAnsi="Arial" w:cs="Arial"/>
      <w:b/>
      <w:bCs/>
      <w:noProof w:val="0"/>
      <w:lang w:val="de-DE"/>
    </w:rPr>
  </w:style>
  <w:style w:type="character" w:customStyle="1" w:styleId="ZchnZchn100">
    <w:name w:val="Zchn Zchn10"/>
    <w:rPr>
      <w:rFonts w:ascii="Arial" w:hAnsi="Arial" w:cs="Arial"/>
      <w:b/>
      <w:bCs/>
      <w:noProof w:val="0"/>
      <w:sz w:val="28"/>
      <w:szCs w:val="28"/>
      <w:lang w:val="de-DE"/>
    </w:rPr>
  </w:style>
  <w:style w:type="character" w:customStyle="1" w:styleId="ZchnZchn90">
    <w:name w:val="Zchn Zchn9"/>
    <w:rPr>
      <w:rFonts w:ascii="Arial" w:hAnsi="Arial" w:cs="Arial"/>
      <w:b/>
      <w:bCs/>
      <w:noProof w:val="0"/>
      <w:lang w:val="de-DE"/>
    </w:rPr>
  </w:style>
  <w:style w:type="character" w:customStyle="1" w:styleId="ZchnZchn80">
    <w:name w:val="Zchn Zchn8"/>
    <w:rPr>
      <w:rFonts w:ascii="Arial" w:hAnsi="Arial" w:cs="Arial"/>
      <w:noProof w:val="0"/>
      <w:sz w:val="24"/>
      <w:szCs w:val="24"/>
      <w:lang w:val="de-DE"/>
    </w:rPr>
  </w:style>
  <w:style w:type="character" w:customStyle="1" w:styleId="ZchnZchn40">
    <w:name w:val="Zchn Zchn4"/>
    <w:rPr>
      <w:noProof w:val="0"/>
      <w:sz w:val="24"/>
      <w:szCs w:val="24"/>
      <w:lang w:val="en-US"/>
    </w:rPr>
  </w:style>
  <w:style w:type="character" w:customStyle="1" w:styleId="ZchnZchn70">
    <w:name w:val="Zchn Zchn7"/>
    <w:rPr>
      <w:noProof w:val="0"/>
      <w:sz w:val="24"/>
      <w:szCs w:val="24"/>
      <w:lang w:val="en-US"/>
    </w:rPr>
  </w:style>
  <w:style w:type="character" w:customStyle="1" w:styleId="ZchnZchn60">
    <w:name w:val="Zchn Zchn6"/>
    <w:rPr>
      <w:rFonts w:ascii="Courier New" w:hAnsi="Courier New" w:cs="FrutigerLTStd-Light"/>
      <w:noProof w:val="0"/>
      <w:lang w:val="de-DE"/>
    </w:rPr>
  </w:style>
  <w:style w:type="character" w:customStyle="1" w:styleId="ZchnZchn50">
    <w:name w:val="Zchn Zchn5"/>
    <w:rPr>
      <w:rFonts w:ascii="Arial" w:hAnsi="Arial" w:cs="Arial"/>
      <w:noProof w:val="0"/>
      <w:sz w:val="24"/>
      <w:szCs w:val="24"/>
      <w:lang w:val="de-DE"/>
    </w:rPr>
  </w:style>
  <w:style w:type="character" w:customStyle="1" w:styleId="ZchnZchn30">
    <w:name w:val="Zchn Zchn3"/>
    <w:rPr>
      <w:rFonts w:ascii="Arial" w:hAnsi="Arial" w:cs="Arial"/>
      <w:noProof w:val="0"/>
      <w:sz w:val="24"/>
      <w:szCs w:val="24"/>
      <w:lang w:val="de-DE"/>
    </w:rPr>
  </w:style>
  <w:style w:type="character" w:customStyle="1" w:styleId="CharChar21">
    <w:name w:val="Char Char21"/>
    <w:rPr>
      <w:b/>
      <w:bCs/>
      <w:noProof w:val="0"/>
      <w:color w:val="000000"/>
      <w:sz w:val="28"/>
      <w:szCs w:val="28"/>
      <w:lang w:val="en-GB"/>
    </w:rPr>
  </w:style>
  <w:style w:type="character" w:customStyle="1" w:styleId="CharChar11">
    <w:name w:val="Char Char11"/>
    <w:rPr>
      <w:rFonts w:ascii="Arial" w:hAnsi="Arial" w:cs="Arial"/>
      <w:noProof w:val="0"/>
      <w:lang w:val="en-GB"/>
    </w:rPr>
  </w:style>
  <w:style w:type="character" w:customStyle="1" w:styleId="3">
    <w:name w:val="(3"/>
    <w:rPr>
      <w:noProof w:val="0"/>
      <w:sz w:val="24"/>
      <w:szCs w:val="24"/>
      <w:lang w:val="en-US"/>
    </w:rPr>
  </w:style>
  <w:style w:type="character" w:customStyle="1" w:styleId="2">
    <w:name w:val="(2"/>
    <w:rPr>
      <w:b/>
      <w:bCs/>
      <w:noProof w:val="0"/>
      <w:sz w:val="24"/>
      <w:szCs w:val="24"/>
      <w:lang w:val="en-US"/>
    </w:rPr>
  </w:style>
  <w:style w:type="character" w:customStyle="1" w:styleId="CarCar191">
    <w:name w:val="Car Car191"/>
    <w:rPr>
      <w:noProof w:val="0"/>
      <w:color w:val="000000"/>
      <w:sz w:val="24"/>
      <w:szCs w:val="24"/>
      <w:lang w:val="en-GB"/>
    </w:rPr>
  </w:style>
  <w:style w:type="character" w:customStyle="1" w:styleId="CharChar41">
    <w:name w:val="Char Char41"/>
    <w:rPr>
      <w:noProof w:val="0"/>
      <w:sz w:val="24"/>
      <w:szCs w:val="24"/>
      <w:lang w:val="en-US"/>
    </w:rPr>
  </w:style>
  <w:style w:type="character" w:customStyle="1" w:styleId="CharChar31">
    <w:name w:val="Char Char31"/>
    <w:rPr>
      <w:noProof w:val="0"/>
      <w:color w:val="000000"/>
      <w:sz w:val="24"/>
      <w:szCs w:val="24"/>
      <w:lang w:val="en-GB"/>
    </w:rPr>
  </w:style>
  <w:style w:type="paragraph" w:customStyle="1" w:styleId="15">
    <w:name w:val="(1"/>
    <w:pPr>
      <w:autoSpaceDE w:val="0"/>
      <w:autoSpaceDN w:val="0"/>
      <w:spacing w:after="160" w:line="240" w:lineRule="exact"/>
    </w:pPr>
    <w:rPr>
      <w:rFonts w:ascii="Times New Roman" w:hAnsi="Times New Roman"/>
      <w:sz w:val="24"/>
      <w:lang w:val="en-US"/>
    </w:rPr>
  </w:style>
  <w:style w:type="character" w:customStyle="1" w:styleId="scopustermhighlight">
    <w:name w:val="scopustermhighlight"/>
    <w:rPr>
      <w:rFonts w:ascii="Times New Roman" w:hAnsi="Times New Roman" w:cs="Times New Roman"/>
    </w:rPr>
  </w:style>
  <w:style w:type="paragraph" w:customStyle="1" w:styleId="marginb3">
    <w:name w:val="marginb3"/>
    <w:basedOn w:val="Normal"/>
    <w:pPr>
      <w:autoSpaceDE w:val="0"/>
      <w:autoSpaceDN w:val="0"/>
      <w:spacing w:before="100" w:after="100"/>
      <w:jc w:val="both"/>
    </w:pPr>
    <w:rPr>
      <w:color w:val="auto"/>
      <w:sz w:val="24"/>
      <w:lang w:val="fr-FR"/>
    </w:rPr>
  </w:style>
  <w:style w:type="character" w:customStyle="1" w:styleId="region">
    <w:name w:val="region"/>
    <w:rPr>
      <w:rFonts w:ascii="Times New Roman" w:hAnsi="Times New Roman" w:cs="Times New Roman"/>
    </w:rPr>
  </w:style>
  <w:style w:type="character" w:customStyle="1" w:styleId="documenttype">
    <w:name w:val="documenttype"/>
    <w:rPr>
      <w:rFonts w:ascii="Times New Roman" w:hAnsi="Times New Roman" w:cs="Times New Roman"/>
    </w:rPr>
  </w:style>
  <w:style w:type="paragraph" w:customStyle="1" w:styleId="HTOCReport">
    <w:name w:val="HTOC Report"/>
    <w:basedOn w:val="Normal"/>
    <w:pPr>
      <w:spacing w:after="0"/>
    </w:pPr>
    <w:rPr>
      <w:rFonts w:ascii="Times" w:eastAsia="SimSun" w:hAnsi="Times"/>
      <w:color w:val="auto"/>
      <w:lang w:eastAsia="ja-JP"/>
    </w:rPr>
  </w:style>
  <w:style w:type="character" w:customStyle="1" w:styleId="authorname">
    <w:name w:val="authorname"/>
    <w:basedOn w:val="DefaultParagraphFont"/>
  </w:style>
  <w:style w:type="character" w:customStyle="1" w:styleId="nlmx">
    <w:name w:val="nlm_x"/>
    <w:basedOn w:val="DefaultParagraphFont"/>
  </w:style>
  <w:style w:type="paragraph" w:customStyle="1" w:styleId="MediumGrid21">
    <w:name w:val="Medium Grid 21"/>
    <w:qFormat/>
    <w:pPr>
      <w:jc w:val="both"/>
    </w:pPr>
    <w:rPr>
      <w:rFonts w:ascii="Times New Roman" w:eastAsia="MS Mincho" w:hAnsi="Times New Roman"/>
      <w:sz w:val="24"/>
    </w:rPr>
  </w:style>
  <w:style w:type="paragraph" w:styleId="ListParagraph">
    <w:name w:val="List Paragraph"/>
    <w:basedOn w:val="Normal"/>
    <w:uiPriority w:val="34"/>
    <w:qFormat/>
    <w:rsid w:val="00326F62"/>
    <w:pPr>
      <w:widowControl w:val="0"/>
      <w:spacing w:after="0"/>
      <w:ind w:firstLineChars="200" w:firstLine="420"/>
      <w:jc w:val="both"/>
    </w:pPr>
    <w:rPr>
      <w:rFonts w:ascii="Calibri" w:eastAsia="SimSun" w:hAnsi="Calibri"/>
      <w:color w:val="auto"/>
      <w:kern w:val="2"/>
      <w:sz w:val="21"/>
      <w:szCs w:val="22"/>
    </w:rPr>
  </w:style>
  <w:style w:type="character" w:customStyle="1" w:styleId="articletypelabel">
    <w:name w:val="articletypelabel"/>
    <w:basedOn w:val="DefaultParagraphFont"/>
    <w:rsid w:val="00CA5E9C"/>
  </w:style>
  <w:style w:type="paragraph" w:customStyle="1" w:styleId="Refs0">
    <w:name w:val="Refs"/>
    <w:basedOn w:val="BodyText"/>
    <w:rsid w:val="00CA5E9C"/>
    <w:pPr>
      <w:spacing w:before="120" w:after="0" w:line="264" w:lineRule="auto"/>
      <w:ind w:left="567" w:hanging="567"/>
    </w:pPr>
    <w:rPr>
      <w:rFonts w:ascii="Arial" w:eastAsia="Calibri" w:hAnsi="Arial"/>
      <w:color w:val="auto"/>
      <w:sz w:val="20"/>
      <w:lang w:val="en-AU" w:eastAsia="en-NZ"/>
    </w:rPr>
  </w:style>
  <w:style w:type="character" w:customStyle="1" w:styleId="slug-pub-date3">
    <w:name w:val="slug-pub-date3"/>
    <w:basedOn w:val="DefaultParagraphFont"/>
    <w:rsid w:val="00CA5E9C"/>
  </w:style>
  <w:style w:type="character" w:customStyle="1" w:styleId="slug-vol">
    <w:name w:val="slug-vol"/>
    <w:basedOn w:val="DefaultParagraphFont"/>
    <w:rsid w:val="00CA5E9C"/>
  </w:style>
  <w:style w:type="character" w:customStyle="1" w:styleId="slug-issue">
    <w:name w:val="slug-issue"/>
    <w:basedOn w:val="DefaultParagraphFont"/>
    <w:rsid w:val="00CA5E9C"/>
  </w:style>
  <w:style w:type="character" w:customStyle="1" w:styleId="slug-pages3">
    <w:name w:val="slug-pages3"/>
    <w:basedOn w:val="DefaultParagraphFont"/>
    <w:rsid w:val="00CA5E9C"/>
  </w:style>
  <w:style w:type="table" w:styleId="TableGrid">
    <w:name w:val="Table Grid"/>
    <w:basedOn w:val="TableNormal"/>
    <w:uiPriority w:val="39"/>
    <w:rsid w:val="005B1FC8"/>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Char">
    <w:name w:val="Style1 Char"/>
    <w:basedOn w:val="DefaultParagraphFont"/>
    <w:link w:val="Style1"/>
    <w:rsid w:val="005B1FC8"/>
    <w:rPr>
      <w:rFonts w:ascii="Garamond" w:hAnsi="Garamond"/>
      <w:sz w:val="22"/>
      <w:lang w:eastAsia="zh-CN"/>
    </w:rPr>
  </w:style>
  <w:style w:type="character" w:customStyle="1" w:styleId="Style2Char">
    <w:name w:val="Style2 Char"/>
    <w:basedOn w:val="DefaultParagraphFont"/>
    <w:link w:val="Style2"/>
    <w:rsid w:val="005B1FC8"/>
    <w:rPr>
      <w:rFonts w:ascii="Times New Roman" w:hAnsi="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eservice.onssa.gov.ma/CPUA.aspx" TargetMode="External"/><Relationship Id="rId13" Type="http://schemas.openxmlformats.org/officeDocument/2006/relationships/footer" Target="footer4.xml"/><Relationship Id="rId18" Type="http://schemas.openxmlformats.org/officeDocument/2006/relationships/hyperlink" Target="http://ozone.unep.org/Assessment_Panels/TEAP/Reports/FTOC/FTOC-2014-Assessment-Report.pdf" TargetMode="External"/><Relationship Id="rId39" Type="http://schemas.openxmlformats.org/officeDocument/2006/relationships/chart" Target="charts/chart1.xml"/><Relationship Id="rId21" Type="http://schemas.openxmlformats.org/officeDocument/2006/relationships/hyperlink" Target="http://ozone.unep.org/Assessment_Panels/TEAP/Reports/MBTOC/MBTOC-Assessment-Report-2014.pdf" TargetMode="External"/><Relationship Id="rId34" Type="http://schemas.openxmlformats.org/officeDocument/2006/relationships/header" Target="header4.xml"/><Relationship Id="rId42" Type="http://schemas.openxmlformats.org/officeDocument/2006/relationships/hyperlink" Target="http://ozone.unep.org/Assessment_Panels/TEAP/Reports/HTOC/HTOC%202014%20Supplementary%20Report1%20-%20Civil%20Aviation.pdf" TargetMode="External"/><Relationship Id="rId55" Type="http://schemas.openxmlformats.org/officeDocument/2006/relationships/customXml" Target="../customXml/item4.xml"/><Relationship Id="rId7" Type="http://schemas.openxmlformats.org/officeDocument/2006/relationships/footnotes" Target="footnotes.xml"/><Relationship Id="rId29" Type="http://schemas.openxmlformats.org/officeDocument/2006/relationships/hyperlink" Target="file:///C:\Users\Christoph\AppData\Local\Temp\Proceedings\34SchillingWph.pdf" TargetMode="External"/><Relationship Id="rId2" Type="http://schemas.openxmlformats.org/officeDocument/2006/relationships/numbering" Target="numbering.xml"/><Relationship Id="rId16" Type="http://schemas.openxmlformats.org/officeDocument/2006/relationships/header" Target="header2.xml"/><Relationship Id="rId24" Type="http://schemas.openxmlformats.org/officeDocument/2006/relationships/hyperlink" Target="http://www.biosecurity.govt.nz/regs/trans/treat" TargetMode="External"/><Relationship Id="rId32" Type="http://schemas.openxmlformats.org/officeDocument/2006/relationships/image" Target="media/image3.emf"/><Relationship Id="rId11" Type="http://schemas.openxmlformats.org/officeDocument/2006/relationships/footer" Target="footer2.xml"/><Relationship Id="rId37" Type="http://schemas.openxmlformats.org/officeDocument/2006/relationships/image" Target="media/image5.emf"/><Relationship Id="rId40" Type="http://schemas.openxmlformats.org/officeDocument/2006/relationships/chart" Target="charts/chart2.xml"/><Relationship Id="rId45" Type="http://schemas.openxmlformats.org/officeDocument/2006/relationships/fontTable" Target="fontTable.xml"/><Relationship Id="rId53" Type="http://schemas.openxmlformats.org/officeDocument/2006/relationships/customXml" Target="../customXml/item2.xml"/><Relationship Id="rId23" Type="http://schemas.openxmlformats.org/officeDocument/2006/relationships/hyperlink" Target="http://horttech.ashspublications.org/search?author1=Frank+J.+Louws&amp;sortspec=date&amp;submit=Submit" TargetMode="External"/><Relationship Id="rId28" Type="http://schemas.openxmlformats.org/officeDocument/2006/relationships/hyperlink" Target="http://horttech.ashspublications.org/search?author1=Frank+J.+Louws&amp;sortspec=date&amp;submit=Submit" TargetMode="External"/><Relationship Id="rId5" Type="http://schemas.openxmlformats.org/officeDocument/2006/relationships/settings" Target="settings.xml"/><Relationship Id="rId36" Type="http://schemas.openxmlformats.org/officeDocument/2006/relationships/image" Target="media/image4.emf"/><Relationship Id="rId15" Type="http://schemas.openxmlformats.org/officeDocument/2006/relationships/header" Target="header1.xml"/><Relationship Id="rId52" Type="http://schemas.microsoft.com/office/2011/relationships/people" Target="people.xml"/><Relationship Id="rId31" Type="http://schemas.openxmlformats.org/officeDocument/2006/relationships/hyperlink" Target="http://www.fred.ifas.ufl" TargetMode="External"/><Relationship Id="rId10" Type="http://schemas.openxmlformats.org/officeDocument/2006/relationships/footer" Target="footer1.xml"/><Relationship Id="rId19" Type="http://schemas.openxmlformats.org/officeDocument/2006/relationships/image" Target="media/image2.emf"/><Relationship Id="rId44" Type="http://schemas.openxmlformats.org/officeDocument/2006/relationships/hyperlink" Target="http://ozone.unep.org/Assessment_Panels/TEAP/toc-members-disclosures.shtml" TargetMode="External"/><Relationship Id="rId22" Type="http://schemas.openxmlformats.org/officeDocument/2006/relationships/hyperlink" Target="http://horttech.ashspublications.org/search?author1=Olya+Rysin&amp;sortspec=date&amp;submit=Submit" TargetMode="External"/><Relationship Id="rId27" Type="http://schemas.openxmlformats.org/officeDocument/2006/relationships/hyperlink" Target="http://horttech.ashspublications.org/search?author1=Olya+Rysin&amp;sortspec=date&amp;submit=Submit" TargetMode="External"/><Relationship Id="rId4" Type="http://schemas.microsoft.com/office/2007/relationships/stylesWithEffects" Target="stylesWithEffects.xml"/><Relationship Id="rId30" Type="http://schemas.openxmlformats.org/officeDocument/2006/relationships/hyperlink" Target="file:///C:\Users\Christoph\AppData\Local\Temp\Proceedings\34SchillingWph.pdf" TargetMode="External"/><Relationship Id="rId9" Type="http://schemas.openxmlformats.org/officeDocument/2006/relationships/image" Target="media/image1.wmf"/><Relationship Id="rId35" Type="http://schemas.openxmlformats.org/officeDocument/2006/relationships/footer" Target="footer7.xml"/><Relationship Id="rId14" Type="http://schemas.openxmlformats.org/officeDocument/2006/relationships/footer" Target="footer5.xml"/><Relationship Id="rId43" Type="http://schemas.openxmlformats.org/officeDocument/2006/relationships/hyperlink" Target="https://www.wmo.int/pages/prog/arep/gaw/ozone_2014/ozone_asst_report.html" TargetMode="External"/><Relationship Id="rId51"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styles" Target="styles.xml"/><Relationship Id="rId46" Type="http://schemas.openxmlformats.org/officeDocument/2006/relationships/theme" Target="theme/theme1.xml"/><Relationship Id="rId25" Type="http://schemas.openxmlformats.org/officeDocument/2006/relationships/hyperlink" Target="http://www.unep.org/ozone" TargetMode="External"/><Relationship Id="rId33" Type="http://schemas.openxmlformats.org/officeDocument/2006/relationships/header" Target="header3.xml"/><Relationship Id="rId12" Type="http://schemas.openxmlformats.org/officeDocument/2006/relationships/footer" Target="footer3.xml"/><Relationship Id="rId17" Type="http://schemas.openxmlformats.org/officeDocument/2006/relationships/footer" Target="footer6.xml"/><Relationship Id="rId38" Type="http://schemas.openxmlformats.org/officeDocument/2006/relationships/hyperlink" Target="http://www.world-ships.com/" TargetMode="External"/><Relationship Id="rId20" Type="http://schemas.openxmlformats.org/officeDocument/2006/relationships/hyperlink" Target="http://ozone.unep.org/Assessment_Panels/TEAP/Reports/HTOC/HTOC%202014%20Assessment%20Report.pdf" TargetMode="External"/><Relationship Id="rId41" Type="http://schemas.openxmlformats.org/officeDocument/2006/relationships/hyperlink" Target="http://ozone.unep.org/teap/Reports/HTOC/HTOC-Assessment-Report-2010.pdf"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31652\Documents\PROJECTS\SNAP\Task%206%20-%20Transition%20from%20ODS\Halon%20Estimates\Halon%201301%20Marine%20Bank%20Estimate_4-3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1652\Documents\PROJECTS\SNAP\Task%206%20-%20Transition%20from%20ODS\Halon%20Estimates\Halon%201301%20Marine%20Bank%20Estimate_4-3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Total Passenger Ships Built</c:v>
          </c:tx>
          <c:spPr>
            <a:ln w="19050" cap="rnd">
              <a:solidFill>
                <a:schemeClr val="accent6"/>
              </a:solidFill>
              <a:round/>
            </a:ln>
            <a:effectLst/>
          </c:spPr>
          <c:marker>
            <c:symbol val="none"/>
          </c:marker>
          <c:xVal>
            <c:numRef>
              <c:f>'Analysis - 30 year lifetime'!$D$15:$V$15</c:f>
              <c:numCache>
                <c:formatCode>General</c:formatCode>
                <c:ptCount val="19"/>
                <c:pt idx="0">
                  <c:v>1975.0</c:v>
                </c:pt>
                <c:pt idx="1">
                  <c:v>1976.0</c:v>
                </c:pt>
                <c:pt idx="2">
                  <c:v>1977.0</c:v>
                </c:pt>
                <c:pt idx="3">
                  <c:v>1978.0</c:v>
                </c:pt>
                <c:pt idx="4">
                  <c:v>1979.0</c:v>
                </c:pt>
                <c:pt idx="5">
                  <c:v>1980.0</c:v>
                </c:pt>
                <c:pt idx="6">
                  <c:v>1981.0</c:v>
                </c:pt>
                <c:pt idx="7">
                  <c:v>1982.0</c:v>
                </c:pt>
                <c:pt idx="8">
                  <c:v>1983.0</c:v>
                </c:pt>
                <c:pt idx="9">
                  <c:v>1984.0</c:v>
                </c:pt>
                <c:pt idx="10">
                  <c:v>1985.0</c:v>
                </c:pt>
                <c:pt idx="11">
                  <c:v>1986.0</c:v>
                </c:pt>
                <c:pt idx="12">
                  <c:v>1987.0</c:v>
                </c:pt>
                <c:pt idx="13">
                  <c:v>1988.0</c:v>
                </c:pt>
                <c:pt idx="14">
                  <c:v>1989.0</c:v>
                </c:pt>
                <c:pt idx="15">
                  <c:v>1990.0</c:v>
                </c:pt>
                <c:pt idx="16">
                  <c:v>1991.0</c:v>
                </c:pt>
                <c:pt idx="17">
                  <c:v>1992.0</c:v>
                </c:pt>
                <c:pt idx="18">
                  <c:v>1993.0</c:v>
                </c:pt>
              </c:numCache>
            </c:numRef>
          </c:xVal>
          <c:yVal>
            <c:numRef>
              <c:f>'Analysis - 30 year lifetime'!$D$20:$V$20</c:f>
              <c:numCache>
                <c:formatCode>General</c:formatCode>
                <c:ptCount val="19"/>
                <c:pt idx="0">
                  <c:v>108.0</c:v>
                </c:pt>
                <c:pt idx="1">
                  <c:v>79.0</c:v>
                </c:pt>
                <c:pt idx="2">
                  <c:v>101.0</c:v>
                </c:pt>
                <c:pt idx="3">
                  <c:v>102.0</c:v>
                </c:pt>
                <c:pt idx="4">
                  <c:v>149.0</c:v>
                </c:pt>
                <c:pt idx="5">
                  <c:v>154.0</c:v>
                </c:pt>
                <c:pt idx="6">
                  <c:v>137.0</c:v>
                </c:pt>
                <c:pt idx="7">
                  <c:v>124.0</c:v>
                </c:pt>
                <c:pt idx="8">
                  <c:v>107.0</c:v>
                </c:pt>
                <c:pt idx="9">
                  <c:v>102.0</c:v>
                </c:pt>
                <c:pt idx="10">
                  <c:v>122.0</c:v>
                </c:pt>
                <c:pt idx="11">
                  <c:v>140.0</c:v>
                </c:pt>
                <c:pt idx="12">
                  <c:v>173.0</c:v>
                </c:pt>
                <c:pt idx="13">
                  <c:v>176.0</c:v>
                </c:pt>
                <c:pt idx="14">
                  <c:v>194.0</c:v>
                </c:pt>
                <c:pt idx="15">
                  <c:v>208.0</c:v>
                </c:pt>
                <c:pt idx="16">
                  <c:v>164.0</c:v>
                </c:pt>
                <c:pt idx="17">
                  <c:v>181.0</c:v>
                </c:pt>
                <c:pt idx="18">
                  <c:v>178.0</c:v>
                </c:pt>
              </c:numCache>
            </c:numRef>
          </c:yVal>
          <c:smooth val="1"/>
        </c:ser>
        <c:ser>
          <c:idx val="1"/>
          <c:order val="1"/>
          <c:tx>
            <c:v>Total Tankers Built</c:v>
          </c:tx>
          <c:spPr>
            <a:ln w="19050" cap="rnd">
              <a:solidFill>
                <a:schemeClr val="accent2"/>
              </a:solidFill>
              <a:round/>
            </a:ln>
            <a:effectLst/>
          </c:spPr>
          <c:marker>
            <c:symbol val="none"/>
          </c:marker>
          <c:xVal>
            <c:numRef>
              <c:f>'Analysis - 30 year lifetime'!$D$15:$V$15</c:f>
              <c:numCache>
                <c:formatCode>General</c:formatCode>
                <c:ptCount val="19"/>
                <c:pt idx="0">
                  <c:v>1975.0</c:v>
                </c:pt>
                <c:pt idx="1">
                  <c:v>1976.0</c:v>
                </c:pt>
                <c:pt idx="2">
                  <c:v>1977.0</c:v>
                </c:pt>
                <c:pt idx="3">
                  <c:v>1978.0</c:v>
                </c:pt>
                <c:pt idx="4">
                  <c:v>1979.0</c:v>
                </c:pt>
                <c:pt idx="5">
                  <c:v>1980.0</c:v>
                </c:pt>
                <c:pt idx="6">
                  <c:v>1981.0</c:v>
                </c:pt>
                <c:pt idx="7">
                  <c:v>1982.0</c:v>
                </c:pt>
                <c:pt idx="8">
                  <c:v>1983.0</c:v>
                </c:pt>
                <c:pt idx="9">
                  <c:v>1984.0</c:v>
                </c:pt>
                <c:pt idx="10">
                  <c:v>1985.0</c:v>
                </c:pt>
                <c:pt idx="11">
                  <c:v>1986.0</c:v>
                </c:pt>
                <c:pt idx="12">
                  <c:v>1987.0</c:v>
                </c:pt>
                <c:pt idx="13">
                  <c:v>1988.0</c:v>
                </c:pt>
                <c:pt idx="14">
                  <c:v>1989.0</c:v>
                </c:pt>
                <c:pt idx="15">
                  <c:v>1990.0</c:v>
                </c:pt>
                <c:pt idx="16">
                  <c:v>1991.0</c:v>
                </c:pt>
                <c:pt idx="17">
                  <c:v>1992.0</c:v>
                </c:pt>
                <c:pt idx="18">
                  <c:v>1993.0</c:v>
                </c:pt>
              </c:numCache>
            </c:numRef>
          </c:xVal>
          <c:yVal>
            <c:numRef>
              <c:f>'Analysis - 30 year lifetime'!$D$27:$V$27</c:f>
              <c:numCache>
                <c:formatCode>General</c:formatCode>
                <c:ptCount val="19"/>
                <c:pt idx="0">
                  <c:v>123.0</c:v>
                </c:pt>
                <c:pt idx="1">
                  <c:v>132.0</c:v>
                </c:pt>
                <c:pt idx="2">
                  <c:v>168.0</c:v>
                </c:pt>
                <c:pt idx="3">
                  <c:v>163.0</c:v>
                </c:pt>
                <c:pt idx="4">
                  <c:v>213.0</c:v>
                </c:pt>
                <c:pt idx="5">
                  <c:v>204.0</c:v>
                </c:pt>
                <c:pt idx="6">
                  <c:v>181.0</c:v>
                </c:pt>
                <c:pt idx="7">
                  <c:v>160.0</c:v>
                </c:pt>
                <c:pt idx="8">
                  <c:v>178.0</c:v>
                </c:pt>
                <c:pt idx="9">
                  <c:v>190.0</c:v>
                </c:pt>
                <c:pt idx="10">
                  <c:v>216.0</c:v>
                </c:pt>
                <c:pt idx="11">
                  <c:v>178.0</c:v>
                </c:pt>
                <c:pt idx="12">
                  <c:v>190.0</c:v>
                </c:pt>
                <c:pt idx="13">
                  <c:v>194.0</c:v>
                </c:pt>
                <c:pt idx="14">
                  <c:v>228.0</c:v>
                </c:pt>
                <c:pt idx="15">
                  <c:v>244.0</c:v>
                </c:pt>
                <c:pt idx="16">
                  <c:v>293.0</c:v>
                </c:pt>
                <c:pt idx="17">
                  <c:v>349.0</c:v>
                </c:pt>
                <c:pt idx="18">
                  <c:v>404.0</c:v>
                </c:pt>
              </c:numCache>
            </c:numRef>
          </c:yVal>
          <c:smooth val="1"/>
        </c:ser>
        <c:ser>
          <c:idx val="2"/>
          <c:order val="2"/>
          <c:tx>
            <c:v>Passenger Ships Built with Halon</c:v>
          </c:tx>
          <c:spPr>
            <a:ln w="19050" cap="rnd">
              <a:solidFill>
                <a:schemeClr val="accent6"/>
              </a:solidFill>
              <a:prstDash val="dash"/>
              <a:round/>
            </a:ln>
            <a:effectLst/>
          </c:spPr>
          <c:marker>
            <c:symbol val="none"/>
          </c:marker>
          <c:xVal>
            <c:numRef>
              <c:f>'Analysis - 30 year lifetime'!$D$15:$V$15</c:f>
              <c:numCache>
                <c:formatCode>General</c:formatCode>
                <c:ptCount val="19"/>
                <c:pt idx="0">
                  <c:v>1975.0</c:v>
                </c:pt>
                <c:pt idx="1">
                  <c:v>1976.0</c:v>
                </c:pt>
                <c:pt idx="2">
                  <c:v>1977.0</c:v>
                </c:pt>
                <c:pt idx="3">
                  <c:v>1978.0</c:v>
                </c:pt>
                <c:pt idx="4">
                  <c:v>1979.0</c:v>
                </c:pt>
                <c:pt idx="5">
                  <c:v>1980.0</c:v>
                </c:pt>
                <c:pt idx="6">
                  <c:v>1981.0</c:v>
                </c:pt>
                <c:pt idx="7">
                  <c:v>1982.0</c:v>
                </c:pt>
                <c:pt idx="8">
                  <c:v>1983.0</c:v>
                </c:pt>
                <c:pt idx="9">
                  <c:v>1984.0</c:v>
                </c:pt>
                <c:pt idx="10">
                  <c:v>1985.0</c:v>
                </c:pt>
                <c:pt idx="11">
                  <c:v>1986.0</c:v>
                </c:pt>
                <c:pt idx="12">
                  <c:v>1987.0</c:v>
                </c:pt>
                <c:pt idx="13">
                  <c:v>1988.0</c:v>
                </c:pt>
                <c:pt idx="14">
                  <c:v>1989.0</c:v>
                </c:pt>
                <c:pt idx="15">
                  <c:v>1990.0</c:v>
                </c:pt>
                <c:pt idx="16">
                  <c:v>1991.0</c:v>
                </c:pt>
                <c:pt idx="17">
                  <c:v>1992.0</c:v>
                </c:pt>
                <c:pt idx="18">
                  <c:v>1993.0</c:v>
                </c:pt>
              </c:numCache>
            </c:numRef>
          </c:xVal>
          <c:yVal>
            <c:numRef>
              <c:f>'Analysis - 30 year lifetime'!$D$33:$V$33</c:f>
              <c:numCache>
                <c:formatCode>0</c:formatCode>
                <c:ptCount val="19"/>
                <c:pt idx="0">
                  <c:v>17.04183632796929</c:v>
                </c:pt>
                <c:pt idx="1">
                  <c:v>19.58468476213551</c:v>
                </c:pt>
                <c:pt idx="2">
                  <c:v>28.02244609264475</c:v>
                </c:pt>
                <c:pt idx="3">
                  <c:v>32.00678384694141</c:v>
                </c:pt>
                <c:pt idx="4">
                  <c:v>54.94150104336794</c:v>
                </c:pt>
                <c:pt idx="5">
                  <c:v>58.69887691381857</c:v>
                </c:pt>
                <c:pt idx="6">
                  <c:v>60.96693265390655</c:v>
                </c:pt>
                <c:pt idx="7">
                  <c:v>73.31400301677978</c:v>
                </c:pt>
                <c:pt idx="8">
                  <c:v>61.76598854248923</c:v>
                </c:pt>
                <c:pt idx="9">
                  <c:v>70.08808059335205</c:v>
                </c:pt>
                <c:pt idx="10">
                  <c:v>94.446999241898</c:v>
                </c:pt>
                <c:pt idx="11">
                  <c:v>122.913459058546</c:v>
                </c:pt>
                <c:pt idx="12">
                  <c:v>159.975412462584</c:v>
                </c:pt>
                <c:pt idx="13">
                  <c:v>176.0</c:v>
                </c:pt>
                <c:pt idx="14">
                  <c:v>172.9853928457001</c:v>
                </c:pt>
                <c:pt idx="15">
                  <c:v>171.9063078834878</c:v>
                </c:pt>
                <c:pt idx="16">
                  <c:v>101.8676211987402</c:v>
                </c:pt>
                <c:pt idx="17">
                  <c:v>77.026603934319</c:v>
                </c:pt>
                <c:pt idx="18">
                  <c:v>44.24437479972802</c:v>
                </c:pt>
              </c:numCache>
            </c:numRef>
          </c:yVal>
          <c:smooth val="1"/>
        </c:ser>
        <c:ser>
          <c:idx val="3"/>
          <c:order val="3"/>
          <c:tx>
            <c:v>Tankers Built with Halon</c:v>
          </c:tx>
          <c:spPr>
            <a:ln w="19050" cap="rnd">
              <a:solidFill>
                <a:schemeClr val="accent2"/>
              </a:solidFill>
              <a:prstDash val="dash"/>
              <a:round/>
            </a:ln>
            <a:effectLst/>
          </c:spPr>
          <c:marker>
            <c:symbol val="none"/>
          </c:marker>
          <c:xVal>
            <c:numRef>
              <c:f>'Analysis - 30 year lifetime'!$D$15:$V$15</c:f>
              <c:numCache>
                <c:formatCode>General</c:formatCode>
                <c:ptCount val="19"/>
                <c:pt idx="0">
                  <c:v>1975.0</c:v>
                </c:pt>
                <c:pt idx="1">
                  <c:v>1976.0</c:v>
                </c:pt>
                <c:pt idx="2">
                  <c:v>1977.0</c:v>
                </c:pt>
                <c:pt idx="3">
                  <c:v>1978.0</c:v>
                </c:pt>
                <c:pt idx="4">
                  <c:v>1979.0</c:v>
                </c:pt>
                <c:pt idx="5">
                  <c:v>1980.0</c:v>
                </c:pt>
                <c:pt idx="6">
                  <c:v>1981.0</c:v>
                </c:pt>
                <c:pt idx="7">
                  <c:v>1982.0</c:v>
                </c:pt>
                <c:pt idx="8">
                  <c:v>1983.0</c:v>
                </c:pt>
                <c:pt idx="9">
                  <c:v>1984.0</c:v>
                </c:pt>
                <c:pt idx="10">
                  <c:v>1985.0</c:v>
                </c:pt>
                <c:pt idx="11">
                  <c:v>1986.0</c:v>
                </c:pt>
                <c:pt idx="12">
                  <c:v>1987.0</c:v>
                </c:pt>
                <c:pt idx="13">
                  <c:v>1988.0</c:v>
                </c:pt>
                <c:pt idx="14">
                  <c:v>1989.0</c:v>
                </c:pt>
                <c:pt idx="15">
                  <c:v>1990.0</c:v>
                </c:pt>
                <c:pt idx="16">
                  <c:v>1991.0</c:v>
                </c:pt>
                <c:pt idx="17">
                  <c:v>1992.0</c:v>
                </c:pt>
                <c:pt idx="18">
                  <c:v>1993.0</c:v>
                </c:pt>
              </c:numCache>
            </c:numRef>
          </c:xVal>
          <c:yVal>
            <c:numRef>
              <c:f>'Analysis - 30 year lifetime'!$D$40:$V$40</c:f>
              <c:numCache>
                <c:formatCode>0</c:formatCode>
                <c:ptCount val="19"/>
                <c:pt idx="0">
                  <c:v>19.40875804018712</c:v>
                </c:pt>
                <c:pt idx="1">
                  <c:v>32.72377707091001</c:v>
                </c:pt>
                <c:pt idx="2">
                  <c:v>46.61159350063674</c:v>
                </c:pt>
                <c:pt idx="3">
                  <c:v>51.14809575540635</c:v>
                </c:pt>
                <c:pt idx="4">
                  <c:v>78.54053504857326</c:v>
                </c:pt>
                <c:pt idx="5">
                  <c:v>77.75695383388896</c:v>
                </c:pt>
                <c:pt idx="6">
                  <c:v>80.5475533602714</c:v>
                </c:pt>
                <c:pt idx="7">
                  <c:v>94.59871357003851</c:v>
                </c:pt>
                <c:pt idx="8">
                  <c:v>102.7508968276912</c:v>
                </c:pt>
                <c:pt idx="9">
                  <c:v>130.5562285562451</c:v>
                </c:pt>
                <c:pt idx="10">
                  <c:v>167.2176380020476</c:v>
                </c:pt>
                <c:pt idx="11">
                  <c:v>156.2756836601484</c:v>
                </c:pt>
                <c:pt idx="12">
                  <c:v>175.6955396987909</c:v>
                </c:pt>
                <c:pt idx="13">
                  <c:v>194.0</c:v>
                </c:pt>
                <c:pt idx="14">
                  <c:v>203.302420457833</c:v>
                </c:pt>
                <c:pt idx="15">
                  <c:v>201.6593227094747</c:v>
                </c:pt>
                <c:pt idx="16">
                  <c:v>181.9952012879941</c:v>
                </c:pt>
                <c:pt idx="17">
                  <c:v>148.5209103484941</c:v>
                </c:pt>
                <c:pt idx="18">
                  <c:v>100.4198169611808</c:v>
                </c:pt>
              </c:numCache>
            </c:numRef>
          </c:yVal>
          <c:smooth val="1"/>
        </c:ser>
        <c:dLbls>
          <c:showLegendKey val="0"/>
          <c:showVal val="0"/>
          <c:showCatName val="0"/>
          <c:showSerName val="0"/>
          <c:showPercent val="0"/>
          <c:showBubbleSize val="0"/>
        </c:dLbls>
        <c:axId val="603709432"/>
        <c:axId val="603713000"/>
      </c:scatterChart>
      <c:valAx>
        <c:axId val="603709432"/>
        <c:scaling>
          <c:orientation val="minMax"/>
          <c:max val="1993.0"/>
          <c:min val="1975.0"/>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603713000"/>
        <c:crosses val="autoZero"/>
        <c:crossBetween val="midCat"/>
      </c:valAx>
      <c:valAx>
        <c:axId val="603713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en-US" b="1"/>
                  <a:t>Total Number of Ships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603709432"/>
        <c:crosses val="autoZero"/>
        <c:crossBetween val="midCat"/>
      </c:valAx>
      <c:spPr>
        <a:noFill/>
        <a:ln>
          <a:noFill/>
        </a:ln>
        <a:effectLst/>
      </c:spPr>
    </c:plotArea>
    <c:legend>
      <c:legendPos val="b"/>
      <c:layout>
        <c:manualLayout>
          <c:xMode val="edge"/>
          <c:yMode val="edge"/>
          <c:x val="0.184788491224429"/>
          <c:y val="0.791755085838438"/>
          <c:w val="0.788577704557935"/>
          <c:h val="0.2043235118989"/>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84811136342"/>
          <c:y val="0.0951699968139821"/>
          <c:w val="0.806444269466317"/>
          <c:h val="0.696974663186542"/>
        </c:manualLayout>
      </c:layout>
      <c:scatterChart>
        <c:scatterStyle val="smoothMarker"/>
        <c:varyColors val="0"/>
        <c:ser>
          <c:idx val="0"/>
          <c:order val="0"/>
          <c:tx>
            <c:v>30-year lifetime</c:v>
          </c:tx>
          <c:spPr>
            <a:ln w="19050" cap="rnd">
              <a:solidFill>
                <a:srgbClr val="FF0000"/>
              </a:solidFill>
              <a:prstDash val="solid"/>
              <a:round/>
            </a:ln>
            <a:effectLst/>
          </c:spPr>
          <c:marker>
            <c:symbol val="none"/>
          </c:marker>
          <c:xVal>
            <c:numRef>
              <c:f>'Analysis - 30 year lifetime'!$D$15:$BB$15</c:f>
              <c:numCache>
                <c:formatCode>General</c:formatCode>
                <c:ptCount val="51"/>
                <c:pt idx="0">
                  <c:v>1975.0</c:v>
                </c:pt>
                <c:pt idx="1">
                  <c:v>1976.0</c:v>
                </c:pt>
                <c:pt idx="2">
                  <c:v>1977.0</c:v>
                </c:pt>
                <c:pt idx="3">
                  <c:v>1978.0</c:v>
                </c:pt>
                <c:pt idx="4">
                  <c:v>1979.0</c:v>
                </c:pt>
                <c:pt idx="5">
                  <c:v>1980.0</c:v>
                </c:pt>
                <c:pt idx="6">
                  <c:v>1981.0</c:v>
                </c:pt>
                <c:pt idx="7">
                  <c:v>1982.0</c:v>
                </c:pt>
                <c:pt idx="8">
                  <c:v>1983.0</c:v>
                </c:pt>
                <c:pt idx="9">
                  <c:v>1984.0</c:v>
                </c:pt>
                <c:pt idx="10">
                  <c:v>1985.0</c:v>
                </c:pt>
                <c:pt idx="11">
                  <c:v>1986.0</c:v>
                </c:pt>
                <c:pt idx="12">
                  <c:v>1987.0</c:v>
                </c:pt>
                <c:pt idx="13">
                  <c:v>1988.0</c:v>
                </c:pt>
                <c:pt idx="14">
                  <c:v>1989.0</c:v>
                </c:pt>
                <c:pt idx="15">
                  <c:v>1990.0</c:v>
                </c:pt>
                <c:pt idx="16">
                  <c:v>1991.0</c:v>
                </c:pt>
                <c:pt idx="17">
                  <c:v>1992.0</c:v>
                </c:pt>
                <c:pt idx="18">
                  <c:v>1993.0</c:v>
                </c:pt>
                <c:pt idx="19">
                  <c:v>1994.0</c:v>
                </c:pt>
                <c:pt idx="20">
                  <c:v>1995.0</c:v>
                </c:pt>
                <c:pt idx="21">
                  <c:v>1996.0</c:v>
                </c:pt>
                <c:pt idx="22">
                  <c:v>1997.0</c:v>
                </c:pt>
                <c:pt idx="23">
                  <c:v>1998.0</c:v>
                </c:pt>
                <c:pt idx="24">
                  <c:v>1999.0</c:v>
                </c:pt>
                <c:pt idx="25">
                  <c:v>2000.0</c:v>
                </c:pt>
                <c:pt idx="26">
                  <c:v>2001.0</c:v>
                </c:pt>
                <c:pt idx="27">
                  <c:v>2002.0</c:v>
                </c:pt>
                <c:pt idx="28">
                  <c:v>2003.0</c:v>
                </c:pt>
                <c:pt idx="29">
                  <c:v>2004.0</c:v>
                </c:pt>
                <c:pt idx="30">
                  <c:v>2005.0</c:v>
                </c:pt>
                <c:pt idx="31">
                  <c:v>2006.0</c:v>
                </c:pt>
                <c:pt idx="32">
                  <c:v>2007.0</c:v>
                </c:pt>
                <c:pt idx="33">
                  <c:v>2008.0</c:v>
                </c:pt>
                <c:pt idx="34">
                  <c:v>2009.0</c:v>
                </c:pt>
                <c:pt idx="35">
                  <c:v>2010.0</c:v>
                </c:pt>
                <c:pt idx="36">
                  <c:v>2011.0</c:v>
                </c:pt>
                <c:pt idx="37">
                  <c:v>2012.0</c:v>
                </c:pt>
                <c:pt idx="38">
                  <c:v>2013.0</c:v>
                </c:pt>
                <c:pt idx="39">
                  <c:v>2014.0</c:v>
                </c:pt>
                <c:pt idx="40">
                  <c:v>2015.0</c:v>
                </c:pt>
                <c:pt idx="41">
                  <c:v>2016.0</c:v>
                </c:pt>
                <c:pt idx="42">
                  <c:v>2017.0</c:v>
                </c:pt>
                <c:pt idx="43">
                  <c:v>2018.0</c:v>
                </c:pt>
                <c:pt idx="44">
                  <c:v>2019.0</c:v>
                </c:pt>
                <c:pt idx="45">
                  <c:v>2020.0</c:v>
                </c:pt>
                <c:pt idx="46">
                  <c:v>2021.0</c:v>
                </c:pt>
                <c:pt idx="47">
                  <c:v>2022.0</c:v>
                </c:pt>
                <c:pt idx="48">
                  <c:v>2023.0</c:v>
                </c:pt>
                <c:pt idx="49">
                  <c:v>2024.0</c:v>
                </c:pt>
                <c:pt idx="50">
                  <c:v>2025.0</c:v>
                </c:pt>
              </c:numCache>
            </c:numRef>
          </c:xVal>
          <c:yVal>
            <c:numRef>
              <c:f>'Analysis - 30 year lifetime'!$D$74:$BB$74</c:f>
              <c:numCache>
                <c:formatCode>#,##0</c:formatCode>
                <c:ptCount val="51"/>
                <c:pt idx="0">
                  <c:v>28.245265765801</c:v>
                </c:pt>
                <c:pt idx="1">
                  <c:v>78.9547248556088</c:v>
                </c:pt>
                <c:pt idx="2">
                  <c:v>150.2177474189347</c:v>
                </c:pt>
                <c:pt idx="3">
                  <c:v>221.1504286797297</c:v>
                </c:pt>
                <c:pt idx="4">
                  <c:v>344.7872427726236</c:v>
                </c:pt>
                <c:pt idx="5">
                  <c:v>467.8643035224423</c:v>
                </c:pt>
                <c:pt idx="6">
                  <c:v>597.2299044165345</c:v>
                </c:pt>
                <c:pt idx="7">
                  <c:v>760.323999030879</c:v>
                </c:pt>
                <c:pt idx="8">
                  <c:v>928.8239247837</c:v>
                </c:pt>
                <c:pt idx="9">
                  <c:v>1146.406186743366</c:v>
                </c:pt>
                <c:pt idx="10">
                  <c:v>1401.567915842783</c:v>
                </c:pt>
                <c:pt idx="11">
                  <c:v>1661.39818875976</c:v>
                </c:pt>
                <c:pt idx="12">
                  <c:v>1945.238956709991</c:v>
                </c:pt>
                <c:pt idx="13">
                  <c:v>2263.08895670999</c:v>
                </c:pt>
                <c:pt idx="14">
                  <c:v>2624.57492712054</c:v>
                </c:pt>
                <c:pt idx="15">
                  <c:v>2984.379788356481</c:v>
                </c:pt>
                <c:pt idx="16">
                  <c:v>3300.604214894764</c:v>
                </c:pt>
                <c:pt idx="17">
                  <c:v>3575.453011309027</c:v>
                </c:pt>
                <c:pt idx="18">
                  <c:v>3774.763977225656</c:v>
                </c:pt>
                <c:pt idx="19">
                  <c:v>3774.763977225656</c:v>
                </c:pt>
                <c:pt idx="20">
                  <c:v>3774.763977225656</c:v>
                </c:pt>
                <c:pt idx="21">
                  <c:v>3774.763977225656</c:v>
                </c:pt>
                <c:pt idx="22">
                  <c:v>3774.763977225656</c:v>
                </c:pt>
                <c:pt idx="23">
                  <c:v>3774.763977225656</c:v>
                </c:pt>
                <c:pt idx="24">
                  <c:v>3774.763977225656</c:v>
                </c:pt>
                <c:pt idx="25">
                  <c:v>3774.763977225656</c:v>
                </c:pt>
                <c:pt idx="26">
                  <c:v>3774.763977225656</c:v>
                </c:pt>
                <c:pt idx="27">
                  <c:v>3774.763977225656</c:v>
                </c:pt>
                <c:pt idx="28">
                  <c:v>3774.763977225656</c:v>
                </c:pt>
                <c:pt idx="29">
                  <c:v>3774.763977225656</c:v>
                </c:pt>
                <c:pt idx="30">
                  <c:v>3746.518711459856</c:v>
                </c:pt>
                <c:pt idx="31">
                  <c:v>3695.809252370063</c:v>
                </c:pt>
                <c:pt idx="32">
                  <c:v>3624.546229806719</c:v>
                </c:pt>
                <c:pt idx="33">
                  <c:v>3553.613548545928</c:v>
                </c:pt>
                <c:pt idx="34">
                  <c:v>3429.976734453034</c:v>
                </c:pt>
                <c:pt idx="35">
                  <c:v>3306.899673703216</c:v>
                </c:pt>
                <c:pt idx="36">
                  <c:v>3177.534072809134</c:v>
                </c:pt>
                <c:pt idx="37">
                  <c:v>3014.439978194778</c:v>
                </c:pt>
                <c:pt idx="38">
                  <c:v>2845.940052441951</c:v>
                </c:pt>
                <c:pt idx="39">
                  <c:v>2628.357790482305</c:v>
                </c:pt>
                <c:pt idx="40">
                  <c:v>2373.196061382874</c:v>
                </c:pt>
                <c:pt idx="41">
                  <c:v>2113.365788465894</c:v>
                </c:pt>
                <c:pt idx="42">
                  <c:v>1829.525020515666</c:v>
                </c:pt>
                <c:pt idx="43">
                  <c:v>1511.675020515665</c:v>
                </c:pt>
                <c:pt idx="44">
                  <c:v>1150.18905010512</c:v>
                </c:pt>
                <c:pt idx="45">
                  <c:v>790.384188869178</c:v>
                </c:pt>
                <c:pt idx="46">
                  <c:v>474.1597623308946</c:v>
                </c:pt>
                <c:pt idx="47">
                  <c:v>199.3109659166401</c:v>
                </c:pt>
                <c:pt idx="48">
                  <c:v>0.0</c:v>
                </c:pt>
                <c:pt idx="49">
                  <c:v>0.0</c:v>
                </c:pt>
                <c:pt idx="50">
                  <c:v>0.0</c:v>
                </c:pt>
              </c:numCache>
            </c:numRef>
          </c:yVal>
          <c:smooth val="1"/>
        </c:ser>
        <c:ser>
          <c:idx val="1"/>
          <c:order val="1"/>
          <c:tx>
            <c:v>40-year lifetime</c:v>
          </c:tx>
          <c:spPr>
            <a:ln w="19050" cap="rnd">
              <a:solidFill>
                <a:schemeClr val="accent2"/>
              </a:solidFill>
              <a:round/>
            </a:ln>
            <a:effectLst/>
          </c:spPr>
          <c:marker>
            <c:symbol val="none"/>
          </c:marker>
          <c:xVal>
            <c:numRef>
              <c:f>'Analysis - 40 year lifetime'!$D$15:$BL$15</c:f>
              <c:numCache>
                <c:formatCode>General</c:formatCode>
                <c:ptCount val="61"/>
                <c:pt idx="0">
                  <c:v>1975.0</c:v>
                </c:pt>
                <c:pt idx="1">
                  <c:v>1976.0</c:v>
                </c:pt>
                <c:pt idx="2">
                  <c:v>1977.0</c:v>
                </c:pt>
                <c:pt idx="3">
                  <c:v>1978.0</c:v>
                </c:pt>
                <c:pt idx="4">
                  <c:v>1979.0</c:v>
                </c:pt>
                <c:pt idx="5">
                  <c:v>1980.0</c:v>
                </c:pt>
                <c:pt idx="6">
                  <c:v>1981.0</c:v>
                </c:pt>
                <c:pt idx="7">
                  <c:v>1982.0</c:v>
                </c:pt>
                <c:pt idx="8">
                  <c:v>1983.0</c:v>
                </c:pt>
                <c:pt idx="9">
                  <c:v>1984.0</c:v>
                </c:pt>
                <c:pt idx="10">
                  <c:v>1985.0</c:v>
                </c:pt>
                <c:pt idx="11">
                  <c:v>1986.0</c:v>
                </c:pt>
                <c:pt idx="12">
                  <c:v>1987.0</c:v>
                </c:pt>
                <c:pt idx="13">
                  <c:v>1988.0</c:v>
                </c:pt>
                <c:pt idx="14">
                  <c:v>1989.0</c:v>
                </c:pt>
                <c:pt idx="15">
                  <c:v>1990.0</c:v>
                </c:pt>
                <c:pt idx="16">
                  <c:v>1991.0</c:v>
                </c:pt>
                <c:pt idx="17">
                  <c:v>1992.0</c:v>
                </c:pt>
                <c:pt idx="18">
                  <c:v>1993.0</c:v>
                </c:pt>
                <c:pt idx="19">
                  <c:v>1994.0</c:v>
                </c:pt>
                <c:pt idx="20">
                  <c:v>1995.0</c:v>
                </c:pt>
                <c:pt idx="21">
                  <c:v>1996.0</c:v>
                </c:pt>
                <c:pt idx="22">
                  <c:v>1997.0</c:v>
                </c:pt>
                <c:pt idx="23">
                  <c:v>1998.0</c:v>
                </c:pt>
                <c:pt idx="24">
                  <c:v>1999.0</c:v>
                </c:pt>
                <c:pt idx="25">
                  <c:v>2000.0</c:v>
                </c:pt>
                <c:pt idx="26">
                  <c:v>2001.0</c:v>
                </c:pt>
                <c:pt idx="27">
                  <c:v>2002.0</c:v>
                </c:pt>
                <c:pt idx="28">
                  <c:v>2003.0</c:v>
                </c:pt>
                <c:pt idx="29">
                  <c:v>2004.0</c:v>
                </c:pt>
                <c:pt idx="30">
                  <c:v>2005.0</c:v>
                </c:pt>
                <c:pt idx="31">
                  <c:v>2006.0</c:v>
                </c:pt>
                <c:pt idx="32">
                  <c:v>2007.0</c:v>
                </c:pt>
                <c:pt idx="33">
                  <c:v>2008.0</c:v>
                </c:pt>
                <c:pt idx="34">
                  <c:v>2009.0</c:v>
                </c:pt>
                <c:pt idx="35">
                  <c:v>2010.0</c:v>
                </c:pt>
                <c:pt idx="36">
                  <c:v>2011.0</c:v>
                </c:pt>
                <c:pt idx="37">
                  <c:v>2012.0</c:v>
                </c:pt>
                <c:pt idx="38">
                  <c:v>2013.0</c:v>
                </c:pt>
                <c:pt idx="39">
                  <c:v>2014.0</c:v>
                </c:pt>
                <c:pt idx="40">
                  <c:v>2015.0</c:v>
                </c:pt>
                <c:pt idx="41">
                  <c:v>2016.0</c:v>
                </c:pt>
                <c:pt idx="42">
                  <c:v>2017.0</c:v>
                </c:pt>
                <c:pt idx="43">
                  <c:v>2018.0</c:v>
                </c:pt>
                <c:pt idx="44">
                  <c:v>2019.0</c:v>
                </c:pt>
                <c:pt idx="45">
                  <c:v>2020.0</c:v>
                </c:pt>
                <c:pt idx="46">
                  <c:v>2021.0</c:v>
                </c:pt>
                <c:pt idx="47">
                  <c:v>2022.0</c:v>
                </c:pt>
                <c:pt idx="48">
                  <c:v>2023.0</c:v>
                </c:pt>
                <c:pt idx="49">
                  <c:v>2024.0</c:v>
                </c:pt>
                <c:pt idx="50">
                  <c:v>2025.0</c:v>
                </c:pt>
                <c:pt idx="51">
                  <c:v>2026.0</c:v>
                </c:pt>
                <c:pt idx="52">
                  <c:v>2027.0</c:v>
                </c:pt>
                <c:pt idx="53">
                  <c:v>2028.0</c:v>
                </c:pt>
                <c:pt idx="54">
                  <c:v>2029.0</c:v>
                </c:pt>
                <c:pt idx="55">
                  <c:v>2030.0</c:v>
                </c:pt>
                <c:pt idx="56">
                  <c:v>2031.0</c:v>
                </c:pt>
                <c:pt idx="57">
                  <c:v>2032.0</c:v>
                </c:pt>
                <c:pt idx="58">
                  <c:v>2033.0</c:v>
                </c:pt>
                <c:pt idx="59">
                  <c:v>2034.0</c:v>
                </c:pt>
                <c:pt idx="60">
                  <c:v>2035.0</c:v>
                </c:pt>
              </c:numCache>
            </c:numRef>
          </c:xVal>
          <c:yVal>
            <c:numRef>
              <c:f>'Analysis - 40 year lifetime'!$D$74:$BL$74</c:f>
              <c:numCache>
                <c:formatCode>#,##0</c:formatCode>
                <c:ptCount val="61"/>
                <c:pt idx="0">
                  <c:v>28.245265765801</c:v>
                </c:pt>
                <c:pt idx="1">
                  <c:v>78.9547248556088</c:v>
                </c:pt>
                <c:pt idx="2">
                  <c:v>150.2177474189347</c:v>
                </c:pt>
                <c:pt idx="3">
                  <c:v>221.1504286797297</c:v>
                </c:pt>
                <c:pt idx="4">
                  <c:v>344.7872427726236</c:v>
                </c:pt>
                <c:pt idx="5">
                  <c:v>467.8643035224423</c:v>
                </c:pt>
                <c:pt idx="6">
                  <c:v>597.2299044165345</c:v>
                </c:pt>
                <c:pt idx="7">
                  <c:v>760.323999030879</c:v>
                </c:pt>
                <c:pt idx="8">
                  <c:v>928.8239247837</c:v>
                </c:pt>
                <c:pt idx="9">
                  <c:v>1146.406186743366</c:v>
                </c:pt>
                <c:pt idx="10">
                  <c:v>1401.567915842783</c:v>
                </c:pt>
                <c:pt idx="11">
                  <c:v>1661.39818875976</c:v>
                </c:pt>
                <c:pt idx="12">
                  <c:v>1945.238956709991</c:v>
                </c:pt>
                <c:pt idx="13">
                  <c:v>2263.08895670999</c:v>
                </c:pt>
                <c:pt idx="14">
                  <c:v>2624.57492712054</c:v>
                </c:pt>
                <c:pt idx="15">
                  <c:v>2984.379788356481</c:v>
                </c:pt>
                <c:pt idx="16">
                  <c:v>3300.604214894764</c:v>
                </c:pt>
                <c:pt idx="17">
                  <c:v>3575.453011309027</c:v>
                </c:pt>
                <c:pt idx="18">
                  <c:v>3774.763977225656</c:v>
                </c:pt>
                <c:pt idx="19">
                  <c:v>3774.763977225656</c:v>
                </c:pt>
                <c:pt idx="20">
                  <c:v>3774.763977225656</c:v>
                </c:pt>
                <c:pt idx="21">
                  <c:v>3774.763977225656</c:v>
                </c:pt>
                <c:pt idx="22">
                  <c:v>3774.763977225656</c:v>
                </c:pt>
                <c:pt idx="23">
                  <c:v>3774.763977225656</c:v>
                </c:pt>
                <c:pt idx="24">
                  <c:v>3774.763977225656</c:v>
                </c:pt>
                <c:pt idx="25">
                  <c:v>3774.763977225656</c:v>
                </c:pt>
                <c:pt idx="26">
                  <c:v>3774.763977225656</c:v>
                </c:pt>
                <c:pt idx="27">
                  <c:v>3774.763977225656</c:v>
                </c:pt>
                <c:pt idx="28">
                  <c:v>3774.763977225656</c:v>
                </c:pt>
                <c:pt idx="29">
                  <c:v>3774.763977225656</c:v>
                </c:pt>
                <c:pt idx="30">
                  <c:v>3774.763977225656</c:v>
                </c:pt>
                <c:pt idx="31">
                  <c:v>3774.763977225656</c:v>
                </c:pt>
                <c:pt idx="32">
                  <c:v>3774.763977225656</c:v>
                </c:pt>
                <c:pt idx="33">
                  <c:v>3774.763977225656</c:v>
                </c:pt>
                <c:pt idx="34">
                  <c:v>3774.763977225656</c:v>
                </c:pt>
                <c:pt idx="35">
                  <c:v>3774.763977225656</c:v>
                </c:pt>
                <c:pt idx="36">
                  <c:v>3774.763977225656</c:v>
                </c:pt>
                <c:pt idx="37">
                  <c:v>3774.763977225656</c:v>
                </c:pt>
                <c:pt idx="38">
                  <c:v>3774.763977225656</c:v>
                </c:pt>
                <c:pt idx="39">
                  <c:v>3774.763977225656</c:v>
                </c:pt>
                <c:pt idx="40">
                  <c:v>3724.28542684309</c:v>
                </c:pt>
                <c:pt idx="41">
                  <c:v>3640.331585138061</c:v>
                </c:pt>
                <c:pt idx="42">
                  <c:v>3522.373734085717</c:v>
                </c:pt>
                <c:pt idx="43">
                  <c:v>3391.25574751272</c:v>
                </c:pt>
                <c:pt idx="44">
                  <c:v>3186.976609405162</c:v>
                </c:pt>
                <c:pt idx="45">
                  <c:v>2984.46548405249</c:v>
                </c:pt>
                <c:pt idx="46">
                  <c:v>2773.217287477238</c:v>
                </c:pt>
                <c:pt idx="47">
                  <c:v>2524.866102257897</c:v>
                </c:pt>
                <c:pt idx="48">
                  <c:v>2261.639085665599</c:v>
                </c:pt>
                <c:pt idx="49">
                  <c:v>1925.594224742284</c:v>
                </c:pt>
                <c:pt idx="50">
                  <c:v>1504.7631691038</c:v>
                </c:pt>
                <c:pt idx="51">
                  <c:v>1091.817844331033</c:v>
                </c:pt>
                <c:pt idx="52">
                  <c:v>627.7504411845164</c:v>
                </c:pt>
                <c:pt idx="53">
                  <c:v>127.822190916835</c:v>
                </c:pt>
                <c:pt idx="54">
                  <c:v>86.18086181428754</c:v>
                </c:pt>
                <c:pt idx="55">
                  <c:v>48.94826965010024</c:v>
                </c:pt>
                <c:pt idx="56">
                  <c:v>26.58708450891357</c:v>
                </c:pt>
                <c:pt idx="57">
                  <c:v>9.756133207243404</c:v>
                </c:pt>
                <c:pt idx="58">
                  <c:v>0.0</c:v>
                </c:pt>
                <c:pt idx="59">
                  <c:v>0.0</c:v>
                </c:pt>
                <c:pt idx="60">
                  <c:v>0.0</c:v>
                </c:pt>
              </c:numCache>
            </c:numRef>
          </c:yVal>
          <c:smooth val="1"/>
        </c:ser>
        <c:dLbls>
          <c:showLegendKey val="0"/>
          <c:showVal val="0"/>
          <c:showCatName val="0"/>
          <c:showSerName val="0"/>
          <c:showPercent val="0"/>
          <c:showBubbleSize val="0"/>
        </c:dLbls>
        <c:axId val="603747704"/>
        <c:axId val="603754280"/>
      </c:scatterChart>
      <c:valAx>
        <c:axId val="603747704"/>
        <c:scaling>
          <c:orientation val="minMax"/>
          <c:max val="2035.0"/>
          <c:min val="197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03754280"/>
        <c:crosses val="autoZero"/>
        <c:crossBetween val="midCat"/>
      </c:valAx>
      <c:valAx>
        <c:axId val="603754280"/>
        <c:scaling>
          <c:orientation val="minMax"/>
          <c:min val="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0" i="0"/>
                  <a:t>Halon 1301 Remaining in Service</a:t>
                </a:r>
                <a:r>
                  <a:rPr lang="en-US" sz="1000" b="0" i="0" baseline="0"/>
                  <a:t> on Ships </a:t>
                </a:r>
                <a:r>
                  <a:rPr lang="en-US" sz="1000" b="0" i="0"/>
                  <a:t>(metric tonnes)</a:t>
                </a:r>
              </a:p>
            </c:rich>
          </c:tx>
          <c:layout>
            <c:manualLayout>
              <c:xMode val="edge"/>
              <c:yMode val="edge"/>
              <c:x val="0.0"/>
              <c:y val="0.098437334061566"/>
            </c:manualLayout>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037477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641B55FE99C54E93DE29B467D22272" ma:contentTypeVersion="" ma:contentTypeDescription="Create a new document." ma:contentTypeScope="" ma:versionID="b554937088ca6025dd5355180122e0a1">
  <xsd:schema xmlns:xsd="http://www.w3.org/2001/XMLSchema" xmlns:xs="http://www.w3.org/2001/XMLSchema" xmlns:p="http://schemas.microsoft.com/office/2006/metadata/properties" xmlns:ns2="AAE2A87B-C228-4834-B79E-C01691B0EDED" targetNamespace="http://schemas.microsoft.com/office/2006/metadata/properties" ma:root="true" ma:fieldsID="7c84a55b605c1df865cab37fb149a814" ns2:_="">
    <xsd:import namespace="AAE2A87B-C228-4834-B79E-C01691B0EDED"/>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2A87B-C228-4834-B79E-C01691B0EDED"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AAE2A87B-C228-4834-B79E-C01691B0EDED">**</Document_x0020_Symbol>
  </documentManagement>
</p:properties>
</file>

<file path=customXml/itemProps1.xml><?xml version="1.0" encoding="utf-8"?>
<ds:datastoreItem xmlns:ds="http://schemas.openxmlformats.org/officeDocument/2006/customXml" ds:itemID="{9962D882-B90F-4F76-A89C-2762FF285872}"/>
</file>

<file path=customXml/itemProps2.xml><?xml version="1.0" encoding="utf-8"?>
<ds:datastoreItem xmlns:ds="http://schemas.openxmlformats.org/officeDocument/2006/customXml" ds:itemID="{68963349-79BA-6E49-954C-C8722EB7F0AA}"/>
</file>

<file path=customXml/itemProps3.xml><?xml version="1.0" encoding="utf-8"?>
<ds:datastoreItem xmlns:ds="http://schemas.openxmlformats.org/officeDocument/2006/customXml" ds:itemID="{974038B2-C6FA-42D1-B1D9-569EC9612853}"/>
</file>

<file path=customXml/itemProps4.xml><?xml version="1.0" encoding="utf-8"?>
<ds:datastoreItem xmlns:ds="http://schemas.openxmlformats.org/officeDocument/2006/customXml" ds:itemID="{DC4B5543-3956-4F55-A057-41227DC1D503}"/>
</file>

<file path=docProps/app.xml><?xml version="1.0" encoding="utf-8"?>
<Properties xmlns="http://schemas.openxmlformats.org/officeDocument/2006/extended-properties" xmlns:vt="http://schemas.openxmlformats.org/officeDocument/2006/docPropsVTypes">
  <Template>\MSOffice\Templates\Teap Style.dot</Template>
  <TotalTime>0</TotalTime>
  <Pages>29</Pages>
  <Words>22790</Words>
  <Characters>129904</Characters>
  <Application>Microsoft Macintosh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1 Essential Uses and Sale of MDI-ODS to Other Uses</vt:lpstr>
    </vt:vector>
  </TitlesOfParts>
  <Company>HP</Company>
  <LinksUpToDate>false</LinksUpToDate>
  <CharactersWithSpaces>152390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 June 2015 Progress Report (Volume 1)</dc:title>
  <dc:subject/>
  <dc:creator>Walter Brunner</dc:creator>
  <cp:keywords/>
  <cp:lastModifiedBy>meg seki</cp:lastModifiedBy>
  <cp:revision>2</cp:revision>
  <cp:lastPrinted>2012-05-11T02:51:00Z</cp:lastPrinted>
  <dcterms:created xsi:type="dcterms:W3CDTF">2015-06-11T11:55:00Z</dcterms:created>
  <dcterms:modified xsi:type="dcterms:W3CDTF">2015-06-11T11:55:00Z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0x010100E5641B55FE99C54E93DE29B467D22272</vt:lpwstr>
  </property>
</Properties>
</file>