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21375" w14:textId="77777777" w:rsidR="00AD4B2A" w:rsidRPr="00F867D0" w:rsidRDefault="00AD4B2A">
      <w:pPr>
        <w:spacing w:line="240" w:lineRule="atLeast"/>
        <w:jc w:val="center"/>
        <w:rPr>
          <w:b/>
          <w:sz w:val="32"/>
        </w:rPr>
      </w:pPr>
      <w:bookmarkStart w:id="0" w:name="_GoBack"/>
      <w:bookmarkEnd w:id="0"/>
    </w:p>
    <w:p w14:paraId="19212A2D" w14:textId="77777777" w:rsidR="00AD4B2A" w:rsidRPr="00F867D0" w:rsidRDefault="00591AA8">
      <w:pPr>
        <w:spacing w:line="240" w:lineRule="atLeast"/>
        <w:jc w:val="center"/>
      </w:pPr>
      <w:r w:rsidRPr="00F867D0">
        <w:rPr>
          <w:b/>
          <w:sz w:val="32"/>
        </w:rPr>
        <w:t>MONTREAL PROTOCOL</w:t>
      </w:r>
      <w:r w:rsidRPr="00F867D0">
        <w:rPr>
          <w:b/>
          <w:sz w:val="32"/>
        </w:rPr>
        <w:br/>
      </w:r>
      <w:r w:rsidRPr="00F867D0">
        <w:rPr>
          <w:b/>
          <w:sz w:val="32"/>
        </w:rPr>
        <w:br/>
        <w:t>ON SUBSTANCES THAT DEPLETE</w:t>
      </w:r>
      <w:r w:rsidRPr="00F867D0">
        <w:rPr>
          <w:b/>
          <w:sz w:val="32"/>
        </w:rPr>
        <w:br/>
      </w:r>
      <w:r w:rsidRPr="00F867D0">
        <w:rPr>
          <w:b/>
          <w:sz w:val="32"/>
        </w:rPr>
        <w:br/>
        <w:t>THE OZONE LAYER</w:t>
      </w:r>
      <w:r w:rsidRPr="00F867D0">
        <w:rPr>
          <w:b/>
          <w:sz w:val="32"/>
        </w:rPr>
        <w:br/>
      </w:r>
      <w:r w:rsidRPr="00F867D0">
        <w:rPr>
          <w:b/>
          <w:sz w:val="32"/>
        </w:rPr>
        <w:br/>
      </w:r>
    </w:p>
    <w:p w14:paraId="285BBC71" w14:textId="77777777" w:rsidR="00AD4B2A" w:rsidRPr="00F867D0" w:rsidRDefault="00B00967">
      <w:pPr>
        <w:spacing w:line="240" w:lineRule="atLeast"/>
        <w:jc w:val="center"/>
        <w:rPr>
          <w:sz w:val="172"/>
        </w:rPr>
      </w:pPr>
      <w:r w:rsidRPr="00F867D0">
        <w:rPr>
          <w:noProof/>
          <w:sz w:val="172"/>
          <w:lang w:val="en-US" w:eastAsia="en-US"/>
        </w:rPr>
        <w:drawing>
          <wp:inline distT="0" distB="0" distL="0" distR="0" wp14:anchorId="56725C94" wp14:editId="7C566F55">
            <wp:extent cx="2908300" cy="2476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2476500"/>
                    </a:xfrm>
                    <a:prstGeom prst="rect">
                      <a:avLst/>
                    </a:prstGeom>
                    <a:noFill/>
                    <a:ln>
                      <a:noFill/>
                    </a:ln>
                  </pic:spPr>
                </pic:pic>
              </a:graphicData>
            </a:graphic>
          </wp:inline>
        </w:drawing>
      </w:r>
    </w:p>
    <w:p w14:paraId="62590873" w14:textId="77777777" w:rsidR="00AD4B2A" w:rsidRPr="00F867D0" w:rsidRDefault="00591AA8">
      <w:pPr>
        <w:spacing w:line="240" w:lineRule="atLeast"/>
        <w:jc w:val="center"/>
        <w:outlineLvl w:val="0"/>
        <w:rPr>
          <w:sz w:val="172"/>
        </w:rPr>
      </w:pPr>
      <w:r w:rsidRPr="00F867D0">
        <w:rPr>
          <w:sz w:val="172"/>
        </w:rPr>
        <w:t>UNEP</w:t>
      </w:r>
    </w:p>
    <w:p w14:paraId="21A9C166" w14:textId="77777777" w:rsidR="00F91F8F" w:rsidRDefault="00591AA8" w:rsidP="0009498A">
      <w:pPr>
        <w:spacing w:line="240" w:lineRule="atLeast"/>
        <w:jc w:val="center"/>
        <w:rPr>
          <w:b/>
          <w:smallCaps/>
          <w:sz w:val="32"/>
        </w:rPr>
      </w:pPr>
      <w:bookmarkStart w:id="1" w:name="OLE_LINK16"/>
      <w:bookmarkStart w:id="2" w:name="OLE_LINK17"/>
      <w:r w:rsidRPr="00F867D0">
        <w:rPr>
          <w:b/>
          <w:smallCaps/>
          <w:sz w:val="32"/>
        </w:rPr>
        <w:t>Report of the</w:t>
      </w:r>
      <w:r w:rsidRPr="00F867D0">
        <w:rPr>
          <w:b/>
          <w:smallCaps/>
          <w:sz w:val="32"/>
        </w:rPr>
        <w:br/>
        <w:t>Technology and Economic Assessment Panel</w:t>
      </w:r>
      <w:r w:rsidRPr="00F867D0">
        <w:rPr>
          <w:b/>
          <w:smallCaps/>
          <w:sz w:val="32"/>
        </w:rPr>
        <w:br/>
      </w:r>
    </w:p>
    <w:p w14:paraId="5AA59E0A" w14:textId="7333AABB" w:rsidR="00AD4B2A" w:rsidRDefault="00AD0C75" w:rsidP="0009498A">
      <w:pPr>
        <w:spacing w:line="240" w:lineRule="atLeast"/>
        <w:jc w:val="center"/>
        <w:rPr>
          <w:b/>
          <w:smallCaps/>
          <w:sz w:val="32"/>
        </w:rPr>
      </w:pPr>
      <w:r w:rsidRPr="00F867D0">
        <w:rPr>
          <w:b/>
          <w:smallCaps/>
          <w:sz w:val="32"/>
        </w:rPr>
        <w:t>Ma</w:t>
      </w:r>
      <w:r w:rsidR="00085768" w:rsidRPr="00F867D0">
        <w:rPr>
          <w:b/>
          <w:smallCaps/>
          <w:sz w:val="32"/>
        </w:rPr>
        <w:t>y 2018</w:t>
      </w:r>
    </w:p>
    <w:p w14:paraId="64AA7195" w14:textId="665DEA59" w:rsidR="00AD4B2A" w:rsidRDefault="00AD0C75" w:rsidP="00AD0C75">
      <w:pPr>
        <w:spacing w:after="120"/>
        <w:jc w:val="center"/>
        <w:rPr>
          <w:b/>
          <w:smallCaps/>
          <w:sz w:val="32"/>
        </w:rPr>
      </w:pPr>
      <w:r w:rsidRPr="00F867D0">
        <w:rPr>
          <w:b/>
          <w:smallCaps/>
          <w:sz w:val="32"/>
        </w:rPr>
        <w:t xml:space="preserve">Volume </w:t>
      </w:r>
      <w:r w:rsidR="00085768" w:rsidRPr="00F867D0">
        <w:rPr>
          <w:b/>
          <w:smallCaps/>
          <w:sz w:val="32"/>
        </w:rPr>
        <w:t>5</w:t>
      </w:r>
    </w:p>
    <w:p w14:paraId="627EB8DF" w14:textId="560BF161" w:rsidR="00AD0C75" w:rsidRPr="00F867D0" w:rsidRDefault="00085768" w:rsidP="00AD0C75">
      <w:pPr>
        <w:spacing w:after="120"/>
        <w:jc w:val="center"/>
        <w:rPr>
          <w:b/>
          <w:smallCaps/>
          <w:sz w:val="32"/>
        </w:rPr>
      </w:pPr>
      <w:r w:rsidRPr="00F867D0">
        <w:rPr>
          <w:b/>
          <w:bCs/>
          <w:smallCaps/>
          <w:sz w:val="32"/>
        </w:rPr>
        <w:t>Decision XXIX/10 Task Force Report on issues related to energy efficiency while phasing down hydrofluorocarbons</w:t>
      </w:r>
    </w:p>
    <w:bookmarkEnd w:id="1"/>
    <w:bookmarkEnd w:id="2"/>
    <w:p w14:paraId="32871EF3" w14:textId="77777777" w:rsidR="00AD4B2A" w:rsidRPr="00F867D0" w:rsidRDefault="00AD4B2A">
      <w:pPr>
        <w:jc w:val="right"/>
        <w:rPr>
          <w:b/>
          <w:smallCaps/>
          <w:sz w:val="28"/>
        </w:rPr>
        <w:sectPr w:rsidR="00AD4B2A" w:rsidRPr="00F867D0" w:rsidSect="00F91F8F">
          <w:headerReference w:type="even" r:id="rId12"/>
          <w:headerReference w:type="default" r:id="rId13"/>
          <w:footerReference w:type="default" r:id="rId14"/>
          <w:footerReference w:type="first" r:id="rId15"/>
          <w:footnotePr>
            <w:numRestart w:val="eachSect"/>
          </w:footnotePr>
          <w:type w:val="nextColumn"/>
          <w:pgSz w:w="11906" w:h="16838" w:code="9"/>
          <w:pgMar w:top="1440" w:right="1800" w:bottom="1526" w:left="1800" w:header="720" w:footer="792" w:gutter="0"/>
          <w:pgNumType w:fmt="lowerRoman"/>
          <w:cols w:space="720"/>
          <w:titlePg/>
          <w:docGrid w:linePitch="299"/>
        </w:sectPr>
      </w:pPr>
    </w:p>
    <w:p w14:paraId="04BB2540" w14:textId="0E3FCB21" w:rsidR="00AD0C75" w:rsidRPr="00F867D0" w:rsidRDefault="00AD0C75" w:rsidP="00AD0C75">
      <w:pPr>
        <w:spacing w:after="0"/>
        <w:jc w:val="right"/>
        <w:rPr>
          <w:b/>
          <w:smallCaps/>
          <w:sz w:val="28"/>
        </w:rPr>
      </w:pPr>
      <w:r w:rsidRPr="00F867D0">
        <w:rPr>
          <w:b/>
          <w:smallCaps/>
          <w:sz w:val="28"/>
        </w:rPr>
        <w:lastRenderedPageBreak/>
        <w:t>UNEP</w:t>
      </w:r>
      <w:r w:rsidRPr="00F867D0">
        <w:rPr>
          <w:b/>
          <w:smallCaps/>
          <w:sz w:val="28"/>
        </w:rPr>
        <w:br/>
      </w:r>
      <w:r w:rsidR="004F6382">
        <w:rPr>
          <w:b/>
          <w:smallCaps/>
          <w:sz w:val="28"/>
        </w:rPr>
        <w:t>May</w:t>
      </w:r>
      <w:r w:rsidRPr="00F867D0">
        <w:rPr>
          <w:b/>
          <w:smallCaps/>
          <w:sz w:val="28"/>
        </w:rPr>
        <w:t xml:space="preserve"> 2018 TEAP Report</w:t>
      </w:r>
    </w:p>
    <w:p w14:paraId="1A90BAFB" w14:textId="40607C4B" w:rsidR="00AD0C75" w:rsidRPr="00F867D0" w:rsidRDefault="00AD0C75" w:rsidP="00AD0C75">
      <w:pPr>
        <w:jc w:val="right"/>
        <w:rPr>
          <w:b/>
          <w:smallCaps/>
          <w:sz w:val="28"/>
        </w:rPr>
      </w:pPr>
      <w:r w:rsidRPr="00F867D0">
        <w:rPr>
          <w:b/>
          <w:smallCaps/>
          <w:sz w:val="28"/>
        </w:rPr>
        <w:t xml:space="preserve">Volume </w:t>
      </w:r>
      <w:r w:rsidR="004F6382">
        <w:rPr>
          <w:b/>
          <w:smallCaps/>
          <w:sz w:val="28"/>
        </w:rPr>
        <w:t>5</w:t>
      </w:r>
    </w:p>
    <w:p w14:paraId="3EFD1435" w14:textId="1408CFFF" w:rsidR="00AD4B2A" w:rsidRPr="00F867D0" w:rsidRDefault="00085768" w:rsidP="00085768">
      <w:pPr>
        <w:spacing w:before="100" w:after="100"/>
        <w:jc w:val="right"/>
        <w:rPr>
          <w:b/>
        </w:rPr>
        <w:sectPr w:rsidR="00AD4B2A" w:rsidRPr="00F867D0" w:rsidSect="00F91F8F">
          <w:headerReference w:type="even" r:id="rId16"/>
          <w:headerReference w:type="default" r:id="rId17"/>
          <w:footerReference w:type="even" r:id="rId18"/>
          <w:footerReference w:type="default" r:id="rId19"/>
          <w:headerReference w:type="first" r:id="rId20"/>
          <w:footnotePr>
            <w:numRestart w:val="eachSect"/>
          </w:footnotePr>
          <w:type w:val="oddPage"/>
          <w:pgSz w:w="11906" w:h="16838" w:code="9"/>
          <w:pgMar w:top="1440" w:right="1800" w:bottom="1526" w:left="1800" w:header="720" w:footer="792" w:gutter="0"/>
          <w:pgNumType w:fmt="lowerRoman" w:start="2"/>
          <w:cols w:space="720"/>
          <w:docGrid w:linePitch="299"/>
        </w:sectPr>
      </w:pPr>
      <w:r w:rsidRPr="00F867D0">
        <w:rPr>
          <w:b/>
          <w:bCs/>
          <w:smallCaps/>
          <w:sz w:val="28"/>
        </w:rPr>
        <w:t>Decision XXIX/10 Task Force Report on issues related to energy efficiency while phasing down hydrofluorocarbons</w:t>
      </w:r>
    </w:p>
    <w:p w14:paraId="0DFCFE03" w14:textId="77777777" w:rsidR="00AD4B2A" w:rsidRPr="00F867D0" w:rsidRDefault="00591AA8">
      <w:pPr>
        <w:spacing w:before="240" w:after="100"/>
        <w:rPr>
          <w:b/>
          <w:sz w:val="24"/>
        </w:rPr>
      </w:pPr>
      <w:r w:rsidRPr="00F867D0">
        <w:rPr>
          <w:b/>
          <w:sz w:val="24"/>
        </w:rPr>
        <w:lastRenderedPageBreak/>
        <w:t>Montreal Protocol</w:t>
      </w:r>
      <w:r w:rsidRPr="00F867D0">
        <w:rPr>
          <w:b/>
          <w:sz w:val="24"/>
        </w:rPr>
        <w:br/>
        <w:t>On Substances that Deplete the Ozone Layer</w:t>
      </w:r>
    </w:p>
    <w:p w14:paraId="3DA97AE1" w14:textId="77777777" w:rsidR="00AD4B2A" w:rsidRPr="00F867D0" w:rsidRDefault="00591AA8">
      <w:pPr>
        <w:spacing w:before="100" w:after="100"/>
        <w:outlineLvl w:val="0"/>
        <w:rPr>
          <w:sz w:val="28"/>
        </w:rPr>
      </w:pPr>
      <w:r w:rsidRPr="00F867D0">
        <w:rPr>
          <w:sz w:val="28"/>
        </w:rPr>
        <w:t>Report of the</w:t>
      </w:r>
      <w:r w:rsidRPr="00F867D0">
        <w:rPr>
          <w:sz w:val="28"/>
        </w:rPr>
        <w:br/>
        <w:t>UNEP Technology and Economic Assessment Panel</w:t>
      </w:r>
    </w:p>
    <w:p w14:paraId="29DBCFA6" w14:textId="632F5EB1" w:rsidR="00AD4B2A" w:rsidRPr="00F867D0" w:rsidRDefault="00AD0C75">
      <w:pPr>
        <w:spacing w:before="100" w:after="100"/>
        <w:outlineLvl w:val="0"/>
        <w:rPr>
          <w:sz w:val="28"/>
        </w:rPr>
      </w:pPr>
      <w:r w:rsidRPr="00F867D0">
        <w:rPr>
          <w:sz w:val="28"/>
        </w:rPr>
        <w:t>Ma</w:t>
      </w:r>
      <w:r w:rsidR="00085768" w:rsidRPr="00F867D0">
        <w:rPr>
          <w:sz w:val="28"/>
        </w:rPr>
        <w:t>y</w:t>
      </w:r>
      <w:r w:rsidR="00260C5C" w:rsidRPr="00F867D0">
        <w:rPr>
          <w:sz w:val="28"/>
        </w:rPr>
        <w:t xml:space="preserve"> </w:t>
      </w:r>
      <w:r w:rsidR="00312589" w:rsidRPr="00F867D0">
        <w:rPr>
          <w:sz w:val="28"/>
        </w:rPr>
        <w:t>201</w:t>
      </w:r>
      <w:r w:rsidRPr="00F867D0">
        <w:rPr>
          <w:sz w:val="28"/>
        </w:rPr>
        <w:t>8</w:t>
      </w:r>
    </w:p>
    <w:p w14:paraId="70B9D8D6" w14:textId="40E537DA" w:rsidR="00AD4B2A" w:rsidRPr="00F867D0" w:rsidRDefault="00085768">
      <w:pPr>
        <w:spacing w:before="100" w:after="100"/>
        <w:outlineLvl w:val="0"/>
        <w:rPr>
          <w:b/>
          <w:smallCaps/>
        </w:rPr>
      </w:pPr>
      <w:r w:rsidRPr="00F867D0">
        <w:rPr>
          <w:b/>
          <w:smallCaps/>
        </w:rPr>
        <w:t>Volume 5</w:t>
      </w:r>
    </w:p>
    <w:p w14:paraId="06F4F7A2" w14:textId="0D3B09F7" w:rsidR="00AD4B2A" w:rsidRPr="00F867D0" w:rsidRDefault="00085768">
      <w:pPr>
        <w:spacing w:before="100" w:after="100"/>
      </w:pPr>
      <w:r w:rsidRPr="00F867D0">
        <w:rPr>
          <w:b/>
          <w:smallCaps/>
          <w:sz w:val="32"/>
        </w:rPr>
        <w:t xml:space="preserve">Decision XXIX/10 Task Force Report on </w:t>
      </w:r>
      <w:r w:rsidR="004F6382">
        <w:rPr>
          <w:b/>
          <w:smallCaps/>
          <w:sz w:val="32"/>
        </w:rPr>
        <w:t>I</w:t>
      </w:r>
      <w:r w:rsidRPr="00F867D0">
        <w:rPr>
          <w:b/>
          <w:smallCaps/>
          <w:sz w:val="32"/>
        </w:rPr>
        <w:t xml:space="preserve">ssues </w:t>
      </w:r>
      <w:r w:rsidR="004F6382">
        <w:rPr>
          <w:b/>
          <w:smallCaps/>
          <w:sz w:val="32"/>
        </w:rPr>
        <w:t>R</w:t>
      </w:r>
      <w:r w:rsidRPr="00F867D0">
        <w:rPr>
          <w:b/>
          <w:smallCaps/>
          <w:sz w:val="32"/>
        </w:rPr>
        <w:t xml:space="preserve">elated to </w:t>
      </w:r>
      <w:r w:rsidR="004F6382">
        <w:rPr>
          <w:b/>
          <w:smallCaps/>
          <w:sz w:val="32"/>
        </w:rPr>
        <w:t>E</w:t>
      </w:r>
      <w:r w:rsidRPr="00F867D0">
        <w:rPr>
          <w:b/>
          <w:smallCaps/>
          <w:sz w:val="32"/>
        </w:rPr>
        <w:t xml:space="preserve">nergy </w:t>
      </w:r>
      <w:r w:rsidR="004F6382">
        <w:rPr>
          <w:b/>
          <w:smallCaps/>
          <w:sz w:val="32"/>
        </w:rPr>
        <w:t>E</w:t>
      </w:r>
      <w:r w:rsidRPr="00F867D0">
        <w:rPr>
          <w:b/>
          <w:smallCaps/>
          <w:sz w:val="32"/>
        </w:rPr>
        <w:t xml:space="preserve">fficiency </w:t>
      </w:r>
      <w:r w:rsidR="004F6382">
        <w:rPr>
          <w:b/>
          <w:smallCaps/>
          <w:sz w:val="32"/>
        </w:rPr>
        <w:t>W</w:t>
      </w:r>
      <w:r w:rsidRPr="00F867D0">
        <w:rPr>
          <w:b/>
          <w:smallCaps/>
          <w:sz w:val="32"/>
        </w:rPr>
        <w:t xml:space="preserve">hile </w:t>
      </w:r>
      <w:r w:rsidR="004F6382">
        <w:rPr>
          <w:b/>
          <w:smallCaps/>
          <w:sz w:val="32"/>
        </w:rPr>
        <w:t>P</w:t>
      </w:r>
      <w:r w:rsidRPr="00F867D0">
        <w:rPr>
          <w:b/>
          <w:smallCaps/>
          <w:sz w:val="32"/>
        </w:rPr>
        <w:t xml:space="preserve">hasing </w:t>
      </w:r>
      <w:r w:rsidR="004F6382">
        <w:rPr>
          <w:b/>
          <w:smallCaps/>
          <w:sz w:val="32"/>
        </w:rPr>
        <w:t>D</w:t>
      </w:r>
      <w:r w:rsidRPr="00F867D0">
        <w:rPr>
          <w:b/>
          <w:smallCaps/>
          <w:sz w:val="32"/>
        </w:rPr>
        <w:t xml:space="preserve">own </w:t>
      </w:r>
      <w:r w:rsidR="004F6382">
        <w:rPr>
          <w:b/>
          <w:smallCaps/>
          <w:sz w:val="32"/>
        </w:rPr>
        <w:t>H</w:t>
      </w:r>
      <w:r w:rsidRPr="00F867D0">
        <w:rPr>
          <w:b/>
          <w:smallCaps/>
          <w:sz w:val="32"/>
        </w:rPr>
        <w:t>ydrofluorocarbons</w:t>
      </w:r>
    </w:p>
    <w:p w14:paraId="3AAA4743" w14:textId="77777777" w:rsidR="00085768" w:rsidRPr="00F867D0" w:rsidRDefault="00085768">
      <w:pPr>
        <w:spacing w:before="100" w:after="100"/>
      </w:pPr>
    </w:p>
    <w:p w14:paraId="7ECCBE3E" w14:textId="05E198A9" w:rsidR="00AD4B2A" w:rsidRPr="00F867D0" w:rsidRDefault="00591AA8">
      <w:pPr>
        <w:spacing w:before="100" w:after="100"/>
      </w:pPr>
      <w:r w:rsidRPr="00F867D0">
        <w:t>The text of this report is composed in Times New Roman.</w:t>
      </w:r>
    </w:p>
    <w:p w14:paraId="0FAB39CD" w14:textId="77777777" w:rsidR="00AD4B2A" w:rsidRPr="00F867D0" w:rsidRDefault="00591AA8">
      <w:pPr>
        <w:tabs>
          <w:tab w:val="left" w:pos="3870"/>
        </w:tabs>
        <w:spacing w:before="100" w:after="100"/>
        <w:outlineLvl w:val="0"/>
        <w:rPr>
          <w:b/>
        </w:rPr>
      </w:pPr>
      <w:r w:rsidRPr="00F867D0">
        <w:t>Co-ordination:</w:t>
      </w:r>
      <w:r w:rsidRPr="00F867D0">
        <w:tab/>
      </w:r>
      <w:r w:rsidRPr="00F867D0">
        <w:rPr>
          <w:b/>
        </w:rPr>
        <w:t>Technology and Economic Assessment Panel</w:t>
      </w:r>
    </w:p>
    <w:p w14:paraId="36D528E4" w14:textId="23BBD1CA" w:rsidR="00AD4B2A" w:rsidRPr="00F867D0" w:rsidRDefault="00591AA8">
      <w:pPr>
        <w:tabs>
          <w:tab w:val="left" w:pos="3870"/>
        </w:tabs>
        <w:spacing w:before="100" w:after="100"/>
      </w:pPr>
      <w:r w:rsidRPr="00F867D0">
        <w:t>Composition of the report:</w:t>
      </w:r>
      <w:r w:rsidRPr="00F867D0">
        <w:tab/>
      </w:r>
      <w:r w:rsidR="00085768" w:rsidRPr="00F867D0">
        <w:t>Suely Carvalho, Bella Maranion, Fabio Polonara</w:t>
      </w:r>
    </w:p>
    <w:p w14:paraId="2A8E8E3E" w14:textId="6F7F6D9F" w:rsidR="00AD4B2A" w:rsidRPr="00F867D0" w:rsidRDefault="00591AA8">
      <w:pPr>
        <w:tabs>
          <w:tab w:val="left" w:pos="3870"/>
        </w:tabs>
        <w:spacing w:before="100" w:after="100"/>
        <w:ind w:left="2160" w:hanging="2160"/>
      </w:pPr>
      <w:r w:rsidRPr="00F867D0">
        <w:t>Layout and formatting:</w:t>
      </w:r>
      <w:r w:rsidRPr="00F867D0">
        <w:tab/>
      </w:r>
      <w:r w:rsidRPr="00F867D0">
        <w:tab/>
      </w:r>
      <w:r w:rsidR="00894D0B" w:rsidRPr="00F867D0">
        <w:t xml:space="preserve">Marta Pizano, </w:t>
      </w:r>
      <w:r w:rsidR="00085768" w:rsidRPr="00F867D0">
        <w:t>Bella Maranion</w:t>
      </w:r>
      <w:r w:rsidR="00A12A40" w:rsidRPr="00F867D0">
        <w:t xml:space="preserve"> (UNEP TEAP)</w:t>
      </w:r>
      <w:r w:rsidRPr="00F867D0">
        <w:t xml:space="preserve"> </w:t>
      </w:r>
      <w:r w:rsidRPr="00F867D0">
        <w:tab/>
      </w:r>
    </w:p>
    <w:p w14:paraId="39F3AB14" w14:textId="7165D41A" w:rsidR="00AD4B2A" w:rsidRPr="00F867D0" w:rsidRDefault="00591AA8">
      <w:pPr>
        <w:tabs>
          <w:tab w:val="left" w:pos="3870"/>
        </w:tabs>
        <w:spacing w:before="100" w:after="100"/>
      </w:pPr>
      <w:r w:rsidRPr="00F867D0">
        <w:t>Date:</w:t>
      </w:r>
      <w:r w:rsidRPr="00F867D0">
        <w:tab/>
      </w:r>
      <w:r w:rsidR="00AD0C75" w:rsidRPr="00F867D0">
        <w:t>Ma</w:t>
      </w:r>
      <w:r w:rsidR="00085768" w:rsidRPr="00F867D0">
        <w:t>y</w:t>
      </w:r>
      <w:r w:rsidR="00312589" w:rsidRPr="00F867D0">
        <w:t xml:space="preserve"> 201</w:t>
      </w:r>
      <w:r w:rsidR="00AD0C75" w:rsidRPr="00F867D0">
        <w:t>8</w:t>
      </w:r>
    </w:p>
    <w:p w14:paraId="53F6EDD7" w14:textId="77777777" w:rsidR="00AD4B2A" w:rsidRPr="00F867D0" w:rsidRDefault="00AD4B2A">
      <w:pPr>
        <w:spacing w:before="100" w:after="100"/>
      </w:pPr>
    </w:p>
    <w:p w14:paraId="430F2733" w14:textId="77777777" w:rsidR="00AD4B2A" w:rsidRPr="00F867D0" w:rsidRDefault="00591AA8">
      <w:pPr>
        <w:spacing w:before="100" w:after="100"/>
      </w:pPr>
      <w:r w:rsidRPr="00F867D0">
        <w:t>Under certain conditions, printed copies of this report are available from:</w:t>
      </w:r>
    </w:p>
    <w:p w14:paraId="375F9E0E" w14:textId="77777777" w:rsidR="00AD4B2A" w:rsidRPr="00F867D0" w:rsidRDefault="00591AA8">
      <w:pPr>
        <w:spacing w:before="100" w:after="100"/>
      </w:pPr>
      <w:r w:rsidRPr="00F867D0">
        <w:t>UNITED NATIONS ENVIRONMENT PROGRAMME</w:t>
      </w:r>
      <w:r w:rsidRPr="00F867D0">
        <w:br/>
        <w:t>Ozone Secretariat, P.O. Box 30552, Nairobi, Kenya</w:t>
      </w:r>
    </w:p>
    <w:p w14:paraId="6A3F4059" w14:textId="77777777" w:rsidR="00AD4B2A" w:rsidRPr="00F867D0" w:rsidRDefault="00AD4B2A">
      <w:pPr>
        <w:spacing w:before="100" w:after="100"/>
        <w:outlineLvl w:val="0"/>
      </w:pPr>
    </w:p>
    <w:p w14:paraId="17947831" w14:textId="77777777" w:rsidR="00AD4B2A" w:rsidRPr="00F867D0" w:rsidRDefault="00AD4B2A">
      <w:pPr>
        <w:spacing w:before="100" w:after="100"/>
        <w:outlineLvl w:val="0"/>
      </w:pPr>
    </w:p>
    <w:p w14:paraId="35D3ABD2" w14:textId="77777777" w:rsidR="00AD4B2A" w:rsidRPr="00F867D0" w:rsidRDefault="00591AA8">
      <w:pPr>
        <w:spacing w:before="100" w:after="100"/>
        <w:outlineLvl w:val="0"/>
      </w:pPr>
      <w:r w:rsidRPr="00F867D0">
        <w:t>This document is also available in portable document format from the UNEP Ozone Secretariat's website:</w:t>
      </w:r>
    </w:p>
    <w:p w14:paraId="14735DBA" w14:textId="77777777" w:rsidR="00AD4B2A" w:rsidRPr="00F867D0" w:rsidRDefault="00591AA8">
      <w:pPr>
        <w:spacing w:before="100" w:after="100"/>
        <w:jc w:val="center"/>
        <w:rPr>
          <w:b/>
          <w:sz w:val="16"/>
        </w:rPr>
      </w:pPr>
      <w:r w:rsidRPr="00F867D0">
        <w:rPr>
          <w:b/>
        </w:rPr>
        <w:t>http://ozone.unep.org/</w:t>
      </w:r>
      <w:r w:rsidR="00547D5B" w:rsidRPr="00F867D0">
        <w:rPr>
          <w:b/>
        </w:rPr>
        <w:t>en/assessment-panels/technology-and-economic-assessment-panel</w:t>
      </w:r>
    </w:p>
    <w:p w14:paraId="28DF5228" w14:textId="77777777" w:rsidR="00547D5B" w:rsidRPr="00F867D0" w:rsidRDefault="00547D5B">
      <w:pPr>
        <w:spacing w:before="100" w:after="100"/>
      </w:pPr>
    </w:p>
    <w:p w14:paraId="1A5F9B1B" w14:textId="77777777" w:rsidR="00AD4B2A" w:rsidRPr="00F867D0" w:rsidRDefault="00591AA8">
      <w:pPr>
        <w:spacing w:before="100" w:after="100"/>
      </w:pPr>
      <w:r w:rsidRPr="00F867D0">
        <w:t>No copyright involved.  This publication may be freely copied, abstracted and cited, with acknowledgement of the source of the material.</w:t>
      </w:r>
    </w:p>
    <w:p w14:paraId="60CE14BA" w14:textId="77777777" w:rsidR="00547D5B" w:rsidRPr="00F867D0" w:rsidRDefault="00547D5B">
      <w:pPr>
        <w:spacing w:before="100" w:after="100"/>
      </w:pPr>
    </w:p>
    <w:p w14:paraId="5CFE0D11" w14:textId="04B42507" w:rsidR="00AD4B2A" w:rsidRPr="00F867D0" w:rsidRDefault="00591AA8" w:rsidP="00C271CA">
      <w:pPr>
        <w:autoSpaceDE w:val="0"/>
        <w:autoSpaceDN w:val="0"/>
        <w:adjustRightInd w:val="0"/>
        <w:spacing w:before="100" w:after="100"/>
        <w:rPr>
          <w:b/>
          <w:highlight w:val="yellow"/>
        </w:rPr>
        <w:sectPr w:rsidR="00AD4B2A" w:rsidRPr="00F867D0" w:rsidSect="00F91F8F">
          <w:headerReference w:type="even" r:id="rId21"/>
          <w:headerReference w:type="default" r:id="rId22"/>
          <w:footerReference w:type="default" r:id="rId23"/>
          <w:headerReference w:type="first" r:id="rId24"/>
          <w:footnotePr>
            <w:numRestart w:val="eachSect"/>
          </w:footnotePr>
          <w:pgSz w:w="11906" w:h="16838" w:code="9"/>
          <w:pgMar w:top="1440" w:right="1800" w:bottom="1526" w:left="1800" w:header="720" w:footer="792" w:gutter="0"/>
          <w:pgNumType w:fmt="lowerRoman"/>
          <w:cols w:space="720"/>
          <w:docGrid w:linePitch="299"/>
        </w:sectPr>
      </w:pPr>
      <w:r w:rsidRPr="00F867D0">
        <w:rPr>
          <w:b/>
        </w:rPr>
        <w:t>ISBN:</w:t>
      </w:r>
      <w:r w:rsidR="00D87DA7">
        <w:rPr>
          <w:b/>
        </w:rPr>
        <w:t xml:space="preserve"> </w:t>
      </w:r>
      <w:r w:rsidRPr="00F867D0">
        <w:rPr>
          <w:b/>
        </w:rPr>
        <w:tab/>
      </w:r>
      <w:r w:rsidR="00D87DA7" w:rsidRPr="00D87DA7">
        <w:rPr>
          <w:b/>
        </w:rPr>
        <w:t>978-9966-076-42-7</w:t>
      </w:r>
    </w:p>
    <w:p w14:paraId="19483BCA" w14:textId="77777777" w:rsidR="00AD4B2A" w:rsidRPr="00F867D0" w:rsidRDefault="00591AA8" w:rsidP="00A140B1">
      <w:pPr>
        <w:outlineLvl w:val="0"/>
        <w:rPr>
          <w:b/>
        </w:rPr>
      </w:pPr>
      <w:r w:rsidRPr="00F867D0">
        <w:rPr>
          <w:b/>
        </w:rPr>
        <w:t>Disclaimer</w:t>
      </w:r>
    </w:p>
    <w:p w14:paraId="032A7C78" w14:textId="77777777" w:rsidR="00AD4B2A" w:rsidRPr="00F867D0" w:rsidRDefault="00591AA8" w:rsidP="00A140B1">
      <w:pPr>
        <w:rPr>
          <w:sz w:val="20"/>
        </w:rPr>
      </w:pPr>
      <w:r w:rsidRPr="00F867D0">
        <w:rPr>
          <w:sz w:val="20"/>
        </w:rPr>
        <w:t>The United Nations Environment Programme (UNEP), the Technology and Economic Assessment Panel (TEAP) Co-chairs and members, the Technical Options Committees Co-chairs and members, the TEAP Task Forces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14:paraId="0FF5B108" w14:textId="77777777" w:rsidR="00AD4B2A" w:rsidRPr="00F867D0" w:rsidRDefault="00591AA8" w:rsidP="00A140B1">
      <w:pPr>
        <w:pStyle w:val="MainTextNon-indent"/>
        <w:widowControl/>
        <w:spacing w:after="240" w:line="240" w:lineRule="auto"/>
        <w:rPr>
          <w:rFonts w:ascii="Times New Roman" w:hAnsi="Times New Roman"/>
          <w:lang w:val="en-GB"/>
        </w:rPr>
      </w:pPr>
      <w:r w:rsidRPr="00F867D0">
        <w:rPr>
          <w:rFonts w:ascii="Times New Roman" w:hAnsi="Times New Roman"/>
          <w:lang w:val="en-GB"/>
        </w:rPr>
        <w:t>UNEP, the TEAP Co-chairs and members, the Technical Options Committees Co-chairs and members, and the TEAP Task Forces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14:paraId="5F95448B" w14:textId="77777777" w:rsidR="00AD4B2A" w:rsidRPr="00F867D0" w:rsidRDefault="00591AA8" w:rsidP="00A140B1">
      <w:pPr>
        <w:rPr>
          <w:sz w:val="20"/>
        </w:rPr>
      </w:pPr>
      <w:r w:rsidRPr="00F867D0">
        <w:rPr>
          <w:sz w:val="20"/>
        </w:rPr>
        <w:t>Mention of any company, association, or product in this document is for information purposes only and does not constitute a recommendation of any such company, association, or product, either express or implied by UNEP, the Technology and Economic Assessment Panel Co-chairs or members, the Technical and Economic Options Committee Co-chairs or members, the TEAP Task Forces Co-chairs or members or the companies or organisations that employ them.</w:t>
      </w:r>
    </w:p>
    <w:p w14:paraId="7C7361A8" w14:textId="77777777" w:rsidR="00AD4B2A" w:rsidRPr="00F867D0" w:rsidRDefault="00AD4B2A">
      <w:pPr>
        <w:keepNext/>
        <w:suppressAutoHyphens/>
        <w:spacing w:before="120"/>
        <w:ind w:right="244"/>
        <w:jc w:val="both"/>
        <w:rPr>
          <w:b/>
        </w:rPr>
      </w:pPr>
    </w:p>
    <w:p w14:paraId="71767013" w14:textId="77777777" w:rsidR="00AD4B2A" w:rsidRPr="00F867D0" w:rsidRDefault="00AD4B2A">
      <w:pPr>
        <w:keepNext/>
        <w:suppressAutoHyphens/>
        <w:spacing w:before="120"/>
        <w:ind w:right="244"/>
        <w:jc w:val="both"/>
        <w:rPr>
          <w:b/>
        </w:rPr>
      </w:pPr>
    </w:p>
    <w:p w14:paraId="67B68774" w14:textId="77777777" w:rsidR="00AD4B2A" w:rsidRPr="00F867D0" w:rsidRDefault="00AD4B2A">
      <w:pPr>
        <w:keepNext/>
        <w:suppressAutoHyphens/>
        <w:spacing w:before="120"/>
        <w:ind w:right="244"/>
        <w:jc w:val="both"/>
        <w:rPr>
          <w:b/>
        </w:rPr>
      </w:pPr>
    </w:p>
    <w:p w14:paraId="60776566" w14:textId="77777777" w:rsidR="00AD4B2A" w:rsidRPr="00F867D0" w:rsidRDefault="00AD4B2A">
      <w:pPr>
        <w:keepNext/>
        <w:suppressAutoHyphens/>
        <w:spacing w:before="120"/>
        <w:ind w:right="244"/>
        <w:jc w:val="both"/>
        <w:rPr>
          <w:b/>
        </w:rPr>
      </w:pPr>
    </w:p>
    <w:p w14:paraId="5F79E859" w14:textId="77777777" w:rsidR="00AD4B2A" w:rsidRPr="00F867D0" w:rsidRDefault="00AD4B2A">
      <w:pPr>
        <w:keepNext/>
        <w:suppressAutoHyphens/>
        <w:spacing w:before="120"/>
        <w:ind w:right="244"/>
        <w:jc w:val="both"/>
        <w:rPr>
          <w:b/>
        </w:rPr>
      </w:pPr>
    </w:p>
    <w:p w14:paraId="62D3868E" w14:textId="77777777" w:rsidR="00AD4B2A" w:rsidRPr="00F867D0" w:rsidRDefault="00AD4B2A">
      <w:pPr>
        <w:keepNext/>
        <w:suppressAutoHyphens/>
        <w:spacing w:before="120"/>
        <w:ind w:right="244"/>
        <w:jc w:val="both"/>
        <w:rPr>
          <w:b/>
        </w:rPr>
      </w:pPr>
    </w:p>
    <w:p w14:paraId="67DDE8D3" w14:textId="77777777" w:rsidR="00AD4B2A" w:rsidRPr="00F867D0" w:rsidRDefault="00591AA8">
      <w:pPr>
        <w:keepNext/>
        <w:suppressAutoHyphens/>
        <w:spacing w:before="120"/>
        <w:ind w:right="244"/>
        <w:jc w:val="both"/>
        <w:rPr>
          <w:b/>
        </w:rPr>
      </w:pPr>
      <w:r w:rsidRPr="00F867D0">
        <w:rPr>
          <w:b/>
        </w:rPr>
        <w:t>Acknowledgements</w:t>
      </w:r>
    </w:p>
    <w:p w14:paraId="4739CE6E" w14:textId="77777777" w:rsidR="00AD4B2A" w:rsidRPr="00F867D0" w:rsidRDefault="00591AA8" w:rsidP="00A140B1">
      <w:pPr>
        <w:rPr>
          <w:sz w:val="20"/>
        </w:rPr>
      </w:pPr>
      <w:r w:rsidRPr="00F867D0">
        <w:rPr>
          <w:sz w:val="20"/>
        </w:rPr>
        <w:t xml:space="preserve">The Technology and Economic Assessment Panel, its Technical Options Committees and the </w:t>
      </w:r>
      <w:r w:rsidR="00AB5433" w:rsidRPr="00F867D0">
        <w:rPr>
          <w:sz w:val="20"/>
        </w:rPr>
        <w:t xml:space="preserve">TEAP </w:t>
      </w:r>
      <w:r w:rsidRPr="00F867D0">
        <w:rPr>
          <w:sz w:val="20"/>
        </w:rPr>
        <w:t xml:space="preserve">Task Force Co-chairs and members acknowledges with thanks the outstanding contributions from all of the individuals and organisations that provided support to Panel, Committees and </w:t>
      </w:r>
      <w:r w:rsidR="00AB5433" w:rsidRPr="00F867D0">
        <w:rPr>
          <w:sz w:val="20"/>
        </w:rPr>
        <w:t xml:space="preserve">TEAP </w:t>
      </w:r>
      <w:r w:rsidRPr="00F867D0">
        <w:rPr>
          <w:sz w:val="20"/>
        </w:rPr>
        <w:t xml:space="preserve">Task Force Co-chairs and members.  The opinions expressed are those of the Panel, the Committees and </w:t>
      </w:r>
      <w:r w:rsidR="00AB5433" w:rsidRPr="00F867D0">
        <w:rPr>
          <w:sz w:val="20"/>
        </w:rPr>
        <w:t xml:space="preserve">TEAP </w:t>
      </w:r>
      <w:r w:rsidRPr="00F867D0">
        <w:rPr>
          <w:sz w:val="20"/>
        </w:rPr>
        <w:t>Task Forces and do not necessarily reflect the reviews of any sponsoring or supporting organisation.</w:t>
      </w:r>
    </w:p>
    <w:p w14:paraId="0FB11B65" w14:textId="77777777" w:rsidR="00A8345B" w:rsidRPr="00F867D0" w:rsidRDefault="00A8345B" w:rsidP="00A140B1">
      <w:pPr>
        <w:spacing w:after="0"/>
        <w:rPr>
          <w:sz w:val="20"/>
        </w:rPr>
      </w:pPr>
      <w:r w:rsidRPr="00F867D0">
        <w:rPr>
          <w:sz w:val="20"/>
        </w:rPr>
        <w:br w:type="page"/>
      </w:r>
    </w:p>
    <w:p w14:paraId="1874A578" w14:textId="77777777" w:rsidR="00A8345B" w:rsidRPr="00F867D0" w:rsidRDefault="00A8345B">
      <w:pPr>
        <w:rPr>
          <w:sz w:val="20"/>
        </w:rPr>
      </w:pPr>
    </w:p>
    <w:p w14:paraId="4DFCB3C6" w14:textId="77777777" w:rsidR="00AD4B2A" w:rsidRPr="00F867D0" w:rsidRDefault="00591AA8" w:rsidP="009427BE">
      <w:pPr>
        <w:pStyle w:val="Tablenote"/>
        <w:rPr>
          <w:rStyle w:val="Heading1Char2"/>
          <w:rFonts w:ascii="Times New Roman" w:hAnsi="Times New Roman"/>
          <w:lang w:val="en-GB"/>
        </w:rPr>
      </w:pPr>
      <w:bookmarkStart w:id="6" w:name="_Toc354570759"/>
      <w:bookmarkStart w:id="7" w:name="_Toc388648326"/>
      <w:bookmarkStart w:id="8" w:name="_Toc295406110"/>
      <w:bookmarkStart w:id="9" w:name="_Toc326507336"/>
      <w:r w:rsidRPr="00F867D0">
        <w:rPr>
          <w:rStyle w:val="Heading1Char2"/>
          <w:rFonts w:ascii="Times New Roman" w:hAnsi="Times New Roman"/>
          <w:lang w:val="en-GB"/>
        </w:rPr>
        <w:t>Foreword</w:t>
      </w:r>
      <w:bookmarkEnd w:id="6"/>
      <w:bookmarkEnd w:id="7"/>
      <w:bookmarkEnd w:id="8"/>
      <w:bookmarkEnd w:id="9"/>
    </w:p>
    <w:p w14:paraId="7289A232" w14:textId="77777777" w:rsidR="00787EA1" w:rsidRPr="00F867D0" w:rsidRDefault="00787EA1" w:rsidP="00787EA1">
      <w:pPr>
        <w:pStyle w:val="BodyText"/>
        <w:spacing w:line="240" w:lineRule="auto"/>
        <w:rPr>
          <w:b/>
        </w:rPr>
      </w:pPr>
      <w:r w:rsidRPr="00F867D0">
        <w:rPr>
          <w:b/>
        </w:rPr>
        <w:t>The 2018 TEAP Report</w:t>
      </w:r>
    </w:p>
    <w:p w14:paraId="55CBC3E7" w14:textId="77777777" w:rsidR="00894D0B" w:rsidRPr="00F867D0" w:rsidRDefault="00894D0B" w:rsidP="00894D0B">
      <w:pPr>
        <w:pStyle w:val="refs"/>
        <w:rPr>
          <w:i w:val="0"/>
          <w:sz w:val="22"/>
          <w:szCs w:val="22"/>
        </w:rPr>
      </w:pPr>
      <w:r w:rsidRPr="00F867D0">
        <w:rPr>
          <w:i w:val="0"/>
          <w:sz w:val="22"/>
          <w:szCs w:val="22"/>
        </w:rPr>
        <w:t>The 2018 TEAP Report consists of five volumes:</w:t>
      </w:r>
    </w:p>
    <w:p w14:paraId="05275F3F" w14:textId="2E7FDD71" w:rsidR="00894D0B" w:rsidRPr="00F867D0" w:rsidRDefault="00894D0B" w:rsidP="00894D0B">
      <w:pPr>
        <w:pStyle w:val="refs"/>
        <w:rPr>
          <w:sz w:val="22"/>
          <w:szCs w:val="22"/>
        </w:rPr>
      </w:pPr>
      <w:r w:rsidRPr="00F867D0">
        <w:rPr>
          <w:b/>
          <w:sz w:val="22"/>
          <w:szCs w:val="22"/>
        </w:rPr>
        <w:t>Volume 1</w:t>
      </w:r>
      <w:r w:rsidRPr="00F867D0">
        <w:rPr>
          <w:sz w:val="22"/>
          <w:szCs w:val="22"/>
        </w:rPr>
        <w:t>: Decision XXIX/9 Working Group Report on hydrochlorofluorocarbons and decision XXVII/5</w:t>
      </w:r>
    </w:p>
    <w:p w14:paraId="527D9DB2" w14:textId="4875E9FD" w:rsidR="00894D0B" w:rsidRPr="00F867D0" w:rsidRDefault="00894D0B" w:rsidP="00894D0B">
      <w:pPr>
        <w:pStyle w:val="refs"/>
        <w:rPr>
          <w:sz w:val="22"/>
          <w:szCs w:val="22"/>
        </w:rPr>
      </w:pPr>
      <w:r w:rsidRPr="00F867D0">
        <w:rPr>
          <w:b/>
          <w:sz w:val="22"/>
          <w:szCs w:val="22"/>
        </w:rPr>
        <w:t>Volume 2</w:t>
      </w:r>
      <w:r w:rsidRPr="00F867D0">
        <w:rPr>
          <w:sz w:val="22"/>
          <w:szCs w:val="22"/>
        </w:rPr>
        <w:t xml:space="preserve">: Decision XXIX/4 </w:t>
      </w:r>
      <w:r w:rsidR="00587D2E" w:rsidRPr="00F867D0">
        <w:rPr>
          <w:sz w:val="22"/>
          <w:szCs w:val="22"/>
        </w:rPr>
        <w:t xml:space="preserve">TEAP </w:t>
      </w:r>
      <w:r w:rsidRPr="00F867D0">
        <w:rPr>
          <w:sz w:val="22"/>
          <w:szCs w:val="22"/>
        </w:rPr>
        <w:t>Task Force Report on destruction technologies for controlled substances</w:t>
      </w:r>
    </w:p>
    <w:p w14:paraId="38179D24" w14:textId="77777777" w:rsidR="00894D0B" w:rsidRPr="00F867D0" w:rsidRDefault="00894D0B" w:rsidP="00894D0B">
      <w:pPr>
        <w:pStyle w:val="refs"/>
        <w:rPr>
          <w:bCs/>
          <w:iCs/>
          <w:color w:val="000000"/>
          <w:sz w:val="22"/>
          <w:szCs w:val="22"/>
        </w:rPr>
      </w:pPr>
      <w:r w:rsidRPr="00F867D0">
        <w:rPr>
          <w:b/>
          <w:bCs/>
          <w:iCs/>
          <w:color w:val="000000"/>
          <w:sz w:val="22"/>
          <w:szCs w:val="22"/>
        </w:rPr>
        <w:t xml:space="preserve">Volume 3: </w:t>
      </w:r>
      <w:r w:rsidRPr="00F867D0">
        <w:rPr>
          <w:bCs/>
          <w:iCs/>
          <w:color w:val="000000"/>
          <w:sz w:val="22"/>
          <w:szCs w:val="22"/>
        </w:rPr>
        <w:t xml:space="preserve">TEAP 2018 Progress report </w:t>
      </w:r>
    </w:p>
    <w:p w14:paraId="7CF441FF" w14:textId="77777777" w:rsidR="00894D0B" w:rsidRPr="00F867D0" w:rsidRDefault="00894D0B" w:rsidP="00894D0B">
      <w:pPr>
        <w:pStyle w:val="refs"/>
        <w:rPr>
          <w:bCs/>
          <w:iCs/>
          <w:color w:val="000000"/>
          <w:sz w:val="22"/>
          <w:szCs w:val="22"/>
        </w:rPr>
      </w:pPr>
      <w:r w:rsidRPr="00F867D0">
        <w:rPr>
          <w:b/>
          <w:bCs/>
          <w:iCs/>
          <w:color w:val="000000"/>
          <w:sz w:val="22"/>
          <w:szCs w:val="22"/>
        </w:rPr>
        <w:t xml:space="preserve">Volume 4: </w:t>
      </w:r>
      <w:r w:rsidRPr="00F867D0">
        <w:rPr>
          <w:bCs/>
          <w:iCs/>
          <w:color w:val="000000"/>
          <w:sz w:val="22"/>
          <w:szCs w:val="22"/>
        </w:rPr>
        <w:t>MBTOC interim CUN assessment report</w:t>
      </w:r>
    </w:p>
    <w:p w14:paraId="6AF31E76" w14:textId="4A36864C" w:rsidR="00787EA1" w:rsidRPr="00F867D0" w:rsidRDefault="00894D0B" w:rsidP="00894D0B">
      <w:pPr>
        <w:pStyle w:val="refs"/>
        <w:rPr>
          <w:bCs/>
          <w:iCs/>
          <w:color w:val="000000"/>
          <w:sz w:val="22"/>
          <w:szCs w:val="22"/>
        </w:rPr>
      </w:pPr>
      <w:bookmarkStart w:id="10" w:name="_Hlk509525334"/>
      <w:r w:rsidRPr="00F867D0">
        <w:rPr>
          <w:b/>
          <w:bCs/>
          <w:iCs/>
          <w:color w:val="000000"/>
          <w:sz w:val="22"/>
          <w:szCs w:val="22"/>
        </w:rPr>
        <w:t xml:space="preserve">Volume 5: </w:t>
      </w:r>
      <w:r w:rsidRPr="00F867D0">
        <w:rPr>
          <w:bCs/>
          <w:iCs/>
          <w:color w:val="000000"/>
          <w:sz w:val="22"/>
          <w:szCs w:val="22"/>
        </w:rPr>
        <w:t xml:space="preserve">Decision XXIX/10 Task Force Report on issues related to energy efficiency while phasing down hydrofluorocarbons </w:t>
      </w:r>
    </w:p>
    <w:bookmarkEnd w:id="10"/>
    <w:p w14:paraId="28CADF29" w14:textId="77777777" w:rsidR="00894D0B" w:rsidRPr="00F867D0" w:rsidRDefault="00894D0B" w:rsidP="00894D0B">
      <w:pPr>
        <w:pStyle w:val="refs"/>
        <w:rPr>
          <w:sz w:val="22"/>
          <w:szCs w:val="22"/>
        </w:rPr>
      </w:pPr>
    </w:p>
    <w:p w14:paraId="0BE48EB4" w14:textId="77777777" w:rsidR="00787EA1" w:rsidRPr="00F867D0" w:rsidRDefault="00787EA1" w:rsidP="00787EA1">
      <w:pPr>
        <w:rPr>
          <w:b/>
        </w:rPr>
      </w:pPr>
      <w:r w:rsidRPr="00F867D0">
        <w:rPr>
          <w:b/>
        </w:rPr>
        <w:t>The UNEP Technology and Economic Assessment Panel (TEAP):</w:t>
      </w:r>
    </w:p>
    <w:tbl>
      <w:tblPr>
        <w:tblW w:w="0" w:type="auto"/>
        <w:tblInd w:w="108" w:type="dxa"/>
        <w:tblLayout w:type="fixed"/>
        <w:tblLook w:val="0000" w:firstRow="0" w:lastRow="0" w:firstColumn="0" w:lastColumn="0" w:noHBand="0" w:noVBand="0"/>
      </w:tblPr>
      <w:tblGrid>
        <w:gridCol w:w="3544"/>
        <w:gridCol w:w="850"/>
        <w:gridCol w:w="2446"/>
        <w:gridCol w:w="1524"/>
      </w:tblGrid>
      <w:tr w:rsidR="00787EA1" w:rsidRPr="00F867D0" w14:paraId="24FCA65C" w14:textId="77777777" w:rsidTr="00653B89">
        <w:tc>
          <w:tcPr>
            <w:tcW w:w="3544" w:type="dxa"/>
            <w:vAlign w:val="center"/>
          </w:tcPr>
          <w:p w14:paraId="5A43505A" w14:textId="77777777" w:rsidR="00787EA1" w:rsidRPr="00F867D0" w:rsidRDefault="00787EA1" w:rsidP="00653B89">
            <w:pPr>
              <w:pStyle w:val="BodyText"/>
              <w:spacing w:before="20" w:after="0" w:line="240" w:lineRule="auto"/>
            </w:pPr>
            <w:r w:rsidRPr="00F867D0">
              <w:t>Bella Maranion, co-chair</w:t>
            </w:r>
          </w:p>
        </w:tc>
        <w:tc>
          <w:tcPr>
            <w:tcW w:w="850" w:type="dxa"/>
            <w:vAlign w:val="center"/>
          </w:tcPr>
          <w:p w14:paraId="636E790A" w14:textId="77777777" w:rsidR="00787EA1" w:rsidRPr="00F867D0" w:rsidRDefault="00787EA1" w:rsidP="00653B89">
            <w:pPr>
              <w:pStyle w:val="BodyText"/>
              <w:spacing w:before="20" w:after="0" w:line="240" w:lineRule="auto"/>
              <w:ind w:right="33"/>
              <w:jc w:val="both"/>
            </w:pPr>
            <w:r w:rsidRPr="00F867D0">
              <w:t>US</w:t>
            </w:r>
          </w:p>
        </w:tc>
        <w:tc>
          <w:tcPr>
            <w:tcW w:w="2446" w:type="dxa"/>
            <w:vAlign w:val="center"/>
          </w:tcPr>
          <w:p w14:paraId="20266780" w14:textId="77777777" w:rsidR="00787EA1" w:rsidRPr="00F867D0" w:rsidRDefault="00787EA1" w:rsidP="00653B89">
            <w:pPr>
              <w:pStyle w:val="BodyText"/>
              <w:spacing w:before="20" w:after="0" w:line="240" w:lineRule="auto"/>
            </w:pPr>
            <w:r w:rsidRPr="00F867D0">
              <w:t>Fabio Polonara</w:t>
            </w:r>
          </w:p>
        </w:tc>
        <w:tc>
          <w:tcPr>
            <w:tcW w:w="1524" w:type="dxa"/>
            <w:vAlign w:val="center"/>
          </w:tcPr>
          <w:p w14:paraId="7C5D5E6E" w14:textId="77777777" w:rsidR="00787EA1" w:rsidRPr="00F867D0" w:rsidRDefault="00787EA1" w:rsidP="00653B89">
            <w:pPr>
              <w:pStyle w:val="BodyText"/>
              <w:spacing w:before="20" w:after="0" w:line="240" w:lineRule="auto"/>
              <w:ind w:left="72" w:right="33"/>
            </w:pPr>
            <w:r w:rsidRPr="00F867D0">
              <w:t>IT</w:t>
            </w:r>
          </w:p>
        </w:tc>
      </w:tr>
      <w:tr w:rsidR="00787EA1" w:rsidRPr="00F867D0" w14:paraId="61E06804" w14:textId="77777777" w:rsidTr="00653B89">
        <w:tc>
          <w:tcPr>
            <w:tcW w:w="3544" w:type="dxa"/>
            <w:vAlign w:val="center"/>
          </w:tcPr>
          <w:p w14:paraId="0B86EFC4" w14:textId="77777777" w:rsidR="00787EA1" w:rsidRPr="00F867D0" w:rsidRDefault="00787EA1" w:rsidP="00653B89">
            <w:pPr>
              <w:pStyle w:val="BodyText"/>
              <w:tabs>
                <w:tab w:val="left" w:pos="3010"/>
              </w:tabs>
              <w:spacing w:before="20" w:after="0" w:line="240" w:lineRule="auto"/>
              <w:ind w:right="-108"/>
            </w:pPr>
            <w:r w:rsidRPr="00F867D0">
              <w:t>Marta Pizano, co-chair</w:t>
            </w:r>
          </w:p>
        </w:tc>
        <w:tc>
          <w:tcPr>
            <w:tcW w:w="850" w:type="dxa"/>
            <w:vAlign w:val="center"/>
          </w:tcPr>
          <w:p w14:paraId="52A8EB99" w14:textId="77777777" w:rsidR="00787EA1" w:rsidRPr="00F867D0" w:rsidRDefault="00787EA1" w:rsidP="00653B89">
            <w:pPr>
              <w:pStyle w:val="BodyText"/>
              <w:tabs>
                <w:tab w:val="left" w:pos="3010"/>
              </w:tabs>
              <w:spacing w:before="20" w:after="0" w:line="240" w:lineRule="auto"/>
              <w:ind w:right="33"/>
              <w:jc w:val="both"/>
            </w:pPr>
            <w:r w:rsidRPr="00F867D0">
              <w:t>COL</w:t>
            </w:r>
          </w:p>
        </w:tc>
        <w:tc>
          <w:tcPr>
            <w:tcW w:w="2446" w:type="dxa"/>
            <w:vAlign w:val="center"/>
          </w:tcPr>
          <w:p w14:paraId="35632BAB" w14:textId="77777777" w:rsidR="00787EA1" w:rsidRPr="00F867D0" w:rsidRDefault="00787EA1" w:rsidP="00653B89">
            <w:pPr>
              <w:pStyle w:val="BodyText"/>
              <w:spacing w:before="20" w:after="0" w:line="240" w:lineRule="auto"/>
            </w:pPr>
            <w:r w:rsidRPr="00F867D0">
              <w:t>Roberto Peixoto</w:t>
            </w:r>
          </w:p>
        </w:tc>
        <w:tc>
          <w:tcPr>
            <w:tcW w:w="1524" w:type="dxa"/>
            <w:vAlign w:val="center"/>
          </w:tcPr>
          <w:p w14:paraId="388F05DB" w14:textId="77777777" w:rsidR="00787EA1" w:rsidRPr="00F867D0" w:rsidRDefault="00787EA1" w:rsidP="00653B89">
            <w:pPr>
              <w:pStyle w:val="BodyText"/>
              <w:spacing w:before="20" w:after="0" w:line="240" w:lineRule="auto"/>
              <w:ind w:left="72" w:right="33"/>
            </w:pPr>
            <w:r w:rsidRPr="00F867D0">
              <w:t>BRA</w:t>
            </w:r>
          </w:p>
        </w:tc>
      </w:tr>
      <w:tr w:rsidR="00787EA1" w:rsidRPr="00F867D0" w14:paraId="4A7D5AC6" w14:textId="77777777" w:rsidTr="00653B89">
        <w:trPr>
          <w:trHeight w:val="90"/>
        </w:trPr>
        <w:tc>
          <w:tcPr>
            <w:tcW w:w="3544" w:type="dxa"/>
            <w:vAlign w:val="center"/>
          </w:tcPr>
          <w:p w14:paraId="790349E6" w14:textId="77777777" w:rsidR="00787EA1" w:rsidRPr="00F867D0" w:rsidRDefault="00787EA1" w:rsidP="00653B89">
            <w:pPr>
              <w:pStyle w:val="BodyText"/>
              <w:spacing w:before="20" w:after="0" w:line="240" w:lineRule="auto"/>
            </w:pPr>
            <w:r w:rsidRPr="00F867D0">
              <w:t xml:space="preserve">Ashley Woodcock, co-chair </w:t>
            </w:r>
          </w:p>
        </w:tc>
        <w:tc>
          <w:tcPr>
            <w:tcW w:w="850" w:type="dxa"/>
            <w:vAlign w:val="center"/>
          </w:tcPr>
          <w:p w14:paraId="0E3704B4" w14:textId="77777777" w:rsidR="00787EA1" w:rsidRPr="00F867D0" w:rsidRDefault="00787EA1" w:rsidP="00653B89">
            <w:pPr>
              <w:pStyle w:val="BodyText"/>
              <w:spacing w:before="20" w:after="0" w:line="240" w:lineRule="auto"/>
              <w:ind w:right="33"/>
              <w:jc w:val="both"/>
            </w:pPr>
            <w:r w:rsidRPr="00F867D0">
              <w:t>UK</w:t>
            </w:r>
          </w:p>
        </w:tc>
        <w:tc>
          <w:tcPr>
            <w:tcW w:w="2446" w:type="dxa"/>
            <w:vAlign w:val="center"/>
          </w:tcPr>
          <w:p w14:paraId="6FBC2283" w14:textId="77777777" w:rsidR="00787EA1" w:rsidRPr="00F867D0" w:rsidRDefault="00787EA1" w:rsidP="00653B89">
            <w:pPr>
              <w:pStyle w:val="BodyText"/>
              <w:spacing w:before="20" w:after="0" w:line="240" w:lineRule="auto"/>
            </w:pPr>
            <w:r w:rsidRPr="00F867D0">
              <w:t>Ian Porter</w:t>
            </w:r>
          </w:p>
        </w:tc>
        <w:tc>
          <w:tcPr>
            <w:tcW w:w="1524" w:type="dxa"/>
            <w:vAlign w:val="center"/>
          </w:tcPr>
          <w:p w14:paraId="1F84F37A" w14:textId="77777777" w:rsidR="00787EA1" w:rsidRPr="00F867D0" w:rsidRDefault="00787EA1" w:rsidP="00653B89">
            <w:pPr>
              <w:pStyle w:val="BodyText"/>
              <w:spacing w:before="20" w:after="0" w:line="240" w:lineRule="auto"/>
              <w:ind w:left="72" w:right="33"/>
            </w:pPr>
            <w:r w:rsidRPr="00F867D0">
              <w:t>AUS</w:t>
            </w:r>
          </w:p>
        </w:tc>
      </w:tr>
      <w:tr w:rsidR="00787EA1" w:rsidRPr="00F867D0" w14:paraId="02DC3DEE" w14:textId="77777777" w:rsidTr="00653B89">
        <w:tc>
          <w:tcPr>
            <w:tcW w:w="3544" w:type="dxa"/>
            <w:vAlign w:val="center"/>
          </w:tcPr>
          <w:p w14:paraId="46103466" w14:textId="77777777" w:rsidR="00787EA1" w:rsidRPr="00F867D0" w:rsidRDefault="00787EA1" w:rsidP="00653B89">
            <w:pPr>
              <w:pStyle w:val="BodyText"/>
              <w:spacing w:before="20" w:after="0" w:line="240" w:lineRule="auto"/>
            </w:pPr>
            <w:r w:rsidRPr="00F867D0">
              <w:t>Paulo Altoé</w:t>
            </w:r>
          </w:p>
        </w:tc>
        <w:tc>
          <w:tcPr>
            <w:tcW w:w="850" w:type="dxa"/>
            <w:vAlign w:val="center"/>
          </w:tcPr>
          <w:p w14:paraId="76B6F80E" w14:textId="77777777" w:rsidR="00787EA1" w:rsidRPr="00F867D0" w:rsidRDefault="00787EA1" w:rsidP="00653B89">
            <w:pPr>
              <w:pStyle w:val="BodyText"/>
              <w:spacing w:before="20" w:after="0" w:line="240" w:lineRule="auto"/>
              <w:ind w:right="33"/>
              <w:jc w:val="both"/>
            </w:pPr>
            <w:r w:rsidRPr="00F867D0">
              <w:t>BRA</w:t>
            </w:r>
          </w:p>
        </w:tc>
        <w:tc>
          <w:tcPr>
            <w:tcW w:w="2446" w:type="dxa"/>
            <w:vAlign w:val="center"/>
          </w:tcPr>
          <w:p w14:paraId="64572A78" w14:textId="77777777" w:rsidR="00787EA1" w:rsidRPr="00F867D0" w:rsidRDefault="00787EA1" w:rsidP="00653B89">
            <w:pPr>
              <w:pStyle w:val="BodyText"/>
              <w:spacing w:before="20" w:after="0" w:line="240" w:lineRule="auto"/>
            </w:pPr>
            <w:r w:rsidRPr="00F867D0">
              <w:t>Helen Tope</w:t>
            </w:r>
          </w:p>
        </w:tc>
        <w:tc>
          <w:tcPr>
            <w:tcW w:w="1524" w:type="dxa"/>
            <w:vAlign w:val="center"/>
          </w:tcPr>
          <w:p w14:paraId="7F052152" w14:textId="77777777" w:rsidR="00787EA1" w:rsidRPr="00F867D0" w:rsidRDefault="00787EA1" w:rsidP="00653B89">
            <w:pPr>
              <w:pStyle w:val="BodyText"/>
              <w:spacing w:before="20" w:after="0" w:line="240" w:lineRule="auto"/>
              <w:ind w:left="72" w:right="33"/>
            </w:pPr>
            <w:r w:rsidRPr="00F867D0">
              <w:t>AUS</w:t>
            </w:r>
          </w:p>
        </w:tc>
      </w:tr>
      <w:tr w:rsidR="00787EA1" w:rsidRPr="00F867D0" w14:paraId="196D41A6" w14:textId="77777777" w:rsidTr="00653B89">
        <w:tc>
          <w:tcPr>
            <w:tcW w:w="3544" w:type="dxa"/>
            <w:vAlign w:val="center"/>
          </w:tcPr>
          <w:p w14:paraId="56407FBE" w14:textId="77777777" w:rsidR="00787EA1" w:rsidRPr="00F867D0" w:rsidRDefault="00787EA1" w:rsidP="00653B89">
            <w:pPr>
              <w:pStyle w:val="BodyText"/>
              <w:spacing w:before="20" w:after="0" w:line="240" w:lineRule="auto"/>
            </w:pPr>
            <w:r w:rsidRPr="00F867D0">
              <w:t>Mohamed Besri</w:t>
            </w:r>
          </w:p>
        </w:tc>
        <w:tc>
          <w:tcPr>
            <w:tcW w:w="850" w:type="dxa"/>
            <w:vAlign w:val="center"/>
          </w:tcPr>
          <w:p w14:paraId="03718348" w14:textId="77777777" w:rsidR="00787EA1" w:rsidRPr="00F867D0" w:rsidRDefault="00787EA1" w:rsidP="00653B89">
            <w:pPr>
              <w:pStyle w:val="BodyText"/>
              <w:spacing w:before="20" w:after="0" w:line="240" w:lineRule="auto"/>
              <w:ind w:right="33"/>
              <w:jc w:val="both"/>
            </w:pPr>
            <w:r w:rsidRPr="00F867D0">
              <w:t>MOR</w:t>
            </w:r>
          </w:p>
        </w:tc>
        <w:tc>
          <w:tcPr>
            <w:tcW w:w="2446" w:type="dxa"/>
            <w:vAlign w:val="center"/>
          </w:tcPr>
          <w:p w14:paraId="34C610D0" w14:textId="77777777" w:rsidR="00787EA1" w:rsidRPr="00F867D0" w:rsidRDefault="00787EA1" w:rsidP="00653B89">
            <w:pPr>
              <w:pStyle w:val="BodyText"/>
              <w:spacing w:before="20" w:after="0" w:line="240" w:lineRule="auto"/>
            </w:pPr>
            <w:r w:rsidRPr="00F867D0">
              <w:t>Sidi Menad Si-Ahmed</w:t>
            </w:r>
          </w:p>
        </w:tc>
        <w:tc>
          <w:tcPr>
            <w:tcW w:w="1524" w:type="dxa"/>
            <w:vAlign w:val="center"/>
          </w:tcPr>
          <w:p w14:paraId="2D7FC31F" w14:textId="77777777" w:rsidR="00787EA1" w:rsidRPr="00F867D0" w:rsidRDefault="00787EA1" w:rsidP="00653B89">
            <w:pPr>
              <w:pStyle w:val="BodyText"/>
              <w:spacing w:before="20" w:after="0" w:line="240" w:lineRule="auto"/>
              <w:ind w:left="72" w:right="33"/>
            </w:pPr>
            <w:r w:rsidRPr="00F867D0">
              <w:t>ALG</w:t>
            </w:r>
          </w:p>
        </w:tc>
      </w:tr>
      <w:tr w:rsidR="00787EA1" w:rsidRPr="00F867D0" w14:paraId="1D6E69C5" w14:textId="77777777" w:rsidTr="00653B89">
        <w:tc>
          <w:tcPr>
            <w:tcW w:w="3544" w:type="dxa"/>
            <w:vAlign w:val="center"/>
          </w:tcPr>
          <w:p w14:paraId="0F7C386D" w14:textId="77777777" w:rsidR="00787EA1" w:rsidRPr="00F867D0" w:rsidRDefault="00787EA1" w:rsidP="00653B89">
            <w:pPr>
              <w:pStyle w:val="BodyText"/>
              <w:spacing w:before="20" w:after="0" w:line="240" w:lineRule="auto"/>
            </w:pPr>
            <w:r w:rsidRPr="00F867D0">
              <w:t>Suely Machado Carvalho</w:t>
            </w:r>
          </w:p>
        </w:tc>
        <w:tc>
          <w:tcPr>
            <w:tcW w:w="850" w:type="dxa"/>
            <w:vAlign w:val="center"/>
          </w:tcPr>
          <w:p w14:paraId="2B8D6D23" w14:textId="77777777" w:rsidR="00787EA1" w:rsidRPr="00F867D0" w:rsidRDefault="00787EA1" w:rsidP="00653B89">
            <w:pPr>
              <w:pStyle w:val="BodyText"/>
              <w:spacing w:before="20" w:after="0" w:line="240" w:lineRule="auto"/>
              <w:ind w:right="33"/>
              <w:jc w:val="both"/>
            </w:pPr>
            <w:r w:rsidRPr="00F867D0">
              <w:t>BRA</w:t>
            </w:r>
          </w:p>
        </w:tc>
        <w:tc>
          <w:tcPr>
            <w:tcW w:w="2446" w:type="dxa"/>
            <w:vAlign w:val="center"/>
          </w:tcPr>
          <w:p w14:paraId="6BA0B2C0" w14:textId="77777777" w:rsidR="00787EA1" w:rsidRPr="00F867D0" w:rsidRDefault="00787EA1" w:rsidP="00653B89">
            <w:pPr>
              <w:pStyle w:val="BodyText"/>
              <w:spacing w:before="20" w:after="0" w:line="240" w:lineRule="auto"/>
            </w:pPr>
            <w:r w:rsidRPr="00F867D0">
              <w:t>Rajendra Shende</w:t>
            </w:r>
          </w:p>
        </w:tc>
        <w:tc>
          <w:tcPr>
            <w:tcW w:w="1524" w:type="dxa"/>
            <w:vAlign w:val="center"/>
          </w:tcPr>
          <w:p w14:paraId="0EF66431" w14:textId="77777777" w:rsidR="00787EA1" w:rsidRPr="00F867D0" w:rsidRDefault="00787EA1" w:rsidP="00653B89">
            <w:pPr>
              <w:pStyle w:val="BodyText"/>
              <w:spacing w:before="20" w:after="0" w:line="240" w:lineRule="auto"/>
              <w:ind w:left="72" w:right="33"/>
            </w:pPr>
            <w:r w:rsidRPr="00F867D0">
              <w:t>IN</w:t>
            </w:r>
          </w:p>
        </w:tc>
      </w:tr>
      <w:tr w:rsidR="00787EA1" w:rsidRPr="00F867D0" w14:paraId="0BB0E4A4" w14:textId="77777777" w:rsidTr="00653B89">
        <w:tc>
          <w:tcPr>
            <w:tcW w:w="3544" w:type="dxa"/>
            <w:vAlign w:val="center"/>
          </w:tcPr>
          <w:p w14:paraId="2FDC665C" w14:textId="77777777" w:rsidR="00787EA1" w:rsidRPr="00F867D0" w:rsidRDefault="00787EA1" w:rsidP="00653B89">
            <w:pPr>
              <w:pStyle w:val="BodyText"/>
              <w:spacing w:before="20" w:after="0" w:line="240" w:lineRule="auto"/>
            </w:pPr>
            <w:r w:rsidRPr="00F867D0">
              <w:t xml:space="preserve">Adam Chattaway </w:t>
            </w:r>
          </w:p>
        </w:tc>
        <w:tc>
          <w:tcPr>
            <w:tcW w:w="850" w:type="dxa"/>
            <w:vAlign w:val="center"/>
          </w:tcPr>
          <w:p w14:paraId="354FAF50" w14:textId="77777777" w:rsidR="00787EA1" w:rsidRPr="00F867D0" w:rsidRDefault="00787EA1" w:rsidP="00653B89">
            <w:pPr>
              <w:pStyle w:val="BodyText"/>
              <w:spacing w:before="20" w:after="0" w:line="240" w:lineRule="auto"/>
              <w:ind w:right="33"/>
              <w:jc w:val="both"/>
            </w:pPr>
            <w:r w:rsidRPr="00F867D0">
              <w:t>UK</w:t>
            </w:r>
          </w:p>
        </w:tc>
        <w:tc>
          <w:tcPr>
            <w:tcW w:w="2446" w:type="dxa"/>
            <w:vAlign w:val="center"/>
          </w:tcPr>
          <w:p w14:paraId="4D056C60" w14:textId="77777777" w:rsidR="00787EA1" w:rsidRPr="00F867D0" w:rsidRDefault="00787EA1" w:rsidP="00653B89">
            <w:pPr>
              <w:pStyle w:val="BodyText"/>
              <w:spacing w:before="20" w:after="0" w:line="240" w:lineRule="auto"/>
            </w:pPr>
            <w:r w:rsidRPr="00F867D0">
              <w:t>Dan Verdonik</w:t>
            </w:r>
          </w:p>
        </w:tc>
        <w:tc>
          <w:tcPr>
            <w:tcW w:w="1524" w:type="dxa"/>
            <w:vAlign w:val="center"/>
          </w:tcPr>
          <w:p w14:paraId="641B7052" w14:textId="77777777" w:rsidR="00787EA1" w:rsidRPr="00F867D0" w:rsidRDefault="00787EA1" w:rsidP="00653B89">
            <w:pPr>
              <w:pStyle w:val="BodyText"/>
              <w:spacing w:before="20" w:after="0" w:line="240" w:lineRule="auto"/>
              <w:ind w:left="72" w:right="33"/>
            </w:pPr>
            <w:r w:rsidRPr="00F867D0">
              <w:t>US</w:t>
            </w:r>
          </w:p>
        </w:tc>
      </w:tr>
      <w:tr w:rsidR="00787EA1" w:rsidRPr="00F867D0" w14:paraId="769570D1" w14:textId="77777777" w:rsidTr="00653B89">
        <w:tc>
          <w:tcPr>
            <w:tcW w:w="3544" w:type="dxa"/>
            <w:vAlign w:val="center"/>
          </w:tcPr>
          <w:p w14:paraId="1C401BCE" w14:textId="77777777" w:rsidR="00787EA1" w:rsidRPr="00F867D0" w:rsidRDefault="00787EA1" w:rsidP="00653B89">
            <w:pPr>
              <w:pStyle w:val="BodyText"/>
              <w:spacing w:before="20" w:after="0" w:line="240" w:lineRule="auto"/>
            </w:pPr>
            <w:r w:rsidRPr="00F867D0">
              <w:t>Marco Gonzalez</w:t>
            </w:r>
          </w:p>
        </w:tc>
        <w:tc>
          <w:tcPr>
            <w:tcW w:w="850" w:type="dxa"/>
            <w:vAlign w:val="center"/>
          </w:tcPr>
          <w:p w14:paraId="62777876" w14:textId="77777777" w:rsidR="00787EA1" w:rsidRPr="00F867D0" w:rsidRDefault="00787EA1" w:rsidP="00653B89">
            <w:pPr>
              <w:pStyle w:val="BodyText"/>
              <w:spacing w:before="20" w:after="0" w:line="240" w:lineRule="auto"/>
              <w:ind w:right="33"/>
              <w:jc w:val="both"/>
            </w:pPr>
            <w:r w:rsidRPr="00F867D0">
              <w:t>CR</w:t>
            </w:r>
          </w:p>
        </w:tc>
        <w:tc>
          <w:tcPr>
            <w:tcW w:w="2446" w:type="dxa"/>
            <w:vAlign w:val="center"/>
          </w:tcPr>
          <w:p w14:paraId="1C5543C6" w14:textId="77777777" w:rsidR="00787EA1" w:rsidRPr="00F867D0" w:rsidRDefault="00787EA1" w:rsidP="00653B89">
            <w:pPr>
              <w:pStyle w:val="BodyText"/>
              <w:spacing w:before="20" w:after="0" w:line="240" w:lineRule="auto"/>
            </w:pPr>
            <w:r w:rsidRPr="00F867D0">
              <w:t>Helen Walter-Terrinoni</w:t>
            </w:r>
          </w:p>
        </w:tc>
        <w:tc>
          <w:tcPr>
            <w:tcW w:w="1524" w:type="dxa"/>
            <w:vAlign w:val="center"/>
          </w:tcPr>
          <w:p w14:paraId="0E15D4E8" w14:textId="77777777" w:rsidR="00787EA1" w:rsidRPr="00F867D0" w:rsidRDefault="00787EA1" w:rsidP="00653B89">
            <w:pPr>
              <w:pStyle w:val="BodyText"/>
              <w:spacing w:before="20" w:after="0" w:line="240" w:lineRule="auto"/>
              <w:ind w:left="72" w:right="33"/>
            </w:pPr>
            <w:r w:rsidRPr="00F867D0">
              <w:t>US</w:t>
            </w:r>
          </w:p>
        </w:tc>
      </w:tr>
      <w:tr w:rsidR="00787EA1" w:rsidRPr="00F867D0" w14:paraId="022BD745" w14:textId="77777777" w:rsidTr="00653B89">
        <w:tc>
          <w:tcPr>
            <w:tcW w:w="3544" w:type="dxa"/>
            <w:vAlign w:val="center"/>
          </w:tcPr>
          <w:p w14:paraId="5E15E607" w14:textId="77777777" w:rsidR="00787EA1" w:rsidRPr="00F867D0" w:rsidRDefault="00787EA1" w:rsidP="00653B89">
            <w:pPr>
              <w:pStyle w:val="BodyText"/>
              <w:spacing w:before="20" w:after="0" w:line="240" w:lineRule="auto"/>
            </w:pPr>
            <w:r w:rsidRPr="00F867D0">
              <w:t>Sergey Kopylov</w:t>
            </w:r>
          </w:p>
        </w:tc>
        <w:tc>
          <w:tcPr>
            <w:tcW w:w="850" w:type="dxa"/>
            <w:vAlign w:val="center"/>
          </w:tcPr>
          <w:p w14:paraId="09268E29" w14:textId="77777777" w:rsidR="00787EA1" w:rsidRPr="00F867D0" w:rsidRDefault="00787EA1" w:rsidP="00653B89">
            <w:pPr>
              <w:pStyle w:val="BodyText"/>
              <w:spacing w:before="20" w:after="0" w:line="240" w:lineRule="auto"/>
              <w:ind w:right="33"/>
              <w:jc w:val="both"/>
            </w:pPr>
            <w:r w:rsidRPr="00F867D0">
              <w:t>RF</w:t>
            </w:r>
          </w:p>
        </w:tc>
        <w:tc>
          <w:tcPr>
            <w:tcW w:w="2446" w:type="dxa"/>
            <w:vAlign w:val="center"/>
          </w:tcPr>
          <w:p w14:paraId="272878CA" w14:textId="77777777" w:rsidR="00787EA1" w:rsidRPr="00F867D0" w:rsidRDefault="00787EA1" w:rsidP="00653B89">
            <w:pPr>
              <w:pStyle w:val="BodyText"/>
              <w:spacing w:before="20" w:after="0" w:line="240" w:lineRule="auto"/>
            </w:pPr>
            <w:r w:rsidRPr="00F867D0">
              <w:t>Shiqiu Zhang</w:t>
            </w:r>
          </w:p>
        </w:tc>
        <w:tc>
          <w:tcPr>
            <w:tcW w:w="1524" w:type="dxa"/>
            <w:vAlign w:val="center"/>
          </w:tcPr>
          <w:p w14:paraId="56AE9235" w14:textId="77777777" w:rsidR="00787EA1" w:rsidRPr="00F867D0" w:rsidRDefault="00787EA1" w:rsidP="00653B89">
            <w:pPr>
              <w:pStyle w:val="BodyText"/>
              <w:spacing w:before="20" w:after="0" w:line="240" w:lineRule="auto"/>
              <w:ind w:left="72" w:right="33"/>
            </w:pPr>
            <w:r w:rsidRPr="00F867D0">
              <w:t>PRC</w:t>
            </w:r>
          </w:p>
        </w:tc>
      </w:tr>
      <w:tr w:rsidR="00787EA1" w:rsidRPr="00F867D0" w14:paraId="70C46CF1" w14:textId="77777777" w:rsidTr="00653B89">
        <w:trPr>
          <w:trHeight w:val="212"/>
        </w:trPr>
        <w:tc>
          <w:tcPr>
            <w:tcW w:w="3544" w:type="dxa"/>
            <w:vAlign w:val="center"/>
          </w:tcPr>
          <w:p w14:paraId="66EE27A3" w14:textId="77777777" w:rsidR="00787EA1" w:rsidRPr="00F867D0" w:rsidRDefault="00787EA1" w:rsidP="00653B89">
            <w:pPr>
              <w:pStyle w:val="BodyText"/>
              <w:spacing w:before="20" w:after="0" w:line="240" w:lineRule="auto"/>
            </w:pPr>
            <w:r w:rsidRPr="00F867D0">
              <w:t>Kei-ichi Ohnishi</w:t>
            </w:r>
          </w:p>
        </w:tc>
        <w:tc>
          <w:tcPr>
            <w:tcW w:w="850" w:type="dxa"/>
            <w:vAlign w:val="center"/>
          </w:tcPr>
          <w:p w14:paraId="5973938C" w14:textId="77777777" w:rsidR="00787EA1" w:rsidRPr="00F867D0" w:rsidRDefault="00787EA1" w:rsidP="00653B89">
            <w:pPr>
              <w:pStyle w:val="BodyText"/>
              <w:spacing w:before="20" w:after="0" w:line="240" w:lineRule="auto"/>
              <w:ind w:left="72" w:right="33"/>
            </w:pPr>
            <w:r w:rsidRPr="00F867D0">
              <w:t>J</w:t>
            </w:r>
          </w:p>
        </w:tc>
        <w:tc>
          <w:tcPr>
            <w:tcW w:w="2446" w:type="dxa"/>
            <w:vAlign w:val="center"/>
          </w:tcPr>
          <w:p w14:paraId="41F051F4" w14:textId="77777777" w:rsidR="00787EA1" w:rsidRPr="00F867D0" w:rsidRDefault="00787EA1" w:rsidP="00653B89">
            <w:pPr>
              <w:pStyle w:val="BodyText"/>
              <w:spacing w:before="20" w:after="0" w:line="240" w:lineRule="auto"/>
            </w:pPr>
            <w:r w:rsidRPr="00F867D0">
              <w:t>Jianjun Zhang</w:t>
            </w:r>
          </w:p>
        </w:tc>
        <w:tc>
          <w:tcPr>
            <w:tcW w:w="1524" w:type="dxa"/>
            <w:vAlign w:val="center"/>
          </w:tcPr>
          <w:p w14:paraId="3B84CD4A" w14:textId="77777777" w:rsidR="00787EA1" w:rsidRPr="00F867D0" w:rsidRDefault="00787EA1" w:rsidP="00653B89">
            <w:pPr>
              <w:pStyle w:val="BodyText"/>
              <w:spacing w:before="20" w:after="0" w:line="240" w:lineRule="auto"/>
              <w:ind w:left="72" w:right="33"/>
            </w:pPr>
            <w:r w:rsidRPr="00F867D0">
              <w:t>PRC</w:t>
            </w:r>
          </w:p>
        </w:tc>
      </w:tr>
    </w:tbl>
    <w:p w14:paraId="3A09DA3A" w14:textId="77777777" w:rsidR="004F6382" w:rsidRDefault="004F6382" w:rsidP="00894D0B">
      <w:pPr>
        <w:spacing w:after="0"/>
        <w:jc w:val="right"/>
        <w:rPr>
          <w:b/>
          <w:smallCaps/>
          <w:sz w:val="28"/>
        </w:rPr>
      </w:pPr>
    </w:p>
    <w:p w14:paraId="3D886A50" w14:textId="566534CC" w:rsidR="004F6382" w:rsidRPr="00F867D0" w:rsidRDefault="004F6382" w:rsidP="004F6382">
      <w:pPr>
        <w:rPr>
          <w:b/>
        </w:rPr>
      </w:pPr>
      <w:r w:rsidRPr="00F867D0">
        <w:rPr>
          <w:b/>
        </w:rPr>
        <w:t xml:space="preserve">The </w:t>
      </w:r>
      <w:r>
        <w:rPr>
          <w:b/>
        </w:rPr>
        <w:t>Decision XXIX/10 TEAP Task Force on Issues Related to Energy Efficiency While Phasing Down Hydrofluorocarbons</w:t>
      </w:r>
      <w:r w:rsidRPr="00F867D0">
        <w:rPr>
          <w:b/>
        </w:rPr>
        <w:t>:</w:t>
      </w:r>
    </w:p>
    <w:tbl>
      <w:tblPr>
        <w:tblW w:w="8585" w:type="dxa"/>
        <w:tblInd w:w="108" w:type="dxa"/>
        <w:tblLayout w:type="fixed"/>
        <w:tblLook w:val="0000" w:firstRow="0" w:lastRow="0" w:firstColumn="0" w:lastColumn="0" w:noHBand="0" w:noVBand="0"/>
      </w:tblPr>
      <w:tblGrid>
        <w:gridCol w:w="3638"/>
        <w:gridCol w:w="872"/>
        <w:gridCol w:w="2511"/>
        <w:gridCol w:w="1564"/>
      </w:tblGrid>
      <w:tr w:rsidR="00A8686D" w:rsidRPr="00F867D0" w14:paraId="6164C865" w14:textId="77777777" w:rsidTr="00820EA5">
        <w:trPr>
          <w:trHeight w:val="303"/>
        </w:trPr>
        <w:tc>
          <w:tcPr>
            <w:tcW w:w="3638" w:type="dxa"/>
            <w:vAlign w:val="center"/>
          </w:tcPr>
          <w:p w14:paraId="35635D2C" w14:textId="4F238684" w:rsidR="00A8686D" w:rsidRPr="00F867D0" w:rsidRDefault="00A8686D" w:rsidP="00A8686D">
            <w:pPr>
              <w:pStyle w:val="BodyText"/>
              <w:spacing w:before="20" w:after="0" w:line="240" w:lineRule="auto"/>
            </w:pPr>
            <w:r>
              <w:t>Suely Carvalho, co-cha</w:t>
            </w:r>
            <w:r w:rsidRPr="00F867D0">
              <w:t>ir</w:t>
            </w:r>
          </w:p>
        </w:tc>
        <w:tc>
          <w:tcPr>
            <w:tcW w:w="872" w:type="dxa"/>
            <w:vAlign w:val="center"/>
          </w:tcPr>
          <w:p w14:paraId="3FFA4038" w14:textId="0FC85812" w:rsidR="00A8686D" w:rsidRPr="00F867D0" w:rsidRDefault="00A8686D" w:rsidP="00A8686D">
            <w:pPr>
              <w:pStyle w:val="BodyText"/>
              <w:spacing w:before="20" w:after="0" w:line="240" w:lineRule="auto"/>
              <w:ind w:right="33"/>
              <w:jc w:val="both"/>
            </w:pPr>
            <w:r>
              <w:t>BRA</w:t>
            </w:r>
          </w:p>
        </w:tc>
        <w:tc>
          <w:tcPr>
            <w:tcW w:w="2511" w:type="dxa"/>
          </w:tcPr>
          <w:p w14:paraId="7E7E7902" w14:textId="4B7B08B0" w:rsidR="00A8686D" w:rsidRPr="00F867D0" w:rsidRDefault="00A8686D" w:rsidP="00A8686D">
            <w:pPr>
              <w:pStyle w:val="BodyText"/>
              <w:spacing w:before="20" w:after="0" w:line="240" w:lineRule="auto"/>
            </w:pPr>
            <w:r w:rsidRPr="00410F6F">
              <w:t>Maher Mousa</w:t>
            </w:r>
          </w:p>
        </w:tc>
        <w:tc>
          <w:tcPr>
            <w:tcW w:w="1564" w:type="dxa"/>
          </w:tcPr>
          <w:p w14:paraId="54F54BAB" w14:textId="591C02AA" w:rsidR="00A8686D" w:rsidRPr="00F867D0" w:rsidRDefault="00A8686D" w:rsidP="00A8686D">
            <w:pPr>
              <w:pStyle w:val="BodyText"/>
              <w:spacing w:before="20" w:after="0" w:line="240" w:lineRule="auto"/>
              <w:ind w:left="72" w:right="33"/>
            </w:pPr>
            <w:r w:rsidRPr="00410F6F">
              <w:t>SA</w:t>
            </w:r>
          </w:p>
        </w:tc>
      </w:tr>
      <w:tr w:rsidR="00A8686D" w:rsidRPr="00F867D0" w14:paraId="5D34195D" w14:textId="77777777" w:rsidTr="00820EA5">
        <w:trPr>
          <w:trHeight w:val="303"/>
        </w:trPr>
        <w:tc>
          <w:tcPr>
            <w:tcW w:w="3638" w:type="dxa"/>
            <w:vAlign w:val="center"/>
          </w:tcPr>
          <w:p w14:paraId="7268AC65" w14:textId="232FCBB2" w:rsidR="00A8686D" w:rsidRPr="00F867D0" w:rsidRDefault="00A8686D" w:rsidP="00A8686D">
            <w:pPr>
              <w:pStyle w:val="BodyText"/>
              <w:tabs>
                <w:tab w:val="left" w:pos="3010"/>
              </w:tabs>
              <w:spacing w:before="20" w:after="0" w:line="240" w:lineRule="auto"/>
              <w:ind w:right="-108"/>
            </w:pPr>
            <w:r>
              <w:t xml:space="preserve">Bella Maranion, </w:t>
            </w:r>
            <w:r w:rsidRPr="00F867D0">
              <w:t>co-chair</w:t>
            </w:r>
          </w:p>
        </w:tc>
        <w:tc>
          <w:tcPr>
            <w:tcW w:w="872" w:type="dxa"/>
            <w:vAlign w:val="center"/>
          </w:tcPr>
          <w:p w14:paraId="34AA9980" w14:textId="632569C5" w:rsidR="00A8686D" w:rsidRPr="00F867D0" w:rsidRDefault="00A8686D" w:rsidP="00A8686D">
            <w:pPr>
              <w:pStyle w:val="BodyText"/>
              <w:tabs>
                <w:tab w:val="left" w:pos="3010"/>
              </w:tabs>
              <w:spacing w:before="20" w:after="0" w:line="240" w:lineRule="auto"/>
              <w:ind w:right="33"/>
              <w:jc w:val="both"/>
            </w:pPr>
            <w:r>
              <w:t>US</w:t>
            </w:r>
          </w:p>
        </w:tc>
        <w:tc>
          <w:tcPr>
            <w:tcW w:w="2511" w:type="dxa"/>
          </w:tcPr>
          <w:p w14:paraId="0FCF9241" w14:textId="37CD2A01" w:rsidR="00A8686D" w:rsidRPr="00F867D0" w:rsidRDefault="00A8686D" w:rsidP="00A8686D">
            <w:pPr>
              <w:pStyle w:val="BodyText"/>
              <w:spacing w:before="20" w:after="0" w:line="240" w:lineRule="auto"/>
            </w:pPr>
            <w:r w:rsidRPr="00410F6F">
              <w:t>Tetsuji Okada</w:t>
            </w:r>
          </w:p>
        </w:tc>
        <w:tc>
          <w:tcPr>
            <w:tcW w:w="1564" w:type="dxa"/>
          </w:tcPr>
          <w:p w14:paraId="292A776B" w14:textId="779634EE" w:rsidR="00A8686D" w:rsidRPr="00F867D0" w:rsidRDefault="00A8686D" w:rsidP="00A8686D">
            <w:pPr>
              <w:pStyle w:val="BodyText"/>
              <w:spacing w:before="20" w:after="0" w:line="240" w:lineRule="auto"/>
              <w:ind w:left="72" w:right="33"/>
            </w:pPr>
            <w:r w:rsidRPr="00410F6F">
              <w:t>J</w:t>
            </w:r>
          </w:p>
        </w:tc>
      </w:tr>
      <w:tr w:rsidR="00A8686D" w:rsidRPr="00F867D0" w14:paraId="6CF5F5EC" w14:textId="77777777" w:rsidTr="00820EA5">
        <w:trPr>
          <w:trHeight w:val="101"/>
        </w:trPr>
        <w:tc>
          <w:tcPr>
            <w:tcW w:w="3638" w:type="dxa"/>
            <w:vAlign w:val="center"/>
          </w:tcPr>
          <w:p w14:paraId="32BDE84B" w14:textId="696652F8" w:rsidR="00A8686D" w:rsidRPr="00F867D0" w:rsidRDefault="00A8686D" w:rsidP="00A8686D">
            <w:pPr>
              <w:pStyle w:val="BodyText"/>
              <w:spacing w:before="20" w:after="0" w:line="240" w:lineRule="auto"/>
            </w:pPr>
            <w:r>
              <w:t>Fabio Polonara, co-cha</w:t>
            </w:r>
            <w:r w:rsidRPr="00F867D0">
              <w:t xml:space="preserve">ir </w:t>
            </w:r>
          </w:p>
        </w:tc>
        <w:tc>
          <w:tcPr>
            <w:tcW w:w="872" w:type="dxa"/>
            <w:vAlign w:val="center"/>
          </w:tcPr>
          <w:p w14:paraId="3A85411D" w14:textId="0B5422A0" w:rsidR="00A8686D" w:rsidRPr="00F867D0" w:rsidRDefault="00A8686D" w:rsidP="00A8686D">
            <w:pPr>
              <w:pStyle w:val="BodyText"/>
              <w:spacing w:before="20" w:after="0" w:line="240" w:lineRule="auto"/>
              <w:ind w:right="33"/>
              <w:jc w:val="both"/>
            </w:pPr>
            <w:r>
              <w:t>IT</w:t>
            </w:r>
          </w:p>
        </w:tc>
        <w:tc>
          <w:tcPr>
            <w:tcW w:w="2511" w:type="dxa"/>
          </w:tcPr>
          <w:p w14:paraId="251FD465" w14:textId="29112ADA" w:rsidR="00A8686D" w:rsidRPr="00F867D0" w:rsidRDefault="00A8686D" w:rsidP="00A8686D">
            <w:pPr>
              <w:pStyle w:val="BodyText"/>
              <w:spacing w:before="20" w:after="0" w:line="240" w:lineRule="auto"/>
            </w:pPr>
            <w:r w:rsidRPr="00410F6F">
              <w:t>Per Henrik-Pedersen</w:t>
            </w:r>
          </w:p>
        </w:tc>
        <w:tc>
          <w:tcPr>
            <w:tcW w:w="1564" w:type="dxa"/>
          </w:tcPr>
          <w:p w14:paraId="5123FEE2" w14:textId="0852C6ED" w:rsidR="00A8686D" w:rsidRPr="00F867D0" w:rsidRDefault="00A8686D" w:rsidP="00A8686D">
            <w:pPr>
              <w:pStyle w:val="BodyText"/>
              <w:spacing w:before="20" w:after="0" w:line="240" w:lineRule="auto"/>
              <w:ind w:left="72" w:right="33"/>
            </w:pPr>
            <w:r w:rsidRPr="00410F6F">
              <w:t>DK</w:t>
            </w:r>
          </w:p>
        </w:tc>
      </w:tr>
      <w:tr w:rsidR="00A8686D" w:rsidRPr="00F867D0" w14:paraId="6EF16254" w14:textId="77777777" w:rsidTr="00820EA5">
        <w:trPr>
          <w:trHeight w:val="303"/>
        </w:trPr>
        <w:tc>
          <w:tcPr>
            <w:tcW w:w="3638" w:type="dxa"/>
          </w:tcPr>
          <w:p w14:paraId="32E84610" w14:textId="0E40474B" w:rsidR="00A8686D" w:rsidRPr="00F867D0" w:rsidRDefault="00A8686D" w:rsidP="00A8686D">
            <w:pPr>
              <w:pStyle w:val="BodyText"/>
              <w:spacing w:before="20" w:after="0" w:line="240" w:lineRule="auto"/>
            </w:pPr>
            <w:r w:rsidRPr="00965DD2">
              <w:t>Omar Abdelaziz</w:t>
            </w:r>
          </w:p>
        </w:tc>
        <w:tc>
          <w:tcPr>
            <w:tcW w:w="872" w:type="dxa"/>
          </w:tcPr>
          <w:p w14:paraId="13D499E0" w14:textId="23E8DDB6" w:rsidR="00A8686D" w:rsidRPr="00F867D0" w:rsidRDefault="00A8686D" w:rsidP="00A8686D">
            <w:pPr>
              <w:pStyle w:val="BodyText"/>
              <w:spacing w:before="20" w:after="0" w:line="240" w:lineRule="auto"/>
              <w:ind w:right="33"/>
              <w:jc w:val="both"/>
            </w:pPr>
            <w:r w:rsidRPr="00965DD2">
              <w:t>EG</w:t>
            </w:r>
          </w:p>
        </w:tc>
        <w:tc>
          <w:tcPr>
            <w:tcW w:w="2511" w:type="dxa"/>
          </w:tcPr>
          <w:p w14:paraId="5E1FD37B" w14:textId="7B34BA70" w:rsidR="00A8686D" w:rsidRPr="00F867D0" w:rsidRDefault="00A8686D" w:rsidP="00A8686D">
            <w:pPr>
              <w:pStyle w:val="BodyText"/>
              <w:spacing w:before="20" w:after="0" w:line="240" w:lineRule="auto"/>
            </w:pPr>
            <w:r w:rsidRPr="00410F6F">
              <w:t>Roberto Peixoto</w:t>
            </w:r>
          </w:p>
        </w:tc>
        <w:tc>
          <w:tcPr>
            <w:tcW w:w="1564" w:type="dxa"/>
          </w:tcPr>
          <w:p w14:paraId="0600FCDD" w14:textId="63771C6E" w:rsidR="00A8686D" w:rsidRPr="00F867D0" w:rsidRDefault="00A8686D" w:rsidP="00A8686D">
            <w:pPr>
              <w:pStyle w:val="BodyText"/>
              <w:spacing w:before="20" w:after="0" w:line="240" w:lineRule="auto"/>
              <w:ind w:left="72" w:right="33"/>
            </w:pPr>
            <w:r w:rsidRPr="00410F6F">
              <w:t>BRA</w:t>
            </w:r>
          </w:p>
        </w:tc>
      </w:tr>
      <w:tr w:rsidR="00A8686D" w:rsidRPr="00F867D0" w14:paraId="54DF3807" w14:textId="77777777" w:rsidTr="00820EA5">
        <w:trPr>
          <w:trHeight w:val="243"/>
        </w:trPr>
        <w:tc>
          <w:tcPr>
            <w:tcW w:w="3638" w:type="dxa"/>
          </w:tcPr>
          <w:p w14:paraId="3D562BA0" w14:textId="420883E0" w:rsidR="00A8686D" w:rsidRPr="00F867D0" w:rsidRDefault="00A8686D" w:rsidP="00A8686D">
            <w:pPr>
              <w:pStyle w:val="BodyText"/>
              <w:spacing w:before="20" w:after="0" w:line="240" w:lineRule="auto"/>
            </w:pPr>
            <w:r w:rsidRPr="00965DD2">
              <w:t>Jitendra M Bhambure</w:t>
            </w:r>
          </w:p>
        </w:tc>
        <w:tc>
          <w:tcPr>
            <w:tcW w:w="872" w:type="dxa"/>
          </w:tcPr>
          <w:p w14:paraId="2DD45D63" w14:textId="30C6E1BB" w:rsidR="00A8686D" w:rsidRPr="00F867D0" w:rsidRDefault="00A8686D" w:rsidP="00A8686D">
            <w:pPr>
              <w:pStyle w:val="BodyText"/>
              <w:spacing w:before="20" w:after="0" w:line="240" w:lineRule="auto"/>
              <w:ind w:right="33"/>
              <w:jc w:val="both"/>
            </w:pPr>
            <w:r w:rsidRPr="00965DD2">
              <w:t>IN</w:t>
            </w:r>
          </w:p>
        </w:tc>
        <w:tc>
          <w:tcPr>
            <w:tcW w:w="2511" w:type="dxa"/>
          </w:tcPr>
          <w:p w14:paraId="470F64A6" w14:textId="58182C9E" w:rsidR="00A8686D" w:rsidRPr="00F867D0" w:rsidRDefault="00A8686D" w:rsidP="00A8686D">
            <w:pPr>
              <w:pStyle w:val="BodyText"/>
              <w:spacing w:before="20" w:after="0" w:line="240" w:lineRule="auto"/>
            </w:pPr>
            <w:r w:rsidRPr="00410F6F">
              <w:t xml:space="preserve">Alessandro Giuliano </w:t>
            </w:r>
            <w:r w:rsidR="00820EA5">
              <w:t>P</w:t>
            </w:r>
            <w:r w:rsidRPr="00410F6F">
              <w:t>eru</w:t>
            </w:r>
          </w:p>
        </w:tc>
        <w:tc>
          <w:tcPr>
            <w:tcW w:w="1564" w:type="dxa"/>
          </w:tcPr>
          <w:p w14:paraId="34950B4C" w14:textId="3B74AC16" w:rsidR="00A8686D" w:rsidRPr="00F867D0" w:rsidRDefault="00A8686D" w:rsidP="00A8686D">
            <w:pPr>
              <w:pStyle w:val="BodyText"/>
              <w:spacing w:before="20" w:after="0" w:line="240" w:lineRule="auto"/>
              <w:ind w:left="72" w:right="33"/>
            </w:pPr>
            <w:r w:rsidRPr="00410F6F">
              <w:t>IT</w:t>
            </w:r>
          </w:p>
        </w:tc>
      </w:tr>
      <w:tr w:rsidR="00A8686D" w:rsidRPr="00F867D0" w14:paraId="7A03F3FC" w14:textId="77777777" w:rsidTr="00820EA5">
        <w:trPr>
          <w:trHeight w:val="303"/>
        </w:trPr>
        <w:tc>
          <w:tcPr>
            <w:tcW w:w="3638" w:type="dxa"/>
          </w:tcPr>
          <w:p w14:paraId="12754115" w14:textId="39E49322" w:rsidR="00A8686D" w:rsidRPr="00F867D0" w:rsidRDefault="00A8686D" w:rsidP="00A8686D">
            <w:pPr>
              <w:pStyle w:val="BodyText"/>
              <w:spacing w:before="20" w:after="0" w:line="240" w:lineRule="auto"/>
            </w:pPr>
            <w:r w:rsidRPr="00965DD2">
              <w:t xml:space="preserve">Sukumar Devotta </w:t>
            </w:r>
          </w:p>
        </w:tc>
        <w:tc>
          <w:tcPr>
            <w:tcW w:w="872" w:type="dxa"/>
          </w:tcPr>
          <w:p w14:paraId="374E829E" w14:textId="7896AB43" w:rsidR="00A8686D" w:rsidRPr="00F867D0" w:rsidRDefault="00A8686D" w:rsidP="00A8686D">
            <w:pPr>
              <w:pStyle w:val="BodyText"/>
              <w:spacing w:before="20" w:after="0" w:line="240" w:lineRule="auto"/>
              <w:ind w:right="33"/>
              <w:jc w:val="both"/>
            </w:pPr>
            <w:r w:rsidRPr="00965DD2">
              <w:t>IN</w:t>
            </w:r>
          </w:p>
        </w:tc>
        <w:tc>
          <w:tcPr>
            <w:tcW w:w="2511" w:type="dxa"/>
          </w:tcPr>
          <w:p w14:paraId="59F5C5E2" w14:textId="6A147BD6" w:rsidR="00A8686D" w:rsidRPr="00F867D0" w:rsidRDefault="00A8686D" w:rsidP="00A8686D">
            <w:pPr>
              <w:pStyle w:val="BodyText"/>
              <w:spacing w:before="20" w:after="0" w:line="240" w:lineRule="auto"/>
            </w:pPr>
            <w:r w:rsidRPr="00410F6F">
              <w:t>Rajan Rajendran</w:t>
            </w:r>
          </w:p>
        </w:tc>
        <w:tc>
          <w:tcPr>
            <w:tcW w:w="1564" w:type="dxa"/>
          </w:tcPr>
          <w:p w14:paraId="44B54AD0" w14:textId="31C25C0B" w:rsidR="00A8686D" w:rsidRPr="00F867D0" w:rsidRDefault="00A8686D" w:rsidP="00A8686D">
            <w:pPr>
              <w:pStyle w:val="BodyText"/>
              <w:spacing w:before="20" w:after="0" w:line="240" w:lineRule="auto"/>
              <w:ind w:left="72" w:right="33"/>
            </w:pPr>
            <w:r w:rsidRPr="00410F6F">
              <w:t>US</w:t>
            </w:r>
          </w:p>
        </w:tc>
      </w:tr>
      <w:tr w:rsidR="00A8686D" w:rsidRPr="00F867D0" w14:paraId="299F5C20" w14:textId="77777777" w:rsidTr="00820EA5">
        <w:trPr>
          <w:trHeight w:val="303"/>
        </w:trPr>
        <w:tc>
          <w:tcPr>
            <w:tcW w:w="3638" w:type="dxa"/>
          </w:tcPr>
          <w:p w14:paraId="04B4165E" w14:textId="7DB42E26" w:rsidR="00A8686D" w:rsidRPr="00F867D0" w:rsidRDefault="00A8686D" w:rsidP="00A8686D">
            <w:pPr>
              <w:pStyle w:val="BodyText"/>
              <w:spacing w:before="20" w:after="0" w:line="240" w:lineRule="auto"/>
            </w:pPr>
            <w:r w:rsidRPr="00965DD2">
              <w:t>Gabrielle Dreyfus</w:t>
            </w:r>
          </w:p>
        </w:tc>
        <w:tc>
          <w:tcPr>
            <w:tcW w:w="872" w:type="dxa"/>
          </w:tcPr>
          <w:p w14:paraId="0BCAC588" w14:textId="099029E4" w:rsidR="00A8686D" w:rsidRPr="00F867D0" w:rsidRDefault="00A8686D" w:rsidP="00A8686D">
            <w:pPr>
              <w:pStyle w:val="BodyText"/>
              <w:spacing w:before="20" w:after="0" w:line="240" w:lineRule="auto"/>
              <w:ind w:right="33"/>
              <w:jc w:val="both"/>
            </w:pPr>
            <w:r w:rsidRPr="00965DD2">
              <w:t>US</w:t>
            </w:r>
          </w:p>
        </w:tc>
        <w:tc>
          <w:tcPr>
            <w:tcW w:w="2511" w:type="dxa"/>
          </w:tcPr>
          <w:p w14:paraId="7D089A6A" w14:textId="5A40A224" w:rsidR="00A8686D" w:rsidRPr="00F867D0" w:rsidRDefault="00A8686D" w:rsidP="00A8686D">
            <w:pPr>
              <w:pStyle w:val="BodyText"/>
              <w:spacing w:before="20" w:after="0" w:line="240" w:lineRule="auto"/>
            </w:pPr>
            <w:r w:rsidRPr="00410F6F">
              <w:t>Helene Rochat</w:t>
            </w:r>
          </w:p>
        </w:tc>
        <w:tc>
          <w:tcPr>
            <w:tcW w:w="1564" w:type="dxa"/>
          </w:tcPr>
          <w:p w14:paraId="4E18D48F" w14:textId="0E4FB0EC" w:rsidR="00A8686D" w:rsidRPr="00F867D0" w:rsidRDefault="00A8686D" w:rsidP="00A8686D">
            <w:pPr>
              <w:pStyle w:val="BodyText"/>
              <w:spacing w:before="20" w:after="0" w:line="240" w:lineRule="auto"/>
              <w:ind w:left="72" w:right="33"/>
            </w:pPr>
            <w:r w:rsidRPr="00410F6F">
              <w:t>CH</w:t>
            </w:r>
          </w:p>
        </w:tc>
      </w:tr>
      <w:tr w:rsidR="00A8686D" w:rsidRPr="00F867D0" w14:paraId="55DE709E" w14:textId="77777777" w:rsidTr="00820EA5">
        <w:trPr>
          <w:trHeight w:val="303"/>
        </w:trPr>
        <w:tc>
          <w:tcPr>
            <w:tcW w:w="3638" w:type="dxa"/>
          </w:tcPr>
          <w:p w14:paraId="619DF9DC" w14:textId="3A4B0E8E" w:rsidR="00A8686D" w:rsidRPr="00F867D0" w:rsidRDefault="00A8686D" w:rsidP="00A8686D">
            <w:pPr>
              <w:pStyle w:val="BodyText"/>
              <w:spacing w:before="20" w:after="0" w:line="240" w:lineRule="auto"/>
            </w:pPr>
            <w:r w:rsidRPr="00965DD2">
              <w:t>Bassam Elassaad</w:t>
            </w:r>
          </w:p>
        </w:tc>
        <w:tc>
          <w:tcPr>
            <w:tcW w:w="872" w:type="dxa"/>
          </w:tcPr>
          <w:p w14:paraId="04875CA5" w14:textId="57C424B7" w:rsidR="00A8686D" w:rsidRPr="00F867D0" w:rsidRDefault="00A8686D" w:rsidP="00A8686D">
            <w:pPr>
              <w:pStyle w:val="BodyText"/>
              <w:spacing w:before="20" w:after="0" w:line="240" w:lineRule="auto"/>
              <w:ind w:right="33"/>
              <w:jc w:val="both"/>
            </w:pPr>
            <w:r w:rsidRPr="00965DD2">
              <w:t>LB</w:t>
            </w:r>
          </w:p>
        </w:tc>
        <w:tc>
          <w:tcPr>
            <w:tcW w:w="2511" w:type="dxa"/>
          </w:tcPr>
          <w:p w14:paraId="57F9D2BF" w14:textId="1D5B82CF" w:rsidR="00A8686D" w:rsidRPr="00F867D0" w:rsidRDefault="00A8686D" w:rsidP="00A8686D">
            <w:pPr>
              <w:pStyle w:val="BodyText"/>
              <w:spacing w:before="20" w:after="0" w:line="240" w:lineRule="auto"/>
            </w:pPr>
            <w:r w:rsidRPr="00410F6F">
              <w:t>Nihar Shah</w:t>
            </w:r>
          </w:p>
        </w:tc>
        <w:tc>
          <w:tcPr>
            <w:tcW w:w="1564" w:type="dxa"/>
          </w:tcPr>
          <w:p w14:paraId="2616DB0E" w14:textId="2A7F5631" w:rsidR="00A8686D" w:rsidRPr="00F867D0" w:rsidRDefault="00A8686D" w:rsidP="00A8686D">
            <w:pPr>
              <w:pStyle w:val="BodyText"/>
              <w:spacing w:before="20" w:after="0" w:line="240" w:lineRule="auto"/>
              <w:ind w:left="72" w:right="33"/>
            </w:pPr>
            <w:r w:rsidRPr="00410F6F">
              <w:t>IN</w:t>
            </w:r>
          </w:p>
        </w:tc>
      </w:tr>
      <w:tr w:rsidR="00A8686D" w:rsidRPr="00F867D0" w14:paraId="6B93EA06" w14:textId="77777777" w:rsidTr="00820EA5">
        <w:trPr>
          <w:trHeight w:val="320"/>
        </w:trPr>
        <w:tc>
          <w:tcPr>
            <w:tcW w:w="3638" w:type="dxa"/>
          </w:tcPr>
          <w:p w14:paraId="519330A5" w14:textId="4FDB9402" w:rsidR="00A8686D" w:rsidRPr="00F867D0" w:rsidRDefault="00A8686D" w:rsidP="00A8686D">
            <w:pPr>
              <w:pStyle w:val="BodyText"/>
              <w:spacing w:before="20" w:after="0" w:line="240" w:lineRule="auto"/>
            </w:pPr>
            <w:r w:rsidRPr="00965DD2">
              <w:t>Ray Gluckman</w:t>
            </w:r>
          </w:p>
        </w:tc>
        <w:tc>
          <w:tcPr>
            <w:tcW w:w="872" w:type="dxa"/>
          </w:tcPr>
          <w:p w14:paraId="16BDFC37" w14:textId="6ED77AF1" w:rsidR="00A8686D" w:rsidRPr="00F867D0" w:rsidRDefault="00A8686D" w:rsidP="00A8686D">
            <w:pPr>
              <w:pStyle w:val="BodyText"/>
              <w:spacing w:before="20" w:after="0" w:line="240" w:lineRule="auto"/>
              <w:ind w:right="33"/>
              <w:jc w:val="both"/>
            </w:pPr>
            <w:r w:rsidRPr="00965DD2">
              <w:t>UK</w:t>
            </w:r>
          </w:p>
        </w:tc>
        <w:tc>
          <w:tcPr>
            <w:tcW w:w="2511" w:type="dxa"/>
          </w:tcPr>
          <w:p w14:paraId="11818E65" w14:textId="74FFC353" w:rsidR="00A8686D" w:rsidRPr="00F867D0" w:rsidRDefault="00A8686D" w:rsidP="00A8686D">
            <w:pPr>
              <w:pStyle w:val="BodyText"/>
              <w:spacing w:before="20" w:after="0" w:line="240" w:lineRule="auto"/>
            </w:pPr>
            <w:r w:rsidRPr="00410F6F">
              <w:t>Dan Verdonik</w:t>
            </w:r>
          </w:p>
        </w:tc>
        <w:tc>
          <w:tcPr>
            <w:tcW w:w="1564" w:type="dxa"/>
          </w:tcPr>
          <w:p w14:paraId="324065F3" w14:textId="11CB8476" w:rsidR="00A8686D" w:rsidRPr="00F867D0" w:rsidRDefault="00A8686D" w:rsidP="00A8686D">
            <w:pPr>
              <w:pStyle w:val="BodyText"/>
              <w:spacing w:before="20" w:after="0" w:line="240" w:lineRule="auto"/>
              <w:ind w:left="72" w:right="33"/>
            </w:pPr>
            <w:r w:rsidRPr="00410F6F">
              <w:t>US</w:t>
            </w:r>
          </w:p>
        </w:tc>
      </w:tr>
      <w:tr w:rsidR="00A8686D" w:rsidRPr="00F867D0" w14:paraId="0135DC09" w14:textId="77777777" w:rsidTr="00820EA5">
        <w:trPr>
          <w:trHeight w:val="237"/>
        </w:trPr>
        <w:tc>
          <w:tcPr>
            <w:tcW w:w="3638" w:type="dxa"/>
          </w:tcPr>
          <w:p w14:paraId="2485E4B6" w14:textId="2B655A1D" w:rsidR="00A8686D" w:rsidRPr="00F867D0" w:rsidRDefault="00A8686D" w:rsidP="00A8686D">
            <w:pPr>
              <w:pStyle w:val="BodyText"/>
              <w:spacing w:before="20" w:after="0" w:line="240" w:lineRule="auto"/>
            </w:pPr>
            <w:r w:rsidRPr="00965DD2">
              <w:t>M</w:t>
            </w:r>
            <w:r>
              <w:t>arco Gonzalez</w:t>
            </w:r>
          </w:p>
        </w:tc>
        <w:tc>
          <w:tcPr>
            <w:tcW w:w="872" w:type="dxa"/>
          </w:tcPr>
          <w:p w14:paraId="3FA3EFC3" w14:textId="35EF8888" w:rsidR="00A8686D" w:rsidRPr="00F867D0" w:rsidRDefault="00A8686D" w:rsidP="00820EA5">
            <w:pPr>
              <w:pStyle w:val="BodyText"/>
              <w:spacing w:before="20" w:after="0" w:line="240" w:lineRule="auto"/>
              <w:ind w:right="33"/>
            </w:pPr>
            <w:r w:rsidRPr="00965DD2">
              <w:t>CR</w:t>
            </w:r>
          </w:p>
        </w:tc>
        <w:tc>
          <w:tcPr>
            <w:tcW w:w="2511" w:type="dxa"/>
          </w:tcPr>
          <w:p w14:paraId="0F31D6EC" w14:textId="0D06756C" w:rsidR="00A8686D" w:rsidRPr="00F867D0" w:rsidRDefault="00A8686D" w:rsidP="00A8686D">
            <w:pPr>
              <w:pStyle w:val="BodyText"/>
              <w:spacing w:before="20" w:after="0" w:line="240" w:lineRule="auto"/>
            </w:pPr>
            <w:r w:rsidRPr="00410F6F">
              <w:t>Ashley Woodcock</w:t>
            </w:r>
          </w:p>
        </w:tc>
        <w:tc>
          <w:tcPr>
            <w:tcW w:w="1564" w:type="dxa"/>
          </w:tcPr>
          <w:p w14:paraId="060ECF5D" w14:textId="7A281F35" w:rsidR="00A8686D" w:rsidRPr="00F867D0" w:rsidRDefault="00A8686D" w:rsidP="00A8686D">
            <w:pPr>
              <w:pStyle w:val="BodyText"/>
              <w:spacing w:before="20" w:after="0" w:line="240" w:lineRule="auto"/>
              <w:ind w:left="72" w:right="33"/>
            </w:pPr>
            <w:r w:rsidRPr="00410F6F">
              <w:t>UK</w:t>
            </w:r>
          </w:p>
        </w:tc>
      </w:tr>
      <w:tr w:rsidR="00820EA5" w:rsidRPr="00F867D0" w14:paraId="52ACD36B" w14:textId="77777777" w:rsidTr="00820EA5">
        <w:trPr>
          <w:trHeight w:val="237"/>
        </w:trPr>
        <w:tc>
          <w:tcPr>
            <w:tcW w:w="3638" w:type="dxa"/>
          </w:tcPr>
          <w:p w14:paraId="50B98E58" w14:textId="73ECA542" w:rsidR="00820EA5" w:rsidRPr="00965DD2" w:rsidRDefault="00820EA5" w:rsidP="00820EA5">
            <w:pPr>
              <w:pStyle w:val="BodyText"/>
              <w:spacing w:before="20" w:after="0" w:line="240" w:lineRule="auto"/>
            </w:pPr>
            <w:r w:rsidRPr="00FC6D76">
              <w:t>Tingxun Li</w:t>
            </w:r>
          </w:p>
        </w:tc>
        <w:tc>
          <w:tcPr>
            <w:tcW w:w="872" w:type="dxa"/>
          </w:tcPr>
          <w:p w14:paraId="79969444" w14:textId="3906E42C" w:rsidR="00820EA5" w:rsidRPr="00965DD2" w:rsidRDefault="00820EA5" w:rsidP="00820EA5">
            <w:pPr>
              <w:pStyle w:val="BodyText"/>
              <w:spacing w:before="20" w:after="0" w:line="240" w:lineRule="auto"/>
              <w:ind w:right="33"/>
            </w:pPr>
            <w:r w:rsidRPr="00FC6D76">
              <w:t>PRC</w:t>
            </w:r>
          </w:p>
        </w:tc>
        <w:tc>
          <w:tcPr>
            <w:tcW w:w="2511" w:type="dxa"/>
          </w:tcPr>
          <w:p w14:paraId="20C2EDCA" w14:textId="77777777" w:rsidR="00820EA5" w:rsidRPr="00410F6F" w:rsidRDefault="00820EA5" w:rsidP="00820EA5">
            <w:pPr>
              <w:pStyle w:val="BodyText"/>
              <w:spacing w:before="20" w:after="0" w:line="240" w:lineRule="auto"/>
            </w:pPr>
          </w:p>
        </w:tc>
        <w:tc>
          <w:tcPr>
            <w:tcW w:w="1564" w:type="dxa"/>
          </w:tcPr>
          <w:p w14:paraId="7129263D" w14:textId="77777777" w:rsidR="00820EA5" w:rsidRPr="00410F6F" w:rsidRDefault="00820EA5" w:rsidP="00820EA5">
            <w:pPr>
              <w:pStyle w:val="BodyText"/>
              <w:spacing w:before="20" w:after="0" w:line="240" w:lineRule="auto"/>
              <w:ind w:left="72" w:right="33"/>
            </w:pPr>
          </w:p>
        </w:tc>
      </w:tr>
    </w:tbl>
    <w:p w14:paraId="09F30BB2" w14:textId="32BDE513" w:rsidR="00894D0B" w:rsidRPr="00F867D0" w:rsidRDefault="00591AA8" w:rsidP="00894D0B">
      <w:pPr>
        <w:spacing w:after="0"/>
        <w:jc w:val="right"/>
        <w:rPr>
          <w:b/>
          <w:smallCaps/>
          <w:sz w:val="28"/>
        </w:rPr>
      </w:pPr>
      <w:r w:rsidRPr="00F867D0">
        <w:rPr>
          <w:b/>
          <w:smallCaps/>
          <w:sz w:val="28"/>
        </w:rPr>
        <w:br w:type="page"/>
      </w:r>
      <w:r w:rsidR="00894D0B" w:rsidRPr="00F867D0">
        <w:rPr>
          <w:b/>
          <w:smallCaps/>
          <w:sz w:val="28"/>
        </w:rPr>
        <w:t>UNEP</w:t>
      </w:r>
      <w:r w:rsidR="00894D0B" w:rsidRPr="00F867D0">
        <w:rPr>
          <w:b/>
          <w:smallCaps/>
          <w:sz w:val="28"/>
        </w:rPr>
        <w:br/>
        <w:t>Ma</w:t>
      </w:r>
      <w:r w:rsidR="00085768" w:rsidRPr="00F867D0">
        <w:rPr>
          <w:b/>
          <w:smallCaps/>
          <w:sz w:val="28"/>
        </w:rPr>
        <w:t>y 2</w:t>
      </w:r>
      <w:r w:rsidR="00894D0B" w:rsidRPr="00F867D0">
        <w:rPr>
          <w:b/>
          <w:smallCaps/>
          <w:sz w:val="28"/>
        </w:rPr>
        <w:t>018 TEAP Report</w:t>
      </w:r>
    </w:p>
    <w:p w14:paraId="4C146369" w14:textId="379126EB" w:rsidR="00894D0B" w:rsidRPr="00F867D0" w:rsidRDefault="00894D0B" w:rsidP="00894D0B">
      <w:pPr>
        <w:jc w:val="right"/>
        <w:rPr>
          <w:b/>
          <w:smallCaps/>
          <w:sz w:val="28"/>
        </w:rPr>
      </w:pPr>
      <w:bookmarkStart w:id="11" w:name="_Hlk513909821"/>
      <w:r w:rsidRPr="00F867D0">
        <w:rPr>
          <w:b/>
          <w:smallCaps/>
          <w:sz w:val="28"/>
        </w:rPr>
        <w:t xml:space="preserve">Volume </w:t>
      </w:r>
      <w:r w:rsidR="00085768" w:rsidRPr="00F867D0">
        <w:rPr>
          <w:b/>
          <w:smallCaps/>
          <w:sz w:val="28"/>
        </w:rPr>
        <w:t>5</w:t>
      </w:r>
    </w:p>
    <w:p w14:paraId="508F323C" w14:textId="4D576B9A" w:rsidR="00F91F8F" w:rsidRDefault="00085768" w:rsidP="00894D0B">
      <w:pPr>
        <w:spacing w:after="0"/>
        <w:jc w:val="right"/>
        <w:rPr>
          <w:b/>
          <w:bCs/>
          <w:smallCaps/>
          <w:sz w:val="28"/>
        </w:rPr>
      </w:pPr>
      <w:r w:rsidRPr="00F867D0">
        <w:rPr>
          <w:b/>
          <w:bCs/>
          <w:smallCaps/>
          <w:sz w:val="28"/>
        </w:rPr>
        <w:t xml:space="preserve">Decision XXIX/10 Task Force Report on </w:t>
      </w:r>
      <w:r w:rsidR="00734BFC">
        <w:rPr>
          <w:b/>
          <w:bCs/>
          <w:smallCaps/>
          <w:sz w:val="28"/>
        </w:rPr>
        <w:t>I</w:t>
      </w:r>
      <w:r w:rsidRPr="00F867D0">
        <w:rPr>
          <w:b/>
          <w:bCs/>
          <w:smallCaps/>
          <w:sz w:val="28"/>
        </w:rPr>
        <w:t xml:space="preserve">ssues </w:t>
      </w:r>
      <w:r w:rsidR="00734BFC">
        <w:rPr>
          <w:b/>
          <w:bCs/>
          <w:smallCaps/>
          <w:sz w:val="28"/>
        </w:rPr>
        <w:t>R</w:t>
      </w:r>
      <w:r w:rsidRPr="00F867D0">
        <w:rPr>
          <w:b/>
          <w:bCs/>
          <w:smallCaps/>
          <w:sz w:val="28"/>
        </w:rPr>
        <w:t>elated</w:t>
      </w:r>
      <w:r w:rsidR="00F91F8F">
        <w:rPr>
          <w:b/>
          <w:bCs/>
          <w:smallCaps/>
          <w:sz w:val="28"/>
        </w:rPr>
        <w:t xml:space="preserve"> to</w:t>
      </w:r>
    </w:p>
    <w:p w14:paraId="2BB6DA9D" w14:textId="06A424EA" w:rsidR="00D77F44" w:rsidRPr="00F867D0" w:rsidRDefault="00734BFC" w:rsidP="00894D0B">
      <w:pPr>
        <w:spacing w:after="0"/>
        <w:jc w:val="right"/>
        <w:rPr>
          <w:b/>
          <w:bCs/>
          <w:smallCaps/>
          <w:sz w:val="28"/>
        </w:rPr>
      </w:pPr>
      <w:r>
        <w:rPr>
          <w:b/>
          <w:bCs/>
          <w:smallCaps/>
          <w:sz w:val="28"/>
        </w:rPr>
        <w:t>E</w:t>
      </w:r>
      <w:r w:rsidR="00085768" w:rsidRPr="00F867D0">
        <w:rPr>
          <w:b/>
          <w:bCs/>
          <w:smallCaps/>
          <w:sz w:val="28"/>
        </w:rPr>
        <w:t xml:space="preserve">nergy </w:t>
      </w:r>
      <w:r>
        <w:rPr>
          <w:b/>
          <w:bCs/>
          <w:smallCaps/>
          <w:sz w:val="28"/>
        </w:rPr>
        <w:t>E</w:t>
      </w:r>
      <w:r w:rsidR="00085768" w:rsidRPr="00F867D0">
        <w:rPr>
          <w:b/>
          <w:bCs/>
          <w:smallCaps/>
          <w:sz w:val="28"/>
        </w:rPr>
        <w:t xml:space="preserve">fficiency </w:t>
      </w:r>
      <w:r>
        <w:rPr>
          <w:b/>
          <w:bCs/>
          <w:smallCaps/>
          <w:sz w:val="28"/>
        </w:rPr>
        <w:t>W</w:t>
      </w:r>
      <w:r w:rsidR="00085768" w:rsidRPr="00F867D0">
        <w:rPr>
          <w:b/>
          <w:bCs/>
          <w:smallCaps/>
          <w:sz w:val="28"/>
        </w:rPr>
        <w:t xml:space="preserve">hile </w:t>
      </w:r>
      <w:r>
        <w:rPr>
          <w:b/>
          <w:bCs/>
          <w:smallCaps/>
          <w:sz w:val="28"/>
        </w:rPr>
        <w:t>P</w:t>
      </w:r>
      <w:r w:rsidR="00085768" w:rsidRPr="00F867D0">
        <w:rPr>
          <w:b/>
          <w:bCs/>
          <w:smallCaps/>
          <w:sz w:val="28"/>
        </w:rPr>
        <w:t xml:space="preserve">hasing </w:t>
      </w:r>
      <w:r>
        <w:rPr>
          <w:b/>
          <w:bCs/>
          <w:smallCaps/>
          <w:sz w:val="28"/>
        </w:rPr>
        <w:t>D</w:t>
      </w:r>
      <w:r w:rsidR="00085768" w:rsidRPr="00F867D0">
        <w:rPr>
          <w:b/>
          <w:bCs/>
          <w:smallCaps/>
          <w:sz w:val="28"/>
        </w:rPr>
        <w:t xml:space="preserve">own </w:t>
      </w:r>
      <w:r>
        <w:rPr>
          <w:b/>
          <w:bCs/>
          <w:smallCaps/>
          <w:sz w:val="28"/>
        </w:rPr>
        <w:t>H</w:t>
      </w:r>
      <w:r w:rsidR="00085768" w:rsidRPr="00F867D0">
        <w:rPr>
          <w:b/>
          <w:bCs/>
          <w:smallCaps/>
          <w:sz w:val="28"/>
        </w:rPr>
        <w:t>ydrofluorocarbons</w:t>
      </w:r>
    </w:p>
    <w:p w14:paraId="69563922" w14:textId="3747CD35" w:rsidR="00085768" w:rsidRDefault="00085768" w:rsidP="00894D0B">
      <w:pPr>
        <w:spacing w:after="0"/>
        <w:jc w:val="right"/>
        <w:rPr>
          <w:b/>
          <w:smallCaps/>
          <w:sz w:val="28"/>
        </w:rPr>
      </w:pPr>
    </w:p>
    <w:p w14:paraId="58984930" w14:textId="77777777" w:rsidR="00F91F8F" w:rsidRPr="00F867D0" w:rsidRDefault="00F91F8F" w:rsidP="00894D0B">
      <w:pPr>
        <w:spacing w:after="0"/>
        <w:jc w:val="right"/>
        <w:rPr>
          <w:b/>
          <w:smallCaps/>
          <w:sz w:val="28"/>
        </w:rPr>
      </w:pPr>
    </w:p>
    <w:p w14:paraId="20ED73C8" w14:textId="77777777" w:rsidR="006E13B3" w:rsidRPr="00F867D0" w:rsidRDefault="006E13B3" w:rsidP="006E13B3">
      <w:pPr>
        <w:jc w:val="center"/>
        <w:rPr>
          <w:b/>
          <w:smallCaps/>
          <w:sz w:val="28"/>
        </w:rPr>
      </w:pPr>
      <w:r w:rsidRPr="00F867D0">
        <w:rPr>
          <w:b/>
          <w:smallCaps/>
          <w:sz w:val="28"/>
        </w:rPr>
        <w:t>Table of Contents</w:t>
      </w:r>
    </w:p>
    <w:bookmarkStart w:id="12" w:name="_Toc230592156"/>
    <w:bookmarkEnd w:id="11"/>
    <w:p w14:paraId="4A22C484" w14:textId="00AB40AB" w:rsidR="00E64798" w:rsidRDefault="002A3A2D" w:rsidP="00E64798">
      <w:pPr>
        <w:pStyle w:val="TOC1"/>
        <w:tabs>
          <w:tab w:val="clear" w:pos="8680"/>
          <w:tab w:val="right" w:leader="dot" w:pos="8280"/>
        </w:tabs>
        <w:rPr>
          <w:rFonts w:eastAsiaTheme="minorEastAsia" w:cstheme="minorBidi"/>
          <w:b w:val="0"/>
          <w:caps w:val="0"/>
          <w:noProof/>
          <w:color w:val="auto"/>
          <w:lang w:val="en-US" w:eastAsia="en-US"/>
        </w:rPr>
      </w:pPr>
      <w:r>
        <w:rPr>
          <w:rFonts w:ascii="Times New Roman" w:hAnsi="Times New Roman"/>
        </w:rPr>
        <w:fldChar w:fldCharType="begin"/>
      </w:r>
      <w:r>
        <w:rPr>
          <w:rFonts w:ascii="Times New Roman" w:hAnsi="Times New Roman"/>
        </w:rPr>
        <w:instrText xml:space="preserve"> TOC \t "Heading 1,1,Heading 2,2,Heading 3,3,Chapter Heading,1,Thesisheading4,3,Section heading,2,Section sub-heading,3,Style Heading 3 + 11 pt Bold,3,Sub title,2,Style Heading 3 + 11 pt Bold1,3,Heading 3 + 11 pt Bold,3,Alt 2-Level Legal1,1,Alt 2-Level Legal2,2" </w:instrText>
      </w:r>
      <w:r>
        <w:rPr>
          <w:rFonts w:ascii="Times New Roman" w:hAnsi="Times New Roman"/>
        </w:rPr>
        <w:fldChar w:fldCharType="separate"/>
      </w:r>
      <w:r w:rsidR="00E64798" w:rsidRPr="00060F1D">
        <w:rPr>
          <w:noProof/>
        </w:rPr>
        <w:t>Executive Summary</w:t>
      </w:r>
      <w:r w:rsidR="00E64798">
        <w:rPr>
          <w:noProof/>
        </w:rPr>
        <w:tab/>
      </w:r>
      <w:r w:rsidR="00E64798">
        <w:rPr>
          <w:noProof/>
        </w:rPr>
        <w:fldChar w:fldCharType="begin"/>
      </w:r>
      <w:r w:rsidR="00E64798">
        <w:rPr>
          <w:noProof/>
        </w:rPr>
        <w:instrText xml:space="preserve"> PAGEREF _Toc515454343 \h </w:instrText>
      </w:r>
      <w:r w:rsidR="00E64798">
        <w:rPr>
          <w:noProof/>
        </w:rPr>
      </w:r>
      <w:r w:rsidR="00E64798">
        <w:rPr>
          <w:noProof/>
        </w:rPr>
        <w:fldChar w:fldCharType="separate"/>
      </w:r>
      <w:r w:rsidR="002300AD">
        <w:rPr>
          <w:noProof/>
        </w:rPr>
        <w:t>1</w:t>
      </w:r>
      <w:r w:rsidR="00E64798">
        <w:rPr>
          <w:noProof/>
        </w:rPr>
        <w:fldChar w:fldCharType="end"/>
      </w:r>
    </w:p>
    <w:p w14:paraId="32D9D8CA" w14:textId="5EA6B447" w:rsidR="00E64798" w:rsidRDefault="00E64798" w:rsidP="00E64798">
      <w:pPr>
        <w:pStyle w:val="TOC1"/>
        <w:tabs>
          <w:tab w:val="clear" w:pos="8680"/>
          <w:tab w:val="right" w:leader="dot" w:pos="8280"/>
        </w:tabs>
        <w:rPr>
          <w:rFonts w:eastAsiaTheme="minorEastAsia" w:cstheme="minorBidi"/>
          <w:b w:val="0"/>
          <w:caps w:val="0"/>
          <w:noProof/>
          <w:color w:val="auto"/>
          <w:lang w:val="en-US" w:eastAsia="en-US"/>
        </w:rPr>
      </w:pPr>
      <w:r w:rsidRPr="00060F1D">
        <w:rPr>
          <w:noProof/>
        </w:rPr>
        <w:t>1</w:t>
      </w:r>
      <w:r>
        <w:rPr>
          <w:rFonts w:eastAsiaTheme="minorEastAsia" w:cstheme="minorBidi"/>
          <w:b w:val="0"/>
          <w:caps w:val="0"/>
          <w:noProof/>
          <w:color w:val="auto"/>
          <w:lang w:val="en-US" w:eastAsia="en-US"/>
        </w:rPr>
        <w:tab/>
      </w:r>
      <w:r w:rsidRPr="00060F1D">
        <w:rPr>
          <w:noProof/>
        </w:rPr>
        <w:t>Introduction</w:t>
      </w:r>
      <w:r>
        <w:rPr>
          <w:noProof/>
        </w:rPr>
        <w:tab/>
      </w:r>
      <w:r>
        <w:rPr>
          <w:noProof/>
        </w:rPr>
        <w:fldChar w:fldCharType="begin"/>
      </w:r>
      <w:r>
        <w:rPr>
          <w:noProof/>
        </w:rPr>
        <w:instrText xml:space="preserve"> PAGEREF _Toc515454344 \h </w:instrText>
      </w:r>
      <w:r>
        <w:rPr>
          <w:noProof/>
        </w:rPr>
      </w:r>
      <w:r>
        <w:rPr>
          <w:noProof/>
        </w:rPr>
        <w:fldChar w:fldCharType="separate"/>
      </w:r>
      <w:r w:rsidR="002300AD">
        <w:rPr>
          <w:noProof/>
        </w:rPr>
        <w:t>5</w:t>
      </w:r>
      <w:r>
        <w:rPr>
          <w:noProof/>
        </w:rPr>
        <w:fldChar w:fldCharType="end"/>
      </w:r>
    </w:p>
    <w:p w14:paraId="6A5E993E" w14:textId="210DFDFD" w:rsidR="00E64798" w:rsidRDefault="00E64798">
      <w:pPr>
        <w:pStyle w:val="TOC2"/>
        <w:rPr>
          <w:rFonts w:eastAsiaTheme="minorEastAsia" w:cstheme="minorBidi"/>
          <w:color w:val="auto"/>
          <w:lang w:val="en-US" w:eastAsia="en-US"/>
        </w:rPr>
      </w:pPr>
      <w:r>
        <w:t>1.1</w:t>
      </w:r>
      <w:r>
        <w:rPr>
          <w:rFonts w:eastAsiaTheme="minorEastAsia" w:cstheme="minorBidi"/>
          <w:color w:val="auto"/>
          <w:lang w:val="en-US" w:eastAsia="en-US"/>
        </w:rPr>
        <w:tab/>
      </w:r>
      <w:r>
        <w:t>Decision XXIX/10</w:t>
      </w:r>
      <w:r>
        <w:tab/>
      </w:r>
      <w:r>
        <w:fldChar w:fldCharType="begin"/>
      </w:r>
      <w:r>
        <w:instrText xml:space="preserve"> PAGEREF _Toc515454345 \h </w:instrText>
      </w:r>
      <w:r>
        <w:fldChar w:fldCharType="separate"/>
      </w:r>
      <w:r w:rsidR="002300AD">
        <w:t>5</w:t>
      </w:r>
      <w:r>
        <w:fldChar w:fldCharType="end"/>
      </w:r>
    </w:p>
    <w:p w14:paraId="4A29D3E3" w14:textId="0D1538AC" w:rsidR="00E64798" w:rsidRDefault="00E64798">
      <w:pPr>
        <w:pStyle w:val="TOC2"/>
        <w:rPr>
          <w:rFonts w:eastAsiaTheme="minorEastAsia" w:cstheme="minorBidi"/>
          <w:color w:val="auto"/>
          <w:lang w:val="en-US" w:eastAsia="en-US"/>
        </w:rPr>
      </w:pPr>
      <w:r>
        <w:t>1.2</w:t>
      </w:r>
      <w:r>
        <w:rPr>
          <w:rFonts w:eastAsiaTheme="minorEastAsia" w:cstheme="minorBidi"/>
          <w:color w:val="auto"/>
          <w:lang w:val="en-US" w:eastAsia="en-US"/>
        </w:rPr>
        <w:tab/>
      </w:r>
      <w:r>
        <w:t>Approach and sources of information</w:t>
      </w:r>
      <w:r>
        <w:tab/>
      </w:r>
      <w:r>
        <w:fldChar w:fldCharType="begin"/>
      </w:r>
      <w:r>
        <w:instrText xml:space="preserve"> PAGEREF _Toc515454346 \h </w:instrText>
      </w:r>
      <w:r>
        <w:fldChar w:fldCharType="separate"/>
      </w:r>
      <w:r w:rsidR="002300AD">
        <w:t>6</w:t>
      </w:r>
      <w:r>
        <w:fldChar w:fldCharType="end"/>
      </w:r>
    </w:p>
    <w:p w14:paraId="41B288AD" w14:textId="65B560F4" w:rsidR="00E64798" w:rsidRDefault="00E64798" w:rsidP="00E64798">
      <w:pPr>
        <w:pStyle w:val="TOC3"/>
        <w:tabs>
          <w:tab w:val="right" w:leader="dot" w:pos="8280"/>
        </w:tabs>
        <w:rPr>
          <w:rFonts w:eastAsiaTheme="minorEastAsia" w:cstheme="minorBidi"/>
          <w:i w:val="0"/>
          <w:noProof/>
          <w:color w:val="auto"/>
          <w:lang w:val="en-US" w:eastAsia="en-US"/>
        </w:rPr>
      </w:pPr>
      <w:r>
        <w:rPr>
          <w:noProof/>
        </w:rPr>
        <w:t>1.2.1</w:t>
      </w:r>
      <w:r>
        <w:rPr>
          <w:rFonts w:eastAsiaTheme="minorEastAsia" w:cstheme="minorBidi"/>
          <w:i w:val="0"/>
          <w:noProof/>
          <w:color w:val="auto"/>
          <w:lang w:val="en-US" w:eastAsia="en-US"/>
        </w:rPr>
        <w:tab/>
      </w:r>
      <w:r>
        <w:rPr>
          <w:noProof/>
        </w:rPr>
        <w:t>Approach</w:t>
      </w:r>
      <w:r>
        <w:rPr>
          <w:noProof/>
        </w:rPr>
        <w:tab/>
      </w:r>
      <w:r>
        <w:rPr>
          <w:noProof/>
        </w:rPr>
        <w:fldChar w:fldCharType="begin"/>
      </w:r>
      <w:r>
        <w:rPr>
          <w:noProof/>
        </w:rPr>
        <w:instrText xml:space="preserve"> PAGEREF _Toc515454347 \h </w:instrText>
      </w:r>
      <w:r>
        <w:rPr>
          <w:noProof/>
        </w:rPr>
      </w:r>
      <w:r>
        <w:rPr>
          <w:noProof/>
        </w:rPr>
        <w:fldChar w:fldCharType="separate"/>
      </w:r>
      <w:r w:rsidR="002300AD">
        <w:rPr>
          <w:noProof/>
        </w:rPr>
        <w:t>6</w:t>
      </w:r>
      <w:r>
        <w:rPr>
          <w:noProof/>
        </w:rPr>
        <w:fldChar w:fldCharType="end"/>
      </w:r>
    </w:p>
    <w:p w14:paraId="79322D2F" w14:textId="357EB4B4" w:rsidR="00E64798" w:rsidRDefault="00E64798" w:rsidP="00E64798">
      <w:pPr>
        <w:pStyle w:val="TOC3"/>
        <w:tabs>
          <w:tab w:val="right" w:leader="dot" w:pos="8280"/>
        </w:tabs>
        <w:rPr>
          <w:rFonts w:eastAsiaTheme="minorEastAsia" w:cstheme="minorBidi"/>
          <w:i w:val="0"/>
          <w:noProof/>
          <w:color w:val="auto"/>
          <w:lang w:val="en-US" w:eastAsia="en-US"/>
        </w:rPr>
      </w:pPr>
      <w:r>
        <w:rPr>
          <w:noProof/>
        </w:rPr>
        <w:t>1.2.2</w:t>
      </w:r>
      <w:r>
        <w:rPr>
          <w:rFonts w:eastAsiaTheme="minorEastAsia" w:cstheme="minorBidi"/>
          <w:i w:val="0"/>
          <w:noProof/>
          <w:color w:val="auto"/>
          <w:lang w:val="en-US" w:eastAsia="en-US"/>
        </w:rPr>
        <w:tab/>
      </w:r>
      <w:r>
        <w:rPr>
          <w:noProof/>
        </w:rPr>
        <w:t>Sources of information</w:t>
      </w:r>
      <w:r>
        <w:rPr>
          <w:noProof/>
        </w:rPr>
        <w:tab/>
      </w:r>
      <w:r>
        <w:rPr>
          <w:noProof/>
        </w:rPr>
        <w:fldChar w:fldCharType="begin"/>
      </w:r>
      <w:r>
        <w:rPr>
          <w:noProof/>
        </w:rPr>
        <w:instrText xml:space="preserve"> PAGEREF _Toc515454348 \h </w:instrText>
      </w:r>
      <w:r>
        <w:rPr>
          <w:noProof/>
        </w:rPr>
      </w:r>
      <w:r>
        <w:rPr>
          <w:noProof/>
        </w:rPr>
        <w:fldChar w:fldCharType="separate"/>
      </w:r>
      <w:r w:rsidR="002300AD">
        <w:rPr>
          <w:noProof/>
        </w:rPr>
        <w:t>7</w:t>
      </w:r>
      <w:r>
        <w:rPr>
          <w:noProof/>
        </w:rPr>
        <w:fldChar w:fldCharType="end"/>
      </w:r>
    </w:p>
    <w:p w14:paraId="14FC6A33" w14:textId="3897EB9B" w:rsidR="00E64798" w:rsidRDefault="00E64798">
      <w:pPr>
        <w:pStyle w:val="TOC2"/>
        <w:rPr>
          <w:rFonts w:eastAsiaTheme="minorEastAsia" w:cstheme="minorBidi"/>
          <w:color w:val="auto"/>
          <w:lang w:val="en-US" w:eastAsia="en-US"/>
        </w:rPr>
      </w:pPr>
      <w:r>
        <w:t>1.3</w:t>
      </w:r>
      <w:r>
        <w:rPr>
          <w:rFonts w:eastAsiaTheme="minorEastAsia" w:cstheme="minorBidi"/>
          <w:color w:val="auto"/>
          <w:lang w:val="en-US" w:eastAsia="en-US"/>
        </w:rPr>
        <w:tab/>
      </w:r>
      <w:r>
        <w:t>Structure and procedure for the completion of the report</w:t>
      </w:r>
      <w:r>
        <w:tab/>
      </w:r>
      <w:r>
        <w:fldChar w:fldCharType="begin"/>
      </w:r>
      <w:r>
        <w:instrText xml:space="preserve"> PAGEREF _Toc515454349 \h </w:instrText>
      </w:r>
      <w:r>
        <w:fldChar w:fldCharType="separate"/>
      </w:r>
      <w:r w:rsidR="002300AD">
        <w:t>7</w:t>
      </w:r>
      <w:r>
        <w:fldChar w:fldCharType="end"/>
      </w:r>
    </w:p>
    <w:p w14:paraId="3282DF66" w14:textId="402E3BFE" w:rsidR="00E64798" w:rsidRDefault="00E64798" w:rsidP="00E64798">
      <w:pPr>
        <w:pStyle w:val="TOC1"/>
        <w:tabs>
          <w:tab w:val="clear" w:pos="8680"/>
          <w:tab w:val="right" w:leader="dot" w:pos="8280"/>
        </w:tabs>
        <w:rPr>
          <w:rFonts w:eastAsiaTheme="minorEastAsia" w:cstheme="minorBidi"/>
          <w:b w:val="0"/>
          <w:caps w:val="0"/>
          <w:noProof/>
          <w:color w:val="auto"/>
          <w:lang w:val="en-US" w:eastAsia="en-US"/>
        </w:rPr>
      </w:pPr>
      <w:r w:rsidRPr="00060F1D">
        <w:rPr>
          <w:noProof/>
        </w:rPr>
        <w:t>2</w:t>
      </w:r>
      <w:r>
        <w:rPr>
          <w:rFonts w:eastAsiaTheme="minorEastAsia" w:cstheme="minorBidi"/>
          <w:b w:val="0"/>
          <w:caps w:val="0"/>
          <w:noProof/>
          <w:color w:val="auto"/>
          <w:lang w:val="en-US" w:eastAsia="en-US"/>
        </w:rPr>
        <w:tab/>
      </w:r>
      <w:r w:rsidRPr="00060F1D">
        <w:rPr>
          <w:noProof/>
        </w:rPr>
        <w:t>Technology options and requirements for energy efficiency in the refrigeration, air conditioning, and heat pump (RACHP) sectors</w:t>
      </w:r>
      <w:r>
        <w:rPr>
          <w:noProof/>
        </w:rPr>
        <w:tab/>
      </w:r>
      <w:r>
        <w:rPr>
          <w:noProof/>
        </w:rPr>
        <w:fldChar w:fldCharType="begin"/>
      </w:r>
      <w:r>
        <w:rPr>
          <w:noProof/>
        </w:rPr>
        <w:instrText xml:space="preserve"> PAGEREF _Toc515454350 \h </w:instrText>
      </w:r>
      <w:r>
        <w:rPr>
          <w:noProof/>
        </w:rPr>
      </w:r>
      <w:r>
        <w:rPr>
          <w:noProof/>
        </w:rPr>
        <w:fldChar w:fldCharType="separate"/>
      </w:r>
      <w:r w:rsidR="002300AD">
        <w:rPr>
          <w:noProof/>
        </w:rPr>
        <w:t>8</w:t>
      </w:r>
      <w:r>
        <w:rPr>
          <w:noProof/>
        </w:rPr>
        <w:fldChar w:fldCharType="end"/>
      </w:r>
    </w:p>
    <w:p w14:paraId="61C120B9" w14:textId="15E8420E" w:rsidR="00E64798" w:rsidRDefault="00E64798">
      <w:pPr>
        <w:pStyle w:val="TOC2"/>
        <w:rPr>
          <w:rFonts w:eastAsiaTheme="minorEastAsia" w:cstheme="minorBidi"/>
          <w:color w:val="auto"/>
          <w:lang w:val="en-US" w:eastAsia="en-US"/>
        </w:rPr>
      </w:pPr>
      <w:r>
        <w:t>2.1</w:t>
      </w:r>
      <w:r>
        <w:rPr>
          <w:rFonts w:eastAsiaTheme="minorEastAsia" w:cstheme="minorBidi"/>
          <w:color w:val="auto"/>
          <w:lang w:val="en-US" w:eastAsia="en-US"/>
        </w:rPr>
        <w:tab/>
      </w:r>
      <w:r>
        <w:t>Opportunities and challenges to maintain and/or enhance energy efficiency of new RACHP equipment</w:t>
      </w:r>
      <w:r>
        <w:tab/>
      </w:r>
      <w:r>
        <w:fldChar w:fldCharType="begin"/>
      </w:r>
      <w:r>
        <w:instrText xml:space="preserve"> PAGEREF _Toc515454351 \h </w:instrText>
      </w:r>
      <w:r>
        <w:fldChar w:fldCharType="separate"/>
      </w:r>
      <w:r w:rsidR="002300AD">
        <w:t>8</w:t>
      </w:r>
      <w:r>
        <w:fldChar w:fldCharType="end"/>
      </w:r>
    </w:p>
    <w:p w14:paraId="49113CC9" w14:textId="0DE5BCB6" w:rsidR="00E64798" w:rsidRDefault="00E64798" w:rsidP="00E64798">
      <w:pPr>
        <w:pStyle w:val="TOC3"/>
        <w:tabs>
          <w:tab w:val="right" w:leader="dot" w:pos="8280"/>
        </w:tabs>
        <w:rPr>
          <w:rFonts w:eastAsiaTheme="minorEastAsia" w:cstheme="minorBidi"/>
          <w:i w:val="0"/>
          <w:noProof/>
          <w:color w:val="auto"/>
          <w:lang w:val="en-US" w:eastAsia="en-US"/>
        </w:rPr>
      </w:pPr>
      <w:r>
        <w:rPr>
          <w:noProof/>
        </w:rPr>
        <w:t>2.1.1</w:t>
      </w:r>
      <w:r>
        <w:rPr>
          <w:rFonts w:eastAsiaTheme="minorEastAsia" w:cstheme="minorBidi"/>
          <w:i w:val="0"/>
          <w:noProof/>
          <w:color w:val="auto"/>
          <w:lang w:val="en-US" w:eastAsia="en-US"/>
        </w:rPr>
        <w:tab/>
      </w:r>
      <w:r>
        <w:rPr>
          <w:noProof/>
        </w:rPr>
        <w:t>Background</w:t>
      </w:r>
      <w:r>
        <w:rPr>
          <w:noProof/>
        </w:rPr>
        <w:tab/>
      </w:r>
      <w:r>
        <w:rPr>
          <w:noProof/>
        </w:rPr>
        <w:fldChar w:fldCharType="begin"/>
      </w:r>
      <w:r>
        <w:rPr>
          <w:noProof/>
        </w:rPr>
        <w:instrText xml:space="preserve"> PAGEREF _Toc515454352 \h </w:instrText>
      </w:r>
      <w:r>
        <w:rPr>
          <w:noProof/>
        </w:rPr>
      </w:r>
      <w:r>
        <w:rPr>
          <w:noProof/>
        </w:rPr>
        <w:fldChar w:fldCharType="separate"/>
      </w:r>
      <w:r w:rsidR="002300AD">
        <w:rPr>
          <w:noProof/>
        </w:rPr>
        <w:t>9</w:t>
      </w:r>
      <w:r>
        <w:rPr>
          <w:noProof/>
        </w:rPr>
        <w:fldChar w:fldCharType="end"/>
      </w:r>
    </w:p>
    <w:p w14:paraId="3555D438" w14:textId="2ECC00E9" w:rsidR="00E64798" w:rsidRDefault="00E64798" w:rsidP="00E64798">
      <w:pPr>
        <w:pStyle w:val="TOC3"/>
        <w:tabs>
          <w:tab w:val="right" w:leader="dot" w:pos="8280"/>
        </w:tabs>
        <w:rPr>
          <w:rFonts w:eastAsiaTheme="minorEastAsia" w:cstheme="minorBidi"/>
          <w:i w:val="0"/>
          <w:noProof/>
          <w:color w:val="auto"/>
          <w:lang w:val="en-US" w:eastAsia="en-US"/>
        </w:rPr>
      </w:pPr>
      <w:r>
        <w:rPr>
          <w:noProof/>
        </w:rPr>
        <w:t>2.1.2</w:t>
      </w:r>
      <w:r>
        <w:rPr>
          <w:rFonts w:eastAsiaTheme="minorEastAsia" w:cstheme="minorBidi"/>
          <w:i w:val="0"/>
          <w:noProof/>
          <w:color w:val="auto"/>
          <w:lang w:val="en-US" w:eastAsia="en-US"/>
        </w:rPr>
        <w:tab/>
      </w:r>
      <w:r>
        <w:rPr>
          <w:noProof/>
        </w:rPr>
        <w:t>Types of efficiency improvement, new RACHP equipment</w:t>
      </w:r>
      <w:r>
        <w:rPr>
          <w:noProof/>
        </w:rPr>
        <w:tab/>
      </w:r>
      <w:r>
        <w:rPr>
          <w:noProof/>
        </w:rPr>
        <w:fldChar w:fldCharType="begin"/>
      </w:r>
      <w:r>
        <w:rPr>
          <w:noProof/>
        </w:rPr>
        <w:instrText xml:space="preserve"> PAGEREF _Toc515454353 \h </w:instrText>
      </w:r>
      <w:r>
        <w:rPr>
          <w:noProof/>
        </w:rPr>
      </w:r>
      <w:r>
        <w:rPr>
          <w:noProof/>
        </w:rPr>
        <w:fldChar w:fldCharType="separate"/>
      </w:r>
      <w:r w:rsidR="002300AD">
        <w:rPr>
          <w:noProof/>
        </w:rPr>
        <w:t>10</w:t>
      </w:r>
      <w:r>
        <w:rPr>
          <w:noProof/>
        </w:rPr>
        <w:fldChar w:fldCharType="end"/>
      </w:r>
    </w:p>
    <w:p w14:paraId="38BB4315" w14:textId="6D5E9379" w:rsidR="00E64798" w:rsidRDefault="00E64798" w:rsidP="00E64798">
      <w:pPr>
        <w:pStyle w:val="TOC3"/>
        <w:tabs>
          <w:tab w:val="right" w:leader="dot" w:pos="8280"/>
        </w:tabs>
        <w:rPr>
          <w:rFonts w:eastAsiaTheme="minorEastAsia" w:cstheme="minorBidi"/>
          <w:i w:val="0"/>
          <w:noProof/>
          <w:color w:val="auto"/>
          <w:lang w:val="en-US" w:eastAsia="en-US"/>
        </w:rPr>
      </w:pPr>
      <w:r>
        <w:rPr>
          <w:noProof/>
        </w:rPr>
        <w:t>2.1.3</w:t>
      </w:r>
      <w:r>
        <w:rPr>
          <w:rFonts w:eastAsiaTheme="minorEastAsia" w:cstheme="minorBidi"/>
          <w:i w:val="0"/>
          <w:noProof/>
          <w:color w:val="auto"/>
          <w:lang w:val="en-US" w:eastAsia="en-US"/>
        </w:rPr>
        <w:tab/>
      </w:r>
      <w:r>
        <w:rPr>
          <w:noProof/>
        </w:rPr>
        <w:t>Ensuring minimisation of cooling/heating loads</w:t>
      </w:r>
      <w:r>
        <w:rPr>
          <w:noProof/>
        </w:rPr>
        <w:tab/>
      </w:r>
      <w:r>
        <w:rPr>
          <w:noProof/>
        </w:rPr>
        <w:fldChar w:fldCharType="begin"/>
      </w:r>
      <w:r>
        <w:rPr>
          <w:noProof/>
        </w:rPr>
        <w:instrText xml:space="preserve"> PAGEREF _Toc515454354 \h </w:instrText>
      </w:r>
      <w:r>
        <w:rPr>
          <w:noProof/>
        </w:rPr>
      </w:r>
      <w:r>
        <w:rPr>
          <w:noProof/>
        </w:rPr>
        <w:fldChar w:fldCharType="separate"/>
      </w:r>
      <w:r w:rsidR="002300AD">
        <w:rPr>
          <w:noProof/>
        </w:rPr>
        <w:t>11</w:t>
      </w:r>
      <w:r>
        <w:rPr>
          <w:noProof/>
        </w:rPr>
        <w:fldChar w:fldCharType="end"/>
      </w:r>
    </w:p>
    <w:p w14:paraId="03095533" w14:textId="730E7D73" w:rsidR="00E64798" w:rsidRDefault="00E64798" w:rsidP="00E64798">
      <w:pPr>
        <w:pStyle w:val="TOC3"/>
        <w:tabs>
          <w:tab w:val="right" w:leader="dot" w:pos="8280"/>
        </w:tabs>
        <w:rPr>
          <w:rFonts w:eastAsiaTheme="minorEastAsia" w:cstheme="minorBidi"/>
          <w:i w:val="0"/>
          <w:noProof/>
          <w:color w:val="auto"/>
          <w:lang w:val="en-US" w:eastAsia="en-US"/>
        </w:rPr>
      </w:pPr>
      <w:r>
        <w:rPr>
          <w:noProof/>
        </w:rPr>
        <w:t>2.1.4</w:t>
      </w:r>
      <w:r>
        <w:rPr>
          <w:rFonts w:eastAsiaTheme="minorEastAsia" w:cstheme="minorBidi"/>
          <w:i w:val="0"/>
          <w:noProof/>
          <w:color w:val="auto"/>
          <w:lang w:val="en-US" w:eastAsia="en-US"/>
        </w:rPr>
        <w:tab/>
      </w:r>
      <w:r>
        <w:rPr>
          <w:noProof/>
        </w:rPr>
        <w:t>Selection of appropriate refrigerant</w:t>
      </w:r>
      <w:r>
        <w:rPr>
          <w:noProof/>
        </w:rPr>
        <w:tab/>
      </w:r>
      <w:r>
        <w:rPr>
          <w:noProof/>
        </w:rPr>
        <w:fldChar w:fldCharType="begin"/>
      </w:r>
      <w:r>
        <w:rPr>
          <w:noProof/>
        </w:rPr>
        <w:instrText xml:space="preserve"> PAGEREF _Toc515454355 \h </w:instrText>
      </w:r>
      <w:r>
        <w:rPr>
          <w:noProof/>
        </w:rPr>
      </w:r>
      <w:r>
        <w:rPr>
          <w:noProof/>
        </w:rPr>
        <w:fldChar w:fldCharType="separate"/>
      </w:r>
      <w:r w:rsidR="002300AD">
        <w:rPr>
          <w:noProof/>
        </w:rPr>
        <w:t>11</w:t>
      </w:r>
      <w:r>
        <w:rPr>
          <w:noProof/>
        </w:rPr>
        <w:fldChar w:fldCharType="end"/>
      </w:r>
    </w:p>
    <w:p w14:paraId="18162D78" w14:textId="3BB8F874" w:rsidR="00E64798" w:rsidRDefault="00E64798" w:rsidP="00E64798">
      <w:pPr>
        <w:pStyle w:val="TOC3"/>
        <w:tabs>
          <w:tab w:val="right" w:leader="dot" w:pos="8280"/>
        </w:tabs>
        <w:rPr>
          <w:rFonts w:eastAsiaTheme="minorEastAsia" w:cstheme="minorBidi"/>
          <w:i w:val="0"/>
          <w:noProof/>
          <w:color w:val="auto"/>
          <w:lang w:val="en-US" w:eastAsia="en-US"/>
        </w:rPr>
      </w:pPr>
      <w:r>
        <w:rPr>
          <w:noProof/>
        </w:rPr>
        <w:t>2.1.5</w:t>
      </w:r>
      <w:r>
        <w:rPr>
          <w:rFonts w:eastAsiaTheme="minorEastAsia" w:cstheme="minorBidi"/>
          <w:i w:val="0"/>
          <w:noProof/>
          <w:color w:val="auto"/>
          <w:lang w:val="en-US" w:eastAsia="en-US"/>
        </w:rPr>
        <w:tab/>
      </w:r>
      <w:r>
        <w:rPr>
          <w:noProof/>
        </w:rPr>
        <w:t>Use of high efficiency components and system design</w:t>
      </w:r>
      <w:r>
        <w:rPr>
          <w:noProof/>
        </w:rPr>
        <w:tab/>
      </w:r>
      <w:r>
        <w:rPr>
          <w:noProof/>
        </w:rPr>
        <w:fldChar w:fldCharType="begin"/>
      </w:r>
      <w:r>
        <w:rPr>
          <w:noProof/>
        </w:rPr>
        <w:instrText xml:space="preserve"> PAGEREF _Toc515454356 \h </w:instrText>
      </w:r>
      <w:r>
        <w:rPr>
          <w:noProof/>
        </w:rPr>
      </w:r>
      <w:r>
        <w:rPr>
          <w:noProof/>
        </w:rPr>
        <w:fldChar w:fldCharType="separate"/>
      </w:r>
      <w:r w:rsidR="002300AD">
        <w:rPr>
          <w:noProof/>
        </w:rPr>
        <w:t>12</w:t>
      </w:r>
      <w:r>
        <w:rPr>
          <w:noProof/>
        </w:rPr>
        <w:fldChar w:fldCharType="end"/>
      </w:r>
    </w:p>
    <w:p w14:paraId="25DB00F5" w14:textId="6CD83AA3" w:rsidR="00E64798" w:rsidRDefault="00E64798" w:rsidP="00E64798">
      <w:pPr>
        <w:pStyle w:val="TOC3"/>
        <w:tabs>
          <w:tab w:val="right" w:leader="dot" w:pos="8280"/>
        </w:tabs>
        <w:rPr>
          <w:rFonts w:eastAsiaTheme="minorEastAsia" w:cstheme="minorBidi"/>
          <w:i w:val="0"/>
          <w:noProof/>
          <w:color w:val="auto"/>
          <w:lang w:val="en-US" w:eastAsia="en-US"/>
        </w:rPr>
      </w:pPr>
      <w:r>
        <w:rPr>
          <w:noProof/>
        </w:rPr>
        <w:t>2.1.6</w:t>
      </w:r>
      <w:r>
        <w:rPr>
          <w:rFonts w:eastAsiaTheme="minorEastAsia" w:cstheme="minorBidi"/>
          <w:i w:val="0"/>
          <w:noProof/>
          <w:color w:val="auto"/>
          <w:lang w:val="en-US" w:eastAsia="en-US"/>
        </w:rPr>
        <w:tab/>
      </w:r>
      <w:r>
        <w:rPr>
          <w:noProof/>
        </w:rPr>
        <w:t>Ensuring optimised control and operation</w:t>
      </w:r>
      <w:r>
        <w:rPr>
          <w:noProof/>
        </w:rPr>
        <w:tab/>
      </w:r>
      <w:r>
        <w:rPr>
          <w:noProof/>
        </w:rPr>
        <w:fldChar w:fldCharType="begin"/>
      </w:r>
      <w:r>
        <w:rPr>
          <w:noProof/>
        </w:rPr>
        <w:instrText xml:space="preserve"> PAGEREF _Toc515454357 \h </w:instrText>
      </w:r>
      <w:r>
        <w:rPr>
          <w:noProof/>
        </w:rPr>
      </w:r>
      <w:r>
        <w:rPr>
          <w:noProof/>
        </w:rPr>
        <w:fldChar w:fldCharType="separate"/>
      </w:r>
      <w:r w:rsidR="002300AD">
        <w:rPr>
          <w:noProof/>
        </w:rPr>
        <w:t>13</w:t>
      </w:r>
      <w:r>
        <w:rPr>
          <w:noProof/>
        </w:rPr>
        <w:fldChar w:fldCharType="end"/>
      </w:r>
    </w:p>
    <w:p w14:paraId="5DC06F80" w14:textId="64446000" w:rsidR="00E64798" w:rsidRDefault="00E64798" w:rsidP="00E64798">
      <w:pPr>
        <w:pStyle w:val="TOC3"/>
        <w:tabs>
          <w:tab w:val="right" w:leader="dot" w:pos="8280"/>
        </w:tabs>
        <w:rPr>
          <w:rFonts w:eastAsiaTheme="minorEastAsia" w:cstheme="minorBidi"/>
          <w:i w:val="0"/>
          <w:noProof/>
          <w:color w:val="auto"/>
          <w:lang w:val="en-US" w:eastAsia="en-US"/>
        </w:rPr>
      </w:pPr>
      <w:r>
        <w:rPr>
          <w:noProof/>
        </w:rPr>
        <w:t>2.1.7</w:t>
      </w:r>
      <w:r>
        <w:rPr>
          <w:rFonts w:eastAsiaTheme="minorEastAsia" w:cstheme="minorBidi"/>
          <w:i w:val="0"/>
          <w:noProof/>
          <w:color w:val="auto"/>
          <w:lang w:val="en-US" w:eastAsia="en-US"/>
        </w:rPr>
        <w:tab/>
      </w:r>
      <w:r>
        <w:rPr>
          <w:noProof/>
        </w:rPr>
        <w:t>Design features that will support servicing and maintenance</w:t>
      </w:r>
      <w:r>
        <w:rPr>
          <w:noProof/>
        </w:rPr>
        <w:tab/>
      </w:r>
      <w:r>
        <w:rPr>
          <w:noProof/>
        </w:rPr>
        <w:fldChar w:fldCharType="begin"/>
      </w:r>
      <w:r>
        <w:rPr>
          <w:noProof/>
        </w:rPr>
        <w:instrText xml:space="preserve"> PAGEREF _Toc515454358 \h </w:instrText>
      </w:r>
      <w:r>
        <w:rPr>
          <w:noProof/>
        </w:rPr>
      </w:r>
      <w:r>
        <w:rPr>
          <w:noProof/>
        </w:rPr>
        <w:fldChar w:fldCharType="separate"/>
      </w:r>
      <w:r w:rsidR="002300AD">
        <w:rPr>
          <w:noProof/>
        </w:rPr>
        <w:t>14</w:t>
      </w:r>
      <w:r>
        <w:rPr>
          <w:noProof/>
        </w:rPr>
        <w:fldChar w:fldCharType="end"/>
      </w:r>
    </w:p>
    <w:p w14:paraId="3A8259B1" w14:textId="2BC85CD7" w:rsidR="00E64798" w:rsidRDefault="00E64798" w:rsidP="00E64798">
      <w:pPr>
        <w:pStyle w:val="TOC3"/>
        <w:tabs>
          <w:tab w:val="right" w:leader="dot" w:pos="8280"/>
        </w:tabs>
        <w:rPr>
          <w:rFonts w:eastAsiaTheme="minorEastAsia" w:cstheme="minorBidi"/>
          <w:i w:val="0"/>
          <w:noProof/>
          <w:color w:val="auto"/>
          <w:lang w:val="en-US" w:eastAsia="en-US"/>
        </w:rPr>
      </w:pPr>
      <w:r>
        <w:rPr>
          <w:noProof/>
        </w:rPr>
        <w:t>2.1.8</w:t>
      </w:r>
      <w:r>
        <w:rPr>
          <w:rFonts w:eastAsiaTheme="minorEastAsia" w:cstheme="minorBidi"/>
          <w:i w:val="0"/>
          <w:noProof/>
          <w:color w:val="auto"/>
          <w:lang w:val="en-US" w:eastAsia="en-US"/>
        </w:rPr>
        <w:tab/>
      </w:r>
      <w:r>
        <w:rPr>
          <w:noProof/>
        </w:rPr>
        <w:t>Challenges for the uptake of energy efficient technologies</w:t>
      </w:r>
      <w:r>
        <w:rPr>
          <w:noProof/>
        </w:rPr>
        <w:tab/>
      </w:r>
      <w:r>
        <w:rPr>
          <w:noProof/>
        </w:rPr>
        <w:fldChar w:fldCharType="begin"/>
      </w:r>
      <w:r>
        <w:rPr>
          <w:noProof/>
        </w:rPr>
        <w:instrText xml:space="preserve"> PAGEREF _Toc515454359 \h </w:instrText>
      </w:r>
      <w:r>
        <w:rPr>
          <w:noProof/>
        </w:rPr>
      </w:r>
      <w:r>
        <w:rPr>
          <w:noProof/>
        </w:rPr>
        <w:fldChar w:fldCharType="separate"/>
      </w:r>
      <w:r w:rsidR="002300AD">
        <w:rPr>
          <w:noProof/>
        </w:rPr>
        <w:t>15</w:t>
      </w:r>
      <w:r>
        <w:rPr>
          <w:noProof/>
        </w:rPr>
        <w:fldChar w:fldCharType="end"/>
      </w:r>
    </w:p>
    <w:p w14:paraId="35B7AD20" w14:textId="17BD87D8" w:rsidR="00E64798" w:rsidRDefault="00E64798">
      <w:pPr>
        <w:pStyle w:val="TOC2"/>
        <w:rPr>
          <w:rFonts w:eastAsiaTheme="minorEastAsia" w:cstheme="minorBidi"/>
          <w:color w:val="auto"/>
          <w:lang w:val="en-US" w:eastAsia="en-US"/>
        </w:rPr>
      </w:pPr>
      <w:r>
        <w:t>2.2</w:t>
      </w:r>
      <w:r>
        <w:rPr>
          <w:rFonts w:eastAsiaTheme="minorEastAsia" w:cstheme="minorBidi"/>
          <w:color w:val="auto"/>
          <w:lang w:val="en-US" w:eastAsia="en-US"/>
        </w:rPr>
        <w:tab/>
      </w:r>
      <w:r>
        <w:t>Long-term sustainable performance and viability</w:t>
      </w:r>
      <w:r>
        <w:tab/>
      </w:r>
      <w:r>
        <w:fldChar w:fldCharType="begin"/>
      </w:r>
      <w:r>
        <w:instrText xml:space="preserve"> PAGEREF _Toc515454360 \h </w:instrText>
      </w:r>
      <w:r>
        <w:fldChar w:fldCharType="separate"/>
      </w:r>
      <w:r w:rsidR="002300AD">
        <w:t>16</w:t>
      </w:r>
      <w:r>
        <w:fldChar w:fldCharType="end"/>
      </w:r>
    </w:p>
    <w:p w14:paraId="62796596" w14:textId="7608D0A4" w:rsidR="00E64798" w:rsidRDefault="00E64798" w:rsidP="00E64798">
      <w:pPr>
        <w:pStyle w:val="TOC3"/>
        <w:tabs>
          <w:tab w:val="right" w:leader="dot" w:pos="8280"/>
        </w:tabs>
        <w:rPr>
          <w:rFonts w:eastAsiaTheme="minorEastAsia" w:cstheme="minorBidi"/>
          <w:i w:val="0"/>
          <w:noProof/>
          <w:color w:val="auto"/>
          <w:lang w:val="en-US" w:eastAsia="en-US"/>
        </w:rPr>
      </w:pPr>
      <w:r>
        <w:rPr>
          <w:noProof/>
        </w:rPr>
        <w:t>2.2.1</w:t>
      </w:r>
      <w:r>
        <w:rPr>
          <w:rFonts w:eastAsiaTheme="minorEastAsia" w:cstheme="minorBidi"/>
          <w:i w:val="0"/>
          <w:noProof/>
          <w:color w:val="auto"/>
          <w:lang w:val="en-US" w:eastAsia="en-US"/>
        </w:rPr>
        <w:tab/>
      </w:r>
      <w:r>
        <w:rPr>
          <w:noProof/>
        </w:rPr>
        <w:t>Technological environment</w:t>
      </w:r>
      <w:r>
        <w:rPr>
          <w:noProof/>
        </w:rPr>
        <w:tab/>
      </w:r>
      <w:r>
        <w:rPr>
          <w:noProof/>
        </w:rPr>
        <w:fldChar w:fldCharType="begin"/>
      </w:r>
      <w:r>
        <w:rPr>
          <w:noProof/>
        </w:rPr>
        <w:instrText xml:space="preserve"> PAGEREF _Toc515454361 \h </w:instrText>
      </w:r>
      <w:r>
        <w:rPr>
          <w:noProof/>
        </w:rPr>
      </w:r>
      <w:r>
        <w:rPr>
          <w:noProof/>
        </w:rPr>
        <w:fldChar w:fldCharType="separate"/>
      </w:r>
      <w:r w:rsidR="002300AD">
        <w:rPr>
          <w:noProof/>
        </w:rPr>
        <w:t>16</w:t>
      </w:r>
      <w:r>
        <w:rPr>
          <w:noProof/>
        </w:rPr>
        <w:fldChar w:fldCharType="end"/>
      </w:r>
    </w:p>
    <w:p w14:paraId="663B17D6" w14:textId="69A2E6E3" w:rsidR="00E64798" w:rsidRDefault="00E64798" w:rsidP="00E64798">
      <w:pPr>
        <w:pStyle w:val="TOC3"/>
        <w:tabs>
          <w:tab w:val="right" w:leader="dot" w:pos="8280"/>
        </w:tabs>
        <w:rPr>
          <w:rFonts w:eastAsiaTheme="minorEastAsia" w:cstheme="minorBidi"/>
          <w:i w:val="0"/>
          <w:noProof/>
          <w:color w:val="auto"/>
          <w:lang w:val="en-US" w:eastAsia="en-US"/>
        </w:rPr>
      </w:pPr>
      <w:r>
        <w:rPr>
          <w:noProof/>
        </w:rPr>
        <w:t>2.2.2</w:t>
      </w:r>
      <w:r>
        <w:rPr>
          <w:rFonts w:eastAsiaTheme="minorEastAsia" w:cstheme="minorBidi"/>
          <w:i w:val="0"/>
          <w:noProof/>
          <w:color w:val="auto"/>
          <w:lang w:val="en-US" w:eastAsia="en-US"/>
        </w:rPr>
        <w:tab/>
      </w:r>
      <w:r>
        <w:rPr>
          <w:noProof/>
        </w:rPr>
        <w:t>Strengthening the Minimum Energy Performance Standards (MEPS)</w:t>
      </w:r>
      <w:r>
        <w:rPr>
          <w:noProof/>
        </w:rPr>
        <w:tab/>
      </w:r>
      <w:r>
        <w:rPr>
          <w:noProof/>
        </w:rPr>
        <w:fldChar w:fldCharType="begin"/>
      </w:r>
      <w:r>
        <w:rPr>
          <w:noProof/>
        </w:rPr>
        <w:instrText xml:space="preserve"> PAGEREF _Toc515454362 \h </w:instrText>
      </w:r>
      <w:r>
        <w:rPr>
          <w:noProof/>
        </w:rPr>
      </w:r>
      <w:r>
        <w:rPr>
          <w:noProof/>
        </w:rPr>
        <w:fldChar w:fldCharType="separate"/>
      </w:r>
      <w:r w:rsidR="002300AD">
        <w:rPr>
          <w:noProof/>
        </w:rPr>
        <w:t>17</w:t>
      </w:r>
      <w:r>
        <w:rPr>
          <w:noProof/>
        </w:rPr>
        <w:fldChar w:fldCharType="end"/>
      </w:r>
    </w:p>
    <w:p w14:paraId="040E5F9C" w14:textId="4245B5CA" w:rsidR="00E64798" w:rsidRDefault="00E64798" w:rsidP="00E64798">
      <w:pPr>
        <w:pStyle w:val="TOC3"/>
        <w:tabs>
          <w:tab w:val="right" w:leader="dot" w:pos="8280"/>
        </w:tabs>
        <w:rPr>
          <w:rFonts w:eastAsiaTheme="minorEastAsia" w:cstheme="minorBidi"/>
          <w:i w:val="0"/>
          <w:noProof/>
          <w:color w:val="auto"/>
          <w:lang w:val="en-US" w:eastAsia="en-US"/>
        </w:rPr>
      </w:pPr>
      <w:r>
        <w:rPr>
          <w:noProof/>
        </w:rPr>
        <w:t>2.2.3</w:t>
      </w:r>
      <w:r>
        <w:rPr>
          <w:rFonts w:eastAsiaTheme="minorEastAsia" w:cstheme="minorBidi"/>
          <w:i w:val="0"/>
          <w:noProof/>
          <w:color w:val="auto"/>
          <w:lang w:val="en-US" w:eastAsia="en-US"/>
        </w:rPr>
        <w:tab/>
      </w:r>
      <w:r>
        <w:rPr>
          <w:noProof/>
        </w:rPr>
        <w:t>Not-In-Kind and district cooling contribution to energy efficiency</w:t>
      </w:r>
      <w:r>
        <w:rPr>
          <w:noProof/>
        </w:rPr>
        <w:tab/>
      </w:r>
      <w:r>
        <w:rPr>
          <w:noProof/>
        </w:rPr>
        <w:fldChar w:fldCharType="begin"/>
      </w:r>
      <w:r>
        <w:rPr>
          <w:noProof/>
        </w:rPr>
        <w:instrText xml:space="preserve"> PAGEREF _Toc515454363 \h </w:instrText>
      </w:r>
      <w:r>
        <w:rPr>
          <w:noProof/>
        </w:rPr>
      </w:r>
      <w:r>
        <w:rPr>
          <w:noProof/>
        </w:rPr>
        <w:fldChar w:fldCharType="separate"/>
      </w:r>
      <w:r w:rsidR="002300AD">
        <w:rPr>
          <w:noProof/>
        </w:rPr>
        <w:t>19</w:t>
      </w:r>
      <w:r>
        <w:rPr>
          <w:noProof/>
        </w:rPr>
        <w:fldChar w:fldCharType="end"/>
      </w:r>
    </w:p>
    <w:p w14:paraId="3676A89B" w14:textId="684BB82F" w:rsidR="00E64798" w:rsidRDefault="00E64798" w:rsidP="00E64798">
      <w:pPr>
        <w:pStyle w:val="TOC3"/>
        <w:tabs>
          <w:tab w:val="right" w:leader="dot" w:pos="8280"/>
        </w:tabs>
        <w:rPr>
          <w:rFonts w:eastAsiaTheme="minorEastAsia" w:cstheme="minorBidi"/>
          <w:i w:val="0"/>
          <w:noProof/>
          <w:color w:val="auto"/>
          <w:lang w:val="en-US" w:eastAsia="en-US"/>
        </w:rPr>
      </w:pPr>
      <w:r>
        <w:rPr>
          <w:noProof/>
        </w:rPr>
        <w:t>2.2.4</w:t>
      </w:r>
      <w:r>
        <w:rPr>
          <w:rFonts w:eastAsiaTheme="minorEastAsia" w:cstheme="minorBidi"/>
          <w:i w:val="0"/>
          <w:noProof/>
          <w:color w:val="auto"/>
          <w:lang w:val="en-US" w:eastAsia="en-US"/>
        </w:rPr>
        <w:tab/>
      </w:r>
      <w:r>
        <w:rPr>
          <w:noProof/>
        </w:rPr>
        <w:t>Importance of customer engagement to improving energy efficiency</w:t>
      </w:r>
      <w:r>
        <w:rPr>
          <w:noProof/>
        </w:rPr>
        <w:tab/>
      </w:r>
      <w:r>
        <w:rPr>
          <w:noProof/>
        </w:rPr>
        <w:fldChar w:fldCharType="begin"/>
      </w:r>
      <w:r>
        <w:rPr>
          <w:noProof/>
        </w:rPr>
        <w:instrText xml:space="preserve"> PAGEREF _Toc515454364 \h </w:instrText>
      </w:r>
      <w:r>
        <w:rPr>
          <w:noProof/>
        </w:rPr>
      </w:r>
      <w:r>
        <w:rPr>
          <w:noProof/>
        </w:rPr>
        <w:fldChar w:fldCharType="separate"/>
      </w:r>
      <w:r w:rsidR="002300AD">
        <w:rPr>
          <w:noProof/>
        </w:rPr>
        <w:t>20</w:t>
      </w:r>
      <w:r>
        <w:rPr>
          <w:noProof/>
        </w:rPr>
        <w:fldChar w:fldCharType="end"/>
      </w:r>
    </w:p>
    <w:p w14:paraId="012F2059" w14:textId="7808C91E" w:rsidR="00E64798" w:rsidRDefault="00E64798">
      <w:pPr>
        <w:pStyle w:val="TOC2"/>
        <w:rPr>
          <w:rFonts w:eastAsiaTheme="minorEastAsia" w:cstheme="minorBidi"/>
          <w:color w:val="auto"/>
          <w:lang w:val="en-US" w:eastAsia="en-US"/>
        </w:rPr>
      </w:pPr>
      <w:r>
        <w:t>2.3</w:t>
      </w:r>
      <w:r>
        <w:rPr>
          <w:rFonts w:eastAsiaTheme="minorEastAsia" w:cstheme="minorBidi"/>
          <w:color w:val="auto"/>
          <w:lang w:val="en-US" w:eastAsia="en-US"/>
        </w:rPr>
        <w:tab/>
      </w:r>
      <w:r>
        <w:t>High ambient temperature (HAT) considerations</w:t>
      </w:r>
      <w:r>
        <w:tab/>
      </w:r>
      <w:r>
        <w:fldChar w:fldCharType="begin"/>
      </w:r>
      <w:r>
        <w:instrText xml:space="preserve"> PAGEREF _Toc515454365 \h </w:instrText>
      </w:r>
      <w:r>
        <w:fldChar w:fldCharType="separate"/>
      </w:r>
      <w:r w:rsidR="002300AD">
        <w:t>21</w:t>
      </w:r>
      <w:r>
        <w:fldChar w:fldCharType="end"/>
      </w:r>
    </w:p>
    <w:p w14:paraId="07F8A83D" w14:textId="37F034E4" w:rsidR="00E64798" w:rsidRDefault="00E64798" w:rsidP="00E64798">
      <w:pPr>
        <w:pStyle w:val="TOC3"/>
        <w:tabs>
          <w:tab w:val="right" w:leader="dot" w:pos="8280"/>
        </w:tabs>
        <w:rPr>
          <w:rFonts w:eastAsiaTheme="minorEastAsia" w:cstheme="minorBidi"/>
          <w:i w:val="0"/>
          <w:noProof/>
          <w:color w:val="auto"/>
          <w:lang w:val="en-US" w:eastAsia="en-US"/>
        </w:rPr>
      </w:pPr>
      <w:r>
        <w:rPr>
          <w:noProof/>
        </w:rPr>
        <w:t>2.3.1</w:t>
      </w:r>
      <w:r>
        <w:rPr>
          <w:rFonts w:eastAsiaTheme="minorEastAsia" w:cstheme="minorBidi"/>
          <w:i w:val="0"/>
          <w:noProof/>
          <w:color w:val="auto"/>
          <w:lang w:val="en-US" w:eastAsia="en-US"/>
        </w:rPr>
        <w:tab/>
      </w:r>
      <w:r>
        <w:rPr>
          <w:noProof/>
        </w:rPr>
        <w:t>Refrigerant selection considerations</w:t>
      </w:r>
      <w:r>
        <w:rPr>
          <w:noProof/>
        </w:rPr>
        <w:tab/>
      </w:r>
      <w:r>
        <w:rPr>
          <w:noProof/>
        </w:rPr>
        <w:fldChar w:fldCharType="begin"/>
      </w:r>
      <w:r>
        <w:rPr>
          <w:noProof/>
        </w:rPr>
        <w:instrText xml:space="preserve"> PAGEREF _Toc515454366 \h </w:instrText>
      </w:r>
      <w:r>
        <w:rPr>
          <w:noProof/>
        </w:rPr>
      </w:r>
      <w:r>
        <w:rPr>
          <w:noProof/>
        </w:rPr>
        <w:fldChar w:fldCharType="separate"/>
      </w:r>
      <w:r w:rsidR="002300AD">
        <w:rPr>
          <w:noProof/>
        </w:rPr>
        <w:t>21</w:t>
      </w:r>
      <w:r>
        <w:rPr>
          <w:noProof/>
        </w:rPr>
        <w:fldChar w:fldCharType="end"/>
      </w:r>
    </w:p>
    <w:p w14:paraId="695ADE96" w14:textId="0200EE9E" w:rsidR="00E64798" w:rsidRDefault="00E64798" w:rsidP="00E64798">
      <w:pPr>
        <w:pStyle w:val="TOC3"/>
        <w:tabs>
          <w:tab w:val="right" w:leader="dot" w:pos="8280"/>
        </w:tabs>
        <w:rPr>
          <w:rFonts w:eastAsiaTheme="minorEastAsia" w:cstheme="minorBidi"/>
          <w:i w:val="0"/>
          <w:noProof/>
          <w:color w:val="auto"/>
          <w:lang w:val="en-US" w:eastAsia="en-US"/>
        </w:rPr>
      </w:pPr>
      <w:r>
        <w:rPr>
          <w:noProof/>
        </w:rPr>
        <w:t>2.3.2</w:t>
      </w:r>
      <w:r>
        <w:rPr>
          <w:rFonts w:eastAsiaTheme="minorEastAsia" w:cstheme="minorBidi"/>
          <w:i w:val="0"/>
          <w:noProof/>
          <w:color w:val="auto"/>
          <w:lang w:val="en-US" w:eastAsia="en-US"/>
        </w:rPr>
        <w:tab/>
      </w:r>
      <w:r>
        <w:rPr>
          <w:noProof/>
        </w:rPr>
        <w:t>System design considerations</w:t>
      </w:r>
      <w:r>
        <w:rPr>
          <w:noProof/>
        </w:rPr>
        <w:tab/>
      </w:r>
      <w:r>
        <w:rPr>
          <w:noProof/>
        </w:rPr>
        <w:fldChar w:fldCharType="begin"/>
      </w:r>
      <w:r>
        <w:rPr>
          <w:noProof/>
        </w:rPr>
        <w:instrText xml:space="preserve"> PAGEREF _Toc515454367 \h </w:instrText>
      </w:r>
      <w:r>
        <w:rPr>
          <w:noProof/>
        </w:rPr>
      </w:r>
      <w:r>
        <w:rPr>
          <w:noProof/>
        </w:rPr>
        <w:fldChar w:fldCharType="separate"/>
      </w:r>
      <w:r w:rsidR="002300AD">
        <w:rPr>
          <w:noProof/>
        </w:rPr>
        <w:t>21</w:t>
      </w:r>
      <w:r>
        <w:rPr>
          <w:noProof/>
        </w:rPr>
        <w:fldChar w:fldCharType="end"/>
      </w:r>
    </w:p>
    <w:p w14:paraId="5E1A0F32" w14:textId="33B6EE4C" w:rsidR="00E64798" w:rsidRDefault="00E64798" w:rsidP="00E64798">
      <w:pPr>
        <w:pStyle w:val="TOC3"/>
        <w:tabs>
          <w:tab w:val="right" w:leader="dot" w:pos="8280"/>
        </w:tabs>
        <w:rPr>
          <w:rFonts w:eastAsiaTheme="minorEastAsia" w:cstheme="minorBidi"/>
          <w:i w:val="0"/>
          <w:noProof/>
          <w:color w:val="auto"/>
          <w:lang w:val="en-US" w:eastAsia="en-US"/>
        </w:rPr>
      </w:pPr>
      <w:r>
        <w:rPr>
          <w:noProof/>
        </w:rPr>
        <w:t>2.3.3</w:t>
      </w:r>
      <w:r>
        <w:rPr>
          <w:rFonts w:eastAsiaTheme="minorEastAsia" w:cstheme="minorBidi"/>
          <w:i w:val="0"/>
          <w:noProof/>
          <w:color w:val="auto"/>
          <w:lang w:val="en-US" w:eastAsia="en-US"/>
        </w:rPr>
        <w:tab/>
      </w:r>
      <w:r>
        <w:rPr>
          <w:noProof/>
        </w:rPr>
        <w:t>Manufacturing sustainability considerations</w:t>
      </w:r>
      <w:r>
        <w:rPr>
          <w:noProof/>
        </w:rPr>
        <w:tab/>
      </w:r>
      <w:r>
        <w:rPr>
          <w:noProof/>
        </w:rPr>
        <w:fldChar w:fldCharType="begin"/>
      </w:r>
      <w:r>
        <w:rPr>
          <w:noProof/>
        </w:rPr>
        <w:instrText xml:space="preserve"> PAGEREF _Toc515454368 \h </w:instrText>
      </w:r>
      <w:r>
        <w:rPr>
          <w:noProof/>
        </w:rPr>
      </w:r>
      <w:r>
        <w:rPr>
          <w:noProof/>
        </w:rPr>
        <w:fldChar w:fldCharType="separate"/>
      </w:r>
      <w:r w:rsidR="002300AD">
        <w:rPr>
          <w:noProof/>
        </w:rPr>
        <w:t>22</w:t>
      </w:r>
      <w:r>
        <w:rPr>
          <w:noProof/>
        </w:rPr>
        <w:fldChar w:fldCharType="end"/>
      </w:r>
    </w:p>
    <w:p w14:paraId="28C5EC7F" w14:textId="466253AC" w:rsidR="00E64798" w:rsidRDefault="00E64798" w:rsidP="00E64798">
      <w:pPr>
        <w:pStyle w:val="TOC3"/>
        <w:tabs>
          <w:tab w:val="right" w:leader="dot" w:pos="8280"/>
        </w:tabs>
        <w:rPr>
          <w:rFonts w:eastAsiaTheme="minorEastAsia" w:cstheme="minorBidi"/>
          <w:i w:val="0"/>
          <w:noProof/>
          <w:color w:val="auto"/>
          <w:lang w:val="en-US" w:eastAsia="en-US"/>
        </w:rPr>
      </w:pPr>
      <w:r>
        <w:rPr>
          <w:noProof/>
        </w:rPr>
        <w:t>2.3.4</w:t>
      </w:r>
      <w:r>
        <w:rPr>
          <w:rFonts w:eastAsiaTheme="minorEastAsia" w:cstheme="minorBidi"/>
          <w:i w:val="0"/>
          <w:noProof/>
          <w:color w:val="auto"/>
          <w:lang w:val="en-US" w:eastAsia="en-US"/>
        </w:rPr>
        <w:tab/>
      </w:r>
      <w:r>
        <w:rPr>
          <w:noProof/>
        </w:rPr>
        <w:t>Installation, service and safety considerations</w:t>
      </w:r>
      <w:r>
        <w:rPr>
          <w:noProof/>
        </w:rPr>
        <w:tab/>
      </w:r>
      <w:r>
        <w:rPr>
          <w:noProof/>
        </w:rPr>
        <w:fldChar w:fldCharType="begin"/>
      </w:r>
      <w:r>
        <w:rPr>
          <w:noProof/>
        </w:rPr>
        <w:instrText xml:space="preserve"> PAGEREF _Toc515454369 \h </w:instrText>
      </w:r>
      <w:r>
        <w:rPr>
          <w:noProof/>
        </w:rPr>
      </w:r>
      <w:r>
        <w:rPr>
          <w:noProof/>
        </w:rPr>
        <w:fldChar w:fldCharType="separate"/>
      </w:r>
      <w:r w:rsidR="002300AD">
        <w:rPr>
          <w:noProof/>
        </w:rPr>
        <w:t>22</w:t>
      </w:r>
      <w:r>
        <w:rPr>
          <w:noProof/>
        </w:rPr>
        <w:fldChar w:fldCharType="end"/>
      </w:r>
    </w:p>
    <w:p w14:paraId="4C0E9D3A" w14:textId="7D55760F" w:rsidR="00E64798" w:rsidRDefault="00E64798" w:rsidP="00E64798">
      <w:pPr>
        <w:pStyle w:val="TOC3"/>
        <w:tabs>
          <w:tab w:val="right" w:leader="dot" w:pos="8280"/>
        </w:tabs>
        <w:rPr>
          <w:rFonts w:eastAsiaTheme="minorEastAsia" w:cstheme="minorBidi"/>
          <w:i w:val="0"/>
          <w:noProof/>
          <w:color w:val="auto"/>
          <w:lang w:val="en-US" w:eastAsia="en-US"/>
        </w:rPr>
      </w:pPr>
      <w:r>
        <w:rPr>
          <w:noProof/>
        </w:rPr>
        <w:t>2.3.5</w:t>
      </w:r>
      <w:r>
        <w:rPr>
          <w:rFonts w:eastAsiaTheme="minorEastAsia" w:cstheme="minorBidi"/>
          <w:i w:val="0"/>
          <w:noProof/>
          <w:color w:val="auto"/>
          <w:lang w:val="en-US" w:eastAsia="en-US"/>
        </w:rPr>
        <w:tab/>
      </w:r>
      <w:r>
        <w:rPr>
          <w:noProof/>
        </w:rPr>
        <w:t>Summary of HAT considerations</w:t>
      </w:r>
      <w:r>
        <w:rPr>
          <w:noProof/>
        </w:rPr>
        <w:tab/>
      </w:r>
      <w:r>
        <w:rPr>
          <w:noProof/>
        </w:rPr>
        <w:fldChar w:fldCharType="begin"/>
      </w:r>
      <w:r>
        <w:rPr>
          <w:noProof/>
        </w:rPr>
        <w:instrText xml:space="preserve"> PAGEREF _Toc515454370 \h </w:instrText>
      </w:r>
      <w:r>
        <w:rPr>
          <w:noProof/>
        </w:rPr>
      </w:r>
      <w:r>
        <w:rPr>
          <w:noProof/>
        </w:rPr>
        <w:fldChar w:fldCharType="separate"/>
      </w:r>
      <w:r w:rsidR="002300AD">
        <w:rPr>
          <w:noProof/>
        </w:rPr>
        <w:t>23</w:t>
      </w:r>
      <w:r>
        <w:rPr>
          <w:noProof/>
        </w:rPr>
        <w:fldChar w:fldCharType="end"/>
      </w:r>
    </w:p>
    <w:p w14:paraId="67B292C9" w14:textId="3DBA1BFC" w:rsidR="00E64798" w:rsidRDefault="00E64798">
      <w:pPr>
        <w:pStyle w:val="TOC2"/>
        <w:rPr>
          <w:rFonts w:eastAsiaTheme="minorEastAsia" w:cstheme="minorBidi"/>
          <w:color w:val="auto"/>
          <w:lang w:val="en-US" w:eastAsia="en-US"/>
        </w:rPr>
      </w:pPr>
      <w:r>
        <w:t>2.4</w:t>
      </w:r>
      <w:r>
        <w:rPr>
          <w:rFonts w:eastAsiaTheme="minorEastAsia" w:cstheme="minorBidi"/>
          <w:color w:val="auto"/>
          <w:lang w:val="en-US" w:eastAsia="en-US"/>
        </w:rPr>
        <w:tab/>
      </w:r>
      <w:r>
        <w:t>Environmental benefits in terms of CO2eq</w:t>
      </w:r>
      <w:r>
        <w:tab/>
      </w:r>
      <w:r>
        <w:fldChar w:fldCharType="begin"/>
      </w:r>
      <w:r>
        <w:instrText xml:space="preserve"> PAGEREF _Toc515454371 \h </w:instrText>
      </w:r>
      <w:r>
        <w:fldChar w:fldCharType="separate"/>
      </w:r>
      <w:r w:rsidR="002300AD">
        <w:t>24</w:t>
      </w:r>
      <w:r>
        <w:fldChar w:fldCharType="end"/>
      </w:r>
    </w:p>
    <w:p w14:paraId="48B60542" w14:textId="7FE3DA44" w:rsidR="00E64798" w:rsidRDefault="00E64798" w:rsidP="00E64798">
      <w:pPr>
        <w:pStyle w:val="TOC3"/>
        <w:tabs>
          <w:tab w:val="right" w:leader="dot" w:pos="8280"/>
        </w:tabs>
        <w:rPr>
          <w:rFonts w:eastAsiaTheme="minorEastAsia" w:cstheme="minorBidi"/>
          <w:i w:val="0"/>
          <w:noProof/>
          <w:color w:val="auto"/>
          <w:lang w:val="en-US" w:eastAsia="en-US"/>
        </w:rPr>
      </w:pPr>
      <w:r>
        <w:rPr>
          <w:noProof/>
        </w:rPr>
        <w:t>2.4.1</w:t>
      </w:r>
      <w:r>
        <w:rPr>
          <w:rFonts w:eastAsiaTheme="minorEastAsia" w:cstheme="minorBidi"/>
          <w:i w:val="0"/>
          <w:noProof/>
          <w:color w:val="auto"/>
          <w:lang w:val="en-US" w:eastAsia="en-US"/>
        </w:rPr>
        <w:tab/>
      </w:r>
      <w:r>
        <w:rPr>
          <w:noProof/>
        </w:rPr>
        <w:t>Background</w:t>
      </w:r>
      <w:r>
        <w:rPr>
          <w:noProof/>
        </w:rPr>
        <w:tab/>
      </w:r>
      <w:r>
        <w:rPr>
          <w:noProof/>
        </w:rPr>
        <w:fldChar w:fldCharType="begin"/>
      </w:r>
      <w:r>
        <w:rPr>
          <w:noProof/>
        </w:rPr>
        <w:instrText xml:space="preserve"> PAGEREF _Toc515454372 \h </w:instrText>
      </w:r>
      <w:r>
        <w:rPr>
          <w:noProof/>
        </w:rPr>
      </w:r>
      <w:r>
        <w:rPr>
          <w:noProof/>
        </w:rPr>
        <w:fldChar w:fldCharType="separate"/>
      </w:r>
      <w:r w:rsidR="002300AD">
        <w:rPr>
          <w:noProof/>
        </w:rPr>
        <w:t>24</w:t>
      </w:r>
      <w:r>
        <w:rPr>
          <w:noProof/>
        </w:rPr>
        <w:fldChar w:fldCharType="end"/>
      </w:r>
    </w:p>
    <w:p w14:paraId="09F47F75" w14:textId="2A5ADE33" w:rsidR="00E64798" w:rsidRDefault="00E64798" w:rsidP="00E64798">
      <w:pPr>
        <w:pStyle w:val="TOC3"/>
        <w:tabs>
          <w:tab w:val="right" w:leader="dot" w:pos="8280"/>
        </w:tabs>
        <w:rPr>
          <w:rFonts w:eastAsiaTheme="minorEastAsia" w:cstheme="minorBidi"/>
          <w:i w:val="0"/>
          <w:noProof/>
          <w:color w:val="auto"/>
          <w:lang w:val="en-US" w:eastAsia="en-US"/>
        </w:rPr>
      </w:pPr>
      <w:r>
        <w:rPr>
          <w:noProof/>
        </w:rPr>
        <w:t>2.4.2</w:t>
      </w:r>
      <w:r>
        <w:rPr>
          <w:rFonts w:eastAsiaTheme="minorEastAsia" w:cstheme="minorBidi"/>
          <w:i w:val="0"/>
          <w:noProof/>
          <w:color w:val="auto"/>
          <w:lang w:val="en-US" w:eastAsia="en-US"/>
        </w:rPr>
        <w:tab/>
      </w:r>
      <w:r>
        <w:rPr>
          <w:noProof/>
        </w:rPr>
        <w:t>Methodologies</w:t>
      </w:r>
      <w:r>
        <w:rPr>
          <w:noProof/>
        </w:rPr>
        <w:tab/>
      </w:r>
      <w:r>
        <w:rPr>
          <w:noProof/>
        </w:rPr>
        <w:fldChar w:fldCharType="begin"/>
      </w:r>
      <w:r>
        <w:rPr>
          <w:noProof/>
        </w:rPr>
        <w:instrText xml:space="preserve"> PAGEREF _Toc515454373 \h </w:instrText>
      </w:r>
      <w:r>
        <w:rPr>
          <w:noProof/>
        </w:rPr>
      </w:r>
      <w:r>
        <w:rPr>
          <w:noProof/>
        </w:rPr>
        <w:fldChar w:fldCharType="separate"/>
      </w:r>
      <w:r w:rsidR="002300AD">
        <w:rPr>
          <w:noProof/>
        </w:rPr>
        <w:t>25</w:t>
      </w:r>
      <w:r>
        <w:rPr>
          <w:noProof/>
        </w:rPr>
        <w:fldChar w:fldCharType="end"/>
      </w:r>
    </w:p>
    <w:p w14:paraId="03CA741D" w14:textId="75D817CF" w:rsidR="00E64798" w:rsidRDefault="00E64798" w:rsidP="00E64798">
      <w:pPr>
        <w:pStyle w:val="TOC3"/>
        <w:tabs>
          <w:tab w:val="right" w:leader="dot" w:pos="8280"/>
        </w:tabs>
        <w:rPr>
          <w:rFonts w:eastAsiaTheme="minorEastAsia" w:cstheme="minorBidi"/>
          <w:i w:val="0"/>
          <w:noProof/>
          <w:color w:val="auto"/>
          <w:lang w:val="en-US" w:eastAsia="en-US"/>
        </w:rPr>
      </w:pPr>
      <w:r>
        <w:rPr>
          <w:noProof/>
        </w:rPr>
        <w:t>2.4.3</w:t>
      </w:r>
      <w:r>
        <w:rPr>
          <w:rFonts w:eastAsiaTheme="minorEastAsia" w:cstheme="minorBidi"/>
          <w:i w:val="0"/>
          <w:noProof/>
          <w:color w:val="auto"/>
          <w:lang w:val="en-US" w:eastAsia="en-US"/>
        </w:rPr>
        <w:tab/>
      </w:r>
      <w:r>
        <w:rPr>
          <w:noProof/>
        </w:rPr>
        <w:t>Calculating environmental benefits</w:t>
      </w:r>
      <w:r>
        <w:rPr>
          <w:noProof/>
        </w:rPr>
        <w:tab/>
      </w:r>
      <w:r>
        <w:rPr>
          <w:noProof/>
        </w:rPr>
        <w:fldChar w:fldCharType="begin"/>
      </w:r>
      <w:r>
        <w:rPr>
          <w:noProof/>
        </w:rPr>
        <w:instrText xml:space="preserve"> PAGEREF _Toc515454374 \h </w:instrText>
      </w:r>
      <w:r>
        <w:rPr>
          <w:noProof/>
        </w:rPr>
      </w:r>
      <w:r>
        <w:rPr>
          <w:noProof/>
        </w:rPr>
        <w:fldChar w:fldCharType="separate"/>
      </w:r>
      <w:r w:rsidR="002300AD">
        <w:rPr>
          <w:noProof/>
        </w:rPr>
        <w:t>25</w:t>
      </w:r>
      <w:r>
        <w:rPr>
          <w:noProof/>
        </w:rPr>
        <w:fldChar w:fldCharType="end"/>
      </w:r>
    </w:p>
    <w:p w14:paraId="08D53064" w14:textId="3988F7AB" w:rsidR="00E64798" w:rsidRDefault="00E64798">
      <w:pPr>
        <w:pStyle w:val="TOC2"/>
        <w:rPr>
          <w:rFonts w:eastAsiaTheme="minorEastAsia" w:cstheme="minorBidi"/>
          <w:color w:val="auto"/>
          <w:lang w:val="en-US" w:eastAsia="en-US"/>
        </w:rPr>
      </w:pPr>
      <w:r>
        <w:t>2.5</w:t>
      </w:r>
      <w:r>
        <w:rPr>
          <w:rFonts w:eastAsiaTheme="minorEastAsia" w:cstheme="minorBidi"/>
          <w:color w:val="auto"/>
          <w:lang w:val="en-US" w:eastAsia="en-US"/>
        </w:rPr>
        <w:tab/>
      </w:r>
      <w:r>
        <w:t>Servicing sector requirements</w:t>
      </w:r>
      <w:r>
        <w:tab/>
      </w:r>
      <w:r>
        <w:fldChar w:fldCharType="begin"/>
      </w:r>
      <w:r>
        <w:instrText xml:space="preserve"> PAGEREF _Toc515454375 \h </w:instrText>
      </w:r>
      <w:r>
        <w:fldChar w:fldCharType="separate"/>
      </w:r>
      <w:r w:rsidR="002300AD">
        <w:t>30</w:t>
      </w:r>
      <w:r>
        <w:fldChar w:fldCharType="end"/>
      </w:r>
    </w:p>
    <w:p w14:paraId="75AE141D" w14:textId="413D5C18" w:rsidR="00E64798" w:rsidRDefault="00E64798" w:rsidP="00E64798">
      <w:pPr>
        <w:pStyle w:val="TOC3"/>
        <w:tabs>
          <w:tab w:val="right" w:leader="dot" w:pos="8280"/>
        </w:tabs>
        <w:rPr>
          <w:rFonts w:eastAsiaTheme="minorEastAsia" w:cstheme="minorBidi"/>
          <w:i w:val="0"/>
          <w:noProof/>
          <w:color w:val="auto"/>
          <w:lang w:val="en-US" w:eastAsia="en-US"/>
        </w:rPr>
      </w:pPr>
      <w:r>
        <w:rPr>
          <w:noProof/>
        </w:rPr>
        <w:t>2.5.1</w:t>
      </w:r>
      <w:r>
        <w:rPr>
          <w:rFonts w:eastAsiaTheme="minorEastAsia" w:cstheme="minorBidi"/>
          <w:i w:val="0"/>
          <w:noProof/>
          <w:color w:val="auto"/>
          <w:lang w:val="en-US" w:eastAsia="en-US"/>
        </w:rPr>
        <w:tab/>
      </w:r>
      <w:r>
        <w:rPr>
          <w:noProof/>
        </w:rPr>
        <w:t>Servicing sector impact on EE</w:t>
      </w:r>
      <w:r>
        <w:rPr>
          <w:noProof/>
        </w:rPr>
        <w:tab/>
      </w:r>
      <w:r>
        <w:rPr>
          <w:noProof/>
        </w:rPr>
        <w:fldChar w:fldCharType="begin"/>
      </w:r>
      <w:r>
        <w:rPr>
          <w:noProof/>
        </w:rPr>
        <w:instrText xml:space="preserve"> PAGEREF _Toc515454376 \h </w:instrText>
      </w:r>
      <w:r>
        <w:rPr>
          <w:noProof/>
        </w:rPr>
      </w:r>
      <w:r>
        <w:rPr>
          <w:noProof/>
        </w:rPr>
        <w:fldChar w:fldCharType="separate"/>
      </w:r>
      <w:r w:rsidR="002300AD">
        <w:rPr>
          <w:noProof/>
        </w:rPr>
        <w:t>30</w:t>
      </w:r>
      <w:r>
        <w:rPr>
          <w:noProof/>
        </w:rPr>
        <w:fldChar w:fldCharType="end"/>
      </w:r>
    </w:p>
    <w:p w14:paraId="324687AF" w14:textId="084C8637" w:rsidR="00E64798" w:rsidRDefault="00E64798" w:rsidP="00E64798">
      <w:pPr>
        <w:pStyle w:val="TOC3"/>
        <w:tabs>
          <w:tab w:val="right" w:leader="dot" w:pos="8280"/>
        </w:tabs>
        <w:rPr>
          <w:rFonts w:eastAsiaTheme="minorEastAsia" w:cstheme="minorBidi"/>
          <w:i w:val="0"/>
          <w:noProof/>
          <w:color w:val="auto"/>
          <w:lang w:val="en-US" w:eastAsia="en-US"/>
        </w:rPr>
      </w:pPr>
      <w:r>
        <w:rPr>
          <w:noProof/>
        </w:rPr>
        <w:t>2.5.2 Benefits achieved through better servicing</w:t>
      </w:r>
      <w:r>
        <w:rPr>
          <w:noProof/>
        </w:rPr>
        <w:tab/>
      </w:r>
      <w:r>
        <w:rPr>
          <w:noProof/>
        </w:rPr>
        <w:fldChar w:fldCharType="begin"/>
      </w:r>
      <w:r>
        <w:rPr>
          <w:noProof/>
        </w:rPr>
        <w:instrText xml:space="preserve"> PAGEREF _Toc515454377 \h </w:instrText>
      </w:r>
      <w:r>
        <w:rPr>
          <w:noProof/>
        </w:rPr>
      </w:r>
      <w:r>
        <w:rPr>
          <w:noProof/>
        </w:rPr>
        <w:fldChar w:fldCharType="separate"/>
      </w:r>
      <w:r w:rsidR="002300AD">
        <w:rPr>
          <w:noProof/>
        </w:rPr>
        <w:t>32</w:t>
      </w:r>
      <w:r>
        <w:rPr>
          <w:noProof/>
        </w:rPr>
        <w:fldChar w:fldCharType="end"/>
      </w:r>
    </w:p>
    <w:p w14:paraId="56D014D2" w14:textId="0AD9594D" w:rsidR="00E64798" w:rsidRDefault="00E64798" w:rsidP="00E64798">
      <w:pPr>
        <w:pStyle w:val="TOC3"/>
        <w:tabs>
          <w:tab w:val="right" w:leader="dot" w:pos="8280"/>
        </w:tabs>
        <w:rPr>
          <w:rFonts w:eastAsiaTheme="minorEastAsia" w:cstheme="minorBidi"/>
          <w:i w:val="0"/>
          <w:noProof/>
          <w:color w:val="auto"/>
          <w:lang w:val="en-US" w:eastAsia="en-US"/>
        </w:rPr>
      </w:pPr>
      <w:r>
        <w:rPr>
          <w:noProof/>
        </w:rPr>
        <w:t xml:space="preserve">2.5.3 Maintaining and/or increasing EE in the maintenance and installation </w:t>
      </w:r>
      <w:r>
        <w:rPr>
          <w:noProof/>
        </w:rPr>
        <w:br/>
        <w:t>sub-sector</w:t>
      </w:r>
      <w:r>
        <w:rPr>
          <w:noProof/>
        </w:rPr>
        <w:tab/>
      </w:r>
      <w:r>
        <w:rPr>
          <w:noProof/>
        </w:rPr>
        <w:fldChar w:fldCharType="begin"/>
      </w:r>
      <w:r>
        <w:rPr>
          <w:noProof/>
        </w:rPr>
        <w:instrText xml:space="preserve"> PAGEREF _Toc515454378 \h </w:instrText>
      </w:r>
      <w:r>
        <w:rPr>
          <w:noProof/>
        </w:rPr>
      </w:r>
      <w:r>
        <w:rPr>
          <w:noProof/>
        </w:rPr>
        <w:fldChar w:fldCharType="separate"/>
      </w:r>
      <w:r w:rsidR="002300AD">
        <w:rPr>
          <w:noProof/>
        </w:rPr>
        <w:t>33</w:t>
      </w:r>
      <w:r>
        <w:rPr>
          <w:noProof/>
        </w:rPr>
        <w:fldChar w:fldCharType="end"/>
      </w:r>
    </w:p>
    <w:p w14:paraId="07BBAABD" w14:textId="6CFD26F7" w:rsidR="00E64798" w:rsidRDefault="00E64798">
      <w:pPr>
        <w:pStyle w:val="TOC2"/>
        <w:rPr>
          <w:rFonts w:eastAsiaTheme="minorEastAsia" w:cstheme="minorBidi"/>
          <w:color w:val="auto"/>
          <w:lang w:val="en-US" w:eastAsia="en-US"/>
        </w:rPr>
      </w:pPr>
      <w:r>
        <w:t>2.6</w:t>
      </w:r>
      <w:r>
        <w:rPr>
          <w:rFonts w:eastAsiaTheme="minorEastAsia" w:cstheme="minorBidi"/>
          <w:color w:val="auto"/>
          <w:lang w:val="en-US" w:eastAsia="en-US"/>
        </w:rPr>
        <w:tab/>
      </w:r>
      <w:r>
        <w:t>Capacity building requirements</w:t>
      </w:r>
      <w:r>
        <w:tab/>
      </w:r>
      <w:r>
        <w:fldChar w:fldCharType="begin"/>
      </w:r>
      <w:r>
        <w:instrText xml:space="preserve"> PAGEREF _Toc515454379 \h </w:instrText>
      </w:r>
      <w:r>
        <w:fldChar w:fldCharType="separate"/>
      </w:r>
      <w:r w:rsidR="002300AD">
        <w:t>34</w:t>
      </w:r>
      <w:r>
        <w:fldChar w:fldCharType="end"/>
      </w:r>
    </w:p>
    <w:p w14:paraId="4591BE18" w14:textId="39EC5797" w:rsidR="00E64798" w:rsidRDefault="00E64798" w:rsidP="00E64798">
      <w:pPr>
        <w:pStyle w:val="TOC3"/>
        <w:tabs>
          <w:tab w:val="right" w:leader="dot" w:pos="8280"/>
        </w:tabs>
        <w:rPr>
          <w:rFonts w:eastAsiaTheme="minorEastAsia" w:cstheme="minorBidi"/>
          <w:i w:val="0"/>
          <w:noProof/>
          <w:color w:val="auto"/>
          <w:lang w:val="en-US" w:eastAsia="en-US"/>
        </w:rPr>
      </w:pPr>
      <w:r>
        <w:rPr>
          <w:noProof/>
        </w:rPr>
        <w:t>2.6.1</w:t>
      </w:r>
      <w:r>
        <w:rPr>
          <w:rFonts w:eastAsiaTheme="minorEastAsia" w:cstheme="minorBidi"/>
          <w:i w:val="0"/>
          <w:noProof/>
          <w:color w:val="auto"/>
          <w:lang w:val="en-US" w:eastAsia="en-US"/>
        </w:rPr>
        <w:tab/>
      </w:r>
      <w:r>
        <w:rPr>
          <w:noProof/>
        </w:rPr>
        <w:t>Bridging enabling activities</w:t>
      </w:r>
      <w:r>
        <w:rPr>
          <w:noProof/>
        </w:rPr>
        <w:tab/>
      </w:r>
      <w:r>
        <w:rPr>
          <w:noProof/>
        </w:rPr>
        <w:fldChar w:fldCharType="begin"/>
      </w:r>
      <w:r>
        <w:rPr>
          <w:noProof/>
        </w:rPr>
        <w:instrText xml:space="preserve"> PAGEREF _Toc515454380 \h </w:instrText>
      </w:r>
      <w:r>
        <w:rPr>
          <w:noProof/>
        </w:rPr>
      </w:r>
      <w:r>
        <w:rPr>
          <w:noProof/>
        </w:rPr>
        <w:fldChar w:fldCharType="separate"/>
      </w:r>
      <w:r w:rsidR="002300AD">
        <w:rPr>
          <w:noProof/>
        </w:rPr>
        <w:t>34</w:t>
      </w:r>
      <w:r>
        <w:rPr>
          <w:noProof/>
        </w:rPr>
        <w:fldChar w:fldCharType="end"/>
      </w:r>
    </w:p>
    <w:p w14:paraId="033689B8" w14:textId="19F80A97" w:rsidR="00E64798" w:rsidRDefault="00E64798" w:rsidP="00E64798">
      <w:pPr>
        <w:pStyle w:val="TOC3"/>
        <w:tabs>
          <w:tab w:val="right" w:leader="dot" w:pos="8280"/>
        </w:tabs>
        <w:rPr>
          <w:rFonts w:eastAsiaTheme="minorEastAsia" w:cstheme="minorBidi"/>
          <w:i w:val="0"/>
          <w:noProof/>
          <w:color w:val="auto"/>
          <w:lang w:val="en-US" w:eastAsia="en-US"/>
        </w:rPr>
      </w:pPr>
      <w:r>
        <w:rPr>
          <w:noProof/>
        </w:rPr>
        <w:t>2.6.2</w:t>
      </w:r>
      <w:r>
        <w:rPr>
          <w:rFonts w:eastAsiaTheme="minorEastAsia" w:cstheme="minorBidi"/>
          <w:i w:val="0"/>
          <w:noProof/>
          <w:color w:val="auto"/>
          <w:lang w:val="en-US" w:eastAsia="en-US"/>
        </w:rPr>
        <w:tab/>
      </w:r>
      <w:r>
        <w:rPr>
          <w:noProof/>
        </w:rPr>
        <w:t>Capacity building and training</w:t>
      </w:r>
      <w:r>
        <w:rPr>
          <w:noProof/>
        </w:rPr>
        <w:tab/>
      </w:r>
      <w:r>
        <w:rPr>
          <w:noProof/>
        </w:rPr>
        <w:fldChar w:fldCharType="begin"/>
      </w:r>
      <w:r>
        <w:rPr>
          <w:noProof/>
        </w:rPr>
        <w:instrText xml:space="preserve"> PAGEREF _Toc515454381 \h </w:instrText>
      </w:r>
      <w:r>
        <w:rPr>
          <w:noProof/>
        </w:rPr>
      </w:r>
      <w:r>
        <w:rPr>
          <w:noProof/>
        </w:rPr>
        <w:fldChar w:fldCharType="separate"/>
      </w:r>
      <w:r w:rsidR="002300AD">
        <w:rPr>
          <w:noProof/>
        </w:rPr>
        <w:t>35</w:t>
      </w:r>
      <w:r>
        <w:rPr>
          <w:noProof/>
        </w:rPr>
        <w:fldChar w:fldCharType="end"/>
      </w:r>
    </w:p>
    <w:p w14:paraId="5E4E1A01" w14:textId="30747670" w:rsidR="00E64798" w:rsidRDefault="00E64798" w:rsidP="00E64798">
      <w:pPr>
        <w:pStyle w:val="TOC3"/>
        <w:tabs>
          <w:tab w:val="right" w:leader="dot" w:pos="8280"/>
        </w:tabs>
        <w:rPr>
          <w:rFonts w:eastAsiaTheme="minorEastAsia" w:cstheme="minorBidi"/>
          <w:i w:val="0"/>
          <w:noProof/>
          <w:color w:val="auto"/>
          <w:lang w:val="en-US" w:eastAsia="en-US"/>
        </w:rPr>
      </w:pPr>
      <w:r>
        <w:rPr>
          <w:noProof/>
        </w:rPr>
        <w:t>2.6.3</w:t>
      </w:r>
      <w:r>
        <w:rPr>
          <w:rFonts w:eastAsiaTheme="minorEastAsia" w:cstheme="minorBidi"/>
          <w:i w:val="0"/>
          <w:noProof/>
          <w:color w:val="auto"/>
          <w:lang w:val="en-US" w:eastAsia="en-US"/>
        </w:rPr>
        <w:tab/>
      </w:r>
      <w:r>
        <w:rPr>
          <w:noProof/>
        </w:rPr>
        <w:t>Institutional strengthening</w:t>
      </w:r>
      <w:r>
        <w:rPr>
          <w:noProof/>
        </w:rPr>
        <w:tab/>
      </w:r>
      <w:r>
        <w:rPr>
          <w:noProof/>
        </w:rPr>
        <w:fldChar w:fldCharType="begin"/>
      </w:r>
      <w:r>
        <w:rPr>
          <w:noProof/>
        </w:rPr>
        <w:instrText xml:space="preserve"> PAGEREF _Toc515454382 \h </w:instrText>
      </w:r>
      <w:r>
        <w:rPr>
          <w:noProof/>
        </w:rPr>
      </w:r>
      <w:r>
        <w:rPr>
          <w:noProof/>
        </w:rPr>
        <w:fldChar w:fldCharType="separate"/>
      </w:r>
      <w:r w:rsidR="002300AD">
        <w:rPr>
          <w:noProof/>
        </w:rPr>
        <w:t>35</w:t>
      </w:r>
      <w:r>
        <w:rPr>
          <w:noProof/>
        </w:rPr>
        <w:fldChar w:fldCharType="end"/>
      </w:r>
    </w:p>
    <w:p w14:paraId="7548811D" w14:textId="694F05EE" w:rsidR="00E64798" w:rsidRDefault="00E64798" w:rsidP="00E64798">
      <w:pPr>
        <w:pStyle w:val="TOC3"/>
        <w:tabs>
          <w:tab w:val="right" w:leader="dot" w:pos="8280"/>
        </w:tabs>
        <w:rPr>
          <w:rFonts w:eastAsiaTheme="minorEastAsia" w:cstheme="minorBidi"/>
          <w:i w:val="0"/>
          <w:noProof/>
          <w:color w:val="auto"/>
          <w:lang w:val="en-US" w:eastAsia="en-US"/>
        </w:rPr>
      </w:pPr>
      <w:r>
        <w:rPr>
          <w:noProof/>
        </w:rPr>
        <w:t>2.6.4</w:t>
      </w:r>
      <w:r>
        <w:rPr>
          <w:rFonts w:eastAsiaTheme="minorEastAsia" w:cstheme="minorBidi"/>
          <w:i w:val="0"/>
          <w:noProof/>
          <w:color w:val="auto"/>
          <w:lang w:val="en-US" w:eastAsia="en-US"/>
        </w:rPr>
        <w:tab/>
      </w:r>
      <w:r>
        <w:rPr>
          <w:noProof/>
        </w:rPr>
        <w:t>Demonstration projects</w:t>
      </w:r>
      <w:r>
        <w:rPr>
          <w:noProof/>
        </w:rPr>
        <w:tab/>
      </w:r>
      <w:r>
        <w:rPr>
          <w:noProof/>
        </w:rPr>
        <w:fldChar w:fldCharType="begin"/>
      </w:r>
      <w:r>
        <w:rPr>
          <w:noProof/>
        </w:rPr>
        <w:instrText xml:space="preserve"> PAGEREF _Toc515454383 \h </w:instrText>
      </w:r>
      <w:r>
        <w:rPr>
          <w:noProof/>
        </w:rPr>
      </w:r>
      <w:r>
        <w:rPr>
          <w:noProof/>
        </w:rPr>
        <w:fldChar w:fldCharType="separate"/>
      </w:r>
      <w:r w:rsidR="002300AD">
        <w:rPr>
          <w:noProof/>
        </w:rPr>
        <w:t>35</w:t>
      </w:r>
      <w:r>
        <w:rPr>
          <w:noProof/>
        </w:rPr>
        <w:fldChar w:fldCharType="end"/>
      </w:r>
    </w:p>
    <w:p w14:paraId="798E23D4" w14:textId="756FFE91" w:rsidR="00E64798" w:rsidRDefault="00E64798" w:rsidP="00E64798">
      <w:pPr>
        <w:pStyle w:val="TOC3"/>
        <w:tabs>
          <w:tab w:val="right" w:leader="dot" w:pos="8280"/>
        </w:tabs>
        <w:rPr>
          <w:rFonts w:eastAsiaTheme="minorEastAsia" w:cstheme="minorBidi"/>
          <w:i w:val="0"/>
          <w:noProof/>
          <w:color w:val="auto"/>
          <w:lang w:val="en-US" w:eastAsia="en-US"/>
        </w:rPr>
      </w:pPr>
      <w:r>
        <w:rPr>
          <w:noProof/>
        </w:rPr>
        <w:t>2.6.5</w:t>
      </w:r>
      <w:r>
        <w:rPr>
          <w:rFonts w:eastAsiaTheme="minorEastAsia" w:cstheme="minorBidi"/>
          <w:i w:val="0"/>
          <w:noProof/>
          <w:color w:val="auto"/>
          <w:lang w:val="en-US" w:eastAsia="en-US"/>
        </w:rPr>
        <w:tab/>
      </w:r>
      <w:r>
        <w:rPr>
          <w:noProof/>
        </w:rPr>
        <w:t>Development of national strategies and plans</w:t>
      </w:r>
      <w:r>
        <w:rPr>
          <w:noProof/>
        </w:rPr>
        <w:tab/>
      </w:r>
      <w:r>
        <w:rPr>
          <w:noProof/>
        </w:rPr>
        <w:fldChar w:fldCharType="begin"/>
      </w:r>
      <w:r>
        <w:rPr>
          <w:noProof/>
        </w:rPr>
        <w:instrText xml:space="preserve"> PAGEREF _Toc515454384 \h </w:instrText>
      </w:r>
      <w:r>
        <w:rPr>
          <w:noProof/>
        </w:rPr>
      </w:r>
      <w:r>
        <w:rPr>
          <w:noProof/>
        </w:rPr>
        <w:fldChar w:fldCharType="separate"/>
      </w:r>
      <w:r w:rsidR="002300AD">
        <w:rPr>
          <w:noProof/>
        </w:rPr>
        <w:t>35</w:t>
      </w:r>
      <w:r>
        <w:rPr>
          <w:noProof/>
        </w:rPr>
        <w:fldChar w:fldCharType="end"/>
      </w:r>
    </w:p>
    <w:p w14:paraId="5D01643D" w14:textId="008F6F83" w:rsidR="00E64798" w:rsidRDefault="00E64798" w:rsidP="00E64798">
      <w:pPr>
        <w:pStyle w:val="TOC3"/>
        <w:tabs>
          <w:tab w:val="right" w:leader="dot" w:pos="8280"/>
        </w:tabs>
        <w:rPr>
          <w:rFonts w:eastAsiaTheme="minorEastAsia" w:cstheme="minorBidi"/>
          <w:i w:val="0"/>
          <w:noProof/>
          <w:color w:val="auto"/>
          <w:lang w:val="en-US" w:eastAsia="en-US"/>
        </w:rPr>
      </w:pPr>
      <w:r>
        <w:rPr>
          <w:noProof/>
        </w:rPr>
        <w:t>2.6.6</w:t>
      </w:r>
      <w:r>
        <w:rPr>
          <w:rFonts w:eastAsiaTheme="minorEastAsia" w:cstheme="minorBidi"/>
          <w:i w:val="0"/>
          <w:noProof/>
          <w:color w:val="auto"/>
          <w:lang w:val="en-US" w:eastAsia="en-US"/>
        </w:rPr>
        <w:tab/>
      </w:r>
      <w:r>
        <w:rPr>
          <w:noProof/>
        </w:rPr>
        <w:t>Cost estimates</w:t>
      </w:r>
      <w:r>
        <w:rPr>
          <w:noProof/>
        </w:rPr>
        <w:tab/>
      </w:r>
      <w:r>
        <w:rPr>
          <w:noProof/>
        </w:rPr>
        <w:fldChar w:fldCharType="begin"/>
      </w:r>
      <w:r>
        <w:rPr>
          <w:noProof/>
        </w:rPr>
        <w:instrText xml:space="preserve"> PAGEREF _Toc515454385 \h </w:instrText>
      </w:r>
      <w:r>
        <w:rPr>
          <w:noProof/>
        </w:rPr>
      </w:r>
      <w:r>
        <w:rPr>
          <w:noProof/>
        </w:rPr>
        <w:fldChar w:fldCharType="separate"/>
      </w:r>
      <w:r w:rsidR="002300AD">
        <w:rPr>
          <w:noProof/>
        </w:rPr>
        <w:t>36</w:t>
      </w:r>
      <w:r>
        <w:rPr>
          <w:noProof/>
        </w:rPr>
        <w:fldChar w:fldCharType="end"/>
      </w:r>
    </w:p>
    <w:p w14:paraId="196F6B7A" w14:textId="67905645" w:rsidR="00E64798" w:rsidRDefault="00E64798">
      <w:pPr>
        <w:pStyle w:val="TOC2"/>
        <w:rPr>
          <w:rFonts w:eastAsiaTheme="minorEastAsia" w:cstheme="minorBidi"/>
          <w:color w:val="auto"/>
          <w:lang w:val="en-US" w:eastAsia="en-US"/>
        </w:rPr>
      </w:pPr>
      <w:r>
        <w:t>2.7</w:t>
      </w:r>
      <w:r>
        <w:rPr>
          <w:rFonts w:eastAsiaTheme="minorEastAsia" w:cstheme="minorBidi"/>
          <w:color w:val="auto"/>
          <w:lang w:val="en-US" w:eastAsia="en-US"/>
        </w:rPr>
        <w:tab/>
      </w:r>
      <w:r>
        <w:t>Costs related to technology options for energy efficiency</w:t>
      </w:r>
      <w:r>
        <w:tab/>
      </w:r>
      <w:r>
        <w:fldChar w:fldCharType="begin"/>
      </w:r>
      <w:r>
        <w:instrText xml:space="preserve"> PAGEREF _Toc515454386 \h </w:instrText>
      </w:r>
      <w:r>
        <w:fldChar w:fldCharType="separate"/>
      </w:r>
      <w:r w:rsidR="002300AD">
        <w:t>38</w:t>
      </w:r>
      <w:r>
        <w:fldChar w:fldCharType="end"/>
      </w:r>
    </w:p>
    <w:p w14:paraId="627AEFB3" w14:textId="72E73E4A" w:rsidR="00E64798" w:rsidRDefault="00E64798" w:rsidP="00E64798">
      <w:pPr>
        <w:pStyle w:val="TOC3"/>
        <w:tabs>
          <w:tab w:val="right" w:leader="dot" w:pos="8280"/>
        </w:tabs>
        <w:rPr>
          <w:rFonts w:eastAsiaTheme="minorEastAsia" w:cstheme="minorBidi"/>
          <w:i w:val="0"/>
          <w:noProof/>
          <w:color w:val="auto"/>
          <w:lang w:val="en-US" w:eastAsia="en-US"/>
        </w:rPr>
      </w:pPr>
      <w:r>
        <w:rPr>
          <w:noProof/>
        </w:rPr>
        <w:t>2.7.1</w:t>
      </w:r>
      <w:r>
        <w:rPr>
          <w:rFonts w:eastAsiaTheme="minorEastAsia" w:cstheme="minorBidi"/>
          <w:i w:val="0"/>
          <w:noProof/>
          <w:color w:val="auto"/>
          <w:lang w:val="en-US" w:eastAsia="en-US"/>
        </w:rPr>
        <w:tab/>
      </w:r>
      <w:r>
        <w:rPr>
          <w:noProof/>
        </w:rPr>
        <w:t>Methodology to calculate capital and operating costs</w:t>
      </w:r>
      <w:r>
        <w:rPr>
          <w:noProof/>
        </w:rPr>
        <w:tab/>
      </w:r>
      <w:r>
        <w:rPr>
          <w:noProof/>
        </w:rPr>
        <w:fldChar w:fldCharType="begin"/>
      </w:r>
      <w:r>
        <w:rPr>
          <w:noProof/>
        </w:rPr>
        <w:instrText xml:space="preserve"> PAGEREF _Toc515454387 \h </w:instrText>
      </w:r>
      <w:r>
        <w:rPr>
          <w:noProof/>
        </w:rPr>
      </w:r>
      <w:r>
        <w:rPr>
          <w:noProof/>
        </w:rPr>
        <w:fldChar w:fldCharType="separate"/>
      </w:r>
      <w:r w:rsidR="002300AD">
        <w:rPr>
          <w:noProof/>
        </w:rPr>
        <w:t>39</w:t>
      </w:r>
      <w:r>
        <w:rPr>
          <w:noProof/>
        </w:rPr>
        <w:fldChar w:fldCharType="end"/>
      </w:r>
    </w:p>
    <w:p w14:paraId="214A91B4" w14:textId="36E6B9E1" w:rsidR="00E64798" w:rsidRDefault="00E64798" w:rsidP="00E64798">
      <w:pPr>
        <w:pStyle w:val="TOC3"/>
        <w:tabs>
          <w:tab w:val="right" w:leader="dot" w:pos="8280"/>
        </w:tabs>
        <w:rPr>
          <w:rFonts w:eastAsiaTheme="minorEastAsia" w:cstheme="minorBidi"/>
          <w:i w:val="0"/>
          <w:noProof/>
          <w:color w:val="auto"/>
          <w:lang w:val="en-US" w:eastAsia="en-US"/>
        </w:rPr>
      </w:pPr>
      <w:r>
        <w:rPr>
          <w:noProof/>
        </w:rPr>
        <w:t>2.7.2</w:t>
      </w:r>
      <w:r>
        <w:rPr>
          <w:rFonts w:eastAsiaTheme="minorEastAsia" w:cstheme="minorBidi"/>
          <w:i w:val="0"/>
          <w:noProof/>
          <w:color w:val="auto"/>
          <w:lang w:val="en-US" w:eastAsia="en-US"/>
        </w:rPr>
        <w:tab/>
      </w:r>
      <w:r>
        <w:rPr>
          <w:noProof/>
        </w:rPr>
        <w:t>Data collection</w:t>
      </w:r>
      <w:r>
        <w:rPr>
          <w:noProof/>
        </w:rPr>
        <w:tab/>
      </w:r>
      <w:r>
        <w:rPr>
          <w:noProof/>
        </w:rPr>
        <w:fldChar w:fldCharType="begin"/>
      </w:r>
      <w:r>
        <w:rPr>
          <w:noProof/>
        </w:rPr>
        <w:instrText xml:space="preserve"> PAGEREF _Toc515454388 \h </w:instrText>
      </w:r>
      <w:r>
        <w:rPr>
          <w:noProof/>
        </w:rPr>
      </w:r>
      <w:r>
        <w:rPr>
          <w:noProof/>
        </w:rPr>
        <w:fldChar w:fldCharType="separate"/>
      </w:r>
      <w:r w:rsidR="002300AD">
        <w:rPr>
          <w:noProof/>
        </w:rPr>
        <w:t>40</w:t>
      </w:r>
      <w:r>
        <w:rPr>
          <w:noProof/>
        </w:rPr>
        <w:fldChar w:fldCharType="end"/>
      </w:r>
    </w:p>
    <w:p w14:paraId="44C45A8A" w14:textId="5DB488E9" w:rsidR="00E64798" w:rsidRDefault="00E64798" w:rsidP="00E64798">
      <w:pPr>
        <w:pStyle w:val="TOC3"/>
        <w:tabs>
          <w:tab w:val="right" w:leader="dot" w:pos="8280"/>
        </w:tabs>
        <w:rPr>
          <w:rFonts w:eastAsiaTheme="minorEastAsia" w:cstheme="minorBidi"/>
          <w:i w:val="0"/>
          <w:noProof/>
          <w:color w:val="auto"/>
          <w:lang w:val="en-US" w:eastAsia="en-US"/>
        </w:rPr>
      </w:pPr>
      <w:r>
        <w:rPr>
          <w:noProof/>
        </w:rPr>
        <w:t>2.7.3</w:t>
      </w:r>
      <w:r>
        <w:rPr>
          <w:rFonts w:eastAsiaTheme="minorEastAsia" w:cstheme="minorBidi"/>
          <w:i w:val="0"/>
          <w:noProof/>
          <w:color w:val="auto"/>
          <w:lang w:val="en-US" w:eastAsia="en-US"/>
        </w:rPr>
        <w:tab/>
      </w:r>
      <w:r>
        <w:rPr>
          <w:noProof/>
        </w:rPr>
        <w:t>Capital costs</w:t>
      </w:r>
      <w:r>
        <w:rPr>
          <w:noProof/>
        </w:rPr>
        <w:tab/>
      </w:r>
      <w:r>
        <w:rPr>
          <w:noProof/>
        </w:rPr>
        <w:fldChar w:fldCharType="begin"/>
      </w:r>
      <w:r>
        <w:rPr>
          <w:noProof/>
        </w:rPr>
        <w:instrText xml:space="preserve"> PAGEREF _Toc515454389 \h </w:instrText>
      </w:r>
      <w:r>
        <w:rPr>
          <w:noProof/>
        </w:rPr>
      </w:r>
      <w:r>
        <w:rPr>
          <w:noProof/>
        </w:rPr>
        <w:fldChar w:fldCharType="separate"/>
      </w:r>
      <w:r w:rsidR="002300AD">
        <w:rPr>
          <w:noProof/>
        </w:rPr>
        <w:t>47</w:t>
      </w:r>
      <w:r>
        <w:rPr>
          <w:noProof/>
        </w:rPr>
        <w:fldChar w:fldCharType="end"/>
      </w:r>
    </w:p>
    <w:p w14:paraId="3BD24A28" w14:textId="6708B396" w:rsidR="00E64798" w:rsidRDefault="00E64798" w:rsidP="00E64798">
      <w:pPr>
        <w:pStyle w:val="TOC3"/>
        <w:tabs>
          <w:tab w:val="right" w:leader="dot" w:pos="8280"/>
        </w:tabs>
        <w:rPr>
          <w:rFonts w:eastAsiaTheme="minorEastAsia" w:cstheme="minorBidi"/>
          <w:i w:val="0"/>
          <w:noProof/>
          <w:color w:val="auto"/>
          <w:lang w:val="en-US" w:eastAsia="en-US"/>
        </w:rPr>
      </w:pPr>
      <w:r>
        <w:rPr>
          <w:noProof/>
        </w:rPr>
        <w:t>2.7.4</w:t>
      </w:r>
      <w:r>
        <w:rPr>
          <w:rFonts w:eastAsiaTheme="minorEastAsia" w:cstheme="minorBidi"/>
          <w:i w:val="0"/>
          <w:noProof/>
          <w:color w:val="auto"/>
          <w:lang w:val="en-US" w:eastAsia="en-US"/>
        </w:rPr>
        <w:tab/>
      </w:r>
      <w:r>
        <w:rPr>
          <w:noProof/>
        </w:rPr>
        <w:t>Operating costs</w:t>
      </w:r>
      <w:r>
        <w:rPr>
          <w:noProof/>
        </w:rPr>
        <w:tab/>
      </w:r>
      <w:r>
        <w:rPr>
          <w:noProof/>
        </w:rPr>
        <w:fldChar w:fldCharType="begin"/>
      </w:r>
      <w:r>
        <w:rPr>
          <w:noProof/>
        </w:rPr>
        <w:instrText xml:space="preserve"> PAGEREF _Toc515454390 \h </w:instrText>
      </w:r>
      <w:r>
        <w:rPr>
          <w:noProof/>
        </w:rPr>
      </w:r>
      <w:r>
        <w:rPr>
          <w:noProof/>
        </w:rPr>
        <w:fldChar w:fldCharType="separate"/>
      </w:r>
      <w:r w:rsidR="002300AD">
        <w:rPr>
          <w:noProof/>
        </w:rPr>
        <w:t>48</w:t>
      </w:r>
      <w:r>
        <w:rPr>
          <w:noProof/>
        </w:rPr>
        <w:fldChar w:fldCharType="end"/>
      </w:r>
    </w:p>
    <w:p w14:paraId="0D73BB33" w14:textId="16CF819F" w:rsidR="00E64798" w:rsidRDefault="00E64798" w:rsidP="00E64798">
      <w:pPr>
        <w:pStyle w:val="TOC1"/>
        <w:tabs>
          <w:tab w:val="clear" w:pos="8680"/>
          <w:tab w:val="right" w:leader="dot" w:pos="8280"/>
        </w:tabs>
        <w:rPr>
          <w:rFonts w:eastAsiaTheme="minorEastAsia" w:cstheme="minorBidi"/>
          <w:b w:val="0"/>
          <w:caps w:val="0"/>
          <w:noProof/>
          <w:color w:val="auto"/>
          <w:lang w:val="en-US" w:eastAsia="en-US"/>
        </w:rPr>
      </w:pPr>
      <w:r w:rsidRPr="00060F1D">
        <w:rPr>
          <w:noProof/>
        </w:rPr>
        <w:t>3</w:t>
      </w:r>
      <w:r>
        <w:rPr>
          <w:rFonts w:eastAsiaTheme="minorEastAsia" w:cstheme="minorBidi"/>
          <w:b w:val="0"/>
          <w:caps w:val="0"/>
          <w:noProof/>
          <w:color w:val="auto"/>
          <w:lang w:val="en-US" w:eastAsia="en-US"/>
        </w:rPr>
        <w:tab/>
      </w:r>
      <w:r w:rsidRPr="00060F1D">
        <w:rPr>
          <w:noProof/>
        </w:rPr>
        <w:t>Funding institutions related to energy efficiency in the RACHP sector while phasing down HFCs</w:t>
      </w:r>
      <w:r>
        <w:rPr>
          <w:noProof/>
        </w:rPr>
        <w:tab/>
      </w:r>
      <w:r>
        <w:rPr>
          <w:noProof/>
        </w:rPr>
        <w:fldChar w:fldCharType="begin"/>
      </w:r>
      <w:r>
        <w:rPr>
          <w:noProof/>
        </w:rPr>
        <w:instrText xml:space="preserve"> PAGEREF _Toc515454391 \h </w:instrText>
      </w:r>
      <w:r>
        <w:rPr>
          <w:noProof/>
        </w:rPr>
      </w:r>
      <w:r>
        <w:rPr>
          <w:noProof/>
        </w:rPr>
        <w:fldChar w:fldCharType="separate"/>
      </w:r>
      <w:r w:rsidR="002300AD">
        <w:rPr>
          <w:noProof/>
        </w:rPr>
        <w:t>51</w:t>
      </w:r>
      <w:r>
        <w:rPr>
          <w:noProof/>
        </w:rPr>
        <w:fldChar w:fldCharType="end"/>
      </w:r>
    </w:p>
    <w:p w14:paraId="2BE13EC3" w14:textId="3C52180F" w:rsidR="00E64798" w:rsidRDefault="00E64798">
      <w:pPr>
        <w:pStyle w:val="TOC2"/>
        <w:rPr>
          <w:rFonts w:eastAsiaTheme="minorEastAsia" w:cstheme="minorBidi"/>
          <w:color w:val="auto"/>
          <w:lang w:val="en-US" w:eastAsia="en-US"/>
        </w:rPr>
      </w:pPr>
      <w:r>
        <w:t>3.1</w:t>
      </w:r>
      <w:r>
        <w:rPr>
          <w:rFonts w:eastAsiaTheme="minorEastAsia" w:cstheme="minorBidi"/>
          <w:color w:val="auto"/>
          <w:lang w:val="en-US" w:eastAsia="en-US"/>
        </w:rPr>
        <w:tab/>
      </w:r>
      <w:r>
        <w:t>Background</w:t>
      </w:r>
      <w:r>
        <w:tab/>
      </w:r>
      <w:r>
        <w:fldChar w:fldCharType="begin"/>
      </w:r>
      <w:r>
        <w:instrText xml:space="preserve"> PAGEREF _Toc515454392 \h </w:instrText>
      </w:r>
      <w:r>
        <w:fldChar w:fldCharType="separate"/>
      </w:r>
      <w:r w:rsidR="002300AD">
        <w:t>51</w:t>
      </w:r>
      <w:r>
        <w:fldChar w:fldCharType="end"/>
      </w:r>
    </w:p>
    <w:p w14:paraId="7B319142" w14:textId="0C57627E" w:rsidR="00E64798" w:rsidRDefault="00E64798">
      <w:pPr>
        <w:pStyle w:val="TOC2"/>
        <w:rPr>
          <w:rFonts w:eastAsiaTheme="minorEastAsia" w:cstheme="minorBidi"/>
          <w:color w:val="auto"/>
          <w:lang w:val="en-US" w:eastAsia="en-US"/>
        </w:rPr>
      </w:pPr>
      <w:r>
        <w:t>3.2</w:t>
      </w:r>
      <w:r>
        <w:rPr>
          <w:rFonts w:eastAsiaTheme="minorEastAsia" w:cstheme="minorBidi"/>
          <w:color w:val="auto"/>
          <w:lang w:val="en-US" w:eastAsia="en-US"/>
        </w:rPr>
        <w:tab/>
      </w:r>
      <w:r>
        <w:t>Funding Institutions</w:t>
      </w:r>
      <w:r>
        <w:tab/>
      </w:r>
      <w:r>
        <w:fldChar w:fldCharType="begin"/>
      </w:r>
      <w:r>
        <w:instrText xml:space="preserve"> PAGEREF _Toc515454393 \h </w:instrText>
      </w:r>
      <w:r>
        <w:fldChar w:fldCharType="separate"/>
      </w:r>
      <w:r w:rsidR="002300AD">
        <w:t>52</w:t>
      </w:r>
      <w:r>
        <w:fldChar w:fldCharType="end"/>
      </w:r>
    </w:p>
    <w:p w14:paraId="379E89B0" w14:textId="7616CDC4" w:rsidR="00E64798" w:rsidRDefault="00E64798" w:rsidP="00E64798">
      <w:pPr>
        <w:pStyle w:val="TOC3"/>
        <w:tabs>
          <w:tab w:val="right" w:leader="dot" w:pos="8280"/>
        </w:tabs>
        <w:rPr>
          <w:rFonts w:eastAsiaTheme="minorEastAsia" w:cstheme="minorBidi"/>
          <w:i w:val="0"/>
          <w:noProof/>
          <w:color w:val="auto"/>
          <w:lang w:val="en-US" w:eastAsia="en-US"/>
        </w:rPr>
      </w:pPr>
      <w:r>
        <w:rPr>
          <w:noProof/>
        </w:rPr>
        <w:t>3.2.1</w:t>
      </w:r>
      <w:r>
        <w:rPr>
          <w:rFonts w:eastAsiaTheme="minorEastAsia" w:cstheme="minorBidi"/>
          <w:i w:val="0"/>
          <w:noProof/>
          <w:color w:val="auto"/>
          <w:lang w:val="en-US" w:eastAsia="en-US"/>
        </w:rPr>
        <w:tab/>
      </w:r>
      <w:r>
        <w:rPr>
          <w:noProof/>
        </w:rPr>
        <w:t>Kigali-Cooling Efficiency Programme (K-CEP)</w:t>
      </w:r>
      <w:r>
        <w:rPr>
          <w:noProof/>
        </w:rPr>
        <w:tab/>
      </w:r>
      <w:r>
        <w:rPr>
          <w:noProof/>
        </w:rPr>
        <w:fldChar w:fldCharType="begin"/>
      </w:r>
      <w:r>
        <w:rPr>
          <w:noProof/>
        </w:rPr>
        <w:instrText xml:space="preserve"> PAGEREF _Toc515454394 \h </w:instrText>
      </w:r>
      <w:r>
        <w:rPr>
          <w:noProof/>
        </w:rPr>
      </w:r>
      <w:r>
        <w:rPr>
          <w:noProof/>
        </w:rPr>
        <w:fldChar w:fldCharType="separate"/>
      </w:r>
      <w:r w:rsidR="002300AD">
        <w:rPr>
          <w:noProof/>
        </w:rPr>
        <w:t>52</w:t>
      </w:r>
      <w:r>
        <w:rPr>
          <w:noProof/>
        </w:rPr>
        <w:fldChar w:fldCharType="end"/>
      </w:r>
    </w:p>
    <w:p w14:paraId="5814F064" w14:textId="42C6EBF2" w:rsidR="00E64798" w:rsidRDefault="00E64798" w:rsidP="00E64798">
      <w:pPr>
        <w:pStyle w:val="TOC3"/>
        <w:tabs>
          <w:tab w:val="right" w:leader="dot" w:pos="8280"/>
        </w:tabs>
        <w:rPr>
          <w:rFonts w:eastAsiaTheme="minorEastAsia" w:cstheme="minorBidi"/>
          <w:i w:val="0"/>
          <w:noProof/>
          <w:color w:val="auto"/>
          <w:lang w:val="en-US" w:eastAsia="en-US"/>
        </w:rPr>
      </w:pPr>
      <w:r>
        <w:rPr>
          <w:noProof/>
        </w:rPr>
        <w:t>3.2.2</w:t>
      </w:r>
      <w:r>
        <w:rPr>
          <w:rFonts w:eastAsiaTheme="minorEastAsia" w:cstheme="minorBidi"/>
          <w:i w:val="0"/>
          <w:noProof/>
          <w:color w:val="auto"/>
          <w:lang w:val="en-US" w:eastAsia="en-US"/>
        </w:rPr>
        <w:tab/>
      </w:r>
      <w:r>
        <w:rPr>
          <w:noProof/>
        </w:rPr>
        <w:t>Global Environmental Facility</w:t>
      </w:r>
      <w:r>
        <w:rPr>
          <w:noProof/>
        </w:rPr>
        <w:tab/>
      </w:r>
      <w:r>
        <w:rPr>
          <w:noProof/>
        </w:rPr>
        <w:fldChar w:fldCharType="begin"/>
      </w:r>
      <w:r>
        <w:rPr>
          <w:noProof/>
        </w:rPr>
        <w:instrText xml:space="preserve"> PAGEREF _Toc515454395 \h </w:instrText>
      </w:r>
      <w:r>
        <w:rPr>
          <w:noProof/>
        </w:rPr>
      </w:r>
      <w:r>
        <w:rPr>
          <w:noProof/>
        </w:rPr>
        <w:fldChar w:fldCharType="separate"/>
      </w:r>
      <w:r w:rsidR="002300AD">
        <w:rPr>
          <w:noProof/>
        </w:rPr>
        <w:t>55</w:t>
      </w:r>
      <w:r>
        <w:rPr>
          <w:noProof/>
        </w:rPr>
        <w:fldChar w:fldCharType="end"/>
      </w:r>
    </w:p>
    <w:p w14:paraId="365702CC" w14:textId="62030C0E" w:rsidR="00E64798" w:rsidRDefault="00E64798">
      <w:pPr>
        <w:pStyle w:val="TOC2"/>
        <w:rPr>
          <w:rFonts w:eastAsiaTheme="minorEastAsia" w:cstheme="minorBidi"/>
          <w:color w:val="auto"/>
          <w:lang w:val="en-US" w:eastAsia="en-US"/>
        </w:rPr>
      </w:pPr>
      <w:r>
        <w:t>3.3</w:t>
      </w:r>
      <w:r>
        <w:rPr>
          <w:rFonts w:eastAsiaTheme="minorEastAsia" w:cstheme="minorBidi"/>
          <w:color w:val="auto"/>
          <w:lang w:val="en-US" w:eastAsia="en-US"/>
        </w:rPr>
        <w:tab/>
      </w:r>
      <w:r>
        <w:t>Financing Institutions</w:t>
      </w:r>
      <w:r>
        <w:tab/>
      </w:r>
      <w:r>
        <w:fldChar w:fldCharType="begin"/>
      </w:r>
      <w:r>
        <w:instrText xml:space="preserve"> PAGEREF _Toc515454396 \h </w:instrText>
      </w:r>
      <w:r>
        <w:fldChar w:fldCharType="separate"/>
      </w:r>
      <w:r w:rsidR="002300AD">
        <w:t>57</w:t>
      </w:r>
      <w:r>
        <w:fldChar w:fldCharType="end"/>
      </w:r>
    </w:p>
    <w:p w14:paraId="4313171D" w14:textId="52686DA3" w:rsidR="00E64798" w:rsidRDefault="00E64798" w:rsidP="00E64798">
      <w:pPr>
        <w:pStyle w:val="TOC3"/>
        <w:tabs>
          <w:tab w:val="right" w:leader="dot" w:pos="8280"/>
        </w:tabs>
        <w:rPr>
          <w:rFonts w:eastAsiaTheme="minorEastAsia" w:cstheme="minorBidi"/>
          <w:i w:val="0"/>
          <w:noProof/>
          <w:color w:val="auto"/>
          <w:lang w:val="en-US" w:eastAsia="en-US"/>
        </w:rPr>
      </w:pPr>
      <w:r>
        <w:rPr>
          <w:noProof/>
        </w:rPr>
        <w:t>3.3.1</w:t>
      </w:r>
      <w:r>
        <w:rPr>
          <w:rFonts w:eastAsiaTheme="minorEastAsia" w:cstheme="minorBidi"/>
          <w:i w:val="0"/>
          <w:noProof/>
          <w:color w:val="auto"/>
          <w:lang w:val="en-US" w:eastAsia="en-US"/>
        </w:rPr>
        <w:tab/>
      </w:r>
      <w:r>
        <w:rPr>
          <w:noProof/>
        </w:rPr>
        <w:t>Green Climate Fund</w:t>
      </w:r>
      <w:r>
        <w:rPr>
          <w:noProof/>
        </w:rPr>
        <w:tab/>
      </w:r>
      <w:r>
        <w:rPr>
          <w:noProof/>
        </w:rPr>
        <w:fldChar w:fldCharType="begin"/>
      </w:r>
      <w:r>
        <w:rPr>
          <w:noProof/>
        </w:rPr>
        <w:instrText xml:space="preserve"> PAGEREF _Toc515454397 \h </w:instrText>
      </w:r>
      <w:r>
        <w:rPr>
          <w:noProof/>
        </w:rPr>
      </w:r>
      <w:r>
        <w:rPr>
          <w:noProof/>
        </w:rPr>
        <w:fldChar w:fldCharType="separate"/>
      </w:r>
      <w:r w:rsidR="002300AD">
        <w:rPr>
          <w:noProof/>
        </w:rPr>
        <w:t>57</w:t>
      </w:r>
      <w:r>
        <w:rPr>
          <w:noProof/>
        </w:rPr>
        <w:fldChar w:fldCharType="end"/>
      </w:r>
    </w:p>
    <w:p w14:paraId="4E6A868E" w14:textId="1F5DED7A" w:rsidR="00E64798" w:rsidRDefault="00E64798" w:rsidP="00E64798">
      <w:pPr>
        <w:pStyle w:val="TOC3"/>
        <w:tabs>
          <w:tab w:val="right" w:leader="dot" w:pos="8280"/>
        </w:tabs>
        <w:rPr>
          <w:rFonts w:eastAsiaTheme="minorEastAsia" w:cstheme="minorBidi"/>
          <w:i w:val="0"/>
          <w:noProof/>
          <w:color w:val="auto"/>
          <w:lang w:val="en-US" w:eastAsia="en-US"/>
        </w:rPr>
      </w:pPr>
      <w:r>
        <w:rPr>
          <w:noProof/>
        </w:rPr>
        <w:t>3.3.2</w:t>
      </w:r>
      <w:r>
        <w:rPr>
          <w:rFonts w:eastAsiaTheme="minorEastAsia" w:cstheme="minorBidi"/>
          <w:i w:val="0"/>
          <w:noProof/>
          <w:color w:val="auto"/>
          <w:lang w:val="en-US" w:eastAsia="en-US"/>
        </w:rPr>
        <w:tab/>
      </w:r>
      <w:r>
        <w:rPr>
          <w:noProof/>
        </w:rPr>
        <w:t>World Bank Group</w:t>
      </w:r>
      <w:r>
        <w:rPr>
          <w:noProof/>
        </w:rPr>
        <w:tab/>
      </w:r>
      <w:r>
        <w:rPr>
          <w:noProof/>
        </w:rPr>
        <w:fldChar w:fldCharType="begin"/>
      </w:r>
      <w:r>
        <w:rPr>
          <w:noProof/>
        </w:rPr>
        <w:instrText xml:space="preserve"> PAGEREF _Toc515454398 \h </w:instrText>
      </w:r>
      <w:r>
        <w:rPr>
          <w:noProof/>
        </w:rPr>
      </w:r>
      <w:r>
        <w:rPr>
          <w:noProof/>
        </w:rPr>
        <w:fldChar w:fldCharType="separate"/>
      </w:r>
      <w:r w:rsidR="002300AD">
        <w:rPr>
          <w:noProof/>
        </w:rPr>
        <w:t>59</w:t>
      </w:r>
      <w:r>
        <w:rPr>
          <w:noProof/>
        </w:rPr>
        <w:fldChar w:fldCharType="end"/>
      </w:r>
    </w:p>
    <w:p w14:paraId="67B8D950" w14:textId="5BCDF79D" w:rsidR="00E64798" w:rsidRDefault="00E64798" w:rsidP="00E64798">
      <w:pPr>
        <w:pStyle w:val="TOC3"/>
        <w:tabs>
          <w:tab w:val="right" w:leader="dot" w:pos="8280"/>
        </w:tabs>
        <w:rPr>
          <w:rFonts w:eastAsiaTheme="minorEastAsia" w:cstheme="minorBidi"/>
          <w:i w:val="0"/>
          <w:noProof/>
          <w:color w:val="auto"/>
          <w:lang w:val="en-US" w:eastAsia="en-US"/>
        </w:rPr>
      </w:pPr>
      <w:r>
        <w:rPr>
          <w:noProof/>
        </w:rPr>
        <w:t xml:space="preserve">3.3.3 </w:t>
      </w:r>
      <w:r>
        <w:rPr>
          <w:rFonts w:eastAsiaTheme="minorEastAsia" w:cstheme="minorBidi"/>
          <w:i w:val="0"/>
          <w:noProof/>
          <w:color w:val="auto"/>
          <w:lang w:val="en-US" w:eastAsia="en-US"/>
        </w:rPr>
        <w:tab/>
      </w:r>
      <w:r>
        <w:rPr>
          <w:noProof/>
        </w:rPr>
        <w:t>Regional Development Banks</w:t>
      </w:r>
      <w:r>
        <w:rPr>
          <w:noProof/>
        </w:rPr>
        <w:tab/>
      </w:r>
      <w:r>
        <w:rPr>
          <w:noProof/>
        </w:rPr>
        <w:fldChar w:fldCharType="begin"/>
      </w:r>
      <w:r>
        <w:rPr>
          <w:noProof/>
        </w:rPr>
        <w:instrText xml:space="preserve"> PAGEREF _Toc515454399 \h </w:instrText>
      </w:r>
      <w:r>
        <w:rPr>
          <w:noProof/>
        </w:rPr>
      </w:r>
      <w:r>
        <w:rPr>
          <w:noProof/>
        </w:rPr>
        <w:fldChar w:fldCharType="separate"/>
      </w:r>
      <w:r w:rsidR="002300AD">
        <w:rPr>
          <w:noProof/>
        </w:rPr>
        <w:t>60</w:t>
      </w:r>
      <w:r>
        <w:rPr>
          <w:noProof/>
        </w:rPr>
        <w:fldChar w:fldCharType="end"/>
      </w:r>
    </w:p>
    <w:p w14:paraId="3975C933" w14:textId="4DF30CCD" w:rsidR="00E64798" w:rsidRDefault="00E64798" w:rsidP="00E64798">
      <w:pPr>
        <w:pStyle w:val="TOC3"/>
        <w:tabs>
          <w:tab w:val="right" w:leader="dot" w:pos="8280"/>
        </w:tabs>
        <w:rPr>
          <w:rFonts w:eastAsiaTheme="minorEastAsia" w:cstheme="minorBidi"/>
          <w:i w:val="0"/>
          <w:noProof/>
          <w:color w:val="auto"/>
          <w:lang w:val="en-US" w:eastAsia="en-US"/>
        </w:rPr>
      </w:pPr>
      <w:r>
        <w:rPr>
          <w:noProof/>
        </w:rPr>
        <w:t>3.3.4</w:t>
      </w:r>
      <w:r>
        <w:rPr>
          <w:rFonts w:eastAsiaTheme="minorEastAsia" w:cstheme="minorBidi"/>
          <w:i w:val="0"/>
          <w:noProof/>
          <w:color w:val="auto"/>
          <w:lang w:val="en-US" w:eastAsia="en-US"/>
        </w:rPr>
        <w:tab/>
      </w:r>
      <w:r>
        <w:rPr>
          <w:noProof/>
        </w:rPr>
        <w:t>GIZ (The Deutsche Gesellschaft für Internationale Zusammenarbeit)</w:t>
      </w:r>
      <w:r>
        <w:rPr>
          <w:noProof/>
        </w:rPr>
        <w:tab/>
      </w:r>
      <w:r>
        <w:rPr>
          <w:noProof/>
        </w:rPr>
        <w:fldChar w:fldCharType="begin"/>
      </w:r>
      <w:r>
        <w:rPr>
          <w:noProof/>
        </w:rPr>
        <w:instrText xml:space="preserve"> PAGEREF _Toc515454400 \h </w:instrText>
      </w:r>
      <w:r>
        <w:rPr>
          <w:noProof/>
        </w:rPr>
      </w:r>
      <w:r>
        <w:rPr>
          <w:noProof/>
        </w:rPr>
        <w:fldChar w:fldCharType="separate"/>
      </w:r>
      <w:r w:rsidR="002300AD">
        <w:rPr>
          <w:noProof/>
        </w:rPr>
        <w:t>60</w:t>
      </w:r>
      <w:r>
        <w:rPr>
          <w:noProof/>
        </w:rPr>
        <w:fldChar w:fldCharType="end"/>
      </w:r>
    </w:p>
    <w:p w14:paraId="76B47C05" w14:textId="09940160" w:rsidR="00E64798" w:rsidRDefault="00E64798">
      <w:pPr>
        <w:pStyle w:val="TOC2"/>
        <w:rPr>
          <w:rFonts w:eastAsiaTheme="minorEastAsia" w:cstheme="minorBidi"/>
          <w:color w:val="auto"/>
          <w:lang w:val="en-US" w:eastAsia="en-US"/>
        </w:rPr>
      </w:pPr>
      <w:r>
        <w:t>3.4</w:t>
      </w:r>
      <w:r>
        <w:rPr>
          <w:rFonts w:eastAsiaTheme="minorEastAsia" w:cstheme="minorBidi"/>
          <w:color w:val="auto"/>
          <w:lang w:val="en-US" w:eastAsia="en-US"/>
        </w:rPr>
        <w:tab/>
      </w:r>
      <w:r>
        <w:t>Others</w:t>
      </w:r>
      <w:r>
        <w:tab/>
      </w:r>
      <w:r>
        <w:fldChar w:fldCharType="begin"/>
      </w:r>
      <w:r>
        <w:instrText xml:space="preserve"> PAGEREF _Toc515454401 \h </w:instrText>
      </w:r>
      <w:r>
        <w:fldChar w:fldCharType="separate"/>
      </w:r>
      <w:r w:rsidR="002300AD">
        <w:t>61</w:t>
      </w:r>
      <w:r>
        <w:fldChar w:fldCharType="end"/>
      </w:r>
    </w:p>
    <w:p w14:paraId="0506CB80" w14:textId="034696D1" w:rsidR="00E64798" w:rsidRDefault="00E64798" w:rsidP="00E64798">
      <w:pPr>
        <w:pStyle w:val="TOC1"/>
        <w:tabs>
          <w:tab w:val="clear" w:pos="8680"/>
          <w:tab w:val="right" w:leader="dot" w:pos="8280"/>
        </w:tabs>
        <w:rPr>
          <w:rFonts w:eastAsiaTheme="minorEastAsia" w:cstheme="minorBidi"/>
          <w:b w:val="0"/>
          <w:caps w:val="0"/>
          <w:noProof/>
          <w:color w:val="auto"/>
          <w:lang w:val="en-US" w:eastAsia="en-US"/>
        </w:rPr>
      </w:pPr>
      <w:r w:rsidRPr="00060F1D">
        <w:rPr>
          <w:noProof/>
        </w:rPr>
        <w:t>4</w:t>
      </w:r>
      <w:r>
        <w:rPr>
          <w:rFonts w:eastAsiaTheme="minorEastAsia" w:cstheme="minorBidi"/>
          <w:b w:val="0"/>
          <w:caps w:val="0"/>
          <w:noProof/>
          <w:color w:val="auto"/>
          <w:lang w:val="en-US" w:eastAsia="en-US"/>
        </w:rPr>
        <w:tab/>
      </w:r>
      <w:r w:rsidRPr="00060F1D">
        <w:rPr>
          <w:noProof/>
        </w:rPr>
        <w:t>References</w:t>
      </w:r>
      <w:r>
        <w:rPr>
          <w:noProof/>
        </w:rPr>
        <w:tab/>
      </w:r>
      <w:r>
        <w:rPr>
          <w:noProof/>
        </w:rPr>
        <w:fldChar w:fldCharType="begin"/>
      </w:r>
      <w:r>
        <w:rPr>
          <w:noProof/>
        </w:rPr>
        <w:instrText xml:space="preserve"> PAGEREF _Toc515454402 \h </w:instrText>
      </w:r>
      <w:r>
        <w:rPr>
          <w:noProof/>
        </w:rPr>
      </w:r>
      <w:r>
        <w:rPr>
          <w:noProof/>
        </w:rPr>
        <w:fldChar w:fldCharType="separate"/>
      </w:r>
      <w:r w:rsidR="002300AD">
        <w:rPr>
          <w:noProof/>
        </w:rPr>
        <w:t>63</w:t>
      </w:r>
      <w:r>
        <w:rPr>
          <w:noProof/>
        </w:rPr>
        <w:fldChar w:fldCharType="end"/>
      </w:r>
    </w:p>
    <w:p w14:paraId="70B98E64" w14:textId="1A6B1A65" w:rsidR="00E64798" w:rsidRDefault="00E64798" w:rsidP="00E64798">
      <w:pPr>
        <w:pStyle w:val="TOC1"/>
        <w:tabs>
          <w:tab w:val="clear" w:pos="8680"/>
          <w:tab w:val="right" w:leader="dot" w:pos="8280"/>
        </w:tabs>
        <w:rPr>
          <w:rFonts w:eastAsiaTheme="minorEastAsia" w:cstheme="minorBidi"/>
          <w:b w:val="0"/>
          <w:caps w:val="0"/>
          <w:noProof/>
          <w:color w:val="auto"/>
          <w:lang w:val="en-US" w:eastAsia="en-US"/>
        </w:rPr>
      </w:pPr>
      <w:r w:rsidRPr="00060F1D">
        <w:rPr>
          <w:noProof/>
        </w:rPr>
        <w:t>5</w:t>
      </w:r>
      <w:r>
        <w:rPr>
          <w:rFonts w:eastAsiaTheme="minorEastAsia" w:cstheme="minorBidi"/>
          <w:b w:val="0"/>
          <w:caps w:val="0"/>
          <w:noProof/>
          <w:color w:val="auto"/>
          <w:lang w:val="en-US" w:eastAsia="en-US"/>
        </w:rPr>
        <w:tab/>
      </w:r>
      <w:r w:rsidRPr="00060F1D">
        <w:rPr>
          <w:noProof/>
        </w:rPr>
        <w:t>Glossary</w:t>
      </w:r>
      <w:r>
        <w:rPr>
          <w:noProof/>
        </w:rPr>
        <w:tab/>
      </w:r>
      <w:r>
        <w:rPr>
          <w:noProof/>
        </w:rPr>
        <w:fldChar w:fldCharType="begin"/>
      </w:r>
      <w:r>
        <w:rPr>
          <w:noProof/>
        </w:rPr>
        <w:instrText xml:space="preserve"> PAGEREF _Toc515454403 \h </w:instrText>
      </w:r>
      <w:r>
        <w:rPr>
          <w:noProof/>
        </w:rPr>
      </w:r>
      <w:r>
        <w:rPr>
          <w:noProof/>
        </w:rPr>
        <w:fldChar w:fldCharType="separate"/>
      </w:r>
      <w:r w:rsidR="002300AD">
        <w:rPr>
          <w:noProof/>
        </w:rPr>
        <w:t>69</w:t>
      </w:r>
      <w:r>
        <w:rPr>
          <w:noProof/>
        </w:rPr>
        <w:fldChar w:fldCharType="end"/>
      </w:r>
    </w:p>
    <w:p w14:paraId="0BBBEE6F" w14:textId="4DE3F848" w:rsidR="00E64798" w:rsidRDefault="00E64798" w:rsidP="00E64798">
      <w:pPr>
        <w:pStyle w:val="TOC1"/>
        <w:tabs>
          <w:tab w:val="clear" w:pos="8680"/>
          <w:tab w:val="right" w:leader="dot" w:pos="8280"/>
        </w:tabs>
        <w:rPr>
          <w:rFonts w:eastAsiaTheme="minorEastAsia" w:cstheme="minorBidi"/>
          <w:b w:val="0"/>
          <w:caps w:val="0"/>
          <w:noProof/>
          <w:color w:val="auto"/>
          <w:lang w:val="en-US" w:eastAsia="en-US"/>
        </w:rPr>
      </w:pPr>
      <w:r w:rsidRPr="00060F1D">
        <w:rPr>
          <w:noProof/>
        </w:rPr>
        <w:t>ANNEX A</w:t>
      </w:r>
      <w:r>
        <w:rPr>
          <w:noProof/>
        </w:rPr>
        <w:tab/>
      </w:r>
      <w:r w:rsidRPr="00060F1D">
        <w:rPr>
          <w:noProof/>
        </w:rPr>
        <w:t>Sector-specific challenges to the uptake of technologies</w:t>
      </w:r>
      <w:r>
        <w:rPr>
          <w:noProof/>
        </w:rPr>
        <w:tab/>
      </w:r>
      <w:r>
        <w:rPr>
          <w:noProof/>
        </w:rPr>
        <w:fldChar w:fldCharType="begin"/>
      </w:r>
      <w:r>
        <w:rPr>
          <w:noProof/>
        </w:rPr>
        <w:instrText xml:space="preserve"> PAGEREF _Toc515454405 \h </w:instrText>
      </w:r>
      <w:r>
        <w:rPr>
          <w:noProof/>
        </w:rPr>
      </w:r>
      <w:r>
        <w:rPr>
          <w:noProof/>
        </w:rPr>
        <w:fldChar w:fldCharType="separate"/>
      </w:r>
      <w:r w:rsidR="002300AD">
        <w:rPr>
          <w:noProof/>
        </w:rPr>
        <w:t>71</w:t>
      </w:r>
      <w:r>
        <w:rPr>
          <w:noProof/>
        </w:rPr>
        <w:fldChar w:fldCharType="end"/>
      </w:r>
    </w:p>
    <w:p w14:paraId="43B6BDF0" w14:textId="74334A3E" w:rsidR="00E64798" w:rsidRDefault="00E64798">
      <w:pPr>
        <w:pStyle w:val="TOC2"/>
        <w:rPr>
          <w:rFonts w:eastAsiaTheme="minorEastAsia" w:cstheme="minorBidi"/>
          <w:color w:val="auto"/>
          <w:lang w:val="en-US" w:eastAsia="en-US"/>
        </w:rPr>
      </w:pPr>
      <w:r>
        <w:t>A.1</w:t>
      </w:r>
      <w:r>
        <w:rPr>
          <w:rFonts w:eastAsiaTheme="minorEastAsia" w:cstheme="minorBidi"/>
          <w:color w:val="auto"/>
          <w:lang w:val="en-US" w:eastAsia="en-US"/>
        </w:rPr>
        <w:tab/>
      </w:r>
      <w:r>
        <w:t>Domestic refrigeration</w:t>
      </w:r>
      <w:r>
        <w:tab/>
      </w:r>
      <w:r>
        <w:fldChar w:fldCharType="begin"/>
      </w:r>
      <w:r>
        <w:instrText xml:space="preserve"> PAGEREF _Toc515454406 \h </w:instrText>
      </w:r>
      <w:r>
        <w:fldChar w:fldCharType="separate"/>
      </w:r>
      <w:r w:rsidR="002300AD">
        <w:t>71</w:t>
      </w:r>
      <w:r>
        <w:fldChar w:fldCharType="end"/>
      </w:r>
    </w:p>
    <w:p w14:paraId="54A18112" w14:textId="11F0C437" w:rsidR="00E64798" w:rsidRDefault="00E64798">
      <w:pPr>
        <w:pStyle w:val="TOC2"/>
        <w:rPr>
          <w:rFonts w:eastAsiaTheme="minorEastAsia" w:cstheme="minorBidi"/>
          <w:color w:val="auto"/>
          <w:lang w:val="en-US" w:eastAsia="en-US"/>
        </w:rPr>
      </w:pPr>
      <w:r>
        <w:t>A.2</w:t>
      </w:r>
      <w:r>
        <w:rPr>
          <w:rFonts w:eastAsiaTheme="minorEastAsia" w:cstheme="minorBidi"/>
          <w:color w:val="auto"/>
          <w:lang w:val="en-US" w:eastAsia="en-US"/>
        </w:rPr>
        <w:tab/>
      </w:r>
      <w:r>
        <w:t>Commercial refrigeration</w:t>
      </w:r>
      <w:r>
        <w:tab/>
      </w:r>
      <w:r>
        <w:fldChar w:fldCharType="begin"/>
      </w:r>
      <w:r>
        <w:instrText xml:space="preserve"> PAGEREF _Toc515454407 \h </w:instrText>
      </w:r>
      <w:r>
        <w:fldChar w:fldCharType="separate"/>
      </w:r>
      <w:r w:rsidR="002300AD">
        <w:t>72</w:t>
      </w:r>
      <w:r>
        <w:fldChar w:fldCharType="end"/>
      </w:r>
    </w:p>
    <w:p w14:paraId="52E1640F" w14:textId="1EAB5D49" w:rsidR="00E64798" w:rsidRDefault="00E64798">
      <w:pPr>
        <w:pStyle w:val="TOC2"/>
        <w:rPr>
          <w:rFonts w:eastAsiaTheme="minorEastAsia" w:cstheme="minorBidi"/>
          <w:color w:val="auto"/>
          <w:lang w:val="en-US" w:eastAsia="en-US"/>
        </w:rPr>
      </w:pPr>
      <w:r>
        <w:t>A.3</w:t>
      </w:r>
      <w:r>
        <w:rPr>
          <w:rFonts w:eastAsiaTheme="minorEastAsia" w:cstheme="minorBidi"/>
          <w:color w:val="auto"/>
          <w:lang w:val="en-US" w:eastAsia="en-US"/>
        </w:rPr>
        <w:tab/>
      </w:r>
      <w:r>
        <w:t>Residential and commercial AC</w:t>
      </w:r>
      <w:r>
        <w:tab/>
      </w:r>
      <w:r>
        <w:fldChar w:fldCharType="begin"/>
      </w:r>
      <w:r>
        <w:instrText xml:space="preserve"> PAGEREF _Toc515454408 \h </w:instrText>
      </w:r>
      <w:r>
        <w:fldChar w:fldCharType="separate"/>
      </w:r>
      <w:r w:rsidR="002300AD">
        <w:t>75</w:t>
      </w:r>
      <w:r>
        <w:fldChar w:fldCharType="end"/>
      </w:r>
    </w:p>
    <w:p w14:paraId="2BC86918" w14:textId="7058827F" w:rsidR="00E64798" w:rsidRDefault="00E64798">
      <w:pPr>
        <w:pStyle w:val="TOC2"/>
        <w:rPr>
          <w:rFonts w:eastAsiaTheme="minorEastAsia" w:cstheme="minorBidi"/>
          <w:color w:val="auto"/>
          <w:lang w:val="en-US" w:eastAsia="en-US"/>
        </w:rPr>
      </w:pPr>
      <w:r>
        <w:t>A.4</w:t>
      </w:r>
      <w:r>
        <w:rPr>
          <w:rFonts w:eastAsiaTheme="minorEastAsia" w:cstheme="minorBidi"/>
          <w:color w:val="auto"/>
          <w:lang w:val="en-US" w:eastAsia="en-US"/>
        </w:rPr>
        <w:tab/>
      </w:r>
      <w:r>
        <w:t>Mobile air conditioning and transport refrigeration</w:t>
      </w:r>
      <w:r>
        <w:tab/>
      </w:r>
      <w:r>
        <w:fldChar w:fldCharType="begin"/>
      </w:r>
      <w:r>
        <w:instrText xml:space="preserve"> PAGEREF _Toc515454409 \h </w:instrText>
      </w:r>
      <w:r>
        <w:fldChar w:fldCharType="separate"/>
      </w:r>
      <w:r w:rsidR="002300AD">
        <w:t>76</w:t>
      </w:r>
      <w:r>
        <w:fldChar w:fldCharType="end"/>
      </w:r>
    </w:p>
    <w:p w14:paraId="427488CC" w14:textId="3F6DF77F" w:rsidR="00E64798" w:rsidRDefault="00E64798">
      <w:pPr>
        <w:pStyle w:val="TOC2"/>
        <w:rPr>
          <w:rFonts w:eastAsiaTheme="minorEastAsia" w:cstheme="minorBidi"/>
          <w:color w:val="auto"/>
          <w:lang w:val="en-US" w:eastAsia="en-US"/>
        </w:rPr>
      </w:pPr>
      <w:r>
        <w:t>A.5</w:t>
      </w:r>
      <w:r>
        <w:rPr>
          <w:rFonts w:eastAsiaTheme="minorEastAsia" w:cstheme="minorBidi"/>
          <w:color w:val="auto"/>
          <w:lang w:val="en-US" w:eastAsia="en-US"/>
        </w:rPr>
        <w:tab/>
      </w:r>
      <w:r>
        <w:t>HAT considerations</w:t>
      </w:r>
      <w:r>
        <w:tab/>
      </w:r>
      <w:r>
        <w:fldChar w:fldCharType="begin"/>
      </w:r>
      <w:r>
        <w:instrText xml:space="preserve"> PAGEREF _Toc515454410 \h </w:instrText>
      </w:r>
      <w:r>
        <w:fldChar w:fldCharType="separate"/>
      </w:r>
      <w:r w:rsidR="002300AD">
        <w:t>78</w:t>
      </w:r>
      <w:r>
        <w:fldChar w:fldCharType="end"/>
      </w:r>
    </w:p>
    <w:p w14:paraId="19C5A2B1" w14:textId="742A33A8" w:rsidR="00E64798" w:rsidRDefault="00E64798" w:rsidP="00E64798">
      <w:pPr>
        <w:pStyle w:val="TOC1"/>
        <w:tabs>
          <w:tab w:val="clear" w:pos="8680"/>
          <w:tab w:val="right" w:leader="dot" w:pos="8280"/>
        </w:tabs>
        <w:rPr>
          <w:rFonts w:eastAsiaTheme="minorEastAsia" w:cstheme="minorBidi"/>
          <w:b w:val="0"/>
          <w:caps w:val="0"/>
          <w:noProof/>
          <w:color w:val="auto"/>
          <w:lang w:val="en-US" w:eastAsia="en-US"/>
        </w:rPr>
      </w:pPr>
      <w:r w:rsidRPr="00060F1D">
        <w:rPr>
          <w:noProof/>
        </w:rPr>
        <w:t>ANNEX B</w:t>
      </w:r>
      <w:r>
        <w:rPr>
          <w:noProof/>
        </w:rPr>
        <w:tab/>
      </w:r>
      <w:r w:rsidRPr="00060F1D">
        <w:rPr>
          <w:noProof/>
        </w:rPr>
        <w:t>Examples of projects</w:t>
      </w:r>
      <w:r>
        <w:rPr>
          <w:noProof/>
        </w:rPr>
        <w:tab/>
      </w:r>
      <w:r>
        <w:rPr>
          <w:noProof/>
        </w:rPr>
        <w:fldChar w:fldCharType="begin"/>
      </w:r>
      <w:r>
        <w:rPr>
          <w:noProof/>
        </w:rPr>
        <w:instrText xml:space="preserve"> PAGEREF _Toc515454412 \h </w:instrText>
      </w:r>
      <w:r>
        <w:rPr>
          <w:noProof/>
        </w:rPr>
      </w:r>
      <w:r>
        <w:rPr>
          <w:noProof/>
        </w:rPr>
        <w:fldChar w:fldCharType="separate"/>
      </w:r>
      <w:r w:rsidR="002300AD">
        <w:rPr>
          <w:noProof/>
        </w:rPr>
        <w:t>80</w:t>
      </w:r>
      <w:r>
        <w:rPr>
          <w:noProof/>
        </w:rPr>
        <w:fldChar w:fldCharType="end"/>
      </w:r>
    </w:p>
    <w:p w14:paraId="4DFF3173" w14:textId="0BB8FB91" w:rsidR="00E64798" w:rsidRDefault="00E64798">
      <w:pPr>
        <w:pStyle w:val="TOC2"/>
        <w:rPr>
          <w:rFonts w:eastAsiaTheme="minorEastAsia" w:cstheme="minorBidi"/>
          <w:color w:val="auto"/>
          <w:lang w:val="en-US" w:eastAsia="en-US"/>
        </w:rPr>
      </w:pPr>
      <w:r>
        <w:t>B.1</w:t>
      </w:r>
      <w:r>
        <w:rPr>
          <w:rFonts w:eastAsiaTheme="minorEastAsia" w:cstheme="minorBidi"/>
          <w:color w:val="auto"/>
          <w:lang w:val="en-US" w:eastAsia="en-US"/>
        </w:rPr>
        <w:tab/>
      </w:r>
      <w:r>
        <w:t>GEF Project/Programme Title: De-risking and scaling-up investment in energy efficient building retrofits in Armenia</w:t>
      </w:r>
      <w:r>
        <w:tab/>
      </w:r>
      <w:r>
        <w:fldChar w:fldCharType="begin"/>
      </w:r>
      <w:r>
        <w:instrText xml:space="preserve"> PAGEREF _Toc515454413 \h </w:instrText>
      </w:r>
      <w:r>
        <w:fldChar w:fldCharType="separate"/>
      </w:r>
      <w:r w:rsidR="002300AD">
        <w:t>80</w:t>
      </w:r>
      <w:r>
        <w:fldChar w:fldCharType="end"/>
      </w:r>
    </w:p>
    <w:p w14:paraId="5218D7C0" w14:textId="1C7A9E18" w:rsidR="00E64798" w:rsidRDefault="00E64798">
      <w:pPr>
        <w:pStyle w:val="TOC2"/>
        <w:rPr>
          <w:rFonts w:eastAsiaTheme="minorEastAsia" w:cstheme="minorBidi"/>
          <w:color w:val="auto"/>
          <w:lang w:val="en-US" w:eastAsia="en-US"/>
        </w:rPr>
      </w:pPr>
      <w:r>
        <w:t>B.2</w:t>
      </w:r>
      <w:r>
        <w:rPr>
          <w:rFonts w:eastAsiaTheme="minorEastAsia" w:cstheme="minorBidi"/>
          <w:color w:val="auto"/>
          <w:lang w:val="en-US" w:eastAsia="en-US"/>
        </w:rPr>
        <w:tab/>
      </w:r>
      <w:r>
        <w:t>GEF Project/Programme Title: Promoting of appliance energy efficiency and transformation of the refrigerating appliances market in Ghana</w:t>
      </w:r>
      <w:r>
        <w:tab/>
      </w:r>
      <w:r>
        <w:fldChar w:fldCharType="begin"/>
      </w:r>
      <w:r>
        <w:instrText xml:space="preserve"> PAGEREF _Toc515454414 \h </w:instrText>
      </w:r>
      <w:r>
        <w:fldChar w:fldCharType="separate"/>
      </w:r>
      <w:r w:rsidR="002300AD">
        <w:t>81</w:t>
      </w:r>
      <w:r>
        <w:fldChar w:fldCharType="end"/>
      </w:r>
    </w:p>
    <w:p w14:paraId="1E19CBD3" w14:textId="221F83B9" w:rsidR="00E64798" w:rsidRDefault="00E64798">
      <w:pPr>
        <w:pStyle w:val="TOC2"/>
        <w:rPr>
          <w:rFonts w:eastAsiaTheme="minorEastAsia" w:cstheme="minorBidi"/>
          <w:color w:val="auto"/>
          <w:lang w:val="en-US" w:eastAsia="en-US"/>
        </w:rPr>
      </w:pPr>
      <w:r>
        <w:t>B.3</w:t>
      </w:r>
      <w:r>
        <w:rPr>
          <w:rFonts w:eastAsiaTheme="minorEastAsia" w:cstheme="minorBidi"/>
          <w:color w:val="auto"/>
          <w:lang w:val="en-US" w:eastAsia="en-US"/>
        </w:rPr>
        <w:tab/>
      </w:r>
      <w:r>
        <w:t>GEF Project/programme Title: Leapfrogging Chilean’s markets to more efficient refrigerator and freezers</w:t>
      </w:r>
      <w:r>
        <w:tab/>
      </w:r>
      <w:r>
        <w:fldChar w:fldCharType="begin"/>
      </w:r>
      <w:r>
        <w:instrText xml:space="preserve"> PAGEREF _Toc515454415 \h </w:instrText>
      </w:r>
      <w:r>
        <w:fldChar w:fldCharType="separate"/>
      </w:r>
      <w:r w:rsidR="002300AD">
        <w:t>81</w:t>
      </w:r>
      <w:r>
        <w:fldChar w:fldCharType="end"/>
      </w:r>
    </w:p>
    <w:p w14:paraId="3ED3964C" w14:textId="4CDBB9AD" w:rsidR="00642379" w:rsidRPr="00F867D0" w:rsidRDefault="002A3A2D" w:rsidP="00E64798">
      <w:pPr>
        <w:pStyle w:val="TOC1"/>
        <w:tabs>
          <w:tab w:val="clear" w:pos="8680"/>
          <w:tab w:val="right" w:leader="dot" w:pos="8280"/>
        </w:tabs>
        <w:rPr>
          <w:rFonts w:ascii="Times New Roman" w:hAnsi="Times New Roman"/>
          <w:lang w:eastAsia="fr-FR"/>
        </w:rPr>
        <w:sectPr w:rsidR="00642379" w:rsidRPr="00F867D0" w:rsidSect="000F749F">
          <w:headerReference w:type="even" r:id="rId25"/>
          <w:headerReference w:type="default" r:id="rId26"/>
          <w:footerReference w:type="even" r:id="rId27"/>
          <w:headerReference w:type="first" r:id="rId28"/>
          <w:footnotePr>
            <w:numRestart w:val="eachSect"/>
          </w:footnotePr>
          <w:type w:val="oddPage"/>
          <w:pgSz w:w="11906" w:h="16838" w:code="9"/>
          <w:pgMar w:top="1440" w:right="1797" w:bottom="1525" w:left="1797" w:header="720" w:footer="794" w:gutter="0"/>
          <w:pgNumType w:fmt="lowerRoman"/>
          <w:cols w:space="720"/>
          <w:docGrid w:linePitch="299"/>
        </w:sectPr>
      </w:pPr>
      <w:r>
        <w:rPr>
          <w:rFonts w:ascii="Times New Roman" w:hAnsi="Times New Roman"/>
        </w:rPr>
        <w:fldChar w:fldCharType="end"/>
      </w:r>
    </w:p>
    <w:p w14:paraId="1BC772C7" w14:textId="77777777" w:rsidR="0053015D" w:rsidRPr="00F0472C" w:rsidRDefault="0053015D">
      <w:pPr>
        <w:pStyle w:val="Heading1"/>
        <w:rPr>
          <w:rStyle w:val="Heading1Char2"/>
          <w:b w:val="0"/>
          <w:caps/>
        </w:rPr>
      </w:pPr>
      <w:bookmarkStart w:id="13" w:name="_Toc514452550"/>
      <w:bookmarkStart w:id="14" w:name="_Toc515454343"/>
      <w:bookmarkStart w:id="15" w:name="_Toc325730195"/>
      <w:bookmarkStart w:id="16" w:name="_Toc325730196"/>
      <w:bookmarkStart w:id="17" w:name="_Toc388648365"/>
      <w:r w:rsidRPr="00F0472C">
        <w:rPr>
          <w:rStyle w:val="Heading1Char2"/>
        </w:rPr>
        <w:t>Executive Summary</w:t>
      </w:r>
      <w:bookmarkEnd w:id="13"/>
      <w:bookmarkEnd w:id="14"/>
    </w:p>
    <w:p w14:paraId="4EFC42D0" w14:textId="698BE423" w:rsidR="0034262D" w:rsidRDefault="0034262D" w:rsidP="0034262D">
      <w:pPr>
        <w:widowControl w:val="0"/>
        <w:spacing w:after="0"/>
        <w:rPr>
          <w:color w:val="auto"/>
          <w:szCs w:val="22"/>
        </w:rPr>
      </w:pPr>
      <w:r>
        <w:rPr>
          <w:color w:val="auto"/>
          <w:szCs w:val="22"/>
        </w:rPr>
        <w:t>At their 29</w:t>
      </w:r>
      <w:r w:rsidRPr="0034262D">
        <w:rPr>
          <w:color w:val="auto"/>
          <w:szCs w:val="22"/>
          <w:vertAlign w:val="superscript"/>
        </w:rPr>
        <w:t>th</w:t>
      </w:r>
      <w:r>
        <w:rPr>
          <w:color w:val="auto"/>
          <w:szCs w:val="22"/>
        </w:rPr>
        <w:t xml:space="preserve"> Meeting, parties requested the </w:t>
      </w:r>
      <w:r w:rsidRPr="0034262D">
        <w:rPr>
          <w:color w:val="auto"/>
          <w:szCs w:val="22"/>
        </w:rPr>
        <w:t>Technology</w:t>
      </w:r>
      <w:r>
        <w:rPr>
          <w:color w:val="auto"/>
          <w:szCs w:val="22"/>
        </w:rPr>
        <w:t xml:space="preserve"> and Economic Assessment Panel (TEAP) to report to the 40</w:t>
      </w:r>
      <w:r w:rsidRPr="0034262D">
        <w:rPr>
          <w:color w:val="auto"/>
          <w:szCs w:val="22"/>
          <w:vertAlign w:val="superscript"/>
        </w:rPr>
        <w:t>th</w:t>
      </w:r>
      <w:r>
        <w:rPr>
          <w:color w:val="auto"/>
          <w:szCs w:val="22"/>
        </w:rPr>
        <w:t xml:space="preserve"> Open-ended Working Group </w:t>
      </w:r>
      <w:r w:rsidR="00643C65">
        <w:rPr>
          <w:color w:val="auto"/>
          <w:szCs w:val="22"/>
        </w:rPr>
        <w:t xml:space="preserve">(OEWG-40) </w:t>
      </w:r>
      <w:r>
        <w:rPr>
          <w:color w:val="auto"/>
          <w:szCs w:val="22"/>
        </w:rPr>
        <w:t xml:space="preserve">on issues related to energy efficiency (EE) while phasing down hydrofluorocarbons (HFCs), as outlined in Decision XXIX/10. Decision XXIX/10 requests, in relation to </w:t>
      </w:r>
      <w:r w:rsidRPr="0034262D">
        <w:rPr>
          <w:color w:val="auto"/>
          <w:szCs w:val="22"/>
        </w:rPr>
        <w:t xml:space="preserve">maintaining and/or enhancing energy efficiency in the refrigeration and air-conditioning and heat-pump (RACHP) sectors, </w:t>
      </w:r>
      <w:r>
        <w:rPr>
          <w:color w:val="auto"/>
          <w:szCs w:val="22"/>
        </w:rPr>
        <w:t>an assessment of:</w:t>
      </w:r>
    </w:p>
    <w:p w14:paraId="36BBFD1D" w14:textId="77777777" w:rsidR="0002700A" w:rsidRPr="0034262D" w:rsidRDefault="0002700A" w:rsidP="0034262D">
      <w:pPr>
        <w:widowControl w:val="0"/>
        <w:spacing w:after="0"/>
        <w:rPr>
          <w:color w:val="auto"/>
          <w:szCs w:val="22"/>
        </w:rPr>
      </w:pPr>
    </w:p>
    <w:p w14:paraId="3E9BF37D" w14:textId="5BD67EDB" w:rsidR="0034262D" w:rsidRPr="00643C65" w:rsidRDefault="0034262D" w:rsidP="00BF4C57">
      <w:pPr>
        <w:pStyle w:val="ListParagraph"/>
      </w:pPr>
      <w:r w:rsidRPr="00643C65">
        <w:t>Technology options and requirements including</w:t>
      </w:r>
    </w:p>
    <w:p w14:paraId="7FD8E41D" w14:textId="7BA42534" w:rsidR="0034262D" w:rsidRPr="00643C65" w:rsidRDefault="0034262D" w:rsidP="00736989">
      <w:pPr>
        <w:pStyle w:val="ListParagraph"/>
        <w:numPr>
          <w:ilvl w:val="0"/>
          <w:numId w:val="94"/>
        </w:numPr>
      </w:pPr>
      <w:r w:rsidRPr="00643C65">
        <w:t>Challenges for their uptake;</w:t>
      </w:r>
    </w:p>
    <w:p w14:paraId="3EB42758" w14:textId="0CDDA6E1" w:rsidR="0034262D" w:rsidRPr="00643C65" w:rsidRDefault="0034262D" w:rsidP="00736989">
      <w:pPr>
        <w:pStyle w:val="ListParagraph"/>
        <w:numPr>
          <w:ilvl w:val="0"/>
          <w:numId w:val="94"/>
        </w:numPr>
      </w:pPr>
      <w:r w:rsidRPr="00643C65">
        <w:t>Their long-term sustainable performance and viability; and</w:t>
      </w:r>
    </w:p>
    <w:p w14:paraId="205629B8" w14:textId="7CCA7395" w:rsidR="0034262D" w:rsidRPr="00643C65" w:rsidRDefault="0034262D" w:rsidP="00736989">
      <w:pPr>
        <w:pStyle w:val="ListParagraph"/>
        <w:numPr>
          <w:ilvl w:val="0"/>
          <w:numId w:val="94"/>
        </w:numPr>
      </w:pPr>
      <w:r w:rsidRPr="00643C65">
        <w:t>Their environmental benefits in terms of CO</w:t>
      </w:r>
      <w:r w:rsidRPr="006C7630">
        <w:rPr>
          <w:vertAlign w:val="subscript"/>
        </w:rPr>
        <w:t>2</w:t>
      </w:r>
      <w:r w:rsidRPr="00643C65">
        <w:t>eq;</w:t>
      </w:r>
    </w:p>
    <w:p w14:paraId="52AB94E5" w14:textId="163B6A32" w:rsidR="0002700A" w:rsidRDefault="0034262D" w:rsidP="00736989">
      <w:pPr>
        <w:pStyle w:val="ListParagraph"/>
        <w:numPr>
          <w:ilvl w:val="0"/>
          <w:numId w:val="94"/>
        </w:numPr>
      </w:pPr>
      <w:r w:rsidRPr="00643C65">
        <w:t>Capacity-building and servicing sector requirements in the refrigeration and air-conditioning and heat-pump sectors;</w:t>
      </w:r>
    </w:p>
    <w:p w14:paraId="0F3C9E96" w14:textId="6F32CFCE" w:rsidR="0034262D" w:rsidRPr="00643C65" w:rsidRDefault="0034262D" w:rsidP="00BF4C57">
      <w:pPr>
        <w:pStyle w:val="ListParagraph"/>
      </w:pPr>
      <w:r w:rsidRPr="00643C65">
        <w:t>Related costs including capital and operating costs;</w:t>
      </w:r>
    </w:p>
    <w:p w14:paraId="6DC39083" w14:textId="77777777" w:rsidR="00643C65" w:rsidRDefault="00643C65" w:rsidP="0034262D">
      <w:pPr>
        <w:widowControl w:val="0"/>
        <w:spacing w:after="0"/>
        <w:rPr>
          <w:color w:val="auto"/>
          <w:szCs w:val="22"/>
        </w:rPr>
      </w:pPr>
    </w:p>
    <w:p w14:paraId="4A583215" w14:textId="07581195" w:rsidR="0034262D" w:rsidRPr="0034262D" w:rsidRDefault="00643C65" w:rsidP="0034262D">
      <w:pPr>
        <w:widowControl w:val="0"/>
        <w:spacing w:after="0"/>
        <w:rPr>
          <w:color w:val="auto"/>
          <w:szCs w:val="22"/>
        </w:rPr>
      </w:pPr>
      <w:r>
        <w:rPr>
          <w:color w:val="auto"/>
          <w:szCs w:val="22"/>
        </w:rPr>
        <w:t xml:space="preserve">The decision also requested TEAP to </w:t>
      </w:r>
      <w:r w:rsidR="0034262D" w:rsidRPr="0034262D">
        <w:rPr>
          <w:color w:val="auto"/>
          <w:szCs w:val="22"/>
        </w:rPr>
        <w:t xml:space="preserve">provide an overview of the activities and funding provided by other relevant institutions addressing </w:t>
      </w:r>
      <w:r>
        <w:rPr>
          <w:color w:val="auto"/>
          <w:szCs w:val="22"/>
        </w:rPr>
        <w:t>EE</w:t>
      </w:r>
      <w:r w:rsidR="0034262D" w:rsidRPr="0034262D">
        <w:rPr>
          <w:color w:val="auto"/>
          <w:szCs w:val="22"/>
        </w:rPr>
        <w:t xml:space="preserve"> in the RACHP sectors in relation to maintaining and/or enhancing energy efficiency while phasing down </w:t>
      </w:r>
      <w:r>
        <w:rPr>
          <w:color w:val="auto"/>
          <w:szCs w:val="22"/>
        </w:rPr>
        <w:t xml:space="preserve">HFCs </w:t>
      </w:r>
      <w:r w:rsidR="0034262D" w:rsidRPr="0034262D">
        <w:rPr>
          <w:color w:val="auto"/>
          <w:szCs w:val="22"/>
        </w:rPr>
        <w:t>under the Kigali Amendment</w:t>
      </w:r>
      <w:r>
        <w:rPr>
          <w:color w:val="auto"/>
          <w:szCs w:val="22"/>
        </w:rPr>
        <w:t>.</w:t>
      </w:r>
    </w:p>
    <w:p w14:paraId="34862E7D" w14:textId="21D90BC3" w:rsidR="0034262D" w:rsidRDefault="0034262D" w:rsidP="0034262D">
      <w:pPr>
        <w:widowControl w:val="0"/>
        <w:spacing w:after="0"/>
        <w:rPr>
          <w:color w:val="auto"/>
          <w:szCs w:val="22"/>
        </w:rPr>
      </w:pPr>
    </w:p>
    <w:p w14:paraId="7877082D" w14:textId="716419BF" w:rsidR="00643C65" w:rsidRDefault="00643C65" w:rsidP="00643C65">
      <w:pPr>
        <w:widowControl w:val="0"/>
        <w:spacing w:after="0"/>
        <w:rPr>
          <w:rFonts w:eastAsia="Calibri"/>
          <w:color w:val="auto"/>
          <w:szCs w:val="24"/>
          <w:lang w:eastAsia="en-US"/>
        </w:rPr>
      </w:pPr>
      <w:r>
        <w:rPr>
          <w:color w:val="auto"/>
          <w:szCs w:val="22"/>
        </w:rPr>
        <w:t xml:space="preserve">Finally, Decision XXIX/10 requested the </w:t>
      </w:r>
      <w:r w:rsidRPr="00643C65">
        <w:rPr>
          <w:rFonts w:eastAsia="Calibri"/>
          <w:color w:val="auto"/>
          <w:spacing w:val="-1"/>
          <w:szCs w:val="24"/>
          <w:lang w:eastAsia="en-US"/>
        </w:rPr>
        <w:t>Secretariat</w:t>
      </w:r>
      <w:r w:rsidRPr="00643C65">
        <w:rPr>
          <w:rFonts w:eastAsia="Calibri"/>
          <w:color w:val="auto"/>
          <w:szCs w:val="24"/>
          <w:lang w:eastAsia="en-US"/>
        </w:rPr>
        <w:t xml:space="preserve"> </w:t>
      </w:r>
      <w:r w:rsidRPr="00643C65">
        <w:rPr>
          <w:rFonts w:eastAsia="Calibri"/>
          <w:color w:val="auto"/>
          <w:spacing w:val="-1"/>
          <w:szCs w:val="24"/>
          <w:lang w:eastAsia="en-US"/>
        </w:rPr>
        <w:t>to</w:t>
      </w:r>
      <w:r w:rsidRPr="00643C65">
        <w:rPr>
          <w:rFonts w:eastAsia="Calibri"/>
          <w:color w:val="auto"/>
          <w:szCs w:val="24"/>
          <w:lang w:eastAsia="en-US"/>
        </w:rPr>
        <w:t xml:space="preserve"> </w:t>
      </w:r>
      <w:r w:rsidRPr="00643C65">
        <w:rPr>
          <w:rFonts w:eastAsia="Calibri"/>
          <w:color w:val="auto"/>
          <w:spacing w:val="-1"/>
          <w:szCs w:val="24"/>
          <w:lang w:eastAsia="en-US"/>
        </w:rPr>
        <w:t>organi</w:t>
      </w:r>
      <w:r w:rsidR="00E42383">
        <w:rPr>
          <w:rFonts w:eastAsia="Calibri"/>
          <w:color w:val="auto"/>
          <w:spacing w:val="-1"/>
          <w:szCs w:val="24"/>
          <w:lang w:eastAsia="en-US"/>
        </w:rPr>
        <w:t>s</w:t>
      </w:r>
      <w:r w:rsidRPr="00643C65">
        <w:rPr>
          <w:rFonts w:eastAsia="Calibri"/>
          <w:color w:val="auto"/>
          <w:spacing w:val="-1"/>
          <w:szCs w:val="24"/>
          <w:lang w:eastAsia="en-US"/>
        </w:rPr>
        <w:t>e</w:t>
      </w:r>
      <w:r w:rsidRPr="00643C65">
        <w:rPr>
          <w:rFonts w:eastAsia="Calibri"/>
          <w:color w:val="auto"/>
          <w:szCs w:val="24"/>
          <w:lang w:eastAsia="en-US"/>
        </w:rPr>
        <w:t xml:space="preserve"> a</w:t>
      </w:r>
      <w:r w:rsidRPr="00643C65">
        <w:rPr>
          <w:rFonts w:eastAsia="Calibri"/>
          <w:color w:val="auto"/>
          <w:spacing w:val="-1"/>
          <w:szCs w:val="24"/>
          <w:lang w:eastAsia="en-US"/>
        </w:rPr>
        <w:t xml:space="preserve"> workshop </w:t>
      </w:r>
      <w:r w:rsidRPr="00643C65">
        <w:rPr>
          <w:rFonts w:eastAsia="Calibri"/>
          <w:color w:val="auto"/>
          <w:szCs w:val="24"/>
          <w:lang w:eastAsia="en-US"/>
        </w:rPr>
        <w:t xml:space="preserve">on </w:t>
      </w:r>
      <w:r>
        <w:rPr>
          <w:rFonts w:eastAsia="Calibri"/>
          <w:color w:val="auto"/>
          <w:szCs w:val="24"/>
          <w:lang w:eastAsia="en-US"/>
        </w:rPr>
        <w:t xml:space="preserve">EE </w:t>
      </w:r>
      <w:r w:rsidRPr="00643C65">
        <w:rPr>
          <w:rFonts w:eastAsia="Calibri"/>
          <w:color w:val="auto"/>
          <w:spacing w:val="-1"/>
          <w:szCs w:val="24"/>
          <w:lang w:eastAsia="en-US"/>
        </w:rPr>
        <w:t>opportunities</w:t>
      </w:r>
      <w:r>
        <w:rPr>
          <w:rFonts w:eastAsia="Calibri"/>
          <w:color w:val="auto"/>
          <w:spacing w:val="-1"/>
          <w:szCs w:val="24"/>
          <w:lang w:eastAsia="en-US"/>
        </w:rPr>
        <w:t xml:space="preserve"> </w:t>
      </w:r>
      <w:r w:rsidRPr="00643C65">
        <w:rPr>
          <w:rFonts w:eastAsia="Calibri"/>
          <w:color w:val="auto"/>
          <w:szCs w:val="24"/>
          <w:lang w:eastAsia="en-US"/>
        </w:rPr>
        <w:t>while</w:t>
      </w:r>
      <w:r w:rsidRPr="00643C65">
        <w:rPr>
          <w:rFonts w:eastAsia="Calibri"/>
          <w:color w:val="auto"/>
          <w:spacing w:val="-1"/>
          <w:szCs w:val="24"/>
          <w:lang w:eastAsia="en-US"/>
        </w:rPr>
        <w:t xml:space="preserve"> phasing-down</w:t>
      </w:r>
      <w:r w:rsidRPr="00643C65">
        <w:rPr>
          <w:rFonts w:eastAsia="Calibri"/>
          <w:color w:val="auto"/>
          <w:szCs w:val="24"/>
          <w:lang w:eastAsia="en-US"/>
        </w:rPr>
        <w:t xml:space="preserve"> </w:t>
      </w:r>
      <w:r>
        <w:rPr>
          <w:rFonts w:eastAsia="Calibri"/>
          <w:color w:val="auto"/>
          <w:szCs w:val="24"/>
          <w:lang w:eastAsia="en-US"/>
        </w:rPr>
        <w:t xml:space="preserve">HFCs at </w:t>
      </w:r>
      <w:r w:rsidRPr="00643C65">
        <w:rPr>
          <w:rFonts w:eastAsia="Calibri"/>
          <w:color w:val="auto"/>
          <w:spacing w:val="-1"/>
          <w:szCs w:val="24"/>
          <w:lang w:eastAsia="en-US"/>
        </w:rPr>
        <w:t>hydrofluorocarbons</w:t>
      </w:r>
      <w:r w:rsidRPr="00643C65">
        <w:rPr>
          <w:rFonts w:eastAsia="Calibri"/>
          <w:color w:val="auto"/>
          <w:szCs w:val="24"/>
          <w:lang w:eastAsia="en-US"/>
        </w:rPr>
        <w:t xml:space="preserve"> at</w:t>
      </w:r>
      <w:r>
        <w:rPr>
          <w:rFonts w:eastAsia="Calibri"/>
          <w:color w:val="auto"/>
          <w:szCs w:val="24"/>
          <w:lang w:eastAsia="en-US"/>
        </w:rPr>
        <w:t xml:space="preserve"> OEWG-40, and, thereafter, for TEAP to prepare an updated final report for the 30</w:t>
      </w:r>
      <w:r w:rsidRPr="00643C65">
        <w:rPr>
          <w:rFonts w:eastAsia="Calibri"/>
          <w:color w:val="auto"/>
          <w:szCs w:val="24"/>
          <w:vertAlign w:val="superscript"/>
          <w:lang w:eastAsia="en-US"/>
        </w:rPr>
        <w:t>th</w:t>
      </w:r>
      <w:r>
        <w:rPr>
          <w:rFonts w:eastAsia="Calibri"/>
          <w:color w:val="auto"/>
          <w:szCs w:val="24"/>
          <w:lang w:eastAsia="en-US"/>
        </w:rPr>
        <w:t xml:space="preserve"> Meeting of the Parties to the Montreal Protocol, taking into consideration the outcome of the workshop.</w:t>
      </w:r>
    </w:p>
    <w:p w14:paraId="6ADC2C15" w14:textId="77777777" w:rsidR="00643C65" w:rsidRDefault="00643C65" w:rsidP="00643C65">
      <w:pPr>
        <w:widowControl w:val="0"/>
        <w:spacing w:after="0"/>
        <w:rPr>
          <w:rFonts w:eastAsia="Calibri"/>
          <w:color w:val="auto"/>
          <w:szCs w:val="24"/>
          <w:lang w:eastAsia="en-US"/>
        </w:rPr>
      </w:pPr>
    </w:p>
    <w:p w14:paraId="6ECAA1D2" w14:textId="63E0EAF4" w:rsidR="00643C65" w:rsidRDefault="00643C65" w:rsidP="00643C65">
      <w:pPr>
        <w:spacing w:after="0"/>
        <w:rPr>
          <w:rFonts w:eastAsia="Calibri"/>
          <w:color w:val="auto"/>
          <w:szCs w:val="24"/>
          <w:lang w:eastAsia="en-US"/>
        </w:rPr>
      </w:pPr>
      <w:r>
        <w:rPr>
          <w:rFonts w:eastAsia="Calibri"/>
          <w:color w:val="auto"/>
          <w:szCs w:val="24"/>
          <w:lang w:eastAsia="en-US"/>
        </w:rPr>
        <w:t>In response to Decision XXIX/10</w:t>
      </w:r>
      <w:r w:rsidR="00AE2C23">
        <w:rPr>
          <w:rFonts w:eastAsia="Calibri"/>
          <w:color w:val="auto"/>
          <w:szCs w:val="24"/>
          <w:lang w:eastAsia="en-US"/>
        </w:rPr>
        <w:t xml:space="preserve">, TEAP </w:t>
      </w:r>
      <w:r w:rsidR="00FD5B1C">
        <w:rPr>
          <w:rFonts w:eastAsia="Calibri"/>
          <w:color w:val="auto"/>
          <w:szCs w:val="24"/>
          <w:lang w:eastAsia="en-US"/>
        </w:rPr>
        <w:t xml:space="preserve">established the </w:t>
      </w:r>
      <w:r w:rsidR="00AE2C23">
        <w:rPr>
          <w:rFonts w:eastAsia="Calibri"/>
          <w:color w:val="auto"/>
          <w:szCs w:val="24"/>
          <w:lang w:eastAsia="en-US"/>
        </w:rPr>
        <w:t xml:space="preserve">Decision XXIX/10 Task Force, which included </w:t>
      </w:r>
      <w:r w:rsidR="00FD5B1C">
        <w:rPr>
          <w:rFonts w:eastAsia="Calibri"/>
          <w:color w:val="auto"/>
          <w:szCs w:val="24"/>
          <w:lang w:eastAsia="en-US"/>
        </w:rPr>
        <w:t>T</w:t>
      </w:r>
      <w:r w:rsidR="00AE2C23">
        <w:rPr>
          <w:rFonts w:eastAsia="Calibri"/>
          <w:color w:val="auto"/>
          <w:szCs w:val="24"/>
          <w:lang w:eastAsia="en-US"/>
        </w:rPr>
        <w:t>EAP</w:t>
      </w:r>
      <w:r w:rsidR="00FD5B1C">
        <w:rPr>
          <w:rFonts w:eastAsia="Calibri"/>
          <w:color w:val="auto"/>
          <w:szCs w:val="24"/>
          <w:lang w:eastAsia="en-US"/>
        </w:rPr>
        <w:t xml:space="preserve"> and </w:t>
      </w:r>
      <w:r w:rsidR="00AE2C23">
        <w:rPr>
          <w:rFonts w:eastAsia="Calibri"/>
          <w:color w:val="auto"/>
          <w:szCs w:val="24"/>
          <w:lang w:eastAsia="en-US"/>
        </w:rPr>
        <w:t>Technical Options Committees</w:t>
      </w:r>
      <w:r w:rsidR="00FD5B1C">
        <w:rPr>
          <w:rFonts w:eastAsia="Calibri"/>
          <w:color w:val="auto"/>
          <w:szCs w:val="24"/>
          <w:lang w:eastAsia="en-US"/>
        </w:rPr>
        <w:t xml:space="preserve"> members as well as o</w:t>
      </w:r>
      <w:r w:rsidR="00AE2C23">
        <w:rPr>
          <w:rFonts w:eastAsia="Calibri"/>
          <w:color w:val="auto"/>
          <w:szCs w:val="24"/>
          <w:lang w:eastAsia="en-US"/>
        </w:rPr>
        <w:t xml:space="preserve">utside experts. </w:t>
      </w:r>
      <w:r>
        <w:rPr>
          <w:rFonts w:eastAsia="Calibri"/>
          <w:color w:val="auto"/>
          <w:szCs w:val="24"/>
          <w:lang w:eastAsia="en-US"/>
        </w:rPr>
        <w:t xml:space="preserve">EE </w:t>
      </w:r>
      <w:r w:rsidRPr="00F867D0">
        <w:rPr>
          <w:rFonts w:eastAsia="Calibri"/>
          <w:color w:val="auto"/>
          <w:szCs w:val="24"/>
          <w:lang w:eastAsia="en-US"/>
        </w:rPr>
        <w:t xml:space="preserve">is a broad topic of major importance for the environment, economics and health, and there is an enormous amount of published literature and reviews. In preparing its response to the decision, the </w:t>
      </w:r>
      <w:r>
        <w:rPr>
          <w:rFonts w:eastAsia="Calibri"/>
          <w:color w:val="auto"/>
          <w:szCs w:val="24"/>
          <w:lang w:eastAsia="en-US"/>
        </w:rPr>
        <w:t>T</w:t>
      </w:r>
      <w:r w:rsidRPr="00F867D0">
        <w:rPr>
          <w:rFonts w:eastAsia="Calibri"/>
          <w:color w:val="auto"/>
          <w:szCs w:val="24"/>
          <w:lang w:eastAsia="en-US"/>
        </w:rPr>
        <w:t xml:space="preserve">ask </w:t>
      </w:r>
      <w:r>
        <w:rPr>
          <w:rFonts w:eastAsia="Calibri"/>
          <w:color w:val="auto"/>
          <w:szCs w:val="24"/>
          <w:lang w:eastAsia="en-US"/>
        </w:rPr>
        <w:t>F</w:t>
      </w:r>
      <w:r w:rsidRPr="00F867D0">
        <w:rPr>
          <w:rFonts w:eastAsia="Calibri"/>
          <w:color w:val="auto"/>
          <w:szCs w:val="24"/>
          <w:lang w:eastAsia="en-US"/>
        </w:rPr>
        <w:t>orce referenced information provided in earlier TEAP reports (e.g., Decision XXVIII/</w:t>
      </w:r>
      <w:r w:rsidR="00C7275E">
        <w:rPr>
          <w:rFonts w:eastAsia="Calibri"/>
          <w:color w:val="auto"/>
          <w:szCs w:val="24"/>
          <w:lang w:eastAsia="en-US"/>
        </w:rPr>
        <w:t>3</w:t>
      </w:r>
      <w:r w:rsidRPr="00F867D0">
        <w:rPr>
          <w:rFonts w:eastAsia="Calibri"/>
          <w:color w:val="auto"/>
          <w:szCs w:val="24"/>
          <w:lang w:eastAsia="en-US"/>
        </w:rPr>
        <w:t xml:space="preserve"> </w:t>
      </w:r>
      <w:r w:rsidR="00C7275E">
        <w:rPr>
          <w:rFonts w:eastAsia="Calibri"/>
          <w:color w:val="auto"/>
          <w:szCs w:val="24"/>
          <w:lang w:eastAsia="en-US"/>
        </w:rPr>
        <w:t>Working Group</w:t>
      </w:r>
      <w:r w:rsidRPr="00F867D0">
        <w:rPr>
          <w:rFonts w:eastAsia="Calibri"/>
          <w:color w:val="auto"/>
          <w:szCs w:val="24"/>
          <w:lang w:eastAsia="en-US"/>
        </w:rPr>
        <w:t xml:space="preserve"> Report – </w:t>
      </w:r>
      <w:r w:rsidR="00C7275E">
        <w:rPr>
          <w:rFonts w:eastAsia="Calibri"/>
          <w:color w:val="auto"/>
          <w:szCs w:val="24"/>
          <w:lang w:eastAsia="en-US"/>
        </w:rPr>
        <w:t>October</w:t>
      </w:r>
      <w:r w:rsidRPr="00F867D0">
        <w:rPr>
          <w:rFonts w:eastAsia="Calibri"/>
          <w:color w:val="auto"/>
          <w:szCs w:val="24"/>
          <w:lang w:eastAsia="en-US"/>
        </w:rPr>
        <w:t xml:space="preserve"> 2017) and examined updated, </w:t>
      </w:r>
      <w:r w:rsidR="00FD5B1C">
        <w:rPr>
          <w:rFonts w:eastAsia="Calibri"/>
          <w:color w:val="auto"/>
          <w:szCs w:val="24"/>
          <w:lang w:eastAsia="en-US"/>
        </w:rPr>
        <w:t xml:space="preserve">available research and studies. </w:t>
      </w:r>
      <w:r w:rsidRPr="00F867D0">
        <w:rPr>
          <w:rFonts w:eastAsia="Calibri"/>
          <w:color w:val="auto"/>
          <w:szCs w:val="24"/>
          <w:lang w:eastAsia="en-US"/>
        </w:rPr>
        <w:t xml:space="preserve">Outside expert members of the Task Force provided relevant information from their own research and </w:t>
      </w:r>
      <w:r>
        <w:rPr>
          <w:rFonts w:eastAsia="Calibri"/>
          <w:color w:val="auto"/>
          <w:szCs w:val="24"/>
          <w:lang w:eastAsia="en-US"/>
        </w:rPr>
        <w:t xml:space="preserve">of work </w:t>
      </w:r>
      <w:r w:rsidRPr="00F867D0">
        <w:rPr>
          <w:rFonts w:eastAsia="Calibri"/>
          <w:color w:val="auto"/>
          <w:szCs w:val="24"/>
          <w:lang w:eastAsia="en-US"/>
        </w:rPr>
        <w:t>done</w:t>
      </w:r>
      <w:r w:rsidR="000A31D6">
        <w:rPr>
          <w:rFonts w:eastAsia="Calibri"/>
          <w:color w:val="auto"/>
          <w:szCs w:val="24"/>
          <w:lang w:eastAsia="en-US"/>
        </w:rPr>
        <w:t xml:space="preserve"> by their colleagues and organis</w:t>
      </w:r>
      <w:r w:rsidRPr="00F867D0">
        <w:rPr>
          <w:rFonts w:eastAsia="Calibri"/>
          <w:color w:val="auto"/>
          <w:szCs w:val="24"/>
          <w:lang w:eastAsia="en-US"/>
        </w:rPr>
        <w:t>ations for consideration in this report.</w:t>
      </w:r>
    </w:p>
    <w:p w14:paraId="6C955D3B" w14:textId="66C646A8" w:rsidR="00AE2C23" w:rsidRDefault="00AE2C23" w:rsidP="00643C65">
      <w:pPr>
        <w:spacing w:after="0"/>
        <w:rPr>
          <w:rFonts w:eastAsia="Calibri"/>
          <w:color w:val="auto"/>
          <w:szCs w:val="24"/>
          <w:lang w:eastAsia="en-US"/>
        </w:rPr>
      </w:pPr>
    </w:p>
    <w:p w14:paraId="5570DF27" w14:textId="33CCAF36" w:rsidR="00FD5B1C" w:rsidRDefault="00FD5B1C" w:rsidP="00FD5B1C">
      <w:pPr>
        <w:spacing w:after="0"/>
        <w:rPr>
          <w:rFonts w:eastAsia="Calibri"/>
          <w:color w:val="auto"/>
          <w:szCs w:val="22"/>
          <w:lang w:eastAsia="en-US"/>
        </w:rPr>
      </w:pPr>
      <w:r>
        <w:rPr>
          <w:rFonts w:eastAsia="Calibri"/>
          <w:color w:val="auto"/>
          <w:szCs w:val="22"/>
          <w:lang w:eastAsia="en-US"/>
        </w:rPr>
        <w:t>T</w:t>
      </w:r>
      <w:r w:rsidRPr="00F867D0">
        <w:rPr>
          <w:rFonts w:eastAsia="Calibri"/>
          <w:color w:val="auto"/>
          <w:szCs w:val="22"/>
          <w:lang w:eastAsia="en-US"/>
        </w:rPr>
        <w:t xml:space="preserve">his report </w:t>
      </w:r>
      <w:r>
        <w:rPr>
          <w:rFonts w:eastAsia="Calibri"/>
          <w:color w:val="auto"/>
          <w:szCs w:val="22"/>
          <w:lang w:eastAsia="en-US"/>
        </w:rPr>
        <w:t xml:space="preserve">is organised, </w:t>
      </w:r>
      <w:r w:rsidRPr="00F867D0">
        <w:rPr>
          <w:rFonts w:eastAsia="Calibri"/>
          <w:color w:val="auto"/>
          <w:szCs w:val="22"/>
          <w:lang w:eastAsia="en-US"/>
        </w:rPr>
        <w:t>following the format requested in Decision XXIX/10</w:t>
      </w:r>
      <w:r>
        <w:rPr>
          <w:rFonts w:eastAsia="Calibri"/>
          <w:color w:val="auto"/>
          <w:szCs w:val="22"/>
          <w:lang w:eastAsia="en-US"/>
        </w:rPr>
        <w:t>,</w:t>
      </w:r>
      <w:r w:rsidRPr="00F867D0">
        <w:rPr>
          <w:rFonts w:eastAsia="Calibri"/>
          <w:color w:val="auto"/>
          <w:szCs w:val="22"/>
          <w:lang w:eastAsia="en-US"/>
        </w:rPr>
        <w:t xml:space="preserve"> into an introduction and two main chapters. Chapter 2 deal</w:t>
      </w:r>
      <w:r>
        <w:rPr>
          <w:rFonts w:eastAsia="Calibri"/>
          <w:color w:val="auto"/>
          <w:szCs w:val="22"/>
          <w:lang w:eastAsia="en-US"/>
        </w:rPr>
        <w:t>s</w:t>
      </w:r>
      <w:r w:rsidRPr="00F867D0">
        <w:rPr>
          <w:rFonts w:eastAsia="Calibri"/>
          <w:color w:val="auto"/>
          <w:szCs w:val="22"/>
          <w:lang w:eastAsia="en-US"/>
        </w:rPr>
        <w:t xml:space="preserve"> with the technology opportunities related to maintaining or enhancing </w:t>
      </w:r>
      <w:r>
        <w:rPr>
          <w:rFonts w:eastAsia="Calibri"/>
          <w:color w:val="auto"/>
          <w:szCs w:val="22"/>
          <w:lang w:eastAsia="en-US"/>
        </w:rPr>
        <w:t xml:space="preserve">EE during the phasedown of HFCs. </w:t>
      </w:r>
      <w:r w:rsidRPr="00F867D0">
        <w:rPr>
          <w:rFonts w:eastAsia="Calibri"/>
          <w:color w:val="auto"/>
          <w:szCs w:val="22"/>
          <w:lang w:eastAsia="en-US"/>
        </w:rPr>
        <w:t>Various aspects of the</w:t>
      </w:r>
      <w:r w:rsidRPr="00F867D0">
        <w:rPr>
          <w:rFonts w:eastAsia="Calibri"/>
          <w:color w:val="auto"/>
          <w:szCs w:val="24"/>
          <w:lang w:eastAsia="en-US"/>
        </w:rPr>
        <w:t xml:space="preserve"> </w:t>
      </w:r>
      <w:r>
        <w:rPr>
          <w:rFonts w:eastAsia="Calibri"/>
          <w:color w:val="auto"/>
          <w:szCs w:val="24"/>
          <w:lang w:eastAsia="en-US"/>
        </w:rPr>
        <w:t>EE</w:t>
      </w:r>
      <w:r w:rsidRPr="00F867D0">
        <w:rPr>
          <w:rFonts w:eastAsia="Calibri"/>
          <w:color w:val="auto"/>
          <w:szCs w:val="24"/>
          <w:lang w:eastAsia="en-US"/>
        </w:rPr>
        <w:t xml:space="preserve"> opportunities in the RACHP sector were considered</w:t>
      </w:r>
      <w:r>
        <w:rPr>
          <w:rFonts w:eastAsia="Calibri"/>
          <w:color w:val="auto"/>
          <w:szCs w:val="24"/>
          <w:lang w:eastAsia="en-US"/>
        </w:rPr>
        <w:t>.</w:t>
      </w:r>
      <w:r w:rsidRPr="00F867D0">
        <w:rPr>
          <w:rFonts w:eastAsia="Calibri"/>
          <w:color w:val="auto"/>
          <w:szCs w:val="24"/>
          <w:lang w:eastAsia="en-US"/>
        </w:rPr>
        <w:t xml:space="preserve"> </w:t>
      </w:r>
      <w:r>
        <w:rPr>
          <w:rFonts w:eastAsia="Calibri"/>
          <w:color w:val="auto"/>
          <w:szCs w:val="24"/>
          <w:lang w:eastAsia="en-US"/>
        </w:rPr>
        <w:t>C</w:t>
      </w:r>
      <w:r w:rsidRPr="00F867D0">
        <w:rPr>
          <w:rFonts w:eastAsia="Calibri"/>
          <w:color w:val="auto"/>
          <w:szCs w:val="24"/>
          <w:lang w:eastAsia="en-US"/>
        </w:rPr>
        <w:t>hapter</w:t>
      </w:r>
      <w:r>
        <w:rPr>
          <w:rFonts w:eastAsia="Calibri"/>
          <w:color w:val="auto"/>
          <w:szCs w:val="24"/>
          <w:lang w:eastAsia="en-US"/>
        </w:rPr>
        <w:t xml:space="preserve"> 2</w:t>
      </w:r>
      <w:r w:rsidRPr="00F867D0">
        <w:rPr>
          <w:rFonts w:eastAsia="Calibri"/>
          <w:color w:val="auto"/>
          <w:szCs w:val="24"/>
          <w:lang w:eastAsia="en-US"/>
        </w:rPr>
        <w:t xml:space="preserve"> also considered the other topics requested from the decision including the long-term sustainability and viability of the technology opportunities, consideration of </w:t>
      </w:r>
      <w:r w:rsidRPr="00F867D0">
        <w:rPr>
          <w:rFonts w:eastAsia="Calibri"/>
          <w:color w:val="auto"/>
          <w:szCs w:val="22"/>
          <w:lang w:eastAsia="en-US"/>
        </w:rPr>
        <w:t xml:space="preserve">high ambient temperature conditions, climate benefits from adopting the RACHP </w:t>
      </w:r>
      <w:r>
        <w:rPr>
          <w:rFonts w:eastAsia="Calibri"/>
          <w:color w:val="auto"/>
          <w:szCs w:val="22"/>
          <w:lang w:eastAsia="en-US"/>
        </w:rPr>
        <w:t>EE</w:t>
      </w:r>
      <w:r w:rsidRPr="00F867D0">
        <w:rPr>
          <w:rFonts w:eastAsia="Calibri"/>
          <w:color w:val="auto"/>
          <w:szCs w:val="22"/>
          <w:lang w:eastAsia="en-US"/>
        </w:rPr>
        <w:t xml:space="preserve"> measures, and consideration of related capital and operating costs. Chapter 3 examine</w:t>
      </w:r>
      <w:r>
        <w:rPr>
          <w:rFonts w:eastAsia="Calibri"/>
          <w:color w:val="auto"/>
          <w:szCs w:val="22"/>
          <w:lang w:eastAsia="en-US"/>
        </w:rPr>
        <w:t>s</w:t>
      </w:r>
      <w:r w:rsidRPr="00F867D0">
        <w:rPr>
          <w:rFonts w:eastAsia="Calibri"/>
          <w:color w:val="auto"/>
          <w:szCs w:val="22"/>
          <w:lang w:eastAsia="en-US"/>
        </w:rPr>
        <w:t xml:space="preserve"> other financial institutions where these may intersect with support for realizing </w:t>
      </w:r>
      <w:r>
        <w:rPr>
          <w:rFonts w:eastAsia="Calibri"/>
          <w:color w:val="auto"/>
          <w:szCs w:val="22"/>
          <w:lang w:eastAsia="en-US"/>
        </w:rPr>
        <w:t>EE</w:t>
      </w:r>
      <w:r w:rsidRPr="00F867D0">
        <w:rPr>
          <w:rFonts w:eastAsia="Calibri"/>
          <w:color w:val="auto"/>
          <w:szCs w:val="22"/>
          <w:lang w:eastAsia="en-US"/>
        </w:rPr>
        <w:t xml:space="preserve"> goals in the RACHP sectors during the phasedown of HFCs.</w:t>
      </w:r>
      <w:r w:rsidR="00E42383">
        <w:rPr>
          <w:rFonts w:eastAsia="Calibri"/>
          <w:color w:val="auto"/>
          <w:szCs w:val="22"/>
          <w:lang w:eastAsia="en-US"/>
        </w:rPr>
        <w:t xml:space="preserve"> Contained in two annexes are i</w:t>
      </w:r>
      <w:r w:rsidRPr="00F867D0">
        <w:rPr>
          <w:rFonts w:eastAsia="Calibri"/>
          <w:color w:val="auto"/>
          <w:szCs w:val="22"/>
          <w:lang w:eastAsia="en-US"/>
        </w:rPr>
        <w:t xml:space="preserve">nformation about the different challenges to the technology uptake in the RACHP sectors and examples of relevant projects funding </w:t>
      </w:r>
      <w:r w:rsidR="00E42383">
        <w:rPr>
          <w:rFonts w:eastAsia="Calibri"/>
          <w:color w:val="auto"/>
          <w:szCs w:val="22"/>
          <w:lang w:eastAsia="en-US"/>
        </w:rPr>
        <w:t>or financing</w:t>
      </w:r>
      <w:r w:rsidRPr="00F867D0">
        <w:rPr>
          <w:rFonts w:eastAsia="Calibri"/>
          <w:color w:val="auto"/>
          <w:szCs w:val="22"/>
          <w:lang w:eastAsia="en-US"/>
        </w:rPr>
        <w:t>.</w:t>
      </w:r>
    </w:p>
    <w:p w14:paraId="585D5ADF" w14:textId="33FF01B3" w:rsidR="00E42383" w:rsidRDefault="00E42383" w:rsidP="00FD5B1C">
      <w:pPr>
        <w:spacing w:after="0"/>
        <w:rPr>
          <w:rFonts w:eastAsia="Calibri"/>
          <w:color w:val="auto"/>
          <w:szCs w:val="22"/>
          <w:lang w:eastAsia="en-US"/>
        </w:rPr>
      </w:pPr>
    </w:p>
    <w:p w14:paraId="58F0ECF1" w14:textId="21BD2CE9" w:rsidR="00E42383" w:rsidRPr="00F867D0" w:rsidRDefault="00E42383" w:rsidP="00FD5B1C">
      <w:pPr>
        <w:spacing w:after="0"/>
        <w:rPr>
          <w:rFonts w:eastAsia="Calibri"/>
          <w:color w:val="auto"/>
          <w:szCs w:val="22"/>
          <w:lang w:eastAsia="en-US"/>
        </w:rPr>
      </w:pPr>
      <w:r>
        <w:rPr>
          <w:rFonts w:eastAsia="Calibri"/>
          <w:color w:val="auto"/>
          <w:szCs w:val="22"/>
          <w:lang w:eastAsia="en-US"/>
        </w:rPr>
        <w:t>Below are summaries of the various sections of the report.</w:t>
      </w:r>
    </w:p>
    <w:p w14:paraId="5F919B28" w14:textId="77777777" w:rsidR="00FD5B1C" w:rsidRDefault="00FD5B1C" w:rsidP="00643C65">
      <w:pPr>
        <w:spacing w:after="0"/>
        <w:rPr>
          <w:rFonts w:eastAsia="Calibri"/>
          <w:color w:val="auto"/>
          <w:szCs w:val="24"/>
          <w:lang w:eastAsia="en-US"/>
        </w:rPr>
      </w:pPr>
    </w:p>
    <w:p w14:paraId="4D8AF1A4" w14:textId="14CD2ADC" w:rsidR="0053015D" w:rsidRPr="005A7023" w:rsidRDefault="0053015D" w:rsidP="000F749F">
      <w:pPr>
        <w:keepNext/>
        <w:widowControl w:val="0"/>
        <w:spacing w:after="0"/>
        <w:rPr>
          <w:b/>
          <w:color w:val="auto"/>
          <w:szCs w:val="22"/>
        </w:rPr>
      </w:pPr>
      <w:r w:rsidRPr="005A7023">
        <w:rPr>
          <w:b/>
          <w:color w:val="auto"/>
          <w:szCs w:val="22"/>
        </w:rPr>
        <w:t>Technology opportunities and challenges to maintain and/or enhance energy efficiency of new RACHP equipment</w:t>
      </w:r>
    </w:p>
    <w:p w14:paraId="7196D601" w14:textId="77777777" w:rsidR="000F43CD" w:rsidRDefault="000F43CD" w:rsidP="000F749F">
      <w:pPr>
        <w:keepNext/>
        <w:spacing w:after="0"/>
      </w:pPr>
    </w:p>
    <w:p w14:paraId="70A2C77A" w14:textId="4E2CCDBC" w:rsidR="00A44546" w:rsidRDefault="0053015D" w:rsidP="00385D9F">
      <w:pPr>
        <w:spacing w:after="0"/>
      </w:pPr>
      <w:r w:rsidRPr="005A7023">
        <w:t>By using a rigorous integrated approach to RACHP equipment design and selection, the opportunities to improve energy efficiency (EE) or reduce energy use can be maximi</w:t>
      </w:r>
      <w:r w:rsidR="00385D9F">
        <w:t>s</w:t>
      </w:r>
      <w:r w:rsidRPr="005A7023">
        <w:t>ed</w:t>
      </w:r>
      <w:r w:rsidR="00385D9F">
        <w:t>.</w:t>
      </w:r>
      <w:r w:rsidRPr="005A7023">
        <w:t xml:space="preserve"> This approach includes:</w:t>
      </w:r>
    </w:p>
    <w:p w14:paraId="3AD2FC22" w14:textId="77777777" w:rsidR="0002700A" w:rsidRPr="005A7023" w:rsidRDefault="0002700A" w:rsidP="000F43CD">
      <w:pPr>
        <w:spacing w:after="0"/>
      </w:pPr>
    </w:p>
    <w:p w14:paraId="4CCA96D1" w14:textId="741886C3" w:rsidR="0053015D" w:rsidRPr="005A7023" w:rsidRDefault="0053015D" w:rsidP="00736989">
      <w:pPr>
        <w:widowControl w:val="0"/>
        <w:numPr>
          <w:ilvl w:val="0"/>
          <w:numId w:val="86"/>
        </w:numPr>
        <w:tabs>
          <w:tab w:val="left" w:pos="220"/>
          <w:tab w:val="left" w:pos="270"/>
        </w:tabs>
        <w:autoSpaceDE w:val="0"/>
        <w:autoSpaceDN w:val="0"/>
        <w:adjustRightInd w:val="0"/>
        <w:spacing w:after="0"/>
        <w:ind w:left="720"/>
        <w:rPr>
          <w:color w:val="auto"/>
          <w:kern w:val="2"/>
          <w:szCs w:val="22"/>
        </w:rPr>
      </w:pPr>
      <w:r w:rsidRPr="005A7023">
        <w:rPr>
          <w:color w:val="auto"/>
          <w:kern w:val="2"/>
          <w:szCs w:val="22"/>
        </w:rPr>
        <w:t>Ensuring minimi</w:t>
      </w:r>
      <w:r w:rsidR="0009498A">
        <w:rPr>
          <w:color w:val="auto"/>
          <w:kern w:val="2"/>
          <w:szCs w:val="22"/>
        </w:rPr>
        <w:t>s</w:t>
      </w:r>
      <w:r w:rsidRPr="005A7023">
        <w:rPr>
          <w:color w:val="auto"/>
          <w:kern w:val="2"/>
          <w:szCs w:val="22"/>
        </w:rPr>
        <w:t>ation of cooling/heating loads;</w:t>
      </w:r>
    </w:p>
    <w:p w14:paraId="1308A785" w14:textId="77777777" w:rsidR="0053015D" w:rsidRPr="005A7023" w:rsidRDefault="0053015D" w:rsidP="00736989">
      <w:pPr>
        <w:widowControl w:val="0"/>
        <w:numPr>
          <w:ilvl w:val="0"/>
          <w:numId w:val="86"/>
        </w:numPr>
        <w:tabs>
          <w:tab w:val="left" w:pos="220"/>
          <w:tab w:val="left" w:pos="270"/>
        </w:tabs>
        <w:autoSpaceDE w:val="0"/>
        <w:autoSpaceDN w:val="0"/>
        <w:adjustRightInd w:val="0"/>
        <w:spacing w:after="0"/>
        <w:ind w:left="720"/>
        <w:rPr>
          <w:color w:val="auto"/>
          <w:kern w:val="2"/>
          <w:szCs w:val="22"/>
        </w:rPr>
      </w:pPr>
      <w:r w:rsidRPr="005A7023">
        <w:rPr>
          <w:color w:val="auto"/>
          <w:kern w:val="2"/>
          <w:szCs w:val="22"/>
        </w:rPr>
        <w:t>Selection of appropriate refrigerant;</w:t>
      </w:r>
    </w:p>
    <w:p w14:paraId="4E0F59C1" w14:textId="77777777" w:rsidR="0053015D" w:rsidRPr="005A7023" w:rsidRDefault="0053015D" w:rsidP="00736989">
      <w:pPr>
        <w:widowControl w:val="0"/>
        <w:numPr>
          <w:ilvl w:val="0"/>
          <w:numId w:val="86"/>
        </w:numPr>
        <w:tabs>
          <w:tab w:val="left" w:pos="220"/>
          <w:tab w:val="left" w:pos="270"/>
        </w:tabs>
        <w:autoSpaceDE w:val="0"/>
        <w:autoSpaceDN w:val="0"/>
        <w:adjustRightInd w:val="0"/>
        <w:spacing w:after="0"/>
        <w:ind w:left="720"/>
        <w:rPr>
          <w:color w:val="auto"/>
          <w:kern w:val="2"/>
          <w:szCs w:val="22"/>
        </w:rPr>
      </w:pPr>
      <w:r w:rsidRPr="005A7023">
        <w:rPr>
          <w:color w:val="auto"/>
          <w:kern w:val="2"/>
          <w:szCs w:val="22"/>
        </w:rPr>
        <w:t>Use of high efficiency components and system design;</w:t>
      </w:r>
    </w:p>
    <w:p w14:paraId="3DF3230C" w14:textId="6D3DD08F" w:rsidR="0053015D" w:rsidRPr="005A7023" w:rsidRDefault="0053015D" w:rsidP="00736989">
      <w:pPr>
        <w:widowControl w:val="0"/>
        <w:numPr>
          <w:ilvl w:val="0"/>
          <w:numId w:val="86"/>
        </w:numPr>
        <w:tabs>
          <w:tab w:val="left" w:pos="220"/>
          <w:tab w:val="left" w:pos="270"/>
        </w:tabs>
        <w:autoSpaceDE w:val="0"/>
        <w:autoSpaceDN w:val="0"/>
        <w:adjustRightInd w:val="0"/>
        <w:spacing w:after="0"/>
        <w:ind w:left="720"/>
        <w:rPr>
          <w:color w:val="auto"/>
          <w:kern w:val="2"/>
          <w:szCs w:val="22"/>
        </w:rPr>
      </w:pPr>
      <w:r w:rsidRPr="005A7023">
        <w:rPr>
          <w:color w:val="auto"/>
          <w:kern w:val="2"/>
          <w:szCs w:val="22"/>
        </w:rPr>
        <w:t xml:space="preserve">Ensuring </w:t>
      </w:r>
      <w:r w:rsidR="0009498A">
        <w:rPr>
          <w:color w:val="auto"/>
          <w:kern w:val="2"/>
          <w:szCs w:val="22"/>
        </w:rPr>
        <w:t>proper install</w:t>
      </w:r>
      <w:r w:rsidR="00921DCD">
        <w:rPr>
          <w:color w:val="auto"/>
          <w:kern w:val="2"/>
          <w:szCs w:val="22"/>
        </w:rPr>
        <w:t>ation</w:t>
      </w:r>
      <w:r w:rsidR="0009498A">
        <w:rPr>
          <w:color w:val="auto"/>
          <w:kern w:val="2"/>
          <w:szCs w:val="22"/>
        </w:rPr>
        <w:t xml:space="preserve">, </w:t>
      </w:r>
      <w:r w:rsidRPr="005A7023">
        <w:rPr>
          <w:color w:val="auto"/>
          <w:kern w:val="2"/>
          <w:szCs w:val="22"/>
        </w:rPr>
        <w:t>optimi</w:t>
      </w:r>
      <w:r>
        <w:rPr>
          <w:color w:val="auto"/>
          <w:kern w:val="2"/>
          <w:szCs w:val="22"/>
        </w:rPr>
        <w:t>s</w:t>
      </w:r>
      <w:r w:rsidRPr="005A7023">
        <w:rPr>
          <w:color w:val="auto"/>
          <w:kern w:val="2"/>
          <w:szCs w:val="22"/>
        </w:rPr>
        <w:t xml:space="preserve">ed control and operation, under all </w:t>
      </w:r>
      <w:r>
        <w:rPr>
          <w:color w:val="auto"/>
          <w:kern w:val="2"/>
          <w:szCs w:val="22"/>
        </w:rPr>
        <w:t>common operating conditions;</w:t>
      </w:r>
    </w:p>
    <w:p w14:paraId="33944659" w14:textId="77777777" w:rsidR="0053015D" w:rsidRPr="005A7023" w:rsidRDefault="0053015D" w:rsidP="00736989">
      <w:pPr>
        <w:widowControl w:val="0"/>
        <w:numPr>
          <w:ilvl w:val="0"/>
          <w:numId w:val="86"/>
        </w:numPr>
        <w:tabs>
          <w:tab w:val="left" w:pos="220"/>
          <w:tab w:val="left" w:pos="270"/>
        </w:tabs>
        <w:autoSpaceDE w:val="0"/>
        <w:autoSpaceDN w:val="0"/>
        <w:adjustRightInd w:val="0"/>
        <w:spacing w:after="0"/>
        <w:ind w:left="720"/>
        <w:rPr>
          <w:color w:val="auto"/>
          <w:kern w:val="2"/>
          <w:szCs w:val="22"/>
        </w:rPr>
      </w:pPr>
      <w:r w:rsidRPr="005A7023">
        <w:rPr>
          <w:color w:val="auto"/>
          <w:kern w:val="2"/>
          <w:szCs w:val="22"/>
        </w:rPr>
        <w:t>Designing features that will support servicing and maintenance.</w:t>
      </w:r>
    </w:p>
    <w:p w14:paraId="32231839" w14:textId="77777777" w:rsidR="00A44546" w:rsidRDefault="00A44546" w:rsidP="00E42383">
      <w:pPr>
        <w:spacing w:after="0"/>
      </w:pPr>
    </w:p>
    <w:p w14:paraId="04493845" w14:textId="544A01BF" w:rsidR="0053015D" w:rsidRPr="005A7023" w:rsidRDefault="0053015D" w:rsidP="00E42383">
      <w:pPr>
        <w:spacing w:after="0"/>
      </w:pPr>
      <w:r w:rsidRPr="005A7023">
        <w:t>While the benefits of higher EE, such as savings in energy, operating cost to the consumer, peak load and GHG emissions are widely recogni</w:t>
      </w:r>
      <w:r w:rsidR="000A31D6">
        <w:t>s</w:t>
      </w:r>
      <w:r w:rsidRPr="005A7023">
        <w:t xml:space="preserve">ed, many barriers to the uptake of more efficient equipment continue to persist. There are a number of common challenges that apply to all types of RACHP equipment. There also </w:t>
      </w:r>
      <w:r w:rsidR="0009498A">
        <w:t xml:space="preserve">are </w:t>
      </w:r>
      <w:r w:rsidRPr="005A7023">
        <w:t>certain market</w:t>
      </w:r>
      <w:r w:rsidR="0009498A">
        <w:t xml:space="preserve"> and </w:t>
      </w:r>
      <w:r w:rsidRPr="005A7023">
        <w:t>sector-specific issues that are presented in further detail. Broadly, these barriers can be classified into the following categories: financial, market, information, institutional and regulatory, technical, service competency and others.</w:t>
      </w:r>
    </w:p>
    <w:p w14:paraId="3B28ADC0" w14:textId="77777777" w:rsidR="00A44546" w:rsidRDefault="00A44546" w:rsidP="00A44546">
      <w:pPr>
        <w:spacing w:after="0"/>
      </w:pPr>
    </w:p>
    <w:p w14:paraId="5CF1AC70" w14:textId="3A005E26" w:rsidR="00E42383" w:rsidRDefault="0009498A" w:rsidP="00A44546">
      <w:pPr>
        <w:spacing w:after="0"/>
      </w:pPr>
      <w:r>
        <w:t>Technologies resulting in efficiency improvement opportunities available for high-GWP refrigerants may be applicable to low-GWP refrigerants as well.</w:t>
      </w:r>
    </w:p>
    <w:p w14:paraId="52456713" w14:textId="77777777" w:rsidR="00A44546" w:rsidRDefault="00A44546" w:rsidP="00E42383">
      <w:pPr>
        <w:spacing w:after="0"/>
      </w:pPr>
    </w:p>
    <w:p w14:paraId="103352CB" w14:textId="423A5115" w:rsidR="0053015D" w:rsidRPr="005A7023" w:rsidRDefault="0053015D" w:rsidP="00E42383">
      <w:pPr>
        <w:spacing w:after="0"/>
      </w:pPr>
      <w:r w:rsidRPr="005A7023">
        <w:t xml:space="preserve">The largest potential for </w:t>
      </w:r>
      <w:r>
        <w:t>EE</w:t>
      </w:r>
      <w:r w:rsidRPr="005A7023">
        <w:t xml:space="preserve"> improvement comes from improvements in </w:t>
      </w:r>
      <w:r w:rsidR="0009498A">
        <w:t xml:space="preserve">total system </w:t>
      </w:r>
      <w:r w:rsidRPr="005A7023">
        <w:t xml:space="preserve">design and components, which can yield efficiency improvements </w:t>
      </w:r>
      <w:r w:rsidR="0009498A">
        <w:t xml:space="preserve">(compared to a baseline design) that can range from </w:t>
      </w:r>
      <w:r w:rsidRPr="005A7023">
        <w:t>10</w:t>
      </w:r>
      <w:r w:rsidR="0009498A">
        <w:t xml:space="preserve">% </w:t>
      </w:r>
      <w:r w:rsidRPr="005A7023">
        <w:t>to 70%</w:t>
      </w:r>
      <w:r w:rsidR="0009498A">
        <w:t xml:space="preserve"> (for “best in class” unit)</w:t>
      </w:r>
      <w:r w:rsidRPr="005A7023">
        <w:t xml:space="preserve">. </w:t>
      </w:r>
      <w:r w:rsidR="0009498A">
        <w:t>On the other hand, the impact of refrigerant choice on the EE of the units is usually relatively small – typically ranging from +/- 5 to 10%.</w:t>
      </w:r>
    </w:p>
    <w:p w14:paraId="1BFBFAC2" w14:textId="77777777" w:rsidR="0053015D" w:rsidRPr="005A7023" w:rsidRDefault="0053015D" w:rsidP="0053015D">
      <w:pPr>
        <w:spacing w:after="0"/>
        <w:rPr>
          <w:rFonts w:eastAsia="MS Mincho"/>
          <w:b/>
          <w:snapToGrid w:val="0"/>
          <w:color w:val="auto"/>
          <w:szCs w:val="22"/>
          <w:lang w:eastAsia="en-US"/>
        </w:rPr>
      </w:pPr>
    </w:p>
    <w:p w14:paraId="2CCFA31E" w14:textId="77777777" w:rsidR="0053015D" w:rsidRPr="005A7023" w:rsidRDefault="0053015D" w:rsidP="00E42383">
      <w:pPr>
        <w:spacing w:after="0"/>
        <w:rPr>
          <w:b/>
          <w:szCs w:val="22"/>
        </w:rPr>
      </w:pPr>
      <w:r w:rsidRPr="005A7023">
        <w:rPr>
          <w:b/>
          <w:szCs w:val="22"/>
        </w:rPr>
        <w:t>Long-term sustainable performance and viability</w:t>
      </w:r>
    </w:p>
    <w:p w14:paraId="5F05A6F6" w14:textId="77777777" w:rsidR="00E42383" w:rsidRDefault="00E42383" w:rsidP="00E42383">
      <w:pPr>
        <w:spacing w:after="0"/>
      </w:pPr>
    </w:p>
    <w:p w14:paraId="5DF1AA6C" w14:textId="77777777" w:rsidR="00A44546" w:rsidRDefault="0053015D" w:rsidP="00A44546">
      <w:pPr>
        <w:spacing w:after="0"/>
      </w:pPr>
      <w:r w:rsidRPr="005A7023">
        <w:t>In assessing consideration of long-term sustainable performance and viability (of technology options and requirements in the context of maintaining or exceeding energy performance), it was necessary for the Task Force to define the terms and timeframes for this assessment. The Task Force interpreted the term “long-term” for RAHCP technologies to mean for a period of up to 15 years, which is consistent with previous assessments of this term</w:t>
      </w:r>
      <w:r w:rsidR="00A44546">
        <w:t xml:space="preserve"> used and reported by the TEAP.</w:t>
      </w:r>
    </w:p>
    <w:p w14:paraId="38F5739C" w14:textId="77777777" w:rsidR="00A44546" w:rsidRDefault="00A44546" w:rsidP="00A44546">
      <w:pPr>
        <w:spacing w:after="0"/>
      </w:pPr>
    </w:p>
    <w:p w14:paraId="17C43B23" w14:textId="77777777" w:rsidR="00A44546" w:rsidRDefault="0053015D" w:rsidP="00A44546">
      <w:pPr>
        <w:spacing w:after="0"/>
      </w:pPr>
      <w:r w:rsidRPr="005A7023">
        <w:t>For the phrase “ sustainable performance and viability” (over the 15-year “long-term” timeframe), the Task Force looked to assess whether or not the options and requirements for technology that are commercially available today and being commercially developed for the nearer term (which include zero or low-GWP refrigerants - single chemicals and blends, and compatible equipment/hardware), would be anticipated to at least meet EE needs (i.e., would be viable) and whether or not they would remain viable over the next 15 years, including considerations for servicing.</w:t>
      </w:r>
    </w:p>
    <w:p w14:paraId="34ED47C5" w14:textId="77777777" w:rsidR="00A44546" w:rsidRDefault="00A44546" w:rsidP="00A44546">
      <w:pPr>
        <w:spacing w:after="0"/>
      </w:pPr>
    </w:p>
    <w:p w14:paraId="448E2292" w14:textId="338694A7" w:rsidR="00A44546" w:rsidRDefault="0053015D" w:rsidP="00A44546">
      <w:pPr>
        <w:spacing w:after="0"/>
      </w:pPr>
      <w:r w:rsidRPr="005A7023">
        <w:t xml:space="preserve">Therefore, the relevant aspects that will impact the long-term sustainment of performance </w:t>
      </w:r>
      <w:r w:rsidR="00A44546">
        <w:t>are expected to be as follows:</w:t>
      </w:r>
    </w:p>
    <w:p w14:paraId="4D01875C" w14:textId="77777777" w:rsidR="0002700A" w:rsidRPr="005A7023" w:rsidRDefault="0002700A" w:rsidP="00A44546">
      <w:pPr>
        <w:spacing w:after="0"/>
      </w:pPr>
    </w:p>
    <w:p w14:paraId="3C66F62A" w14:textId="5D49BBD6" w:rsidR="0053015D" w:rsidRDefault="0053015D" w:rsidP="00736989">
      <w:pPr>
        <w:widowControl w:val="0"/>
        <w:numPr>
          <w:ilvl w:val="0"/>
          <w:numId w:val="95"/>
        </w:numPr>
        <w:tabs>
          <w:tab w:val="left" w:pos="220"/>
          <w:tab w:val="left" w:pos="270"/>
        </w:tabs>
        <w:autoSpaceDE w:val="0"/>
        <w:autoSpaceDN w:val="0"/>
        <w:adjustRightInd w:val="0"/>
        <w:spacing w:after="0"/>
        <w:ind w:left="720" w:hanging="450"/>
        <w:contextualSpacing/>
        <w:rPr>
          <w:color w:val="auto"/>
          <w:kern w:val="2"/>
          <w:szCs w:val="22"/>
        </w:rPr>
      </w:pPr>
      <w:r w:rsidRPr="005A7023">
        <w:rPr>
          <w:color w:val="auto"/>
          <w:kern w:val="2"/>
          <w:szCs w:val="22"/>
        </w:rPr>
        <w:t>Technological environment,</w:t>
      </w:r>
    </w:p>
    <w:p w14:paraId="70B7DE8D" w14:textId="77777777" w:rsidR="00202E86" w:rsidRPr="005A7023" w:rsidRDefault="00202E86" w:rsidP="00202E86">
      <w:pPr>
        <w:widowControl w:val="0"/>
        <w:tabs>
          <w:tab w:val="left" w:pos="220"/>
          <w:tab w:val="left" w:pos="270"/>
        </w:tabs>
        <w:autoSpaceDE w:val="0"/>
        <w:autoSpaceDN w:val="0"/>
        <w:adjustRightInd w:val="0"/>
        <w:spacing w:after="0"/>
        <w:ind w:left="720"/>
        <w:contextualSpacing/>
        <w:rPr>
          <w:color w:val="auto"/>
          <w:kern w:val="2"/>
          <w:szCs w:val="22"/>
        </w:rPr>
      </w:pPr>
    </w:p>
    <w:p w14:paraId="57370133" w14:textId="162B71AF" w:rsidR="00A44546" w:rsidRDefault="0053015D" w:rsidP="00736989">
      <w:pPr>
        <w:widowControl w:val="0"/>
        <w:numPr>
          <w:ilvl w:val="0"/>
          <w:numId w:val="95"/>
        </w:numPr>
        <w:tabs>
          <w:tab w:val="left" w:pos="220"/>
          <w:tab w:val="left" w:pos="270"/>
        </w:tabs>
        <w:autoSpaceDE w:val="0"/>
        <w:autoSpaceDN w:val="0"/>
        <w:adjustRightInd w:val="0"/>
        <w:spacing w:after="0"/>
        <w:ind w:left="720" w:hanging="450"/>
        <w:contextualSpacing/>
        <w:rPr>
          <w:color w:val="auto"/>
          <w:kern w:val="2"/>
          <w:szCs w:val="22"/>
        </w:rPr>
      </w:pPr>
      <w:r w:rsidRPr="005A7023">
        <w:rPr>
          <w:color w:val="auto"/>
          <w:kern w:val="2"/>
          <w:szCs w:val="22"/>
        </w:rPr>
        <w:t>Minimum Energy Performance Standards (MEPS)</w:t>
      </w:r>
      <w:r w:rsidR="00202E86">
        <w:rPr>
          <w:color w:val="auto"/>
          <w:kern w:val="2"/>
          <w:szCs w:val="22"/>
        </w:rPr>
        <w:t>.</w:t>
      </w:r>
    </w:p>
    <w:p w14:paraId="7A97AACA" w14:textId="77777777" w:rsidR="00A44546" w:rsidRDefault="00A44546" w:rsidP="00A44546">
      <w:pPr>
        <w:widowControl w:val="0"/>
        <w:tabs>
          <w:tab w:val="left" w:pos="220"/>
          <w:tab w:val="left" w:pos="270"/>
        </w:tabs>
        <w:autoSpaceDE w:val="0"/>
        <w:autoSpaceDN w:val="0"/>
        <w:adjustRightInd w:val="0"/>
        <w:spacing w:after="0"/>
        <w:contextualSpacing/>
        <w:rPr>
          <w:color w:val="auto"/>
          <w:kern w:val="2"/>
          <w:szCs w:val="22"/>
        </w:rPr>
      </w:pPr>
    </w:p>
    <w:p w14:paraId="3B6AC26B" w14:textId="0E62AD1B" w:rsidR="0009498A" w:rsidRPr="00A44546" w:rsidRDefault="0009498A" w:rsidP="00A44546">
      <w:pPr>
        <w:widowControl w:val="0"/>
        <w:tabs>
          <w:tab w:val="left" w:pos="220"/>
          <w:tab w:val="left" w:pos="270"/>
        </w:tabs>
        <w:autoSpaceDE w:val="0"/>
        <w:autoSpaceDN w:val="0"/>
        <w:adjustRightInd w:val="0"/>
        <w:spacing w:after="0"/>
        <w:contextualSpacing/>
        <w:rPr>
          <w:color w:val="auto"/>
          <w:kern w:val="2"/>
          <w:szCs w:val="22"/>
        </w:rPr>
      </w:pPr>
      <w:r w:rsidRPr="0009498A">
        <w:t>While the challe</w:t>
      </w:r>
      <w:r>
        <w:t xml:space="preserve">nge of researching and finding </w:t>
      </w:r>
      <w:r w:rsidRPr="0009498A">
        <w:t>sound</w:t>
      </w:r>
      <w:r>
        <w:t>,</w:t>
      </w:r>
      <w:r w:rsidRPr="0009498A">
        <w:t xml:space="preserve"> technical solutions is important, in some cases it may be even more important to ensure engagement with the customer and the industry and consideration of issues of the whole supply chain in order to ensure that the process of putting those technologies to practical use is not jeopardized.</w:t>
      </w:r>
    </w:p>
    <w:p w14:paraId="4768DF33" w14:textId="77777777" w:rsidR="0053015D" w:rsidRPr="005A7023" w:rsidRDefault="0053015D" w:rsidP="0053015D">
      <w:pPr>
        <w:spacing w:after="0"/>
        <w:ind w:left="720"/>
        <w:rPr>
          <w:szCs w:val="22"/>
        </w:rPr>
      </w:pPr>
    </w:p>
    <w:p w14:paraId="72D32FE2" w14:textId="77777777" w:rsidR="00A44546" w:rsidRDefault="0053015D" w:rsidP="00A44546">
      <w:pPr>
        <w:spacing w:after="0"/>
        <w:rPr>
          <w:b/>
          <w:szCs w:val="22"/>
        </w:rPr>
      </w:pPr>
      <w:r>
        <w:rPr>
          <w:b/>
          <w:szCs w:val="22"/>
        </w:rPr>
        <w:t>High ambient temperature (HAT) considerations</w:t>
      </w:r>
    </w:p>
    <w:p w14:paraId="1B26661A" w14:textId="77777777" w:rsidR="00A44546" w:rsidRDefault="00A44546" w:rsidP="00A44546">
      <w:pPr>
        <w:spacing w:after="0"/>
        <w:rPr>
          <w:b/>
          <w:szCs w:val="22"/>
        </w:rPr>
      </w:pPr>
    </w:p>
    <w:p w14:paraId="0F41F920" w14:textId="77777777" w:rsidR="00A44546" w:rsidRDefault="0053015D" w:rsidP="00A44546">
      <w:pPr>
        <w:spacing w:after="0"/>
      </w:pPr>
      <w:r w:rsidRPr="005A7023">
        <w:t>A HAT environment imposes an additional set of challenges on the selection of refrigerants, system design, and potentia</w:t>
      </w:r>
      <w:r w:rsidR="00A44546">
        <w:t>l EE enhancement opportunities.</w:t>
      </w:r>
    </w:p>
    <w:p w14:paraId="317682FF" w14:textId="77777777" w:rsidR="00A44546" w:rsidRDefault="00A44546" w:rsidP="00A44546">
      <w:pPr>
        <w:spacing w:after="0"/>
      </w:pPr>
    </w:p>
    <w:p w14:paraId="04EF1612" w14:textId="6A6B4D04" w:rsidR="0053015D" w:rsidRPr="00A44546" w:rsidRDefault="0053015D" w:rsidP="00A44546">
      <w:pPr>
        <w:spacing w:after="0"/>
        <w:rPr>
          <w:b/>
          <w:szCs w:val="22"/>
        </w:rPr>
      </w:pPr>
      <w:r w:rsidRPr="005A7023">
        <w:t>HAT conditions impose additional requirements such as ensuring the refrigerant can continue to deliver and sustain acceptable efficiency at elevated ambient temperatures, and that the refrigerant doesn’t breakdown or react with system components at high temperature.</w:t>
      </w:r>
    </w:p>
    <w:p w14:paraId="632E6CEE" w14:textId="77777777" w:rsidR="0053015D" w:rsidRDefault="0053015D" w:rsidP="0053015D">
      <w:pPr>
        <w:keepNext/>
        <w:widowControl w:val="0"/>
        <w:tabs>
          <w:tab w:val="left" w:pos="720"/>
        </w:tabs>
        <w:autoSpaceDE w:val="0"/>
        <w:autoSpaceDN w:val="0"/>
        <w:adjustRightInd w:val="0"/>
        <w:spacing w:after="0"/>
        <w:ind w:right="28"/>
        <w:outlineLvl w:val="1"/>
        <w:rPr>
          <w:rFonts w:eastAsia="MS Mincho"/>
          <w:b/>
          <w:snapToGrid w:val="0"/>
          <w:color w:val="auto"/>
          <w:szCs w:val="22"/>
          <w:lang w:eastAsia="en-US"/>
        </w:rPr>
      </w:pPr>
    </w:p>
    <w:p w14:paraId="45075BE9" w14:textId="77777777" w:rsidR="00202E86" w:rsidRDefault="0053015D" w:rsidP="00202E86">
      <w:pPr>
        <w:spacing w:after="0"/>
        <w:rPr>
          <w:rFonts w:eastAsia="Calibri"/>
          <w:b/>
          <w:color w:val="auto"/>
          <w:spacing w:val="-1"/>
          <w:szCs w:val="24"/>
          <w:lang w:val="nl-NL" w:eastAsia="en-US"/>
        </w:rPr>
      </w:pPr>
      <w:r w:rsidRPr="00A17568">
        <w:rPr>
          <w:rFonts w:eastAsia="Calibri"/>
          <w:b/>
          <w:color w:val="auto"/>
          <w:spacing w:val="-1"/>
          <w:szCs w:val="24"/>
          <w:lang w:val="nl-NL" w:eastAsia="en-US"/>
        </w:rPr>
        <w:t>Environmental benefits in terms of CO</w:t>
      </w:r>
      <w:r w:rsidRPr="00A17568">
        <w:rPr>
          <w:rFonts w:eastAsia="Calibri"/>
          <w:b/>
          <w:color w:val="auto"/>
          <w:spacing w:val="-1"/>
          <w:szCs w:val="24"/>
          <w:vertAlign w:val="subscript"/>
          <w:lang w:val="nl-NL" w:eastAsia="en-US"/>
        </w:rPr>
        <w:t>2</w:t>
      </w:r>
      <w:r w:rsidRPr="00A17568">
        <w:rPr>
          <w:rFonts w:eastAsia="Calibri"/>
          <w:b/>
          <w:color w:val="auto"/>
          <w:spacing w:val="-1"/>
          <w:szCs w:val="24"/>
          <w:lang w:val="nl-NL" w:eastAsia="en-US"/>
        </w:rPr>
        <w:t>eq</w:t>
      </w:r>
    </w:p>
    <w:p w14:paraId="4D62D9F8" w14:textId="77777777" w:rsidR="00202E86" w:rsidRDefault="00202E86" w:rsidP="00202E86">
      <w:pPr>
        <w:spacing w:after="0"/>
        <w:rPr>
          <w:rFonts w:eastAsia="Calibri"/>
          <w:b/>
          <w:color w:val="auto"/>
          <w:spacing w:val="-1"/>
          <w:szCs w:val="24"/>
          <w:lang w:val="nl-NL" w:eastAsia="en-US"/>
        </w:rPr>
      </w:pPr>
    </w:p>
    <w:p w14:paraId="4A8A81F4" w14:textId="38F941EC" w:rsidR="00A44546" w:rsidRPr="00202E86" w:rsidRDefault="0053015D" w:rsidP="00202E86">
      <w:pPr>
        <w:spacing w:after="0"/>
        <w:rPr>
          <w:rFonts w:eastAsia="Calibri"/>
          <w:b/>
          <w:color w:val="auto"/>
          <w:spacing w:val="-1"/>
          <w:szCs w:val="24"/>
          <w:lang w:val="nl-NL" w:eastAsia="en-US"/>
        </w:rPr>
      </w:pPr>
      <w:r w:rsidRPr="005A7023">
        <w:t>Over 80% of the global warming impact of RACHP systems is associated with the indirect emissions generated during the production of the electricity used to operate the equipment (indirect), with a lower proportion coming from the use/release (direct emissions) of GHG refrigerants where used.</w:t>
      </w:r>
    </w:p>
    <w:p w14:paraId="30AF6D4B" w14:textId="77777777" w:rsidR="00A44546" w:rsidRDefault="0053015D" w:rsidP="00A44546">
      <w:r w:rsidRPr="005A7023">
        <w:t>The environmental impact of improving system efficiency is a factor of the type of equipment, how many hours and when it is used (influenced by ambient temperature and humidity conditions), and the emissions associated with generatin</w:t>
      </w:r>
      <w:r w:rsidR="00A44546">
        <w:t>g power, which vary by country.</w:t>
      </w:r>
    </w:p>
    <w:p w14:paraId="5B314FC9" w14:textId="1F0F5E9D" w:rsidR="0053015D" w:rsidRPr="00A44546" w:rsidRDefault="0053015D" w:rsidP="00A44546">
      <w:r w:rsidRPr="005A7023">
        <w:t xml:space="preserve">Climate and development goals are driving governments to adopt policies to improve the </w:t>
      </w:r>
      <w:r>
        <w:t>EE</w:t>
      </w:r>
      <w:r w:rsidRPr="005A7023">
        <w:t xml:space="preserve"> of equipment. In the RACHP sector, a holistic approach is important for reducing equipment energy consumption.</w:t>
      </w:r>
    </w:p>
    <w:p w14:paraId="4E1D3ACB" w14:textId="77777777" w:rsidR="00A44546" w:rsidRDefault="0053015D" w:rsidP="00A44546">
      <w:pPr>
        <w:spacing w:after="0"/>
        <w:rPr>
          <w:rFonts w:eastAsia="Calibri"/>
          <w:b/>
          <w:color w:val="auto"/>
          <w:spacing w:val="-1"/>
          <w:szCs w:val="24"/>
          <w:lang w:val="nl-NL" w:eastAsia="en-US"/>
        </w:rPr>
      </w:pPr>
      <w:r w:rsidRPr="00A17568">
        <w:rPr>
          <w:rFonts w:eastAsia="Calibri"/>
          <w:b/>
          <w:color w:val="auto"/>
          <w:spacing w:val="-1"/>
          <w:szCs w:val="24"/>
          <w:lang w:val="nl-NL" w:eastAsia="en-US"/>
        </w:rPr>
        <w:t>Servicing sector requirements</w:t>
      </w:r>
    </w:p>
    <w:p w14:paraId="3D9EC04B" w14:textId="77777777" w:rsidR="00A44546" w:rsidRDefault="00A44546" w:rsidP="00A44546">
      <w:pPr>
        <w:spacing w:after="0"/>
        <w:rPr>
          <w:rFonts w:eastAsia="Calibri"/>
          <w:b/>
          <w:color w:val="auto"/>
          <w:spacing w:val="-1"/>
          <w:szCs w:val="24"/>
          <w:lang w:val="nl-NL" w:eastAsia="en-US"/>
        </w:rPr>
      </w:pPr>
    </w:p>
    <w:p w14:paraId="63AA2E23" w14:textId="77777777" w:rsidR="00A44546" w:rsidRDefault="0053015D" w:rsidP="00A44546">
      <w:pPr>
        <w:spacing w:after="0"/>
        <w:rPr>
          <w:rFonts w:eastAsia="Calibri"/>
          <w:b/>
          <w:color w:val="auto"/>
          <w:spacing w:val="-1"/>
          <w:szCs w:val="24"/>
          <w:lang w:val="nl-NL" w:eastAsia="en-US"/>
        </w:rPr>
      </w:pPr>
      <w:r w:rsidRPr="005A7023">
        <w:t xml:space="preserve">The </w:t>
      </w:r>
      <w:r>
        <w:t xml:space="preserve">present concern in most Article </w:t>
      </w:r>
      <w:r w:rsidRPr="005A7023">
        <w:t>5 countries in the HCFC phase-out process is to train technicians on the use of new refrigerants. E</w:t>
      </w:r>
      <w:r>
        <w:t>E</w:t>
      </w:r>
      <w:r w:rsidRPr="005A7023">
        <w:t xml:space="preserve"> aspects require additional training and further awareness.</w:t>
      </w:r>
    </w:p>
    <w:p w14:paraId="4781A003" w14:textId="77777777" w:rsidR="00A44546" w:rsidRDefault="00A44546" w:rsidP="00A44546">
      <w:pPr>
        <w:spacing w:after="0"/>
        <w:rPr>
          <w:rFonts w:eastAsia="Calibri"/>
          <w:b/>
          <w:color w:val="auto"/>
          <w:spacing w:val="-1"/>
          <w:szCs w:val="24"/>
          <w:lang w:val="nl-NL" w:eastAsia="en-US"/>
        </w:rPr>
      </w:pPr>
    </w:p>
    <w:p w14:paraId="5DE592F4" w14:textId="77777777" w:rsidR="00A44546" w:rsidRDefault="0053015D" w:rsidP="00A44546">
      <w:pPr>
        <w:spacing w:after="0"/>
        <w:rPr>
          <w:rFonts w:eastAsia="Calibri"/>
          <w:b/>
          <w:color w:val="auto"/>
          <w:spacing w:val="-1"/>
          <w:szCs w:val="24"/>
          <w:lang w:val="nl-NL" w:eastAsia="en-US"/>
        </w:rPr>
      </w:pPr>
      <w:r w:rsidRPr="00A44546">
        <w:rPr>
          <w:lang w:val="en-AU"/>
        </w:rPr>
        <w:t xml:space="preserve">Some </w:t>
      </w:r>
      <w:r>
        <w:t>EE</w:t>
      </w:r>
      <w:r w:rsidRPr="00A44546">
        <w:rPr>
          <w:lang w:val="en-AU"/>
        </w:rPr>
        <w:t xml:space="preserve"> degradation over the life time of equipment is inevitable; however, there are ways to limit the degradation through improved design and improved servicing which include both installation and maintenance.</w:t>
      </w:r>
    </w:p>
    <w:p w14:paraId="7C1B612A" w14:textId="77777777" w:rsidR="00A44546" w:rsidRDefault="00A44546" w:rsidP="00A44546">
      <w:pPr>
        <w:spacing w:after="0"/>
        <w:rPr>
          <w:rFonts w:eastAsia="Calibri"/>
          <w:b/>
          <w:color w:val="auto"/>
          <w:spacing w:val="-1"/>
          <w:szCs w:val="24"/>
          <w:lang w:val="nl-NL" w:eastAsia="en-US"/>
        </w:rPr>
      </w:pPr>
    </w:p>
    <w:p w14:paraId="500C4D49" w14:textId="77777777" w:rsidR="00A44546" w:rsidRDefault="0053015D" w:rsidP="00A44546">
      <w:pPr>
        <w:spacing w:after="0"/>
        <w:rPr>
          <w:rFonts w:eastAsia="Calibri"/>
          <w:b/>
          <w:color w:val="auto"/>
          <w:spacing w:val="-1"/>
          <w:szCs w:val="24"/>
          <w:lang w:val="nl-NL" w:eastAsia="en-US"/>
        </w:rPr>
      </w:pPr>
      <w:r w:rsidRPr="00A44546">
        <w:rPr>
          <w:lang w:val="en-US"/>
        </w:rPr>
        <w:t>The impact of proper installation, maintenance, and servicing on the efficiency of equipment and systems is considerable over the life time of these systems while the impact on additional cost is minimal.</w:t>
      </w:r>
    </w:p>
    <w:p w14:paraId="5A742A07" w14:textId="77777777" w:rsidR="00A44546" w:rsidRDefault="00A44546" w:rsidP="00A44546">
      <w:pPr>
        <w:spacing w:after="0"/>
        <w:rPr>
          <w:rFonts w:eastAsia="Calibri"/>
          <w:b/>
          <w:color w:val="auto"/>
          <w:spacing w:val="-1"/>
          <w:szCs w:val="24"/>
          <w:lang w:val="nl-NL" w:eastAsia="en-US"/>
        </w:rPr>
      </w:pPr>
    </w:p>
    <w:p w14:paraId="32121B9A" w14:textId="4ECAF05E" w:rsidR="0053015D" w:rsidRPr="00A44546" w:rsidRDefault="0053015D" w:rsidP="00A44546">
      <w:pPr>
        <w:spacing w:after="0"/>
        <w:rPr>
          <w:rFonts w:eastAsia="Calibri"/>
          <w:b/>
          <w:color w:val="auto"/>
          <w:spacing w:val="-1"/>
          <w:szCs w:val="24"/>
          <w:lang w:val="nl-NL" w:eastAsia="en-US"/>
        </w:rPr>
      </w:pPr>
      <w:r w:rsidRPr="005A7023">
        <w:rPr>
          <w:bCs/>
          <w:color w:val="262626"/>
          <w:kern w:val="2"/>
          <w:szCs w:val="22"/>
          <w:lang w:val="en-AU"/>
        </w:rPr>
        <w:t xml:space="preserve">The benefits of proper maintenance are considerable. </w:t>
      </w:r>
      <w:r w:rsidRPr="005A7023">
        <w:rPr>
          <w:color w:val="auto"/>
          <w:szCs w:val="22"/>
          <w:lang w:val="en-US" w:eastAsia="en-US"/>
        </w:rPr>
        <w:t>Appropriate maintenance and servicing practices can curtail up to 50% reduction in performance and maintain the rated performance over the lifetime.</w:t>
      </w:r>
    </w:p>
    <w:p w14:paraId="7BB9BD3B" w14:textId="77777777" w:rsidR="0053015D" w:rsidRDefault="0053015D" w:rsidP="0053015D">
      <w:pPr>
        <w:keepNext/>
        <w:widowControl w:val="0"/>
        <w:tabs>
          <w:tab w:val="left" w:pos="720"/>
        </w:tabs>
        <w:autoSpaceDE w:val="0"/>
        <w:autoSpaceDN w:val="0"/>
        <w:adjustRightInd w:val="0"/>
        <w:spacing w:after="0"/>
        <w:ind w:left="720" w:right="28" w:hanging="720"/>
        <w:outlineLvl w:val="1"/>
        <w:rPr>
          <w:rFonts w:eastAsia="MS Mincho"/>
          <w:b/>
          <w:snapToGrid w:val="0"/>
          <w:color w:val="auto"/>
          <w:szCs w:val="22"/>
          <w:lang w:eastAsia="en-US"/>
        </w:rPr>
      </w:pPr>
    </w:p>
    <w:p w14:paraId="7E5CBFDC" w14:textId="77777777" w:rsidR="00A44546" w:rsidRDefault="0053015D" w:rsidP="00A44546">
      <w:pPr>
        <w:keepNext/>
        <w:widowControl w:val="0"/>
        <w:tabs>
          <w:tab w:val="left" w:pos="720"/>
        </w:tabs>
        <w:autoSpaceDE w:val="0"/>
        <w:autoSpaceDN w:val="0"/>
        <w:adjustRightInd w:val="0"/>
        <w:spacing w:after="0"/>
        <w:ind w:left="720" w:right="28" w:hanging="720"/>
        <w:outlineLvl w:val="1"/>
        <w:rPr>
          <w:rFonts w:eastAsia="MS Mincho"/>
          <w:b/>
          <w:snapToGrid w:val="0"/>
          <w:color w:val="auto"/>
          <w:szCs w:val="22"/>
          <w:lang w:eastAsia="en-US"/>
        </w:rPr>
      </w:pPr>
      <w:r>
        <w:rPr>
          <w:rFonts w:eastAsia="MS Mincho"/>
          <w:b/>
          <w:snapToGrid w:val="0"/>
          <w:color w:val="auto"/>
          <w:szCs w:val="22"/>
          <w:lang w:eastAsia="en-US"/>
        </w:rPr>
        <w:t>Capacity-building requirements</w:t>
      </w:r>
    </w:p>
    <w:p w14:paraId="218B95D1" w14:textId="77777777" w:rsidR="00A44546" w:rsidRDefault="00A44546" w:rsidP="00A44546">
      <w:pPr>
        <w:keepNext/>
        <w:widowControl w:val="0"/>
        <w:tabs>
          <w:tab w:val="left" w:pos="720"/>
        </w:tabs>
        <w:autoSpaceDE w:val="0"/>
        <w:autoSpaceDN w:val="0"/>
        <w:adjustRightInd w:val="0"/>
        <w:spacing w:after="0"/>
        <w:ind w:right="28"/>
        <w:outlineLvl w:val="1"/>
        <w:rPr>
          <w:rFonts w:eastAsia="MS Mincho"/>
          <w:b/>
          <w:snapToGrid w:val="0"/>
          <w:color w:val="auto"/>
          <w:szCs w:val="22"/>
          <w:lang w:eastAsia="en-US"/>
        </w:rPr>
      </w:pPr>
    </w:p>
    <w:p w14:paraId="509808B0" w14:textId="77777777" w:rsidR="00A44546" w:rsidRDefault="0053015D" w:rsidP="00A44546">
      <w:pPr>
        <w:keepNext/>
        <w:widowControl w:val="0"/>
        <w:tabs>
          <w:tab w:val="left" w:pos="720"/>
        </w:tabs>
        <w:autoSpaceDE w:val="0"/>
        <w:autoSpaceDN w:val="0"/>
        <w:adjustRightInd w:val="0"/>
        <w:spacing w:after="0"/>
        <w:ind w:right="28"/>
        <w:outlineLvl w:val="1"/>
        <w:rPr>
          <w:rFonts w:eastAsia="MS Mincho"/>
          <w:b/>
          <w:snapToGrid w:val="0"/>
          <w:color w:val="auto"/>
          <w:szCs w:val="22"/>
          <w:lang w:eastAsia="en-US"/>
        </w:rPr>
      </w:pPr>
      <w:r w:rsidRPr="005A7023">
        <w:t xml:space="preserve">There are enabling activities such as capacity building, institutional strengthening, demonstration projects, and national strategies and plans that help to bridge Montreal Protocol activities under the Kigali Amendment and EE. A number of enabling activities supported by the other funds such as, the Kigali Cooling Efficiency Programme and the Global Environment Facility, have advanced both ozone depletion and </w:t>
      </w:r>
      <w:r>
        <w:t>EE</w:t>
      </w:r>
      <w:r w:rsidRPr="005A7023">
        <w:t xml:space="preserve"> goals</w:t>
      </w:r>
      <w:r w:rsidR="00A44546">
        <w:rPr>
          <w:rFonts w:eastAsia="MS Mincho"/>
          <w:b/>
          <w:snapToGrid w:val="0"/>
          <w:color w:val="auto"/>
          <w:szCs w:val="22"/>
          <w:lang w:eastAsia="en-US"/>
        </w:rPr>
        <w:t>.</w:t>
      </w:r>
    </w:p>
    <w:p w14:paraId="5C732B95" w14:textId="77777777" w:rsidR="00A44546" w:rsidRDefault="00A44546" w:rsidP="00A44546">
      <w:pPr>
        <w:keepNext/>
        <w:widowControl w:val="0"/>
        <w:tabs>
          <w:tab w:val="left" w:pos="720"/>
        </w:tabs>
        <w:autoSpaceDE w:val="0"/>
        <w:autoSpaceDN w:val="0"/>
        <w:adjustRightInd w:val="0"/>
        <w:spacing w:after="0"/>
        <w:ind w:right="28"/>
        <w:outlineLvl w:val="1"/>
        <w:rPr>
          <w:rFonts w:eastAsia="MS Mincho"/>
          <w:b/>
          <w:snapToGrid w:val="0"/>
          <w:color w:val="auto"/>
          <w:szCs w:val="22"/>
          <w:lang w:eastAsia="en-US"/>
        </w:rPr>
      </w:pPr>
    </w:p>
    <w:p w14:paraId="5B515A28" w14:textId="5B941EEC" w:rsidR="0053015D" w:rsidRPr="00A44546" w:rsidRDefault="0053015D" w:rsidP="00A44546">
      <w:pPr>
        <w:keepNext/>
        <w:widowControl w:val="0"/>
        <w:tabs>
          <w:tab w:val="left" w:pos="720"/>
        </w:tabs>
        <w:autoSpaceDE w:val="0"/>
        <w:autoSpaceDN w:val="0"/>
        <w:adjustRightInd w:val="0"/>
        <w:spacing w:after="0"/>
        <w:ind w:right="28"/>
        <w:outlineLvl w:val="1"/>
        <w:rPr>
          <w:rFonts w:eastAsia="MS Mincho"/>
          <w:b/>
          <w:snapToGrid w:val="0"/>
          <w:color w:val="auto"/>
          <w:szCs w:val="22"/>
          <w:lang w:eastAsia="en-US"/>
        </w:rPr>
      </w:pPr>
      <w:r w:rsidRPr="005A7023">
        <w:rPr>
          <w:szCs w:val="22"/>
          <w:lang w:val="en-US"/>
        </w:rPr>
        <w:t>Additional enabling activities under the Kigali Amendment can bridge the current Montreal Protocol activities with those destined towards EE and serve as examples of potential synergy between HFC phasedown and EE opportunities.</w:t>
      </w:r>
    </w:p>
    <w:p w14:paraId="5AFCA857" w14:textId="77777777" w:rsidR="0053015D" w:rsidRDefault="0053015D" w:rsidP="0053015D">
      <w:pPr>
        <w:keepNext/>
        <w:widowControl w:val="0"/>
        <w:tabs>
          <w:tab w:val="left" w:pos="720"/>
        </w:tabs>
        <w:autoSpaceDE w:val="0"/>
        <w:autoSpaceDN w:val="0"/>
        <w:adjustRightInd w:val="0"/>
        <w:spacing w:after="0"/>
        <w:ind w:left="720" w:right="28" w:hanging="720"/>
        <w:outlineLvl w:val="1"/>
        <w:rPr>
          <w:rFonts w:eastAsia="MS Mincho"/>
          <w:b/>
          <w:snapToGrid w:val="0"/>
          <w:color w:val="auto"/>
          <w:szCs w:val="22"/>
          <w:lang w:eastAsia="en-US"/>
        </w:rPr>
      </w:pPr>
    </w:p>
    <w:p w14:paraId="68C29A53" w14:textId="77777777" w:rsidR="00A44546" w:rsidRDefault="0053015D" w:rsidP="00A44546">
      <w:pPr>
        <w:keepNext/>
        <w:widowControl w:val="0"/>
        <w:tabs>
          <w:tab w:val="left" w:pos="720"/>
        </w:tabs>
        <w:autoSpaceDE w:val="0"/>
        <w:autoSpaceDN w:val="0"/>
        <w:adjustRightInd w:val="0"/>
        <w:spacing w:after="0"/>
        <w:ind w:left="720" w:right="28" w:hanging="720"/>
        <w:outlineLvl w:val="1"/>
        <w:rPr>
          <w:rFonts w:eastAsia="MS Mincho"/>
          <w:b/>
          <w:snapToGrid w:val="0"/>
          <w:color w:val="auto"/>
          <w:szCs w:val="22"/>
          <w:lang w:eastAsia="en-US"/>
        </w:rPr>
      </w:pPr>
      <w:r>
        <w:rPr>
          <w:rFonts w:eastAsia="MS Mincho"/>
          <w:b/>
          <w:snapToGrid w:val="0"/>
          <w:color w:val="auto"/>
          <w:szCs w:val="22"/>
          <w:lang w:eastAsia="en-US"/>
        </w:rPr>
        <w:t>Costs related to technology options for energy efficiency</w:t>
      </w:r>
    </w:p>
    <w:p w14:paraId="1BE1B2C9" w14:textId="77777777" w:rsidR="00A44546" w:rsidRDefault="00A44546" w:rsidP="00A44546">
      <w:pPr>
        <w:keepNext/>
        <w:widowControl w:val="0"/>
        <w:tabs>
          <w:tab w:val="left" w:pos="720"/>
        </w:tabs>
        <w:autoSpaceDE w:val="0"/>
        <w:autoSpaceDN w:val="0"/>
        <w:adjustRightInd w:val="0"/>
        <w:spacing w:after="0"/>
        <w:ind w:right="28"/>
        <w:outlineLvl w:val="1"/>
        <w:rPr>
          <w:rFonts w:eastAsia="MS Mincho"/>
          <w:b/>
          <w:snapToGrid w:val="0"/>
          <w:color w:val="auto"/>
          <w:szCs w:val="22"/>
          <w:lang w:eastAsia="en-US"/>
        </w:rPr>
      </w:pPr>
    </w:p>
    <w:p w14:paraId="1E2BC8BB" w14:textId="541A9C0E" w:rsidR="0053015D" w:rsidRPr="00A44546" w:rsidRDefault="0053015D" w:rsidP="00A44546">
      <w:pPr>
        <w:keepNext/>
        <w:widowControl w:val="0"/>
        <w:tabs>
          <w:tab w:val="left" w:pos="720"/>
        </w:tabs>
        <w:autoSpaceDE w:val="0"/>
        <w:autoSpaceDN w:val="0"/>
        <w:adjustRightInd w:val="0"/>
        <w:spacing w:after="0"/>
        <w:ind w:right="28"/>
        <w:outlineLvl w:val="1"/>
        <w:rPr>
          <w:rFonts w:eastAsia="MS Mincho"/>
          <w:b/>
          <w:snapToGrid w:val="0"/>
          <w:color w:val="auto"/>
          <w:szCs w:val="22"/>
          <w:lang w:eastAsia="en-US"/>
        </w:rPr>
      </w:pPr>
      <w:r w:rsidRPr="00A44546">
        <w:rPr>
          <w:snapToGrid w:val="0"/>
          <w:lang w:eastAsia="en-US"/>
        </w:rPr>
        <w:t xml:space="preserve">A summary is presented of methods </w:t>
      </w:r>
      <w:r w:rsidR="007300B9" w:rsidRPr="00A44546">
        <w:rPr>
          <w:snapToGrid w:val="0"/>
          <w:lang w:eastAsia="en-US"/>
        </w:rPr>
        <w:t xml:space="preserve">developed </w:t>
      </w:r>
      <w:r w:rsidRPr="00A44546">
        <w:rPr>
          <w:snapToGrid w:val="0"/>
          <w:lang w:eastAsia="en-US"/>
        </w:rPr>
        <w:t xml:space="preserve">by various </w:t>
      </w:r>
      <w:r w:rsidR="007300B9" w:rsidRPr="00A44546">
        <w:rPr>
          <w:snapToGrid w:val="0"/>
          <w:lang w:eastAsia="en-US"/>
        </w:rPr>
        <w:t>countries</w:t>
      </w:r>
      <w:r w:rsidRPr="00A44546">
        <w:rPr>
          <w:snapToGrid w:val="0"/>
          <w:lang w:eastAsia="en-US"/>
        </w:rPr>
        <w:t xml:space="preserve"> with established market transformation programs for promoting EE including MEPS programs and labelling programs.</w:t>
      </w:r>
    </w:p>
    <w:p w14:paraId="10C07891" w14:textId="77777777" w:rsidR="0053015D" w:rsidRPr="00803E1D" w:rsidRDefault="0053015D" w:rsidP="007300B9">
      <w:pPr>
        <w:spacing w:after="0"/>
        <w:ind w:left="720"/>
      </w:pPr>
    </w:p>
    <w:p w14:paraId="42DE02DB" w14:textId="370B59F5" w:rsidR="0053015D" w:rsidRPr="00A44546" w:rsidRDefault="0053015D" w:rsidP="00A44546">
      <w:pPr>
        <w:rPr>
          <w:rFonts w:eastAsia="Times New Roman"/>
        </w:rPr>
      </w:pPr>
      <w:r w:rsidRPr="00A44546">
        <w:rPr>
          <w:shd w:val="clear" w:color="auto" w:fill="FFFFFF"/>
        </w:rPr>
        <w:t xml:space="preserve">It should be noted that </w:t>
      </w:r>
      <w:r w:rsidR="007300B9" w:rsidRPr="00A44546">
        <w:rPr>
          <w:shd w:val="clear" w:color="auto" w:fill="FFFFFF"/>
        </w:rPr>
        <w:t>the presented</w:t>
      </w:r>
      <w:r w:rsidRPr="00A44546">
        <w:rPr>
          <w:shd w:val="clear" w:color="auto" w:fill="FFFFFF"/>
        </w:rPr>
        <w:t xml:space="preserve"> methodology offers a “snapshot” of the cost of efficiency improvement at any given time and will tend to provide a conservative (i.e. higher) estimate of the cost of efficiency improvement. In actual practice, the prices of higher efficiency equipment have been found to decline over time in various markets as higher efficiency equipment begins to be produced at scale. </w:t>
      </w:r>
      <w:r w:rsidRPr="00A44546">
        <w:rPr>
          <w:rFonts w:eastAsia="Times New Roman"/>
        </w:rPr>
        <w:t>This applies especially for small mass-produced equipment where manufacturers quickly absorb the initial development costs and try to get to certain “price points” that help them sell their equipment. </w:t>
      </w:r>
    </w:p>
    <w:p w14:paraId="5A205D87" w14:textId="77777777" w:rsidR="0053015D" w:rsidRPr="0009498A" w:rsidRDefault="0053015D" w:rsidP="007300B9">
      <w:pPr>
        <w:spacing w:after="0"/>
        <w:ind w:left="720"/>
        <w:rPr>
          <w:snapToGrid w:val="0"/>
          <w:lang w:eastAsia="en-US"/>
        </w:rPr>
      </w:pPr>
    </w:p>
    <w:p w14:paraId="26B0F94F" w14:textId="77777777" w:rsidR="0053015D" w:rsidRPr="00A44546" w:rsidRDefault="0053015D" w:rsidP="0002700A">
      <w:pPr>
        <w:rPr>
          <w:snapToGrid w:val="0"/>
          <w:lang w:eastAsia="en-US"/>
        </w:rPr>
      </w:pPr>
      <w:r w:rsidRPr="00A44546">
        <w:rPr>
          <w:snapToGrid w:val="0"/>
          <w:lang w:eastAsia="en-US"/>
        </w:rPr>
        <w:t>Retail price of products is not an adequate indicator for the costs of maintaining or enhancing EE in new equipment due to:</w:t>
      </w:r>
    </w:p>
    <w:p w14:paraId="6E590970" w14:textId="77777777" w:rsidR="0053015D" w:rsidRPr="005A7023" w:rsidRDefault="0053015D" w:rsidP="00BF4C57">
      <w:pPr>
        <w:pStyle w:val="ListParagraph"/>
        <w:rPr>
          <w:snapToGrid w:val="0"/>
          <w:lang w:eastAsia="en-US"/>
        </w:rPr>
      </w:pPr>
      <w:r w:rsidRPr="005A7023">
        <w:rPr>
          <w:snapToGrid w:val="0"/>
          <w:lang w:eastAsia="en-US"/>
        </w:rPr>
        <w:t xml:space="preserve">bundling of various non-energy related features with higher efficiency equipment, </w:t>
      </w:r>
    </w:p>
    <w:p w14:paraId="68CC014D" w14:textId="77777777" w:rsidR="0053015D" w:rsidRPr="005A7023" w:rsidRDefault="0053015D" w:rsidP="00BF4C57">
      <w:pPr>
        <w:pStyle w:val="ListParagraph"/>
        <w:rPr>
          <w:snapToGrid w:val="0"/>
          <w:lang w:eastAsia="en-US"/>
        </w:rPr>
      </w:pPr>
      <w:r w:rsidRPr="005A7023">
        <w:rPr>
          <w:snapToGrid w:val="0"/>
          <w:lang w:eastAsia="en-US"/>
        </w:rPr>
        <w:t xml:space="preserve">variation of manufacturer’s skills and know-how, </w:t>
      </w:r>
    </w:p>
    <w:p w14:paraId="755ACB4C" w14:textId="77777777" w:rsidR="0053015D" w:rsidRPr="005A7023" w:rsidRDefault="0053015D" w:rsidP="00BF4C57">
      <w:pPr>
        <w:pStyle w:val="ListParagraph"/>
        <w:rPr>
          <w:snapToGrid w:val="0"/>
          <w:lang w:eastAsia="en-US"/>
        </w:rPr>
      </w:pPr>
      <w:r w:rsidRPr="005A7023">
        <w:rPr>
          <w:snapToGrid w:val="0"/>
          <w:lang w:eastAsia="en-US"/>
        </w:rPr>
        <w:t xml:space="preserve">variation in manufacturer’s pricing, marketing and branding strategies, and </w:t>
      </w:r>
    </w:p>
    <w:p w14:paraId="10E2589B" w14:textId="77777777" w:rsidR="0002700A" w:rsidRDefault="0053015D" w:rsidP="00BF4C57">
      <w:pPr>
        <w:pStyle w:val="ListParagraph"/>
        <w:rPr>
          <w:snapToGrid w:val="0"/>
          <w:lang w:eastAsia="en-US"/>
        </w:rPr>
      </w:pPr>
      <w:r w:rsidRPr="005A7023">
        <w:rPr>
          <w:snapToGrid w:val="0"/>
          <w:lang w:eastAsia="en-US"/>
        </w:rPr>
        <w:t>the idea that efficiency can be marketed as a “premium” feature.</w:t>
      </w:r>
    </w:p>
    <w:p w14:paraId="277F2450" w14:textId="77777777" w:rsidR="0002700A" w:rsidRDefault="0002700A" w:rsidP="0002700A">
      <w:pPr>
        <w:spacing w:after="0"/>
      </w:pPr>
    </w:p>
    <w:p w14:paraId="00C71BCC" w14:textId="6EAE1597" w:rsidR="0053015D" w:rsidRPr="0002700A" w:rsidRDefault="0053015D" w:rsidP="0002700A">
      <w:pPr>
        <w:rPr>
          <w:snapToGrid w:val="0"/>
          <w:lang w:eastAsia="en-US"/>
        </w:rPr>
      </w:pPr>
      <w:r w:rsidRPr="005A7023">
        <w:t xml:space="preserve">Rigorous cost analysis may be needed to fully understand the impact of EE improvements. These types of analyses are relevant when setting MEPS as several </w:t>
      </w:r>
      <w:r>
        <w:t>EE</w:t>
      </w:r>
      <w:r w:rsidRPr="005A7023">
        <w:t xml:space="preserve"> levels need to be evaluated compared with the baseline. These studies can take more than 1 year to conclude for a single product category. As such, in this report we would like to refer parties to the corresponding methodologies and present simplified examples based on products already introduced on the market.</w:t>
      </w:r>
    </w:p>
    <w:p w14:paraId="32B5F9D3" w14:textId="77777777" w:rsidR="0002700A" w:rsidRDefault="0053015D" w:rsidP="0002700A">
      <w:pPr>
        <w:spacing w:after="0"/>
        <w:rPr>
          <w:b/>
          <w:szCs w:val="22"/>
        </w:rPr>
      </w:pPr>
      <w:r>
        <w:rPr>
          <w:b/>
          <w:szCs w:val="22"/>
        </w:rPr>
        <w:t>Funding ins</w:t>
      </w:r>
      <w:r w:rsidRPr="006F510E">
        <w:rPr>
          <w:b/>
          <w:szCs w:val="22"/>
        </w:rPr>
        <w:t>titutions</w:t>
      </w:r>
    </w:p>
    <w:p w14:paraId="0EB1292D" w14:textId="77777777" w:rsidR="0002700A" w:rsidRDefault="0002700A" w:rsidP="0002700A">
      <w:pPr>
        <w:spacing w:after="0"/>
        <w:rPr>
          <w:b/>
          <w:szCs w:val="22"/>
        </w:rPr>
      </w:pPr>
    </w:p>
    <w:p w14:paraId="4E040CC3" w14:textId="77777777" w:rsidR="0002700A" w:rsidRDefault="0053015D" w:rsidP="0002700A">
      <w:pPr>
        <w:spacing w:after="0"/>
        <w:rPr>
          <w:b/>
          <w:szCs w:val="22"/>
        </w:rPr>
      </w:pPr>
      <w:r w:rsidRPr="005A7023">
        <w:t>There are numerous financial resources for projects implementation in the field of EE. Besides funding institutions that provide resources in the form of directed grants, there are financing institutions that provide project funding support through mechanisms such as loans, green bonds or other instruments. Moreover, private capital is an additional source through companies who might be interested to finance project implementation against investment payback.</w:t>
      </w:r>
    </w:p>
    <w:p w14:paraId="2D0E0E1D" w14:textId="77777777" w:rsidR="0002700A" w:rsidRDefault="0002700A" w:rsidP="0002700A">
      <w:pPr>
        <w:spacing w:after="0"/>
        <w:rPr>
          <w:b/>
          <w:szCs w:val="22"/>
        </w:rPr>
      </w:pPr>
    </w:p>
    <w:p w14:paraId="7228E62B" w14:textId="62991AC4" w:rsidR="00B15736" w:rsidRPr="0002700A" w:rsidRDefault="0053015D" w:rsidP="0002700A">
      <w:pPr>
        <w:spacing w:after="0"/>
        <w:rPr>
          <w:b/>
          <w:szCs w:val="22"/>
        </w:rPr>
      </w:pPr>
      <w:r w:rsidRPr="005A7023">
        <w:t>Broad consideration of the various potential interested stakeholders, opportunities for partnerships with shared goals, and options for co-financing would be important to planning for potential projects related to EE in the RACHP sector while phasing down HFCs.</w:t>
      </w:r>
      <w:bookmarkStart w:id="18" w:name="_Toc509492721"/>
      <w:r w:rsidR="00B15736" w:rsidRPr="00F867D0">
        <w:br w:type="page"/>
      </w:r>
    </w:p>
    <w:p w14:paraId="0A215D55" w14:textId="162F9B40" w:rsidR="00767B1E" w:rsidRPr="00F867D0" w:rsidRDefault="00E30462">
      <w:pPr>
        <w:pStyle w:val="Heading1"/>
        <w:rPr>
          <w:rStyle w:val="Heading1Char2"/>
          <w:rFonts w:ascii="Times New Roman" w:eastAsia="Calibri" w:hAnsi="Times New Roman"/>
          <w:color w:val="auto"/>
          <w:szCs w:val="20"/>
          <w:lang w:eastAsia="en-NZ"/>
        </w:rPr>
      </w:pPr>
      <w:bookmarkStart w:id="19" w:name="_Toc515454344"/>
      <w:r w:rsidRPr="00F867D0">
        <w:rPr>
          <w:rStyle w:val="Heading1Char2"/>
          <w:rFonts w:ascii="Times New Roman" w:hAnsi="Times New Roman"/>
        </w:rPr>
        <w:t>1</w:t>
      </w:r>
      <w:r w:rsidR="00767B1E" w:rsidRPr="00F867D0">
        <w:rPr>
          <w:rStyle w:val="Heading1Char2"/>
          <w:rFonts w:ascii="Times New Roman" w:hAnsi="Times New Roman"/>
        </w:rPr>
        <w:tab/>
      </w:r>
      <w:r w:rsidRPr="00F867D0">
        <w:rPr>
          <w:rStyle w:val="Heading1Char2"/>
          <w:rFonts w:ascii="Times New Roman" w:hAnsi="Times New Roman"/>
        </w:rPr>
        <w:t>Introduction</w:t>
      </w:r>
      <w:bookmarkEnd w:id="18"/>
      <w:bookmarkEnd w:id="19"/>
    </w:p>
    <w:p w14:paraId="3D062B32" w14:textId="79439104" w:rsidR="00E30462" w:rsidRPr="00F867D0" w:rsidRDefault="00E30462">
      <w:pPr>
        <w:pStyle w:val="Heading2"/>
      </w:pPr>
      <w:bookmarkStart w:id="20" w:name="_Toc515454345"/>
      <w:bookmarkEnd w:id="15"/>
      <w:bookmarkEnd w:id="16"/>
      <w:r w:rsidRPr="00F867D0">
        <w:t>1.1</w:t>
      </w:r>
      <w:r w:rsidRPr="00F867D0">
        <w:tab/>
        <w:t>Decision XXIX/</w:t>
      </w:r>
      <w:r w:rsidR="00540B07" w:rsidRPr="00F867D0">
        <w:t>10</w:t>
      </w:r>
      <w:bookmarkEnd w:id="20"/>
      <w:r w:rsidR="008A207D" w:rsidRPr="00F867D0">
        <w:t xml:space="preserve"> </w:t>
      </w:r>
    </w:p>
    <w:p w14:paraId="7F945E69" w14:textId="77777777" w:rsidR="00592351" w:rsidRDefault="00592351" w:rsidP="005E2BBD">
      <w:pPr>
        <w:tabs>
          <w:tab w:val="left" w:pos="2160"/>
          <w:tab w:val="left" w:pos="2880"/>
          <w:tab w:val="left" w:pos="3600"/>
          <w:tab w:val="left" w:pos="4320"/>
          <w:tab w:val="left" w:pos="5040"/>
          <w:tab w:val="left" w:pos="6480"/>
          <w:tab w:val="left" w:pos="7200"/>
          <w:tab w:val="left" w:pos="7920"/>
        </w:tabs>
        <w:spacing w:after="0"/>
        <w:rPr>
          <w:rFonts w:eastAsia="Calibri"/>
          <w:color w:val="auto"/>
          <w:szCs w:val="24"/>
          <w:lang w:eastAsia="en-US"/>
        </w:rPr>
      </w:pPr>
      <w:bookmarkStart w:id="21" w:name="_Toc509492723"/>
    </w:p>
    <w:p w14:paraId="58092B46" w14:textId="7F2943E4" w:rsidR="005E2BBD" w:rsidRPr="00F867D0" w:rsidRDefault="005E2BBD" w:rsidP="005E2BBD">
      <w:pPr>
        <w:tabs>
          <w:tab w:val="left" w:pos="2160"/>
          <w:tab w:val="left" w:pos="2880"/>
          <w:tab w:val="left" w:pos="3600"/>
          <w:tab w:val="left" w:pos="4320"/>
          <w:tab w:val="left" w:pos="5040"/>
          <w:tab w:val="left" w:pos="6480"/>
          <w:tab w:val="left" w:pos="7200"/>
          <w:tab w:val="left" w:pos="7920"/>
        </w:tabs>
        <w:spacing w:after="0"/>
        <w:rPr>
          <w:rFonts w:eastAsia="Calibri"/>
          <w:color w:val="auto"/>
          <w:szCs w:val="24"/>
          <w:lang w:eastAsia="en-US"/>
        </w:rPr>
      </w:pPr>
      <w:r w:rsidRPr="00F867D0">
        <w:rPr>
          <w:rFonts w:eastAsia="Calibri"/>
          <w:color w:val="auto"/>
          <w:szCs w:val="24"/>
          <w:lang w:eastAsia="en-US"/>
        </w:rPr>
        <w:t xml:space="preserve">At their </w:t>
      </w:r>
      <w:r w:rsidR="0034262D">
        <w:rPr>
          <w:rFonts w:eastAsia="Calibri"/>
          <w:color w:val="auto"/>
          <w:szCs w:val="24"/>
          <w:lang w:eastAsia="en-US"/>
        </w:rPr>
        <w:t>29</w:t>
      </w:r>
      <w:r w:rsidR="0034262D" w:rsidRPr="0034262D">
        <w:rPr>
          <w:rFonts w:eastAsia="Calibri"/>
          <w:color w:val="auto"/>
          <w:szCs w:val="24"/>
          <w:vertAlign w:val="superscript"/>
          <w:lang w:eastAsia="en-US"/>
        </w:rPr>
        <w:t>th</w:t>
      </w:r>
      <w:r w:rsidR="0034262D">
        <w:rPr>
          <w:rFonts w:eastAsia="Calibri"/>
          <w:color w:val="auto"/>
          <w:szCs w:val="24"/>
          <w:lang w:eastAsia="en-US"/>
        </w:rPr>
        <w:t xml:space="preserve"> </w:t>
      </w:r>
      <w:r w:rsidRPr="00F867D0">
        <w:rPr>
          <w:rFonts w:eastAsia="Calibri"/>
          <w:color w:val="auto"/>
          <w:szCs w:val="24"/>
          <w:lang w:eastAsia="en-US"/>
        </w:rPr>
        <w:t>Meeting, parties adopted Decision XXIX/10. The text of Decision XXIX/10 is as follows:</w:t>
      </w:r>
      <w:r w:rsidRPr="00F867D0">
        <w:rPr>
          <w:rFonts w:eastAsia="Calibri"/>
          <w:color w:val="auto"/>
          <w:szCs w:val="24"/>
          <w:lang w:eastAsia="en-US"/>
        </w:rPr>
        <w:br/>
      </w:r>
    </w:p>
    <w:p w14:paraId="212D01C0" w14:textId="77777777" w:rsidR="0093586F" w:rsidRDefault="005E2BBD" w:rsidP="0093586F">
      <w:pPr>
        <w:overflowPunct w:val="0"/>
        <w:autoSpaceDE w:val="0"/>
        <w:autoSpaceDN w:val="0"/>
        <w:spacing w:after="0"/>
        <w:ind w:left="491" w:right="187"/>
        <w:rPr>
          <w:rFonts w:eastAsia="Calibri"/>
          <w:i/>
          <w:iCs/>
          <w:color w:val="auto"/>
          <w:szCs w:val="24"/>
          <w:lang w:eastAsia="en-US"/>
        </w:rPr>
      </w:pPr>
      <w:r w:rsidRPr="0002700A">
        <w:rPr>
          <w:rFonts w:eastAsia="Calibri"/>
          <w:i/>
          <w:iCs/>
          <w:color w:val="auto"/>
          <w:szCs w:val="24"/>
          <w:lang w:eastAsia="en-US"/>
        </w:rPr>
        <w:t>Recalling</w:t>
      </w:r>
      <w:r w:rsidRPr="0002700A">
        <w:rPr>
          <w:rFonts w:eastAsia="Calibri"/>
          <w:i/>
          <w:color w:val="auto"/>
          <w:szCs w:val="24"/>
          <w:lang w:eastAsia="en-US"/>
        </w:rPr>
        <w:t xml:space="preserve"> decision XXVIII/2, in which the Meeting of the Parties, </w:t>
      </w:r>
      <w:r w:rsidRPr="0002700A">
        <w:rPr>
          <w:rFonts w:eastAsia="Calibri"/>
          <w:i/>
          <w:iCs/>
          <w:color w:val="auto"/>
          <w:szCs w:val="24"/>
          <w:lang w:eastAsia="en-US"/>
        </w:rPr>
        <w:t>inter alia,</w:t>
      </w:r>
      <w:r w:rsidRPr="0002700A">
        <w:rPr>
          <w:rFonts w:eastAsia="Calibri"/>
          <w:i/>
          <w:color w:val="auto"/>
          <w:szCs w:val="24"/>
          <w:lang w:eastAsia="en-US"/>
        </w:rPr>
        <w:t xml:space="preserve"> requested the Executive Committee to develop cost guidance associated with maintaining and/or enhancing the energy efficiency of low-global-warming-potential (GWP) or zero-GWP replacement technologies and equipment when phasing down hydrofluorocarbons, while taking note of the role of other institutions addressing energy efficiency, when appropriate,</w:t>
      </w:r>
    </w:p>
    <w:p w14:paraId="251AEF0D" w14:textId="77777777" w:rsidR="0093586F" w:rsidRDefault="0093586F" w:rsidP="0093586F">
      <w:pPr>
        <w:overflowPunct w:val="0"/>
        <w:autoSpaceDE w:val="0"/>
        <w:autoSpaceDN w:val="0"/>
        <w:spacing w:after="0"/>
        <w:ind w:left="491" w:right="187"/>
        <w:rPr>
          <w:rFonts w:eastAsia="Calibri"/>
          <w:i/>
          <w:iCs/>
          <w:color w:val="auto"/>
          <w:szCs w:val="24"/>
          <w:lang w:eastAsia="en-US"/>
        </w:rPr>
      </w:pPr>
    </w:p>
    <w:p w14:paraId="33245615" w14:textId="77777777" w:rsidR="0093586F" w:rsidRDefault="005E2BBD" w:rsidP="0093586F">
      <w:pPr>
        <w:overflowPunct w:val="0"/>
        <w:autoSpaceDE w:val="0"/>
        <w:autoSpaceDN w:val="0"/>
        <w:spacing w:after="0"/>
        <w:ind w:left="491" w:right="187"/>
        <w:rPr>
          <w:rFonts w:eastAsia="Calibri"/>
          <w:i/>
          <w:iCs/>
          <w:color w:val="auto"/>
          <w:szCs w:val="24"/>
          <w:lang w:eastAsia="en-US"/>
        </w:rPr>
      </w:pPr>
      <w:r w:rsidRPr="0002700A">
        <w:rPr>
          <w:rFonts w:eastAsia="Calibri"/>
          <w:i/>
          <w:iCs/>
          <w:color w:val="auto"/>
          <w:szCs w:val="24"/>
          <w:lang w:eastAsia="en-US"/>
        </w:rPr>
        <w:t xml:space="preserve">Recognizing </w:t>
      </w:r>
      <w:r w:rsidRPr="0002700A">
        <w:rPr>
          <w:rFonts w:eastAsia="Calibri"/>
          <w:i/>
          <w:color w:val="auto"/>
          <w:szCs w:val="24"/>
          <w:lang w:eastAsia="en-US"/>
        </w:rPr>
        <w:t>the</w:t>
      </w:r>
      <w:r w:rsidRPr="0002700A">
        <w:rPr>
          <w:rFonts w:eastAsia="Calibri"/>
          <w:i/>
          <w:iCs/>
          <w:color w:val="auto"/>
          <w:szCs w:val="24"/>
          <w:lang w:eastAsia="en-US"/>
        </w:rPr>
        <w:t xml:space="preserve"> importance of</w:t>
      </w:r>
      <w:r w:rsidRPr="0002700A">
        <w:rPr>
          <w:rFonts w:eastAsia="Calibri"/>
          <w:i/>
          <w:color w:val="auto"/>
          <w:szCs w:val="24"/>
          <w:lang w:eastAsia="en-US"/>
        </w:rPr>
        <w:t xml:space="preserve"> maintaining and/or enhancing energy efficiency while transitioning away from high-GWP hydrofluorocarbons to low-GWP alternatives in the refrigeration, air-conditioning and heat pump sectors,</w:t>
      </w:r>
    </w:p>
    <w:p w14:paraId="2B6BA809" w14:textId="77777777" w:rsidR="0093586F" w:rsidRDefault="0093586F" w:rsidP="0093586F">
      <w:pPr>
        <w:overflowPunct w:val="0"/>
        <w:autoSpaceDE w:val="0"/>
        <w:autoSpaceDN w:val="0"/>
        <w:spacing w:after="0"/>
        <w:ind w:left="491" w:right="187"/>
        <w:rPr>
          <w:rFonts w:eastAsia="Calibri"/>
          <w:i/>
          <w:iCs/>
          <w:color w:val="auto"/>
          <w:szCs w:val="24"/>
          <w:lang w:eastAsia="en-US"/>
        </w:rPr>
      </w:pPr>
    </w:p>
    <w:p w14:paraId="3898003C" w14:textId="77777777" w:rsidR="0093586F" w:rsidRDefault="005E2BBD" w:rsidP="0093586F">
      <w:pPr>
        <w:overflowPunct w:val="0"/>
        <w:autoSpaceDE w:val="0"/>
        <w:autoSpaceDN w:val="0"/>
        <w:spacing w:after="0"/>
        <w:ind w:left="491" w:right="187"/>
        <w:rPr>
          <w:rFonts w:eastAsia="Calibri"/>
          <w:i/>
          <w:iCs/>
          <w:color w:val="auto"/>
          <w:szCs w:val="24"/>
          <w:lang w:eastAsia="en-US"/>
        </w:rPr>
      </w:pPr>
      <w:r w:rsidRPr="0002700A">
        <w:rPr>
          <w:rFonts w:eastAsia="Calibri"/>
          <w:i/>
          <w:iCs/>
          <w:color w:val="auto"/>
          <w:szCs w:val="24"/>
          <w:lang w:eastAsia="en-US"/>
        </w:rPr>
        <w:t>Noting</w:t>
      </w:r>
      <w:r w:rsidRPr="0002700A">
        <w:rPr>
          <w:rFonts w:eastAsia="Calibri"/>
          <w:i/>
          <w:color w:val="auto"/>
          <w:szCs w:val="24"/>
          <w:lang w:eastAsia="en-US"/>
        </w:rPr>
        <w:t xml:space="preserve"> that the use of air-conditioning and refrigeration is growing in countries operating under paragraph 1 of Article 5,</w:t>
      </w:r>
    </w:p>
    <w:p w14:paraId="5069BE0D" w14:textId="77777777" w:rsidR="0093586F" w:rsidRDefault="0093586F" w:rsidP="0093586F">
      <w:pPr>
        <w:overflowPunct w:val="0"/>
        <w:autoSpaceDE w:val="0"/>
        <w:autoSpaceDN w:val="0"/>
        <w:spacing w:after="0"/>
        <w:ind w:left="491" w:right="187"/>
        <w:rPr>
          <w:rFonts w:eastAsia="Calibri"/>
          <w:i/>
          <w:iCs/>
          <w:color w:val="auto"/>
          <w:szCs w:val="24"/>
          <w:lang w:eastAsia="en-US"/>
        </w:rPr>
      </w:pPr>
    </w:p>
    <w:p w14:paraId="3DB1D774" w14:textId="4FB0E5B9" w:rsidR="005E2BBD" w:rsidRPr="0093586F" w:rsidRDefault="005E2BBD" w:rsidP="0093586F">
      <w:pPr>
        <w:overflowPunct w:val="0"/>
        <w:autoSpaceDE w:val="0"/>
        <w:autoSpaceDN w:val="0"/>
        <w:spacing w:after="0"/>
        <w:ind w:left="491" w:right="187"/>
        <w:rPr>
          <w:rFonts w:eastAsia="Calibri"/>
          <w:i/>
          <w:iCs/>
          <w:color w:val="auto"/>
          <w:szCs w:val="24"/>
          <w:lang w:eastAsia="en-US"/>
        </w:rPr>
      </w:pPr>
      <w:r w:rsidRPr="00592351">
        <w:rPr>
          <w:rFonts w:eastAsia="Calibri"/>
          <w:i/>
          <w:iCs/>
          <w:color w:val="auto"/>
          <w:szCs w:val="24"/>
          <w:lang w:eastAsia="en-US"/>
        </w:rPr>
        <w:t>Recognizing</w:t>
      </w:r>
      <w:r w:rsidRPr="00592351">
        <w:rPr>
          <w:rFonts w:eastAsia="Calibri"/>
          <w:i/>
          <w:color w:val="auto"/>
          <w:szCs w:val="24"/>
          <w:lang w:eastAsia="en-US"/>
        </w:rPr>
        <w:t xml:space="preserve"> </w:t>
      </w:r>
      <w:r w:rsidRPr="00235F95">
        <w:rPr>
          <w:rFonts w:eastAsia="Calibri"/>
          <w:i/>
          <w:color w:val="auto"/>
          <w:szCs w:val="24"/>
          <w:lang w:eastAsia="en-US"/>
        </w:rPr>
        <w:t>that maintaining and/or enhancing energy efficiency could have significant climate benefits</w:t>
      </w:r>
    </w:p>
    <w:p w14:paraId="6AA36464" w14:textId="77777777" w:rsidR="005E2BBD" w:rsidRPr="00235F95" w:rsidRDefault="005E2BBD" w:rsidP="0002700A">
      <w:pPr>
        <w:overflowPunct w:val="0"/>
        <w:autoSpaceDE w:val="0"/>
        <w:autoSpaceDN w:val="0"/>
        <w:spacing w:after="0"/>
        <w:ind w:left="720" w:right="187" w:hanging="491"/>
        <w:rPr>
          <w:rFonts w:eastAsia="Calibri"/>
          <w:i/>
          <w:color w:val="auto"/>
          <w:szCs w:val="24"/>
          <w:lang w:eastAsia="en-US"/>
        </w:rPr>
      </w:pPr>
    </w:p>
    <w:p w14:paraId="194F35B5" w14:textId="77777777" w:rsidR="005E2BBD" w:rsidRPr="00235F95" w:rsidRDefault="005E2BBD" w:rsidP="00736989">
      <w:pPr>
        <w:numPr>
          <w:ilvl w:val="0"/>
          <w:numId w:val="53"/>
        </w:numPr>
        <w:overflowPunct w:val="0"/>
        <w:autoSpaceDE w:val="0"/>
        <w:autoSpaceDN w:val="0"/>
        <w:spacing w:after="0"/>
        <w:ind w:right="187"/>
        <w:rPr>
          <w:rFonts w:eastAsia="Calibri"/>
          <w:i/>
          <w:color w:val="auto"/>
          <w:szCs w:val="24"/>
          <w:lang w:eastAsia="en-US"/>
        </w:rPr>
      </w:pPr>
      <w:bookmarkStart w:id="22" w:name="_Hlk514851450"/>
      <w:r w:rsidRPr="00235F95">
        <w:rPr>
          <w:rFonts w:eastAsia="Calibri"/>
          <w:i/>
          <w:color w:val="auto"/>
          <w:szCs w:val="24"/>
          <w:lang w:eastAsia="en-US"/>
        </w:rPr>
        <w:t>To</w:t>
      </w:r>
      <w:r w:rsidRPr="00235F95">
        <w:rPr>
          <w:rFonts w:eastAsia="Calibri"/>
          <w:i/>
          <w:color w:val="auto"/>
          <w:spacing w:val="-1"/>
          <w:szCs w:val="24"/>
          <w:lang w:eastAsia="en-US"/>
        </w:rPr>
        <w:t xml:space="preserve"> </w:t>
      </w:r>
      <w:r w:rsidRPr="00235F95">
        <w:rPr>
          <w:rFonts w:eastAsia="Calibri"/>
          <w:i/>
          <w:color w:val="auto"/>
          <w:szCs w:val="24"/>
          <w:lang w:eastAsia="en-US"/>
        </w:rPr>
        <w:t xml:space="preserve">request </w:t>
      </w:r>
      <w:r w:rsidRPr="00235F95">
        <w:rPr>
          <w:rFonts w:eastAsia="Calibri"/>
          <w:i/>
          <w:color w:val="auto"/>
          <w:spacing w:val="-1"/>
          <w:szCs w:val="24"/>
          <w:lang w:eastAsia="en-US"/>
        </w:rPr>
        <w:t>the Technology</w:t>
      </w:r>
      <w:r w:rsidRPr="00235F95">
        <w:rPr>
          <w:rFonts w:eastAsia="Calibri"/>
          <w:i/>
          <w:color w:val="auto"/>
          <w:szCs w:val="24"/>
          <w:lang w:eastAsia="en-US"/>
        </w:rPr>
        <w:t xml:space="preserve"> </w:t>
      </w:r>
      <w:r w:rsidRPr="00235F95">
        <w:rPr>
          <w:rFonts w:eastAsia="Calibri"/>
          <w:i/>
          <w:color w:val="auto"/>
          <w:spacing w:val="-1"/>
          <w:szCs w:val="24"/>
          <w:lang w:eastAsia="en-US"/>
        </w:rPr>
        <w:t>and</w:t>
      </w:r>
      <w:r w:rsidRPr="00235F95">
        <w:rPr>
          <w:rFonts w:eastAsia="Calibri"/>
          <w:i/>
          <w:color w:val="auto"/>
          <w:szCs w:val="24"/>
          <w:lang w:eastAsia="en-US"/>
        </w:rPr>
        <w:t xml:space="preserve"> </w:t>
      </w:r>
      <w:r w:rsidRPr="00235F95">
        <w:rPr>
          <w:rFonts w:eastAsia="Calibri"/>
          <w:i/>
          <w:color w:val="auto"/>
          <w:spacing w:val="-1"/>
          <w:szCs w:val="24"/>
          <w:lang w:eastAsia="en-US"/>
        </w:rPr>
        <w:t>Economic Assessment</w:t>
      </w:r>
      <w:r w:rsidRPr="00235F95">
        <w:rPr>
          <w:rFonts w:eastAsia="Calibri"/>
          <w:i/>
          <w:color w:val="auto"/>
          <w:szCs w:val="24"/>
          <w:lang w:eastAsia="en-US"/>
        </w:rPr>
        <w:t xml:space="preserve"> </w:t>
      </w:r>
      <w:r w:rsidRPr="00235F95">
        <w:rPr>
          <w:rFonts w:eastAsia="Calibri"/>
          <w:i/>
          <w:color w:val="auto"/>
          <w:spacing w:val="-1"/>
          <w:szCs w:val="24"/>
          <w:lang w:eastAsia="en-US"/>
        </w:rPr>
        <w:t>Panel in</w:t>
      </w:r>
      <w:r w:rsidRPr="00235F95">
        <w:rPr>
          <w:rFonts w:eastAsia="Calibri"/>
          <w:i/>
          <w:color w:val="auto"/>
          <w:spacing w:val="1"/>
          <w:szCs w:val="24"/>
          <w:lang w:eastAsia="en-US"/>
        </w:rPr>
        <w:t xml:space="preserve"> </w:t>
      </w:r>
      <w:r w:rsidRPr="00235F95">
        <w:rPr>
          <w:rFonts w:eastAsia="Calibri"/>
          <w:i/>
          <w:color w:val="auto"/>
          <w:spacing w:val="-1"/>
          <w:szCs w:val="24"/>
          <w:lang w:eastAsia="en-US"/>
        </w:rPr>
        <w:t>relation</w:t>
      </w:r>
      <w:r w:rsidRPr="00235F95">
        <w:rPr>
          <w:rFonts w:eastAsia="Calibri"/>
          <w:i/>
          <w:color w:val="auto"/>
          <w:spacing w:val="1"/>
          <w:szCs w:val="24"/>
          <w:lang w:eastAsia="en-US"/>
        </w:rPr>
        <w:t xml:space="preserve"> </w:t>
      </w:r>
      <w:r w:rsidRPr="00235F95">
        <w:rPr>
          <w:rFonts w:eastAsia="Calibri"/>
          <w:i/>
          <w:color w:val="auto"/>
          <w:spacing w:val="-1"/>
          <w:szCs w:val="24"/>
          <w:lang w:eastAsia="en-US"/>
        </w:rPr>
        <w:t>to maintaining</w:t>
      </w:r>
      <w:r w:rsidRPr="00235F95">
        <w:rPr>
          <w:rFonts w:eastAsia="Calibri"/>
          <w:i/>
          <w:color w:val="auto"/>
          <w:spacing w:val="63"/>
          <w:szCs w:val="24"/>
          <w:lang w:eastAsia="en-US"/>
        </w:rPr>
        <w:t xml:space="preserve"> </w:t>
      </w:r>
      <w:r w:rsidRPr="00235F95">
        <w:rPr>
          <w:rFonts w:eastAsia="Calibri"/>
          <w:i/>
          <w:color w:val="auto"/>
          <w:spacing w:val="-1"/>
          <w:szCs w:val="24"/>
          <w:lang w:eastAsia="en-US"/>
        </w:rPr>
        <w:t>and/or</w:t>
      </w:r>
      <w:r w:rsidRPr="00235F95">
        <w:rPr>
          <w:rFonts w:eastAsia="Calibri"/>
          <w:i/>
          <w:color w:val="auto"/>
          <w:szCs w:val="24"/>
          <w:lang w:eastAsia="en-US"/>
        </w:rPr>
        <w:t xml:space="preserve"> </w:t>
      </w:r>
      <w:r w:rsidRPr="00235F95">
        <w:rPr>
          <w:rFonts w:eastAsia="Calibri"/>
          <w:i/>
          <w:color w:val="auto"/>
          <w:spacing w:val="-1"/>
          <w:szCs w:val="24"/>
          <w:lang w:eastAsia="en-US"/>
        </w:rPr>
        <w:t>enhancing</w:t>
      </w:r>
      <w:r w:rsidRPr="00235F95">
        <w:rPr>
          <w:rFonts w:eastAsia="Calibri"/>
          <w:i/>
          <w:color w:val="auto"/>
          <w:szCs w:val="24"/>
          <w:lang w:eastAsia="en-US"/>
        </w:rPr>
        <w:t xml:space="preserve"> </w:t>
      </w:r>
      <w:r w:rsidRPr="00235F95">
        <w:rPr>
          <w:rFonts w:eastAsia="Calibri"/>
          <w:i/>
          <w:color w:val="auto"/>
          <w:spacing w:val="-1"/>
          <w:szCs w:val="24"/>
          <w:lang w:eastAsia="en-US"/>
        </w:rPr>
        <w:t>energy</w:t>
      </w:r>
      <w:r w:rsidRPr="00235F95">
        <w:rPr>
          <w:rFonts w:eastAsia="Calibri"/>
          <w:i/>
          <w:color w:val="auto"/>
          <w:szCs w:val="24"/>
          <w:lang w:eastAsia="en-US"/>
        </w:rPr>
        <w:t xml:space="preserve"> </w:t>
      </w:r>
      <w:r w:rsidRPr="00235F95">
        <w:rPr>
          <w:rFonts w:eastAsia="Calibri"/>
          <w:i/>
          <w:color w:val="auto"/>
          <w:spacing w:val="-1"/>
          <w:szCs w:val="24"/>
          <w:lang w:eastAsia="en-US"/>
        </w:rPr>
        <w:t>efficiency</w:t>
      </w:r>
      <w:r w:rsidRPr="00235F95">
        <w:rPr>
          <w:rFonts w:eastAsia="Calibri"/>
          <w:i/>
          <w:color w:val="auto"/>
          <w:szCs w:val="24"/>
          <w:lang w:eastAsia="en-US"/>
        </w:rPr>
        <w:t xml:space="preserve"> </w:t>
      </w:r>
      <w:r w:rsidRPr="00235F95">
        <w:rPr>
          <w:rFonts w:eastAsia="Calibri"/>
          <w:i/>
          <w:color w:val="auto"/>
          <w:spacing w:val="-1"/>
          <w:szCs w:val="24"/>
          <w:lang w:eastAsia="en-US"/>
        </w:rPr>
        <w:t>in</w:t>
      </w:r>
      <w:r w:rsidRPr="00235F95">
        <w:rPr>
          <w:rFonts w:eastAsia="Calibri"/>
          <w:i/>
          <w:color w:val="auto"/>
          <w:spacing w:val="1"/>
          <w:szCs w:val="24"/>
          <w:lang w:eastAsia="en-US"/>
        </w:rPr>
        <w:t xml:space="preserve"> </w:t>
      </w:r>
      <w:r w:rsidRPr="00235F95">
        <w:rPr>
          <w:rFonts w:eastAsia="Calibri"/>
          <w:i/>
          <w:color w:val="auto"/>
          <w:szCs w:val="24"/>
          <w:lang w:eastAsia="en-US"/>
        </w:rPr>
        <w:t>the</w:t>
      </w:r>
      <w:r w:rsidRPr="00235F95">
        <w:rPr>
          <w:rFonts w:eastAsia="Calibri"/>
          <w:i/>
          <w:color w:val="auto"/>
          <w:spacing w:val="-1"/>
          <w:szCs w:val="24"/>
          <w:lang w:eastAsia="en-US"/>
        </w:rPr>
        <w:t xml:space="preserve"> refrigeration</w:t>
      </w:r>
      <w:r w:rsidRPr="00235F95">
        <w:rPr>
          <w:rFonts w:eastAsia="Calibri"/>
          <w:i/>
          <w:color w:val="auto"/>
          <w:spacing w:val="1"/>
          <w:szCs w:val="24"/>
          <w:lang w:eastAsia="en-US"/>
        </w:rPr>
        <w:t xml:space="preserve"> </w:t>
      </w:r>
      <w:r w:rsidRPr="00235F95">
        <w:rPr>
          <w:rFonts w:eastAsia="Calibri"/>
          <w:i/>
          <w:color w:val="auto"/>
          <w:spacing w:val="-1"/>
          <w:szCs w:val="24"/>
          <w:lang w:eastAsia="en-US"/>
        </w:rPr>
        <w:t>and air-conditioning</w:t>
      </w:r>
      <w:r w:rsidRPr="00235F95">
        <w:rPr>
          <w:rFonts w:eastAsia="Calibri"/>
          <w:i/>
          <w:color w:val="auto"/>
          <w:spacing w:val="1"/>
          <w:szCs w:val="24"/>
          <w:lang w:eastAsia="en-US"/>
        </w:rPr>
        <w:t xml:space="preserve"> </w:t>
      </w:r>
      <w:r w:rsidRPr="00235F95">
        <w:rPr>
          <w:rFonts w:eastAsia="Calibri"/>
          <w:i/>
          <w:color w:val="auto"/>
          <w:spacing w:val="-1"/>
          <w:szCs w:val="24"/>
          <w:lang w:eastAsia="en-US"/>
        </w:rPr>
        <w:t>and</w:t>
      </w:r>
      <w:r w:rsidRPr="00235F95">
        <w:rPr>
          <w:rFonts w:eastAsia="Calibri"/>
          <w:i/>
          <w:color w:val="auto"/>
          <w:szCs w:val="24"/>
          <w:lang w:eastAsia="en-US"/>
        </w:rPr>
        <w:t xml:space="preserve"> </w:t>
      </w:r>
      <w:r w:rsidRPr="00235F95">
        <w:rPr>
          <w:rFonts w:eastAsia="Calibri"/>
          <w:i/>
          <w:color w:val="auto"/>
          <w:spacing w:val="-1"/>
          <w:szCs w:val="24"/>
          <w:lang w:eastAsia="en-US"/>
        </w:rPr>
        <w:t>heat-pump</w:t>
      </w:r>
      <w:r w:rsidRPr="00235F95">
        <w:rPr>
          <w:rFonts w:eastAsia="Calibri"/>
          <w:i/>
          <w:color w:val="auto"/>
          <w:spacing w:val="1"/>
          <w:szCs w:val="24"/>
          <w:lang w:eastAsia="en-US"/>
        </w:rPr>
        <w:t xml:space="preserve"> </w:t>
      </w:r>
      <w:r w:rsidRPr="00235F95">
        <w:rPr>
          <w:rFonts w:eastAsia="Calibri"/>
          <w:i/>
          <w:color w:val="auto"/>
          <w:szCs w:val="24"/>
          <w:lang w:eastAsia="en-US"/>
        </w:rPr>
        <w:t>(RACHP)</w:t>
      </w:r>
      <w:r w:rsidRPr="00235F95">
        <w:rPr>
          <w:rFonts w:eastAsia="Calibri"/>
          <w:i/>
          <w:color w:val="auto"/>
          <w:spacing w:val="95"/>
          <w:szCs w:val="24"/>
          <w:lang w:eastAsia="en-US"/>
        </w:rPr>
        <w:t xml:space="preserve"> </w:t>
      </w:r>
      <w:r w:rsidRPr="00235F95">
        <w:rPr>
          <w:rFonts w:eastAsia="Calibri"/>
          <w:i/>
          <w:color w:val="auto"/>
          <w:spacing w:val="-1"/>
          <w:szCs w:val="24"/>
          <w:lang w:eastAsia="en-US"/>
        </w:rPr>
        <w:t>sectors,</w:t>
      </w:r>
      <w:r w:rsidRPr="00235F95">
        <w:rPr>
          <w:rFonts w:eastAsia="Calibri"/>
          <w:i/>
          <w:color w:val="auto"/>
          <w:spacing w:val="1"/>
          <w:szCs w:val="24"/>
          <w:lang w:eastAsia="en-US"/>
        </w:rPr>
        <w:t xml:space="preserve"> </w:t>
      </w:r>
      <w:r w:rsidRPr="00235F95">
        <w:rPr>
          <w:rFonts w:eastAsia="Calibri"/>
          <w:i/>
          <w:color w:val="auto"/>
          <w:spacing w:val="-1"/>
          <w:szCs w:val="24"/>
          <w:lang w:eastAsia="en-US"/>
        </w:rPr>
        <w:t>including</w:t>
      </w:r>
      <w:r w:rsidRPr="00235F95">
        <w:rPr>
          <w:rFonts w:eastAsia="Calibri"/>
          <w:i/>
          <w:color w:val="auto"/>
          <w:szCs w:val="24"/>
          <w:lang w:eastAsia="en-US"/>
        </w:rPr>
        <w:t xml:space="preserve"> </w:t>
      </w:r>
      <w:r w:rsidRPr="00235F95">
        <w:rPr>
          <w:rFonts w:eastAsia="Calibri"/>
          <w:i/>
          <w:color w:val="auto"/>
          <w:spacing w:val="-1"/>
          <w:szCs w:val="24"/>
          <w:lang w:eastAsia="en-US"/>
        </w:rPr>
        <w:t>in high-ambient</w:t>
      </w:r>
      <w:r w:rsidRPr="00235F95">
        <w:rPr>
          <w:rFonts w:eastAsia="Calibri"/>
          <w:i/>
          <w:color w:val="auto"/>
          <w:szCs w:val="24"/>
          <w:lang w:eastAsia="en-US"/>
        </w:rPr>
        <w:t xml:space="preserve"> </w:t>
      </w:r>
      <w:r w:rsidRPr="00235F95">
        <w:rPr>
          <w:rFonts w:eastAsia="Calibri"/>
          <w:i/>
          <w:color w:val="auto"/>
          <w:spacing w:val="-1"/>
          <w:szCs w:val="24"/>
          <w:lang w:eastAsia="en-US"/>
        </w:rPr>
        <w:t>temperature</w:t>
      </w:r>
      <w:r w:rsidRPr="00235F95">
        <w:rPr>
          <w:rFonts w:eastAsia="Calibri"/>
          <w:i/>
          <w:color w:val="auto"/>
          <w:szCs w:val="24"/>
          <w:lang w:eastAsia="en-US"/>
        </w:rPr>
        <w:t xml:space="preserve"> </w:t>
      </w:r>
      <w:r w:rsidRPr="00235F95">
        <w:rPr>
          <w:rFonts w:eastAsia="Calibri"/>
          <w:i/>
          <w:color w:val="auto"/>
          <w:spacing w:val="-1"/>
          <w:szCs w:val="24"/>
          <w:lang w:eastAsia="en-US"/>
        </w:rPr>
        <w:t>conditions,</w:t>
      </w:r>
      <w:r w:rsidRPr="00235F95">
        <w:rPr>
          <w:rFonts w:eastAsia="Calibri"/>
          <w:i/>
          <w:color w:val="auto"/>
          <w:szCs w:val="24"/>
          <w:lang w:eastAsia="en-US"/>
        </w:rPr>
        <w:t xml:space="preserve"> </w:t>
      </w:r>
      <w:r w:rsidRPr="00235F95">
        <w:rPr>
          <w:rFonts w:eastAsia="Calibri"/>
          <w:i/>
          <w:color w:val="auto"/>
          <w:spacing w:val="-1"/>
          <w:szCs w:val="24"/>
          <w:lang w:eastAsia="en-US"/>
        </w:rPr>
        <w:t>while phasing down</w:t>
      </w:r>
      <w:r w:rsidRPr="00235F95">
        <w:rPr>
          <w:rFonts w:eastAsia="Calibri"/>
          <w:i/>
          <w:color w:val="auto"/>
          <w:szCs w:val="24"/>
          <w:lang w:eastAsia="en-US"/>
        </w:rPr>
        <w:t xml:space="preserve"> </w:t>
      </w:r>
      <w:r w:rsidRPr="00235F95">
        <w:rPr>
          <w:rFonts w:eastAsia="Calibri"/>
          <w:i/>
          <w:color w:val="auto"/>
          <w:spacing w:val="-1"/>
          <w:szCs w:val="24"/>
          <w:lang w:eastAsia="en-US"/>
        </w:rPr>
        <w:t>hydrofluorocarbons</w:t>
      </w:r>
      <w:r w:rsidRPr="00235F95">
        <w:rPr>
          <w:rFonts w:eastAsia="Calibri"/>
          <w:i/>
          <w:color w:val="auto"/>
          <w:spacing w:val="113"/>
          <w:szCs w:val="24"/>
          <w:lang w:eastAsia="en-US"/>
        </w:rPr>
        <w:t xml:space="preserve"> </w:t>
      </w:r>
      <w:r w:rsidRPr="00235F95">
        <w:rPr>
          <w:rFonts w:eastAsia="Calibri"/>
          <w:i/>
          <w:color w:val="auto"/>
          <w:spacing w:val="-1"/>
          <w:szCs w:val="24"/>
          <w:lang w:eastAsia="en-US"/>
        </w:rPr>
        <w:t>under</w:t>
      </w:r>
      <w:r w:rsidRPr="00235F95">
        <w:rPr>
          <w:rFonts w:eastAsia="Calibri"/>
          <w:i/>
          <w:color w:val="auto"/>
          <w:szCs w:val="24"/>
          <w:lang w:eastAsia="en-US"/>
        </w:rPr>
        <w:t xml:space="preserve"> the</w:t>
      </w:r>
      <w:r w:rsidRPr="00235F95">
        <w:rPr>
          <w:rFonts w:eastAsia="Calibri"/>
          <w:i/>
          <w:color w:val="auto"/>
          <w:spacing w:val="-1"/>
          <w:szCs w:val="24"/>
          <w:lang w:eastAsia="en-US"/>
        </w:rPr>
        <w:t xml:space="preserve"> Kigali Amendment</w:t>
      </w:r>
      <w:r w:rsidRPr="00235F95">
        <w:rPr>
          <w:rFonts w:eastAsia="Calibri"/>
          <w:i/>
          <w:color w:val="auto"/>
          <w:spacing w:val="1"/>
          <w:szCs w:val="24"/>
          <w:lang w:eastAsia="en-US"/>
        </w:rPr>
        <w:t xml:space="preserve"> </w:t>
      </w:r>
      <w:r w:rsidRPr="00235F95">
        <w:rPr>
          <w:rFonts w:eastAsia="Calibri"/>
          <w:i/>
          <w:color w:val="auto"/>
          <w:spacing w:val="-1"/>
          <w:szCs w:val="24"/>
          <w:lang w:eastAsia="en-US"/>
        </w:rPr>
        <w:t>to</w:t>
      </w:r>
      <w:r w:rsidRPr="00235F95">
        <w:rPr>
          <w:rFonts w:eastAsia="Calibri"/>
          <w:i/>
          <w:color w:val="auto"/>
          <w:spacing w:val="1"/>
          <w:szCs w:val="24"/>
          <w:lang w:eastAsia="en-US"/>
        </w:rPr>
        <w:t xml:space="preserve"> </w:t>
      </w:r>
      <w:r w:rsidRPr="00235F95">
        <w:rPr>
          <w:rFonts w:eastAsia="Calibri"/>
          <w:i/>
          <w:color w:val="auto"/>
          <w:szCs w:val="24"/>
          <w:lang w:eastAsia="en-US"/>
        </w:rPr>
        <w:t xml:space="preserve">the </w:t>
      </w:r>
      <w:r w:rsidRPr="00235F95">
        <w:rPr>
          <w:rFonts w:eastAsia="Calibri"/>
          <w:i/>
          <w:color w:val="auto"/>
          <w:spacing w:val="-1"/>
          <w:szCs w:val="24"/>
          <w:lang w:eastAsia="en-US"/>
        </w:rPr>
        <w:t>Montreal Protocol</w:t>
      </w:r>
      <w:r w:rsidRPr="00235F95">
        <w:rPr>
          <w:rFonts w:eastAsia="Calibri"/>
          <w:i/>
          <w:color w:val="auto"/>
          <w:szCs w:val="24"/>
          <w:lang w:eastAsia="en-US"/>
        </w:rPr>
        <w:t xml:space="preserve"> </w:t>
      </w:r>
      <w:r w:rsidRPr="00235F95">
        <w:rPr>
          <w:rFonts w:eastAsia="Calibri"/>
          <w:i/>
          <w:color w:val="auto"/>
          <w:spacing w:val="-1"/>
          <w:szCs w:val="24"/>
          <w:lang w:eastAsia="en-US"/>
        </w:rPr>
        <w:t>in parties</w:t>
      </w:r>
      <w:r w:rsidRPr="00235F95">
        <w:rPr>
          <w:rFonts w:eastAsia="Calibri"/>
          <w:i/>
          <w:color w:val="auto"/>
          <w:szCs w:val="24"/>
          <w:lang w:eastAsia="en-US"/>
        </w:rPr>
        <w:t xml:space="preserve"> </w:t>
      </w:r>
      <w:r w:rsidRPr="00235F95">
        <w:rPr>
          <w:rFonts w:eastAsia="Calibri"/>
          <w:i/>
          <w:color w:val="auto"/>
          <w:spacing w:val="-1"/>
          <w:szCs w:val="24"/>
          <w:lang w:eastAsia="en-US"/>
        </w:rPr>
        <w:t xml:space="preserve">operating under paragraph </w:t>
      </w:r>
      <w:r w:rsidRPr="00235F95">
        <w:rPr>
          <w:rFonts w:eastAsia="Calibri"/>
          <w:i/>
          <w:color w:val="auto"/>
          <w:szCs w:val="24"/>
          <w:lang w:eastAsia="en-US"/>
        </w:rPr>
        <w:t>1</w:t>
      </w:r>
      <w:r w:rsidRPr="00235F95">
        <w:rPr>
          <w:rFonts w:eastAsia="Calibri"/>
          <w:i/>
          <w:color w:val="auto"/>
          <w:spacing w:val="-1"/>
          <w:szCs w:val="24"/>
          <w:lang w:eastAsia="en-US"/>
        </w:rPr>
        <w:t xml:space="preserve"> </w:t>
      </w:r>
      <w:r w:rsidRPr="00235F95">
        <w:rPr>
          <w:rFonts w:eastAsia="Calibri"/>
          <w:i/>
          <w:color w:val="auto"/>
          <w:szCs w:val="24"/>
          <w:lang w:eastAsia="en-US"/>
        </w:rPr>
        <w:t xml:space="preserve">of Article 5, to </w:t>
      </w:r>
      <w:r w:rsidRPr="00235F95">
        <w:rPr>
          <w:rFonts w:eastAsia="Calibri"/>
          <w:i/>
          <w:color w:val="auto"/>
          <w:spacing w:val="-1"/>
          <w:szCs w:val="24"/>
          <w:lang w:eastAsia="en-US"/>
        </w:rPr>
        <w:t>assess</w:t>
      </w:r>
      <w:r w:rsidRPr="00235F95">
        <w:rPr>
          <w:rFonts w:eastAsia="Calibri"/>
          <w:i/>
          <w:color w:val="auto"/>
          <w:szCs w:val="24"/>
          <w:lang w:eastAsia="en-US"/>
        </w:rPr>
        <w:t xml:space="preserve"> the</w:t>
      </w:r>
      <w:r w:rsidRPr="00235F95">
        <w:rPr>
          <w:rFonts w:eastAsia="Calibri"/>
          <w:i/>
          <w:color w:val="auto"/>
          <w:spacing w:val="-1"/>
          <w:szCs w:val="24"/>
          <w:lang w:eastAsia="en-US"/>
        </w:rPr>
        <w:t xml:space="preserve"> following</w:t>
      </w:r>
      <w:r w:rsidRPr="00235F95">
        <w:rPr>
          <w:rFonts w:eastAsia="Calibri"/>
          <w:i/>
          <w:color w:val="auto"/>
          <w:spacing w:val="2"/>
          <w:szCs w:val="24"/>
          <w:lang w:eastAsia="en-US"/>
        </w:rPr>
        <w:t xml:space="preserve"> </w:t>
      </w:r>
      <w:r w:rsidRPr="00235F95">
        <w:rPr>
          <w:rFonts w:eastAsia="Calibri"/>
          <w:i/>
          <w:color w:val="auto"/>
          <w:spacing w:val="-1"/>
          <w:szCs w:val="24"/>
          <w:lang w:eastAsia="en-US"/>
        </w:rPr>
        <w:t>items:</w:t>
      </w:r>
    </w:p>
    <w:p w14:paraId="0ECC3161" w14:textId="77777777" w:rsidR="005E2BBD" w:rsidRPr="00235F95" w:rsidRDefault="005E2BBD" w:rsidP="00736989">
      <w:pPr>
        <w:numPr>
          <w:ilvl w:val="1"/>
          <w:numId w:val="96"/>
        </w:numPr>
        <w:overflowPunct w:val="0"/>
        <w:autoSpaceDE w:val="0"/>
        <w:autoSpaceDN w:val="0"/>
        <w:spacing w:after="0"/>
        <w:ind w:right="187"/>
        <w:rPr>
          <w:rFonts w:eastAsia="Calibri"/>
          <w:i/>
          <w:color w:val="auto"/>
          <w:szCs w:val="24"/>
          <w:lang w:eastAsia="en-US"/>
        </w:rPr>
      </w:pPr>
      <w:bookmarkStart w:id="23" w:name="_Hlk513909537"/>
      <w:r w:rsidRPr="00235F95">
        <w:rPr>
          <w:rFonts w:eastAsia="Calibri"/>
          <w:i/>
          <w:color w:val="auto"/>
          <w:spacing w:val="-1"/>
          <w:szCs w:val="24"/>
          <w:lang w:eastAsia="en-US"/>
        </w:rPr>
        <w:t>Technology options</w:t>
      </w:r>
      <w:r w:rsidRPr="00235F95">
        <w:rPr>
          <w:rFonts w:eastAsia="Calibri"/>
          <w:i/>
          <w:color w:val="auto"/>
          <w:szCs w:val="24"/>
          <w:lang w:eastAsia="en-US"/>
        </w:rPr>
        <w:t xml:space="preserve"> </w:t>
      </w:r>
      <w:r w:rsidRPr="00235F95">
        <w:rPr>
          <w:rFonts w:eastAsia="Calibri"/>
          <w:i/>
          <w:color w:val="auto"/>
          <w:spacing w:val="-1"/>
          <w:szCs w:val="24"/>
          <w:lang w:eastAsia="en-US"/>
        </w:rPr>
        <w:t>and</w:t>
      </w:r>
      <w:r w:rsidRPr="00235F95">
        <w:rPr>
          <w:rFonts w:eastAsia="Calibri"/>
          <w:i/>
          <w:color w:val="auto"/>
          <w:szCs w:val="24"/>
          <w:lang w:eastAsia="en-US"/>
        </w:rPr>
        <w:t xml:space="preserve"> </w:t>
      </w:r>
      <w:r w:rsidRPr="00235F95">
        <w:rPr>
          <w:rFonts w:eastAsia="Calibri"/>
          <w:i/>
          <w:color w:val="auto"/>
          <w:spacing w:val="-1"/>
          <w:szCs w:val="24"/>
          <w:lang w:eastAsia="en-US"/>
        </w:rPr>
        <w:t>requirements</w:t>
      </w:r>
      <w:r w:rsidRPr="00235F95">
        <w:rPr>
          <w:rFonts w:eastAsia="Calibri"/>
          <w:i/>
          <w:color w:val="auto"/>
          <w:szCs w:val="24"/>
          <w:lang w:eastAsia="en-US"/>
        </w:rPr>
        <w:t xml:space="preserve"> </w:t>
      </w:r>
      <w:r w:rsidRPr="00235F95">
        <w:rPr>
          <w:rFonts w:eastAsia="Calibri"/>
          <w:i/>
          <w:color w:val="auto"/>
          <w:spacing w:val="-1"/>
          <w:szCs w:val="24"/>
          <w:lang w:eastAsia="en-US"/>
        </w:rPr>
        <w:t>including</w:t>
      </w:r>
    </w:p>
    <w:p w14:paraId="4A8F1ACC" w14:textId="77777777" w:rsidR="005E2BBD" w:rsidRPr="00235F95" w:rsidRDefault="005E2BBD" w:rsidP="00736989">
      <w:pPr>
        <w:numPr>
          <w:ilvl w:val="2"/>
          <w:numId w:val="96"/>
        </w:numPr>
        <w:overflowPunct w:val="0"/>
        <w:autoSpaceDE w:val="0"/>
        <w:autoSpaceDN w:val="0"/>
        <w:spacing w:after="0"/>
        <w:ind w:right="187" w:hanging="360"/>
        <w:rPr>
          <w:rFonts w:eastAsia="Calibri"/>
          <w:i/>
          <w:color w:val="auto"/>
          <w:szCs w:val="24"/>
          <w:lang w:eastAsia="en-US"/>
        </w:rPr>
      </w:pPr>
      <w:r w:rsidRPr="00235F95">
        <w:rPr>
          <w:rFonts w:eastAsia="Calibri"/>
          <w:i/>
          <w:color w:val="auto"/>
          <w:spacing w:val="-1"/>
          <w:szCs w:val="24"/>
          <w:lang w:eastAsia="en-US"/>
        </w:rPr>
        <w:t xml:space="preserve">Challenges for </w:t>
      </w:r>
      <w:r w:rsidRPr="00235F95">
        <w:rPr>
          <w:rFonts w:eastAsia="Calibri"/>
          <w:i/>
          <w:color w:val="auto"/>
          <w:szCs w:val="24"/>
          <w:lang w:eastAsia="en-US"/>
        </w:rPr>
        <w:t>their</w:t>
      </w:r>
      <w:r w:rsidRPr="00235F95">
        <w:rPr>
          <w:rFonts w:eastAsia="Calibri"/>
          <w:i/>
          <w:color w:val="auto"/>
          <w:spacing w:val="-1"/>
          <w:szCs w:val="24"/>
          <w:lang w:eastAsia="en-US"/>
        </w:rPr>
        <w:t xml:space="preserve"> uptake;</w:t>
      </w:r>
    </w:p>
    <w:p w14:paraId="6F03E5AA" w14:textId="77777777" w:rsidR="005E2BBD" w:rsidRPr="00235F95" w:rsidRDefault="005E2BBD" w:rsidP="00736989">
      <w:pPr>
        <w:numPr>
          <w:ilvl w:val="2"/>
          <w:numId w:val="96"/>
        </w:numPr>
        <w:overflowPunct w:val="0"/>
        <w:autoSpaceDE w:val="0"/>
        <w:autoSpaceDN w:val="0"/>
        <w:spacing w:after="0"/>
        <w:ind w:right="187" w:hanging="360"/>
        <w:rPr>
          <w:rFonts w:eastAsia="Calibri"/>
          <w:i/>
          <w:color w:val="auto"/>
          <w:szCs w:val="24"/>
          <w:lang w:eastAsia="en-US"/>
        </w:rPr>
      </w:pPr>
      <w:r w:rsidRPr="00235F95">
        <w:rPr>
          <w:rFonts w:eastAsia="Calibri"/>
          <w:i/>
          <w:color w:val="auto"/>
          <w:szCs w:val="24"/>
          <w:lang w:eastAsia="en-US"/>
        </w:rPr>
        <w:t>Their</w:t>
      </w:r>
      <w:r w:rsidRPr="00235F95">
        <w:rPr>
          <w:rFonts w:eastAsia="Calibri"/>
          <w:i/>
          <w:color w:val="auto"/>
          <w:spacing w:val="1"/>
          <w:szCs w:val="24"/>
          <w:lang w:eastAsia="en-US"/>
        </w:rPr>
        <w:t xml:space="preserve"> </w:t>
      </w:r>
      <w:r w:rsidRPr="00235F95">
        <w:rPr>
          <w:rFonts w:eastAsia="Calibri"/>
          <w:i/>
          <w:color w:val="auto"/>
          <w:spacing w:val="-1"/>
          <w:szCs w:val="24"/>
          <w:lang w:eastAsia="en-US"/>
        </w:rPr>
        <w:t>long-term</w:t>
      </w:r>
      <w:r w:rsidRPr="00235F95">
        <w:rPr>
          <w:rFonts w:eastAsia="Calibri"/>
          <w:i/>
          <w:color w:val="auto"/>
          <w:spacing w:val="-3"/>
          <w:szCs w:val="24"/>
          <w:lang w:eastAsia="en-US"/>
        </w:rPr>
        <w:t xml:space="preserve"> </w:t>
      </w:r>
      <w:r w:rsidRPr="00235F95">
        <w:rPr>
          <w:rFonts w:eastAsia="Calibri"/>
          <w:i/>
          <w:color w:val="auto"/>
          <w:spacing w:val="-1"/>
          <w:szCs w:val="24"/>
          <w:lang w:eastAsia="en-US"/>
        </w:rPr>
        <w:t>sustainable performance</w:t>
      </w:r>
      <w:r w:rsidRPr="00235F95">
        <w:rPr>
          <w:rFonts w:eastAsia="Calibri"/>
          <w:i/>
          <w:color w:val="auto"/>
          <w:szCs w:val="24"/>
          <w:lang w:eastAsia="en-US"/>
        </w:rPr>
        <w:t xml:space="preserve"> and </w:t>
      </w:r>
      <w:r w:rsidRPr="00235F95">
        <w:rPr>
          <w:rFonts w:eastAsia="Calibri"/>
          <w:i/>
          <w:color w:val="auto"/>
          <w:spacing w:val="-1"/>
          <w:szCs w:val="24"/>
          <w:lang w:eastAsia="en-US"/>
        </w:rPr>
        <w:t>viability;</w:t>
      </w:r>
      <w:r w:rsidRPr="00235F95">
        <w:rPr>
          <w:rFonts w:eastAsia="Calibri"/>
          <w:i/>
          <w:color w:val="auto"/>
          <w:szCs w:val="24"/>
          <w:lang w:eastAsia="en-US"/>
        </w:rPr>
        <w:t xml:space="preserve"> and</w:t>
      </w:r>
    </w:p>
    <w:p w14:paraId="038E97A2" w14:textId="77777777" w:rsidR="005E2BBD" w:rsidRPr="00235F95" w:rsidRDefault="005E2BBD" w:rsidP="00736989">
      <w:pPr>
        <w:numPr>
          <w:ilvl w:val="2"/>
          <w:numId w:val="96"/>
        </w:numPr>
        <w:overflowPunct w:val="0"/>
        <w:autoSpaceDE w:val="0"/>
        <w:autoSpaceDN w:val="0"/>
        <w:spacing w:after="0"/>
        <w:ind w:right="187" w:hanging="360"/>
        <w:rPr>
          <w:rFonts w:eastAsia="Calibri"/>
          <w:i/>
          <w:color w:val="auto"/>
          <w:szCs w:val="24"/>
          <w:lang w:eastAsia="en-US"/>
        </w:rPr>
      </w:pPr>
      <w:r w:rsidRPr="00235F95">
        <w:rPr>
          <w:rFonts w:eastAsia="Calibri"/>
          <w:i/>
          <w:color w:val="auto"/>
          <w:szCs w:val="24"/>
          <w:lang w:eastAsia="en-US"/>
        </w:rPr>
        <w:t>Their</w:t>
      </w:r>
      <w:r w:rsidRPr="00235F95">
        <w:rPr>
          <w:rFonts w:eastAsia="Calibri"/>
          <w:i/>
          <w:color w:val="auto"/>
          <w:spacing w:val="1"/>
          <w:szCs w:val="24"/>
          <w:lang w:eastAsia="en-US"/>
        </w:rPr>
        <w:t xml:space="preserve"> </w:t>
      </w:r>
      <w:r w:rsidRPr="00235F95">
        <w:rPr>
          <w:rFonts w:eastAsia="Calibri"/>
          <w:i/>
          <w:color w:val="auto"/>
          <w:spacing w:val="-1"/>
          <w:szCs w:val="24"/>
          <w:lang w:eastAsia="en-US"/>
        </w:rPr>
        <w:t>environmental benefits</w:t>
      </w:r>
      <w:r w:rsidRPr="00235F95">
        <w:rPr>
          <w:rFonts w:eastAsia="Calibri"/>
          <w:i/>
          <w:color w:val="auto"/>
          <w:szCs w:val="24"/>
          <w:lang w:eastAsia="en-US"/>
        </w:rPr>
        <w:t xml:space="preserve"> </w:t>
      </w:r>
      <w:r w:rsidRPr="00235F95">
        <w:rPr>
          <w:rFonts w:eastAsia="Calibri"/>
          <w:i/>
          <w:color w:val="auto"/>
          <w:spacing w:val="-1"/>
          <w:szCs w:val="24"/>
          <w:lang w:eastAsia="en-US"/>
        </w:rPr>
        <w:t>in</w:t>
      </w:r>
      <w:r w:rsidRPr="00235F95">
        <w:rPr>
          <w:rFonts w:eastAsia="Calibri"/>
          <w:i/>
          <w:color w:val="auto"/>
          <w:szCs w:val="24"/>
          <w:lang w:eastAsia="en-US"/>
        </w:rPr>
        <w:t xml:space="preserve"> </w:t>
      </w:r>
      <w:r w:rsidRPr="00235F95">
        <w:rPr>
          <w:rFonts w:eastAsia="Calibri"/>
          <w:i/>
          <w:color w:val="auto"/>
          <w:spacing w:val="-1"/>
          <w:szCs w:val="24"/>
          <w:lang w:eastAsia="en-US"/>
        </w:rPr>
        <w:t>terms</w:t>
      </w:r>
      <w:r w:rsidRPr="00235F95">
        <w:rPr>
          <w:rFonts w:eastAsia="Calibri"/>
          <w:i/>
          <w:color w:val="auto"/>
          <w:szCs w:val="24"/>
          <w:lang w:eastAsia="en-US"/>
        </w:rPr>
        <w:t xml:space="preserve"> of</w:t>
      </w:r>
      <w:r w:rsidRPr="00235F95">
        <w:rPr>
          <w:rFonts w:eastAsia="Calibri"/>
          <w:i/>
          <w:color w:val="auto"/>
          <w:spacing w:val="-1"/>
          <w:szCs w:val="24"/>
          <w:lang w:eastAsia="en-US"/>
        </w:rPr>
        <w:t xml:space="preserve"> </w:t>
      </w:r>
      <w:r w:rsidRPr="00235F95">
        <w:rPr>
          <w:rFonts w:eastAsia="Calibri"/>
          <w:i/>
          <w:color w:val="auto"/>
          <w:szCs w:val="24"/>
          <w:lang w:eastAsia="en-US"/>
        </w:rPr>
        <w:t>CO</w:t>
      </w:r>
      <w:r w:rsidRPr="00235F95">
        <w:rPr>
          <w:rFonts w:eastAsia="Calibri"/>
          <w:i/>
          <w:color w:val="auto"/>
          <w:szCs w:val="24"/>
          <w:vertAlign w:val="subscript"/>
          <w:lang w:eastAsia="en-US"/>
        </w:rPr>
        <w:t>2</w:t>
      </w:r>
      <w:r w:rsidRPr="00235F95">
        <w:rPr>
          <w:rFonts w:eastAsia="Calibri"/>
          <w:i/>
          <w:color w:val="auto"/>
          <w:szCs w:val="24"/>
          <w:lang w:eastAsia="en-US"/>
        </w:rPr>
        <w:t>eq;</w:t>
      </w:r>
    </w:p>
    <w:p w14:paraId="105BD27C" w14:textId="77777777" w:rsidR="005E2BBD" w:rsidRPr="00235F95" w:rsidRDefault="005E2BBD" w:rsidP="00736989">
      <w:pPr>
        <w:numPr>
          <w:ilvl w:val="2"/>
          <w:numId w:val="96"/>
        </w:numPr>
        <w:overflowPunct w:val="0"/>
        <w:autoSpaceDE w:val="0"/>
        <w:autoSpaceDN w:val="0"/>
        <w:spacing w:after="0"/>
        <w:ind w:right="187" w:hanging="360"/>
        <w:rPr>
          <w:rFonts w:eastAsia="Calibri"/>
          <w:i/>
          <w:color w:val="auto"/>
          <w:szCs w:val="24"/>
          <w:lang w:eastAsia="en-US"/>
        </w:rPr>
      </w:pPr>
      <w:r w:rsidRPr="00235F95">
        <w:rPr>
          <w:rFonts w:eastAsia="Calibri"/>
          <w:i/>
          <w:color w:val="auto"/>
          <w:spacing w:val="-1"/>
          <w:szCs w:val="24"/>
          <w:lang w:eastAsia="en-US"/>
        </w:rPr>
        <w:t>Capacity-building</w:t>
      </w:r>
      <w:r w:rsidRPr="00235F95">
        <w:rPr>
          <w:rFonts w:eastAsia="Calibri"/>
          <w:i/>
          <w:color w:val="auto"/>
          <w:spacing w:val="2"/>
          <w:szCs w:val="24"/>
          <w:lang w:eastAsia="en-US"/>
        </w:rPr>
        <w:t xml:space="preserve"> </w:t>
      </w:r>
      <w:r w:rsidRPr="00235F95">
        <w:rPr>
          <w:rFonts w:eastAsia="Calibri"/>
          <w:i/>
          <w:color w:val="auto"/>
          <w:spacing w:val="-1"/>
          <w:szCs w:val="24"/>
          <w:lang w:eastAsia="en-US"/>
        </w:rPr>
        <w:t>and</w:t>
      </w:r>
      <w:r w:rsidRPr="00235F95">
        <w:rPr>
          <w:rFonts w:eastAsia="Calibri"/>
          <w:i/>
          <w:color w:val="auto"/>
          <w:szCs w:val="24"/>
          <w:lang w:eastAsia="en-US"/>
        </w:rPr>
        <w:t xml:space="preserve"> </w:t>
      </w:r>
      <w:r w:rsidRPr="00235F95">
        <w:rPr>
          <w:rFonts w:eastAsia="Calibri"/>
          <w:i/>
          <w:color w:val="auto"/>
          <w:spacing w:val="-1"/>
          <w:szCs w:val="24"/>
          <w:lang w:eastAsia="en-US"/>
        </w:rPr>
        <w:t>servicing</w:t>
      </w:r>
      <w:r w:rsidRPr="00235F95">
        <w:rPr>
          <w:rFonts w:eastAsia="Calibri"/>
          <w:i/>
          <w:color w:val="auto"/>
          <w:szCs w:val="24"/>
          <w:lang w:eastAsia="en-US"/>
        </w:rPr>
        <w:t xml:space="preserve"> </w:t>
      </w:r>
      <w:r w:rsidRPr="00235F95">
        <w:rPr>
          <w:rFonts w:eastAsia="Calibri"/>
          <w:i/>
          <w:color w:val="auto"/>
          <w:spacing w:val="-1"/>
          <w:szCs w:val="24"/>
          <w:lang w:eastAsia="en-US"/>
        </w:rPr>
        <w:t>sector requirements</w:t>
      </w:r>
      <w:r w:rsidRPr="00235F95">
        <w:rPr>
          <w:rFonts w:eastAsia="Calibri"/>
          <w:i/>
          <w:color w:val="auto"/>
          <w:szCs w:val="24"/>
          <w:lang w:eastAsia="en-US"/>
        </w:rPr>
        <w:t xml:space="preserve"> </w:t>
      </w:r>
      <w:r w:rsidRPr="00235F95">
        <w:rPr>
          <w:rFonts w:eastAsia="Calibri"/>
          <w:i/>
          <w:color w:val="auto"/>
          <w:spacing w:val="-1"/>
          <w:szCs w:val="24"/>
          <w:lang w:eastAsia="en-US"/>
        </w:rPr>
        <w:t>in</w:t>
      </w:r>
      <w:r w:rsidRPr="00235F95">
        <w:rPr>
          <w:rFonts w:eastAsia="Calibri"/>
          <w:i/>
          <w:color w:val="auto"/>
          <w:spacing w:val="1"/>
          <w:szCs w:val="24"/>
          <w:lang w:eastAsia="en-US"/>
        </w:rPr>
        <w:t xml:space="preserve"> </w:t>
      </w:r>
      <w:r w:rsidRPr="00235F95">
        <w:rPr>
          <w:rFonts w:eastAsia="Calibri"/>
          <w:i/>
          <w:color w:val="auto"/>
          <w:szCs w:val="24"/>
          <w:lang w:eastAsia="en-US"/>
        </w:rPr>
        <w:t>the</w:t>
      </w:r>
      <w:r w:rsidRPr="00235F95">
        <w:rPr>
          <w:rFonts w:eastAsia="Calibri"/>
          <w:i/>
          <w:color w:val="auto"/>
          <w:spacing w:val="-1"/>
          <w:szCs w:val="24"/>
          <w:lang w:eastAsia="en-US"/>
        </w:rPr>
        <w:t xml:space="preserve"> refrigeration</w:t>
      </w:r>
      <w:r w:rsidRPr="00235F95">
        <w:rPr>
          <w:rFonts w:eastAsia="Calibri"/>
          <w:i/>
          <w:color w:val="auto"/>
          <w:szCs w:val="24"/>
          <w:lang w:eastAsia="en-US"/>
        </w:rPr>
        <w:t xml:space="preserve"> </w:t>
      </w:r>
      <w:r w:rsidRPr="00235F95">
        <w:rPr>
          <w:rFonts w:eastAsia="Calibri"/>
          <w:i/>
          <w:color w:val="auto"/>
          <w:spacing w:val="-1"/>
          <w:szCs w:val="24"/>
          <w:lang w:eastAsia="en-US"/>
        </w:rPr>
        <w:t>and</w:t>
      </w:r>
      <w:r w:rsidRPr="00235F95">
        <w:rPr>
          <w:rFonts w:eastAsia="Calibri"/>
          <w:i/>
          <w:color w:val="auto"/>
          <w:szCs w:val="24"/>
          <w:lang w:eastAsia="en-US"/>
        </w:rPr>
        <w:t xml:space="preserve"> </w:t>
      </w:r>
      <w:r w:rsidRPr="00235F95">
        <w:rPr>
          <w:rFonts w:eastAsia="Calibri"/>
          <w:i/>
          <w:color w:val="auto"/>
          <w:spacing w:val="-1"/>
          <w:szCs w:val="24"/>
          <w:lang w:eastAsia="en-US"/>
        </w:rPr>
        <w:t>air-conditioning</w:t>
      </w:r>
      <w:r w:rsidRPr="00235F95">
        <w:rPr>
          <w:rFonts w:eastAsia="Calibri"/>
          <w:i/>
          <w:color w:val="auto"/>
          <w:szCs w:val="24"/>
          <w:lang w:eastAsia="en-US"/>
        </w:rPr>
        <w:t xml:space="preserve"> </w:t>
      </w:r>
      <w:r w:rsidRPr="00235F95">
        <w:rPr>
          <w:rFonts w:eastAsia="Calibri"/>
          <w:i/>
          <w:color w:val="auto"/>
          <w:spacing w:val="-1"/>
          <w:szCs w:val="24"/>
          <w:lang w:eastAsia="en-US"/>
        </w:rPr>
        <w:t>and</w:t>
      </w:r>
      <w:r w:rsidRPr="00235F95">
        <w:rPr>
          <w:rFonts w:eastAsia="Calibri"/>
          <w:i/>
          <w:color w:val="auto"/>
          <w:szCs w:val="24"/>
          <w:lang w:eastAsia="en-US"/>
        </w:rPr>
        <w:t xml:space="preserve"> </w:t>
      </w:r>
      <w:r w:rsidRPr="00235F95">
        <w:rPr>
          <w:rFonts w:eastAsia="Calibri"/>
          <w:i/>
          <w:color w:val="auto"/>
          <w:spacing w:val="-1"/>
          <w:szCs w:val="24"/>
          <w:lang w:eastAsia="en-US"/>
        </w:rPr>
        <w:t>heat-pump</w:t>
      </w:r>
      <w:r w:rsidRPr="00235F95">
        <w:rPr>
          <w:rFonts w:eastAsia="Calibri"/>
          <w:i/>
          <w:color w:val="auto"/>
          <w:spacing w:val="1"/>
          <w:szCs w:val="24"/>
          <w:lang w:eastAsia="en-US"/>
        </w:rPr>
        <w:t xml:space="preserve"> </w:t>
      </w:r>
      <w:r w:rsidRPr="00235F95">
        <w:rPr>
          <w:rFonts w:eastAsia="Calibri"/>
          <w:i/>
          <w:color w:val="auto"/>
          <w:spacing w:val="-1"/>
          <w:szCs w:val="24"/>
          <w:lang w:eastAsia="en-US"/>
        </w:rPr>
        <w:t>sectors;</w:t>
      </w:r>
    </w:p>
    <w:p w14:paraId="2DA68E1A" w14:textId="77777777" w:rsidR="005E2BBD" w:rsidRPr="00235F95" w:rsidRDefault="005E2BBD" w:rsidP="00736989">
      <w:pPr>
        <w:numPr>
          <w:ilvl w:val="1"/>
          <w:numId w:val="96"/>
        </w:numPr>
        <w:overflowPunct w:val="0"/>
        <w:autoSpaceDE w:val="0"/>
        <w:autoSpaceDN w:val="0"/>
        <w:spacing w:after="0"/>
        <w:ind w:right="187"/>
        <w:rPr>
          <w:rFonts w:eastAsia="Calibri"/>
          <w:i/>
          <w:color w:val="auto"/>
          <w:szCs w:val="24"/>
          <w:lang w:eastAsia="en-US"/>
        </w:rPr>
      </w:pPr>
      <w:r w:rsidRPr="00235F95">
        <w:rPr>
          <w:rFonts w:eastAsia="Calibri"/>
          <w:i/>
          <w:color w:val="auto"/>
          <w:spacing w:val="-1"/>
          <w:szCs w:val="24"/>
          <w:lang w:eastAsia="en-US"/>
        </w:rPr>
        <w:t>Related</w:t>
      </w:r>
      <w:r w:rsidRPr="00235F95">
        <w:rPr>
          <w:rFonts w:eastAsia="Calibri"/>
          <w:i/>
          <w:color w:val="auto"/>
          <w:szCs w:val="24"/>
          <w:lang w:eastAsia="en-US"/>
        </w:rPr>
        <w:t xml:space="preserve"> costs </w:t>
      </w:r>
      <w:r w:rsidRPr="00235F95">
        <w:rPr>
          <w:rFonts w:eastAsia="Calibri"/>
          <w:i/>
          <w:color w:val="auto"/>
          <w:spacing w:val="-1"/>
          <w:szCs w:val="24"/>
          <w:lang w:eastAsia="en-US"/>
        </w:rPr>
        <w:t>including</w:t>
      </w:r>
      <w:r w:rsidRPr="00235F95">
        <w:rPr>
          <w:rFonts w:eastAsia="Calibri"/>
          <w:i/>
          <w:color w:val="auto"/>
          <w:szCs w:val="24"/>
          <w:lang w:eastAsia="en-US"/>
        </w:rPr>
        <w:t xml:space="preserve"> </w:t>
      </w:r>
      <w:r w:rsidRPr="00235F95">
        <w:rPr>
          <w:rFonts w:eastAsia="Calibri"/>
          <w:i/>
          <w:color w:val="auto"/>
          <w:spacing w:val="-1"/>
          <w:szCs w:val="24"/>
          <w:lang w:eastAsia="en-US"/>
        </w:rPr>
        <w:t xml:space="preserve">capital </w:t>
      </w:r>
      <w:r w:rsidRPr="00235F95">
        <w:rPr>
          <w:rFonts w:eastAsia="Calibri"/>
          <w:i/>
          <w:color w:val="auto"/>
          <w:szCs w:val="24"/>
          <w:lang w:eastAsia="en-US"/>
        </w:rPr>
        <w:t xml:space="preserve">and </w:t>
      </w:r>
      <w:r w:rsidRPr="00235F95">
        <w:rPr>
          <w:rFonts w:eastAsia="Calibri"/>
          <w:i/>
          <w:color w:val="auto"/>
          <w:spacing w:val="-1"/>
          <w:szCs w:val="24"/>
          <w:lang w:eastAsia="en-US"/>
        </w:rPr>
        <w:t>operating</w:t>
      </w:r>
      <w:r w:rsidRPr="00235F95">
        <w:rPr>
          <w:rFonts w:eastAsia="Calibri"/>
          <w:i/>
          <w:color w:val="auto"/>
          <w:szCs w:val="24"/>
          <w:lang w:eastAsia="en-US"/>
        </w:rPr>
        <w:t xml:space="preserve"> </w:t>
      </w:r>
      <w:r w:rsidRPr="00235F95">
        <w:rPr>
          <w:rFonts w:eastAsia="Calibri"/>
          <w:i/>
          <w:color w:val="auto"/>
          <w:spacing w:val="-1"/>
          <w:szCs w:val="24"/>
          <w:lang w:eastAsia="en-US"/>
        </w:rPr>
        <w:t>costs;</w:t>
      </w:r>
    </w:p>
    <w:p w14:paraId="2E01B311" w14:textId="77777777" w:rsidR="00592351" w:rsidRPr="00235F95" w:rsidRDefault="00592351" w:rsidP="0093586F">
      <w:pPr>
        <w:overflowPunct w:val="0"/>
        <w:autoSpaceDE w:val="0"/>
        <w:autoSpaceDN w:val="0"/>
        <w:spacing w:after="0"/>
        <w:ind w:left="720" w:right="187" w:hanging="360"/>
        <w:rPr>
          <w:rFonts w:eastAsia="Calibri"/>
          <w:i/>
          <w:color w:val="auto"/>
          <w:szCs w:val="24"/>
          <w:lang w:eastAsia="en-US"/>
        </w:rPr>
      </w:pPr>
      <w:bookmarkStart w:id="24" w:name="_Hlk510731163"/>
    </w:p>
    <w:p w14:paraId="69A657FB" w14:textId="5FE9F8FC" w:rsidR="005E2BBD" w:rsidRPr="00235F95" w:rsidRDefault="005E2BBD" w:rsidP="00736989">
      <w:pPr>
        <w:numPr>
          <w:ilvl w:val="0"/>
          <w:numId w:val="53"/>
        </w:numPr>
        <w:overflowPunct w:val="0"/>
        <w:autoSpaceDE w:val="0"/>
        <w:autoSpaceDN w:val="0"/>
        <w:spacing w:after="0"/>
        <w:ind w:right="187"/>
        <w:rPr>
          <w:rFonts w:eastAsia="Calibri"/>
          <w:i/>
          <w:color w:val="auto"/>
          <w:szCs w:val="24"/>
          <w:lang w:eastAsia="en-US"/>
        </w:rPr>
      </w:pPr>
      <w:r w:rsidRPr="00235F95">
        <w:rPr>
          <w:rFonts w:eastAsia="Calibri"/>
          <w:i/>
          <w:color w:val="auto"/>
          <w:szCs w:val="24"/>
          <w:lang w:eastAsia="en-US"/>
        </w:rPr>
        <w:t xml:space="preserve">Also </w:t>
      </w:r>
      <w:r w:rsidRPr="00235F95">
        <w:rPr>
          <w:rFonts w:eastAsia="Calibri"/>
          <w:i/>
          <w:color w:val="auto"/>
          <w:spacing w:val="-1"/>
          <w:szCs w:val="24"/>
          <w:lang w:eastAsia="en-US"/>
        </w:rPr>
        <w:t>to</w:t>
      </w:r>
      <w:r w:rsidRPr="00235F95">
        <w:rPr>
          <w:rFonts w:eastAsia="Calibri"/>
          <w:i/>
          <w:color w:val="auto"/>
          <w:szCs w:val="24"/>
          <w:lang w:eastAsia="en-US"/>
        </w:rPr>
        <w:t xml:space="preserve"> request</w:t>
      </w:r>
      <w:r w:rsidRPr="00235F95">
        <w:rPr>
          <w:rFonts w:eastAsia="Calibri"/>
          <w:i/>
          <w:color w:val="auto"/>
          <w:spacing w:val="-2"/>
          <w:szCs w:val="24"/>
          <w:lang w:eastAsia="en-US"/>
        </w:rPr>
        <w:t xml:space="preserve"> </w:t>
      </w:r>
      <w:r w:rsidRPr="00235F95">
        <w:rPr>
          <w:rFonts w:eastAsia="Calibri"/>
          <w:i/>
          <w:color w:val="auto"/>
          <w:szCs w:val="24"/>
          <w:lang w:eastAsia="en-US"/>
        </w:rPr>
        <w:t xml:space="preserve">the </w:t>
      </w:r>
      <w:r w:rsidRPr="00235F95">
        <w:rPr>
          <w:rFonts w:eastAsia="Calibri"/>
          <w:i/>
          <w:color w:val="auto"/>
          <w:spacing w:val="-1"/>
          <w:szCs w:val="24"/>
          <w:lang w:eastAsia="en-US"/>
        </w:rPr>
        <w:t>Technology</w:t>
      </w:r>
      <w:r w:rsidRPr="00235F95">
        <w:rPr>
          <w:rFonts w:eastAsia="Calibri"/>
          <w:i/>
          <w:color w:val="auto"/>
          <w:szCs w:val="24"/>
          <w:lang w:eastAsia="en-US"/>
        </w:rPr>
        <w:t xml:space="preserve"> and </w:t>
      </w:r>
      <w:r w:rsidRPr="00235F95">
        <w:rPr>
          <w:rFonts w:eastAsia="Calibri"/>
          <w:i/>
          <w:color w:val="auto"/>
          <w:spacing w:val="-1"/>
          <w:szCs w:val="24"/>
          <w:lang w:eastAsia="en-US"/>
        </w:rPr>
        <w:t>Economic</w:t>
      </w:r>
      <w:r w:rsidRPr="00235F95">
        <w:rPr>
          <w:rFonts w:eastAsia="Calibri"/>
          <w:i/>
          <w:color w:val="auto"/>
          <w:szCs w:val="24"/>
          <w:lang w:eastAsia="en-US"/>
        </w:rPr>
        <w:t xml:space="preserve"> </w:t>
      </w:r>
      <w:r w:rsidRPr="00235F95">
        <w:rPr>
          <w:rFonts w:eastAsia="Calibri"/>
          <w:i/>
          <w:color w:val="auto"/>
          <w:spacing w:val="-1"/>
          <w:szCs w:val="24"/>
          <w:lang w:eastAsia="en-US"/>
        </w:rPr>
        <w:t>Assessment</w:t>
      </w:r>
      <w:r w:rsidRPr="00235F95">
        <w:rPr>
          <w:rFonts w:eastAsia="Calibri"/>
          <w:i/>
          <w:color w:val="auto"/>
          <w:szCs w:val="24"/>
          <w:lang w:eastAsia="en-US"/>
        </w:rPr>
        <w:t xml:space="preserve"> Panel</w:t>
      </w:r>
      <w:r w:rsidRPr="00235F95">
        <w:rPr>
          <w:rFonts w:eastAsia="Calibri"/>
          <w:i/>
          <w:color w:val="auto"/>
          <w:spacing w:val="-1"/>
          <w:szCs w:val="24"/>
          <w:lang w:eastAsia="en-US"/>
        </w:rPr>
        <w:t xml:space="preserve"> </w:t>
      </w:r>
      <w:bookmarkStart w:id="25" w:name="_Hlk513483688"/>
      <w:r w:rsidRPr="00235F95">
        <w:rPr>
          <w:rFonts w:eastAsia="Calibri"/>
          <w:i/>
          <w:color w:val="auto"/>
          <w:szCs w:val="24"/>
          <w:lang w:eastAsia="en-US"/>
        </w:rPr>
        <w:t>to</w:t>
      </w:r>
      <w:r w:rsidRPr="00235F95">
        <w:rPr>
          <w:rFonts w:eastAsia="Calibri"/>
          <w:i/>
          <w:color w:val="auto"/>
          <w:spacing w:val="-1"/>
          <w:szCs w:val="24"/>
          <w:lang w:eastAsia="en-US"/>
        </w:rPr>
        <w:t xml:space="preserve"> provide </w:t>
      </w:r>
      <w:r w:rsidRPr="00235F95">
        <w:rPr>
          <w:rFonts w:eastAsia="Calibri"/>
          <w:i/>
          <w:color w:val="auto"/>
          <w:szCs w:val="24"/>
          <w:lang w:eastAsia="en-US"/>
        </w:rPr>
        <w:t>an</w:t>
      </w:r>
      <w:r w:rsidRPr="00235F95">
        <w:rPr>
          <w:rFonts w:eastAsia="Calibri"/>
          <w:i/>
          <w:color w:val="auto"/>
          <w:spacing w:val="43"/>
          <w:szCs w:val="24"/>
          <w:lang w:eastAsia="en-US"/>
        </w:rPr>
        <w:t xml:space="preserve"> </w:t>
      </w:r>
      <w:r w:rsidRPr="00235F95">
        <w:rPr>
          <w:rFonts w:eastAsia="Calibri"/>
          <w:i/>
          <w:color w:val="auto"/>
          <w:spacing w:val="-1"/>
          <w:szCs w:val="24"/>
          <w:lang w:eastAsia="en-US"/>
        </w:rPr>
        <w:t>overview</w:t>
      </w:r>
      <w:r w:rsidRPr="00235F95">
        <w:rPr>
          <w:rFonts w:eastAsia="Calibri"/>
          <w:i/>
          <w:color w:val="auto"/>
          <w:szCs w:val="24"/>
          <w:lang w:eastAsia="en-US"/>
        </w:rPr>
        <w:t xml:space="preserve"> of</w:t>
      </w:r>
      <w:r w:rsidRPr="00235F95">
        <w:rPr>
          <w:rFonts w:eastAsia="Calibri"/>
          <w:i/>
          <w:color w:val="auto"/>
          <w:spacing w:val="-1"/>
          <w:szCs w:val="24"/>
          <w:lang w:eastAsia="en-US"/>
        </w:rPr>
        <w:t xml:space="preserve"> the</w:t>
      </w:r>
      <w:r w:rsidRPr="00235F95">
        <w:rPr>
          <w:rFonts w:eastAsia="Calibri"/>
          <w:i/>
          <w:color w:val="auto"/>
          <w:szCs w:val="24"/>
          <w:lang w:eastAsia="en-US"/>
        </w:rPr>
        <w:t xml:space="preserve"> </w:t>
      </w:r>
      <w:r w:rsidRPr="00235F95">
        <w:rPr>
          <w:rFonts w:eastAsia="Calibri"/>
          <w:i/>
          <w:color w:val="auto"/>
          <w:spacing w:val="-1"/>
          <w:szCs w:val="24"/>
          <w:lang w:eastAsia="en-US"/>
        </w:rPr>
        <w:t>activities</w:t>
      </w:r>
      <w:r w:rsidRPr="00235F95">
        <w:rPr>
          <w:rFonts w:eastAsia="Calibri"/>
          <w:i/>
          <w:color w:val="auto"/>
          <w:szCs w:val="24"/>
          <w:lang w:eastAsia="en-US"/>
        </w:rPr>
        <w:t xml:space="preserve"> and </w:t>
      </w:r>
      <w:r w:rsidRPr="00235F95">
        <w:rPr>
          <w:rFonts w:eastAsia="Calibri"/>
          <w:i/>
          <w:color w:val="auto"/>
          <w:spacing w:val="-1"/>
          <w:szCs w:val="24"/>
          <w:lang w:eastAsia="en-US"/>
        </w:rPr>
        <w:t xml:space="preserve">funding provided </w:t>
      </w:r>
      <w:r w:rsidRPr="00235F95">
        <w:rPr>
          <w:rFonts w:eastAsia="Calibri"/>
          <w:i/>
          <w:color w:val="auto"/>
          <w:szCs w:val="24"/>
          <w:lang w:eastAsia="en-US"/>
        </w:rPr>
        <w:t>by</w:t>
      </w:r>
      <w:r w:rsidRPr="00235F95">
        <w:rPr>
          <w:rFonts w:eastAsia="Calibri"/>
          <w:i/>
          <w:color w:val="auto"/>
          <w:spacing w:val="-2"/>
          <w:szCs w:val="24"/>
          <w:lang w:eastAsia="en-US"/>
        </w:rPr>
        <w:t xml:space="preserve"> </w:t>
      </w:r>
      <w:r w:rsidRPr="00235F95">
        <w:rPr>
          <w:rFonts w:eastAsia="Calibri"/>
          <w:i/>
          <w:color w:val="auto"/>
          <w:spacing w:val="-1"/>
          <w:szCs w:val="24"/>
          <w:lang w:eastAsia="en-US"/>
        </w:rPr>
        <w:t>other</w:t>
      </w:r>
      <w:r w:rsidRPr="00235F95">
        <w:rPr>
          <w:rFonts w:eastAsia="Calibri"/>
          <w:i/>
          <w:color w:val="auto"/>
          <w:szCs w:val="24"/>
          <w:lang w:eastAsia="en-US"/>
        </w:rPr>
        <w:t xml:space="preserve"> </w:t>
      </w:r>
      <w:r w:rsidRPr="00235F95">
        <w:rPr>
          <w:rFonts w:eastAsia="Calibri"/>
          <w:i/>
          <w:color w:val="auto"/>
          <w:spacing w:val="-1"/>
          <w:szCs w:val="24"/>
          <w:lang w:eastAsia="en-US"/>
        </w:rPr>
        <w:t>relevant</w:t>
      </w:r>
      <w:r w:rsidRPr="00235F95">
        <w:rPr>
          <w:rFonts w:eastAsia="Calibri"/>
          <w:i/>
          <w:color w:val="auto"/>
          <w:szCs w:val="24"/>
          <w:lang w:eastAsia="en-US"/>
        </w:rPr>
        <w:t xml:space="preserve"> </w:t>
      </w:r>
      <w:r w:rsidRPr="00235F95">
        <w:rPr>
          <w:rFonts w:eastAsia="Calibri"/>
          <w:i/>
          <w:color w:val="auto"/>
          <w:spacing w:val="-1"/>
          <w:szCs w:val="24"/>
          <w:lang w:eastAsia="en-US"/>
        </w:rPr>
        <w:t>institutions,</w:t>
      </w:r>
      <w:r w:rsidRPr="00235F95">
        <w:rPr>
          <w:rFonts w:eastAsia="Calibri"/>
          <w:i/>
          <w:color w:val="auto"/>
          <w:szCs w:val="24"/>
          <w:lang w:eastAsia="en-US"/>
        </w:rPr>
        <w:t xml:space="preserve"> as</w:t>
      </w:r>
      <w:r w:rsidRPr="00235F95">
        <w:rPr>
          <w:rFonts w:eastAsia="Calibri"/>
          <w:i/>
          <w:color w:val="auto"/>
          <w:spacing w:val="-1"/>
          <w:szCs w:val="24"/>
          <w:lang w:eastAsia="en-US"/>
        </w:rPr>
        <w:t xml:space="preserve"> well</w:t>
      </w:r>
      <w:r w:rsidRPr="00235F95">
        <w:rPr>
          <w:rFonts w:eastAsia="Calibri"/>
          <w:i/>
          <w:color w:val="auto"/>
          <w:szCs w:val="24"/>
          <w:lang w:eastAsia="en-US"/>
        </w:rPr>
        <w:t xml:space="preserve"> as</w:t>
      </w:r>
      <w:r w:rsidRPr="00235F95">
        <w:rPr>
          <w:rFonts w:eastAsia="Calibri"/>
          <w:i/>
          <w:color w:val="auto"/>
          <w:spacing w:val="-3"/>
          <w:szCs w:val="24"/>
          <w:lang w:eastAsia="en-US"/>
        </w:rPr>
        <w:t xml:space="preserve"> </w:t>
      </w:r>
      <w:r w:rsidRPr="00235F95">
        <w:rPr>
          <w:rFonts w:eastAsia="Calibri"/>
          <w:i/>
          <w:color w:val="auto"/>
          <w:spacing w:val="-1"/>
          <w:szCs w:val="24"/>
          <w:lang w:eastAsia="en-US"/>
        </w:rPr>
        <w:t>definitions,</w:t>
      </w:r>
      <w:r w:rsidR="00684D0B" w:rsidRPr="00235F95">
        <w:rPr>
          <w:rFonts w:eastAsia="Calibri"/>
          <w:i/>
          <w:color w:val="auto"/>
          <w:spacing w:val="115"/>
          <w:szCs w:val="24"/>
          <w:lang w:eastAsia="en-US"/>
        </w:rPr>
        <w:t xml:space="preserve"> </w:t>
      </w:r>
      <w:r w:rsidRPr="00235F95">
        <w:rPr>
          <w:rFonts w:eastAsia="Calibri"/>
          <w:i/>
          <w:color w:val="auto"/>
          <w:spacing w:val="-1"/>
          <w:szCs w:val="24"/>
          <w:lang w:eastAsia="en-US"/>
        </w:rPr>
        <w:t>criteria</w:t>
      </w:r>
      <w:r w:rsidRPr="00235F95">
        <w:rPr>
          <w:rFonts w:eastAsia="Calibri"/>
          <w:i/>
          <w:color w:val="auto"/>
          <w:szCs w:val="24"/>
          <w:lang w:eastAsia="en-US"/>
        </w:rPr>
        <w:t xml:space="preserve"> </w:t>
      </w:r>
      <w:r w:rsidRPr="00235F95">
        <w:rPr>
          <w:rFonts w:eastAsia="Calibri"/>
          <w:i/>
          <w:color w:val="auto"/>
          <w:spacing w:val="-1"/>
          <w:szCs w:val="24"/>
          <w:lang w:eastAsia="en-US"/>
        </w:rPr>
        <w:t>and</w:t>
      </w:r>
      <w:r w:rsidRPr="00235F95">
        <w:rPr>
          <w:rFonts w:eastAsia="Calibri"/>
          <w:i/>
          <w:color w:val="auto"/>
          <w:szCs w:val="24"/>
          <w:lang w:eastAsia="en-US"/>
        </w:rPr>
        <w:t xml:space="preserve"> </w:t>
      </w:r>
      <w:r w:rsidRPr="00235F95">
        <w:rPr>
          <w:rFonts w:eastAsia="Calibri"/>
          <w:i/>
          <w:color w:val="auto"/>
          <w:spacing w:val="-1"/>
          <w:szCs w:val="24"/>
          <w:lang w:eastAsia="en-US"/>
        </w:rPr>
        <w:t>methodologies</w:t>
      </w:r>
      <w:r w:rsidRPr="00235F95">
        <w:rPr>
          <w:rFonts w:eastAsia="Calibri"/>
          <w:i/>
          <w:color w:val="auto"/>
          <w:spacing w:val="-2"/>
          <w:szCs w:val="24"/>
          <w:lang w:eastAsia="en-US"/>
        </w:rPr>
        <w:t xml:space="preserve"> </w:t>
      </w:r>
      <w:r w:rsidRPr="00235F95">
        <w:rPr>
          <w:rFonts w:eastAsia="Calibri"/>
          <w:i/>
          <w:color w:val="auto"/>
          <w:spacing w:val="-1"/>
          <w:szCs w:val="24"/>
          <w:lang w:eastAsia="en-US"/>
        </w:rPr>
        <w:t>used</w:t>
      </w:r>
      <w:r w:rsidRPr="00235F95">
        <w:rPr>
          <w:rFonts w:eastAsia="Calibri"/>
          <w:i/>
          <w:color w:val="auto"/>
          <w:szCs w:val="24"/>
          <w:lang w:eastAsia="en-US"/>
        </w:rPr>
        <w:t xml:space="preserve"> in</w:t>
      </w:r>
      <w:r w:rsidRPr="00235F95">
        <w:rPr>
          <w:rFonts w:eastAsia="Calibri"/>
          <w:i/>
          <w:color w:val="auto"/>
          <w:spacing w:val="-2"/>
          <w:szCs w:val="24"/>
          <w:lang w:eastAsia="en-US"/>
        </w:rPr>
        <w:t xml:space="preserve"> </w:t>
      </w:r>
      <w:r w:rsidRPr="00235F95">
        <w:rPr>
          <w:rFonts w:eastAsia="Calibri"/>
          <w:i/>
          <w:color w:val="auto"/>
          <w:spacing w:val="-1"/>
          <w:szCs w:val="24"/>
          <w:lang w:eastAsia="en-US"/>
        </w:rPr>
        <w:t>addressing</w:t>
      </w:r>
      <w:r w:rsidRPr="00235F95">
        <w:rPr>
          <w:rFonts w:eastAsia="Calibri"/>
          <w:i/>
          <w:color w:val="auto"/>
          <w:szCs w:val="24"/>
          <w:lang w:eastAsia="en-US"/>
        </w:rPr>
        <w:t xml:space="preserve"> </w:t>
      </w:r>
      <w:r w:rsidRPr="00235F95">
        <w:rPr>
          <w:rFonts w:eastAsia="Calibri"/>
          <w:i/>
          <w:color w:val="auto"/>
          <w:spacing w:val="-1"/>
          <w:szCs w:val="24"/>
          <w:lang w:eastAsia="en-US"/>
        </w:rPr>
        <w:t>energy</w:t>
      </w:r>
      <w:r w:rsidRPr="00235F95">
        <w:rPr>
          <w:rFonts w:eastAsia="Calibri"/>
          <w:i/>
          <w:color w:val="auto"/>
          <w:szCs w:val="24"/>
          <w:lang w:eastAsia="en-US"/>
        </w:rPr>
        <w:t xml:space="preserve"> </w:t>
      </w:r>
      <w:r w:rsidRPr="00235F95">
        <w:rPr>
          <w:rFonts w:eastAsia="Calibri"/>
          <w:i/>
          <w:color w:val="auto"/>
          <w:spacing w:val="-1"/>
          <w:szCs w:val="24"/>
          <w:lang w:eastAsia="en-US"/>
        </w:rPr>
        <w:t>efficiency</w:t>
      </w:r>
      <w:r w:rsidRPr="00235F95">
        <w:rPr>
          <w:rFonts w:eastAsia="Calibri"/>
          <w:i/>
          <w:color w:val="auto"/>
          <w:szCs w:val="24"/>
          <w:lang w:eastAsia="en-US"/>
        </w:rPr>
        <w:t xml:space="preserve"> in </w:t>
      </w:r>
      <w:r w:rsidRPr="00235F95">
        <w:rPr>
          <w:rFonts w:eastAsia="Calibri"/>
          <w:i/>
          <w:color w:val="auto"/>
          <w:spacing w:val="-1"/>
          <w:szCs w:val="24"/>
          <w:lang w:eastAsia="en-US"/>
        </w:rPr>
        <w:t>the</w:t>
      </w:r>
      <w:r w:rsidRPr="00235F95">
        <w:rPr>
          <w:rFonts w:eastAsia="Calibri"/>
          <w:i/>
          <w:color w:val="auto"/>
          <w:szCs w:val="24"/>
          <w:lang w:eastAsia="en-US"/>
        </w:rPr>
        <w:t xml:space="preserve"> </w:t>
      </w:r>
      <w:r w:rsidRPr="00235F95">
        <w:rPr>
          <w:rFonts w:eastAsia="Calibri"/>
          <w:i/>
          <w:color w:val="auto"/>
          <w:spacing w:val="-1"/>
          <w:szCs w:val="24"/>
          <w:lang w:eastAsia="en-US"/>
        </w:rPr>
        <w:t>RACHP</w:t>
      </w:r>
      <w:r w:rsidRPr="00235F95">
        <w:rPr>
          <w:rFonts w:eastAsia="Calibri"/>
          <w:i/>
          <w:color w:val="auto"/>
          <w:szCs w:val="24"/>
          <w:lang w:eastAsia="en-US"/>
        </w:rPr>
        <w:t xml:space="preserve"> </w:t>
      </w:r>
      <w:r w:rsidRPr="00235F95">
        <w:rPr>
          <w:rFonts w:eastAsia="Calibri"/>
          <w:i/>
          <w:color w:val="auto"/>
          <w:spacing w:val="-1"/>
          <w:szCs w:val="24"/>
          <w:lang w:eastAsia="en-US"/>
        </w:rPr>
        <w:t>sectors</w:t>
      </w:r>
      <w:r w:rsidRPr="00235F95">
        <w:rPr>
          <w:rFonts w:eastAsia="Calibri"/>
          <w:i/>
          <w:color w:val="auto"/>
          <w:spacing w:val="-2"/>
          <w:szCs w:val="24"/>
          <w:lang w:eastAsia="en-US"/>
        </w:rPr>
        <w:t xml:space="preserve"> </w:t>
      </w:r>
      <w:r w:rsidRPr="00235F95">
        <w:rPr>
          <w:rFonts w:eastAsia="Calibri"/>
          <w:i/>
          <w:color w:val="auto"/>
          <w:szCs w:val="24"/>
          <w:lang w:eastAsia="en-US"/>
        </w:rPr>
        <w:t>in</w:t>
      </w:r>
      <w:r w:rsidRPr="00235F95">
        <w:rPr>
          <w:rFonts w:eastAsia="Calibri"/>
          <w:i/>
          <w:color w:val="auto"/>
          <w:spacing w:val="-1"/>
          <w:szCs w:val="24"/>
          <w:lang w:eastAsia="en-US"/>
        </w:rPr>
        <w:t xml:space="preserve"> relation</w:t>
      </w:r>
      <w:r w:rsidRPr="00235F95">
        <w:rPr>
          <w:rFonts w:eastAsia="Calibri"/>
          <w:i/>
          <w:color w:val="auto"/>
          <w:szCs w:val="24"/>
          <w:lang w:eastAsia="en-US"/>
        </w:rPr>
        <w:t xml:space="preserve"> </w:t>
      </w:r>
      <w:r w:rsidRPr="00235F95">
        <w:rPr>
          <w:rFonts w:eastAsia="Calibri"/>
          <w:i/>
          <w:color w:val="auto"/>
          <w:spacing w:val="-1"/>
          <w:szCs w:val="24"/>
          <w:lang w:eastAsia="en-US"/>
        </w:rPr>
        <w:t>to</w:t>
      </w:r>
      <w:r w:rsidRPr="00235F95">
        <w:rPr>
          <w:rFonts w:eastAsia="Calibri"/>
          <w:i/>
          <w:color w:val="auto"/>
          <w:spacing w:val="109"/>
          <w:szCs w:val="24"/>
          <w:lang w:eastAsia="en-US"/>
        </w:rPr>
        <w:t xml:space="preserve"> </w:t>
      </w:r>
      <w:r w:rsidRPr="00235F95">
        <w:rPr>
          <w:rFonts w:eastAsia="Calibri"/>
          <w:i/>
          <w:color w:val="auto"/>
          <w:spacing w:val="-1"/>
          <w:szCs w:val="24"/>
          <w:lang w:eastAsia="en-US"/>
        </w:rPr>
        <w:t>maintaining</w:t>
      </w:r>
      <w:r w:rsidRPr="00235F95">
        <w:rPr>
          <w:rFonts w:eastAsia="Calibri"/>
          <w:i/>
          <w:color w:val="auto"/>
          <w:szCs w:val="24"/>
          <w:lang w:eastAsia="en-US"/>
        </w:rPr>
        <w:t xml:space="preserve"> </w:t>
      </w:r>
      <w:r w:rsidRPr="00235F95">
        <w:rPr>
          <w:rFonts w:eastAsia="Calibri"/>
          <w:i/>
          <w:color w:val="auto"/>
          <w:spacing w:val="-1"/>
          <w:szCs w:val="24"/>
          <w:lang w:eastAsia="en-US"/>
        </w:rPr>
        <w:t>and/or</w:t>
      </w:r>
      <w:r w:rsidRPr="00235F95">
        <w:rPr>
          <w:rFonts w:eastAsia="Calibri"/>
          <w:i/>
          <w:color w:val="auto"/>
          <w:szCs w:val="24"/>
          <w:lang w:eastAsia="en-US"/>
        </w:rPr>
        <w:t xml:space="preserve"> </w:t>
      </w:r>
      <w:r w:rsidRPr="00235F95">
        <w:rPr>
          <w:rFonts w:eastAsia="Calibri"/>
          <w:i/>
          <w:color w:val="auto"/>
          <w:spacing w:val="-1"/>
          <w:szCs w:val="24"/>
          <w:lang w:eastAsia="en-US"/>
        </w:rPr>
        <w:t>enhancing</w:t>
      </w:r>
      <w:r w:rsidRPr="00235F95">
        <w:rPr>
          <w:rFonts w:eastAsia="Calibri"/>
          <w:i/>
          <w:color w:val="auto"/>
          <w:szCs w:val="24"/>
          <w:lang w:eastAsia="en-US"/>
        </w:rPr>
        <w:t xml:space="preserve"> </w:t>
      </w:r>
      <w:r w:rsidRPr="00235F95">
        <w:rPr>
          <w:rFonts w:eastAsia="Calibri"/>
          <w:i/>
          <w:color w:val="auto"/>
          <w:spacing w:val="-1"/>
          <w:szCs w:val="24"/>
          <w:lang w:eastAsia="en-US"/>
        </w:rPr>
        <w:t>energy</w:t>
      </w:r>
      <w:r w:rsidRPr="00235F95">
        <w:rPr>
          <w:rFonts w:eastAsia="Calibri"/>
          <w:i/>
          <w:color w:val="auto"/>
          <w:szCs w:val="24"/>
          <w:lang w:eastAsia="en-US"/>
        </w:rPr>
        <w:t xml:space="preserve"> </w:t>
      </w:r>
      <w:r w:rsidRPr="00235F95">
        <w:rPr>
          <w:rFonts w:eastAsia="Calibri"/>
          <w:i/>
          <w:color w:val="auto"/>
          <w:spacing w:val="-1"/>
          <w:szCs w:val="24"/>
          <w:lang w:eastAsia="en-US"/>
        </w:rPr>
        <w:t>efficiency</w:t>
      </w:r>
      <w:r w:rsidRPr="00235F95">
        <w:rPr>
          <w:rFonts w:eastAsia="Calibri"/>
          <w:i/>
          <w:color w:val="auto"/>
          <w:szCs w:val="24"/>
          <w:lang w:eastAsia="en-US"/>
        </w:rPr>
        <w:t xml:space="preserve"> in </w:t>
      </w:r>
      <w:r w:rsidRPr="00235F95">
        <w:rPr>
          <w:rFonts w:eastAsia="Calibri"/>
          <w:i/>
          <w:color w:val="auto"/>
          <w:spacing w:val="-1"/>
          <w:szCs w:val="24"/>
          <w:lang w:eastAsia="en-US"/>
        </w:rPr>
        <w:t>the</w:t>
      </w:r>
      <w:r w:rsidRPr="00235F95">
        <w:rPr>
          <w:rFonts w:eastAsia="Calibri"/>
          <w:i/>
          <w:color w:val="auto"/>
          <w:szCs w:val="24"/>
          <w:lang w:eastAsia="en-US"/>
        </w:rPr>
        <w:t xml:space="preserve"> </w:t>
      </w:r>
      <w:r w:rsidRPr="00235F95">
        <w:rPr>
          <w:rFonts w:eastAsia="Calibri"/>
          <w:i/>
          <w:color w:val="auto"/>
          <w:spacing w:val="-1"/>
          <w:szCs w:val="24"/>
          <w:lang w:eastAsia="en-US"/>
        </w:rPr>
        <w:t>RACHP</w:t>
      </w:r>
      <w:r w:rsidRPr="00235F95">
        <w:rPr>
          <w:rFonts w:eastAsia="Calibri"/>
          <w:i/>
          <w:color w:val="auto"/>
          <w:szCs w:val="24"/>
          <w:lang w:eastAsia="en-US"/>
        </w:rPr>
        <w:t xml:space="preserve"> </w:t>
      </w:r>
      <w:r w:rsidRPr="00235F95">
        <w:rPr>
          <w:rFonts w:eastAsia="Calibri"/>
          <w:i/>
          <w:color w:val="auto"/>
          <w:spacing w:val="-1"/>
          <w:szCs w:val="24"/>
          <w:lang w:eastAsia="en-US"/>
        </w:rPr>
        <w:t>sectors</w:t>
      </w:r>
      <w:r w:rsidRPr="00235F95">
        <w:rPr>
          <w:rFonts w:eastAsia="Calibri"/>
          <w:i/>
          <w:color w:val="auto"/>
          <w:spacing w:val="-2"/>
          <w:szCs w:val="24"/>
          <w:lang w:eastAsia="en-US"/>
        </w:rPr>
        <w:t xml:space="preserve"> </w:t>
      </w:r>
      <w:r w:rsidRPr="00235F95">
        <w:rPr>
          <w:rFonts w:eastAsia="Calibri"/>
          <w:i/>
          <w:color w:val="auto"/>
          <w:spacing w:val="-1"/>
          <w:szCs w:val="24"/>
          <w:lang w:eastAsia="en-US"/>
        </w:rPr>
        <w:t>while</w:t>
      </w:r>
      <w:r w:rsidRPr="00235F95">
        <w:rPr>
          <w:rFonts w:eastAsia="Calibri"/>
          <w:i/>
          <w:color w:val="auto"/>
          <w:szCs w:val="24"/>
          <w:lang w:eastAsia="en-US"/>
        </w:rPr>
        <w:t xml:space="preserve"> </w:t>
      </w:r>
      <w:r w:rsidRPr="00235F95">
        <w:rPr>
          <w:rFonts w:eastAsia="Calibri"/>
          <w:i/>
          <w:color w:val="auto"/>
          <w:spacing w:val="-1"/>
          <w:szCs w:val="24"/>
          <w:lang w:eastAsia="en-US"/>
        </w:rPr>
        <w:t>phasing</w:t>
      </w:r>
      <w:r w:rsidRPr="00235F95">
        <w:rPr>
          <w:rFonts w:eastAsia="Calibri"/>
          <w:i/>
          <w:color w:val="auto"/>
          <w:szCs w:val="24"/>
          <w:lang w:eastAsia="en-US"/>
        </w:rPr>
        <w:t xml:space="preserve"> </w:t>
      </w:r>
      <w:r w:rsidRPr="00235F95">
        <w:rPr>
          <w:rFonts w:eastAsia="Calibri"/>
          <w:i/>
          <w:color w:val="auto"/>
          <w:spacing w:val="-1"/>
          <w:szCs w:val="24"/>
          <w:lang w:eastAsia="en-US"/>
        </w:rPr>
        <w:t>down</w:t>
      </w:r>
      <w:r w:rsidRPr="00235F95">
        <w:rPr>
          <w:rFonts w:eastAsia="Calibri"/>
          <w:i/>
          <w:color w:val="auto"/>
          <w:spacing w:val="91"/>
          <w:szCs w:val="24"/>
          <w:lang w:eastAsia="en-US"/>
        </w:rPr>
        <w:t xml:space="preserve"> </w:t>
      </w:r>
      <w:r w:rsidRPr="00235F95">
        <w:rPr>
          <w:rFonts w:eastAsia="Calibri"/>
          <w:i/>
          <w:color w:val="auto"/>
          <w:spacing w:val="-1"/>
          <w:szCs w:val="24"/>
          <w:lang w:eastAsia="en-US"/>
        </w:rPr>
        <w:t>hydrofluorocarbons under</w:t>
      </w:r>
      <w:r w:rsidRPr="00235F95">
        <w:rPr>
          <w:rFonts w:eastAsia="Calibri"/>
          <w:i/>
          <w:color w:val="auto"/>
          <w:szCs w:val="24"/>
          <w:lang w:eastAsia="en-US"/>
        </w:rPr>
        <w:t xml:space="preserve"> </w:t>
      </w:r>
      <w:r w:rsidRPr="00235F95">
        <w:rPr>
          <w:rFonts w:eastAsia="Calibri"/>
          <w:i/>
          <w:color w:val="auto"/>
          <w:spacing w:val="-1"/>
          <w:szCs w:val="24"/>
          <w:lang w:eastAsia="en-US"/>
        </w:rPr>
        <w:t>the</w:t>
      </w:r>
      <w:r w:rsidRPr="00235F95">
        <w:rPr>
          <w:rFonts w:eastAsia="Calibri"/>
          <w:i/>
          <w:color w:val="auto"/>
          <w:szCs w:val="24"/>
          <w:lang w:eastAsia="en-US"/>
        </w:rPr>
        <w:t xml:space="preserve"> Kigali</w:t>
      </w:r>
      <w:r w:rsidRPr="00235F95">
        <w:rPr>
          <w:rFonts w:eastAsia="Calibri"/>
          <w:i/>
          <w:color w:val="auto"/>
          <w:spacing w:val="-1"/>
          <w:szCs w:val="24"/>
          <w:lang w:eastAsia="en-US"/>
        </w:rPr>
        <w:t xml:space="preserve"> Amendment</w:t>
      </w:r>
      <w:r w:rsidRPr="00235F95">
        <w:rPr>
          <w:rFonts w:eastAsia="Calibri"/>
          <w:i/>
          <w:color w:val="auto"/>
          <w:szCs w:val="24"/>
          <w:lang w:eastAsia="en-US"/>
        </w:rPr>
        <w:t xml:space="preserve"> to the</w:t>
      </w:r>
      <w:r w:rsidRPr="00235F95">
        <w:rPr>
          <w:rFonts w:eastAsia="Calibri"/>
          <w:i/>
          <w:color w:val="auto"/>
          <w:spacing w:val="-2"/>
          <w:szCs w:val="24"/>
          <w:lang w:eastAsia="en-US"/>
        </w:rPr>
        <w:t xml:space="preserve"> </w:t>
      </w:r>
      <w:r w:rsidRPr="00235F95">
        <w:rPr>
          <w:rFonts w:eastAsia="Calibri"/>
          <w:i/>
          <w:color w:val="auto"/>
          <w:spacing w:val="-1"/>
          <w:szCs w:val="24"/>
          <w:lang w:eastAsia="en-US"/>
        </w:rPr>
        <w:t>Montreal</w:t>
      </w:r>
      <w:r w:rsidRPr="00235F95">
        <w:rPr>
          <w:rFonts w:eastAsia="Calibri"/>
          <w:i/>
          <w:color w:val="auto"/>
          <w:szCs w:val="24"/>
          <w:lang w:eastAsia="en-US"/>
        </w:rPr>
        <w:t xml:space="preserve"> </w:t>
      </w:r>
      <w:r w:rsidRPr="00235F95">
        <w:rPr>
          <w:rFonts w:eastAsia="Calibri"/>
          <w:i/>
          <w:color w:val="auto"/>
          <w:spacing w:val="-1"/>
          <w:szCs w:val="24"/>
          <w:lang w:eastAsia="en-US"/>
        </w:rPr>
        <w:t>Protocol,</w:t>
      </w:r>
      <w:r w:rsidRPr="00235F95">
        <w:rPr>
          <w:rFonts w:eastAsia="Calibri"/>
          <w:i/>
          <w:color w:val="auto"/>
          <w:szCs w:val="24"/>
          <w:lang w:eastAsia="en-US"/>
        </w:rPr>
        <w:t xml:space="preserve"> as</w:t>
      </w:r>
      <w:r w:rsidRPr="00235F95">
        <w:rPr>
          <w:rFonts w:eastAsia="Calibri"/>
          <w:i/>
          <w:color w:val="auto"/>
          <w:spacing w:val="-1"/>
          <w:szCs w:val="24"/>
          <w:lang w:eastAsia="en-US"/>
        </w:rPr>
        <w:t xml:space="preserve"> </w:t>
      </w:r>
      <w:r w:rsidRPr="00235F95">
        <w:rPr>
          <w:rFonts w:eastAsia="Calibri"/>
          <w:i/>
          <w:color w:val="auto"/>
          <w:szCs w:val="24"/>
          <w:lang w:eastAsia="en-US"/>
        </w:rPr>
        <w:t>well</w:t>
      </w:r>
      <w:r w:rsidRPr="00235F95">
        <w:rPr>
          <w:rFonts w:eastAsia="Calibri"/>
          <w:i/>
          <w:color w:val="auto"/>
          <w:spacing w:val="-1"/>
          <w:szCs w:val="24"/>
          <w:lang w:eastAsia="en-US"/>
        </w:rPr>
        <w:t xml:space="preserve"> </w:t>
      </w:r>
      <w:r w:rsidRPr="00235F95">
        <w:rPr>
          <w:rFonts w:eastAsia="Calibri"/>
          <w:i/>
          <w:color w:val="auto"/>
          <w:szCs w:val="24"/>
          <w:lang w:eastAsia="en-US"/>
        </w:rPr>
        <w:t xml:space="preserve">as </w:t>
      </w:r>
      <w:r w:rsidRPr="00235F95">
        <w:rPr>
          <w:rFonts w:eastAsia="Calibri"/>
          <w:i/>
          <w:color w:val="auto"/>
          <w:spacing w:val="-1"/>
          <w:szCs w:val="24"/>
          <w:lang w:eastAsia="en-US"/>
        </w:rPr>
        <w:t>those related</w:t>
      </w:r>
      <w:r w:rsidRPr="00235F95">
        <w:rPr>
          <w:rFonts w:eastAsia="Calibri"/>
          <w:i/>
          <w:color w:val="auto"/>
          <w:szCs w:val="24"/>
          <w:lang w:eastAsia="en-US"/>
        </w:rPr>
        <w:t xml:space="preserve"> </w:t>
      </w:r>
      <w:r w:rsidRPr="00235F95">
        <w:rPr>
          <w:rFonts w:eastAsia="Calibri"/>
          <w:i/>
          <w:color w:val="auto"/>
          <w:spacing w:val="-1"/>
          <w:szCs w:val="24"/>
          <w:lang w:eastAsia="en-US"/>
        </w:rPr>
        <w:t>to</w:t>
      </w:r>
      <w:r w:rsidRPr="00235F95">
        <w:rPr>
          <w:rFonts w:eastAsia="Calibri"/>
          <w:i/>
          <w:color w:val="auto"/>
          <w:spacing w:val="91"/>
          <w:szCs w:val="24"/>
          <w:lang w:eastAsia="en-US"/>
        </w:rPr>
        <w:t xml:space="preserve"> </w:t>
      </w:r>
      <w:r w:rsidRPr="00235F95">
        <w:rPr>
          <w:rFonts w:eastAsia="Calibri"/>
          <w:i/>
          <w:color w:val="auto"/>
          <w:spacing w:val="-1"/>
          <w:szCs w:val="24"/>
          <w:lang w:eastAsia="en-US"/>
        </w:rPr>
        <w:t>low-</w:t>
      </w:r>
      <w:r w:rsidRPr="00235F95">
        <w:rPr>
          <w:rFonts w:eastAsia="Calibri"/>
          <w:i/>
          <w:color w:val="auto"/>
          <w:szCs w:val="24"/>
          <w:lang w:eastAsia="en-US"/>
        </w:rPr>
        <w:t xml:space="preserve"> </w:t>
      </w:r>
      <w:r w:rsidRPr="00235F95">
        <w:rPr>
          <w:rFonts w:eastAsia="Calibri"/>
          <w:i/>
          <w:color w:val="auto"/>
          <w:spacing w:val="-1"/>
          <w:szCs w:val="24"/>
          <w:lang w:eastAsia="en-US"/>
        </w:rPr>
        <w:t>and</w:t>
      </w:r>
      <w:r w:rsidRPr="00235F95">
        <w:rPr>
          <w:rFonts w:eastAsia="Calibri"/>
          <w:i/>
          <w:color w:val="auto"/>
          <w:szCs w:val="24"/>
          <w:lang w:eastAsia="en-US"/>
        </w:rPr>
        <w:t xml:space="preserve"> </w:t>
      </w:r>
      <w:r w:rsidRPr="00235F95">
        <w:rPr>
          <w:rFonts w:eastAsia="Calibri"/>
          <w:i/>
          <w:color w:val="auto"/>
          <w:spacing w:val="-1"/>
          <w:szCs w:val="24"/>
          <w:lang w:eastAsia="en-US"/>
        </w:rPr>
        <w:t>zero-GWP</w:t>
      </w:r>
      <w:r w:rsidRPr="00235F95">
        <w:rPr>
          <w:rFonts w:eastAsia="Calibri"/>
          <w:i/>
          <w:color w:val="auto"/>
          <w:szCs w:val="24"/>
          <w:lang w:eastAsia="en-US"/>
        </w:rPr>
        <w:t xml:space="preserve"> HFC </w:t>
      </w:r>
      <w:r w:rsidRPr="00235F95">
        <w:rPr>
          <w:rFonts w:eastAsia="Calibri"/>
          <w:i/>
          <w:color w:val="auto"/>
          <w:spacing w:val="-1"/>
          <w:szCs w:val="24"/>
          <w:lang w:eastAsia="en-US"/>
        </w:rPr>
        <w:t>alternatives</w:t>
      </w:r>
      <w:r w:rsidRPr="00235F95">
        <w:rPr>
          <w:rFonts w:eastAsia="Calibri"/>
          <w:i/>
          <w:color w:val="auto"/>
          <w:spacing w:val="-2"/>
          <w:szCs w:val="24"/>
          <w:lang w:eastAsia="en-US"/>
        </w:rPr>
        <w:t xml:space="preserve"> </w:t>
      </w:r>
      <w:r w:rsidRPr="00235F95">
        <w:rPr>
          <w:rFonts w:eastAsia="Calibri"/>
          <w:i/>
          <w:color w:val="auto"/>
          <w:spacing w:val="-1"/>
          <w:szCs w:val="24"/>
          <w:lang w:eastAsia="en-US"/>
        </w:rPr>
        <w:t xml:space="preserve">including </w:t>
      </w:r>
      <w:r w:rsidRPr="00235F95">
        <w:rPr>
          <w:rFonts w:eastAsia="Calibri"/>
          <w:i/>
          <w:color w:val="auto"/>
          <w:szCs w:val="24"/>
          <w:lang w:eastAsia="en-US"/>
        </w:rPr>
        <w:t>on</w:t>
      </w:r>
      <w:r w:rsidRPr="00235F95">
        <w:rPr>
          <w:rFonts w:eastAsia="Calibri"/>
          <w:i/>
          <w:color w:val="auto"/>
          <w:spacing w:val="-1"/>
          <w:szCs w:val="24"/>
          <w:lang w:eastAsia="en-US"/>
        </w:rPr>
        <w:t xml:space="preserve"> different</w:t>
      </w:r>
      <w:r w:rsidRPr="00235F95">
        <w:rPr>
          <w:rFonts w:eastAsia="Calibri"/>
          <w:i/>
          <w:color w:val="auto"/>
          <w:spacing w:val="-2"/>
          <w:szCs w:val="24"/>
          <w:lang w:eastAsia="en-US"/>
        </w:rPr>
        <w:t xml:space="preserve"> </w:t>
      </w:r>
      <w:r w:rsidRPr="00235F95">
        <w:rPr>
          <w:rFonts w:eastAsia="Calibri"/>
          <w:i/>
          <w:color w:val="auto"/>
          <w:spacing w:val="-1"/>
          <w:szCs w:val="24"/>
          <w:lang w:eastAsia="en-US"/>
        </w:rPr>
        <w:t>financing</w:t>
      </w:r>
      <w:r w:rsidRPr="00235F95">
        <w:rPr>
          <w:rFonts w:eastAsia="Calibri"/>
          <w:i/>
          <w:color w:val="auto"/>
          <w:szCs w:val="24"/>
          <w:lang w:eastAsia="en-US"/>
        </w:rPr>
        <w:t xml:space="preserve"> </w:t>
      </w:r>
      <w:r w:rsidRPr="00235F95">
        <w:rPr>
          <w:rFonts w:eastAsia="Calibri"/>
          <w:i/>
          <w:color w:val="auto"/>
          <w:spacing w:val="-1"/>
          <w:szCs w:val="24"/>
          <w:lang w:eastAsia="en-US"/>
        </w:rPr>
        <w:t>modalities</w:t>
      </w:r>
      <w:bookmarkEnd w:id="24"/>
      <w:r w:rsidRPr="00235F95">
        <w:rPr>
          <w:rFonts w:eastAsia="Calibri"/>
          <w:i/>
          <w:color w:val="auto"/>
          <w:spacing w:val="-1"/>
          <w:szCs w:val="24"/>
          <w:lang w:eastAsia="en-US"/>
        </w:rPr>
        <w:t>;</w:t>
      </w:r>
      <w:bookmarkEnd w:id="25"/>
    </w:p>
    <w:bookmarkEnd w:id="23"/>
    <w:p w14:paraId="0688A01D" w14:textId="77777777" w:rsidR="00592351" w:rsidRPr="00235F95" w:rsidRDefault="00592351" w:rsidP="0093586F">
      <w:pPr>
        <w:overflowPunct w:val="0"/>
        <w:autoSpaceDE w:val="0"/>
        <w:autoSpaceDN w:val="0"/>
        <w:spacing w:after="0"/>
        <w:ind w:left="720" w:right="187" w:hanging="360"/>
        <w:rPr>
          <w:rFonts w:eastAsia="Calibri"/>
          <w:i/>
          <w:color w:val="auto"/>
          <w:szCs w:val="24"/>
          <w:lang w:eastAsia="en-US"/>
        </w:rPr>
      </w:pPr>
    </w:p>
    <w:p w14:paraId="2D8A1E89" w14:textId="2942E645" w:rsidR="005E2BBD" w:rsidRPr="00235F95" w:rsidRDefault="005E2BBD" w:rsidP="00736989">
      <w:pPr>
        <w:numPr>
          <w:ilvl w:val="0"/>
          <w:numId w:val="53"/>
        </w:numPr>
        <w:overflowPunct w:val="0"/>
        <w:autoSpaceDE w:val="0"/>
        <w:autoSpaceDN w:val="0"/>
        <w:spacing w:after="0"/>
        <w:ind w:right="187"/>
        <w:rPr>
          <w:rFonts w:eastAsia="Calibri"/>
          <w:i/>
          <w:color w:val="auto"/>
          <w:szCs w:val="24"/>
          <w:lang w:eastAsia="en-US"/>
        </w:rPr>
      </w:pPr>
      <w:r w:rsidRPr="00235F95">
        <w:rPr>
          <w:rFonts w:eastAsia="Calibri"/>
          <w:i/>
          <w:color w:val="auto"/>
          <w:szCs w:val="24"/>
          <w:lang w:eastAsia="en-US"/>
        </w:rPr>
        <w:t xml:space="preserve">To </w:t>
      </w:r>
      <w:r w:rsidRPr="00235F95">
        <w:rPr>
          <w:rFonts w:eastAsia="Calibri"/>
          <w:i/>
          <w:color w:val="auto"/>
          <w:spacing w:val="-1"/>
          <w:szCs w:val="24"/>
          <w:lang w:eastAsia="en-US"/>
        </w:rPr>
        <w:t>request</w:t>
      </w:r>
      <w:r w:rsidRPr="00235F95">
        <w:rPr>
          <w:rFonts w:eastAsia="Calibri"/>
          <w:i/>
          <w:color w:val="auto"/>
          <w:szCs w:val="24"/>
          <w:lang w:eastAsia="en-US"/>
        </w:rPr>
        <w:t xml:space="preserve"> </w:t>
      </w:r>
      <w:r w:rsidRPr="00235F95">
        <w:rPr>
          <w:rFonts w:eastAsia="Calibri"/>
          <w:i/>
          <w:color w:val="auto"/>
          <w:spacing w:val="-1"/>
          <w:szCs w:val="24"/>
          <w:lang w:eastAsia="en-US"/>
        </w:rPr>
        <w:t>the</w:t>
      </w:r>
      <w:r w:rsidRPr="00235F95">
        <w:rPr>
          <w:rFonts w:eastAsia="Calibri"/>
          <w:i/>
          <w:color w:val="auto"/>
          <w:szCs w:val="24"/>
          <w:lang w:eastAsia="en-US"/>
        </w:rPr>
        <w:t xml:space="preserve"> </w:t>
      </w:r>
      <w:r w:rsidRPr="00235F95">
        <w:rPr>
          <w:rFonts w:eastAsia="Calibri"/>
          <w:i/>
          <w:color w:val="auto"/>
          <w:spacing w:val="-1"/>
          <w:szCs w:val="24"/>
          <w:lang w:eastAsia="en-US"/>
        </w:rPr>
        <w:t>Technology</w:t>
      </w:r>
      <w:r w:rsidRPr="00235F95">
        <w:rPr>
          <w:rFonts w:eastAsia="Calibri"/>
          <w:i/>
          <w:color w:val="auto"/>
          <w:szCs w:val="24"/>
          <w:lang w:eastAsia="en-US"/>
        </w:rPr>
        <w:t xml:space="preserve"> </w:t>
      </w:r>
      <w:r w:rsidRPr="00235F95">
        <w:rPr>
          <w:rFonts w:eastAsia="Calibri"/>
          <w:i/>
          <w:color w:val="auto"/>
          <w:spacing w:val="-1"/>
          <w:szCs w:val="24"/>
          <w:lang w:eastAsia="en-US"/>
        </w:rPr>
        <w:t>and</w:t>
      </w:r>
      <w:r w:rsidRPr="00235F95">
        <w:rPr>
          <w:rFonts w:eastAsia="Calibri"/>
          <w:i/>
          <w:color w:val="auto"/>
          <w:szCs w:val="24"/>
          <w:lang w:eastAsia="en-US"/>
        </w:rPr>
        <w:t xml:space="preserve"> </w:t>
      </w:r>
      <w:r w:rsidRPr="00235F95">
        <w:rPr>
          <w:rFonts w:eastAsia="Calibri"/>
          <w:i/>
          <w:color w:val="auto"/>
          <w:spacing w:val="-1"/>
          <w:szCs w:val="24"/>
          <w:lang w:eastAsia="en-US"/>
        </w:rPr>
        <w:t>Economic Assessment</w:t>
      </w:r>
      <w:r w:rsidRPr="00235F95">
        <w:rPr>
          <w:rFonts w:eastAsia="Calibri"/>
          <w:i/>
          <w:color w:val="auto"/>
          <w:szCs w:val="24"/>
          <w:lang w:eastAsia="en-US"/>
        </w:rPr>
        <w:t xml:space="preserve"> Panel</w:t>
      </w:r>
      <w:r w:rsidRPr="00235F95">
        <w:rPr>
          <w:rFonts w:eastAsia="Calibri"/>
          <w:i/>
          <w:color w:val="auto"/>
          <w:spacing w:val="-1"/>
          <w:szCs w:val="24"/>
          <w:lang w:eastAsia="en-US"/>
        </w:rPr>
        <w:t xml:space="preserve"> </w:t>
      </w:r>
      <w:r w:rsidRPr="00235F95">
        <w:rPr>
          <w:rFonts w:eastAsia="Calibri"/>
          <w:i/>
          <w:color w:val="auto"/>
          <w:szCs w:val="24"/>
          <w:lang w:eastAsia="en-US"/>
        </w:rPr>
        <w:t>to</w:t>
      </w:r>
      <w:r w:rsidRPr="00235F95">
        <w:rPr>
          <w:rFonts w:eastAsia="Calibri"/>
          <w:i/>
          <w:color w:val="auto"/>
          <w:spacing w:val="2"/>
          <w:szCs w:val="24"/>
          <w:lang w:eastAsia="en-US"/>
        </w:rPr>
        <w:t xml:space="preserve"> </w:t>
      </w:r>
      <w:r w:rsidRPr="00235F95">
        <w:rPr>
          <w:rFonts w:eastAsia="Calibri"/>
          <w:i/>
          <w:color w:val="auto"/>
          <w:spacing w:val="-1"/>
          <w:szCs w:val="24"/>
          <w:lang w:eastAsia="en-US"/>
        </w:rPr>
        <w:t>prepare</w:t>
      </w:r>
      <w:r w:rsidRPr="00235F95">
        <w:rPr>
          <w:rFonts w:eastAsia="Calibri"/>
          <w:i/>
          <w:color w:val="auto"/>
          <w:spacing w:val="-2"/>
          <w:szCs w:val="24"/>
          <w:lang w:eastAsia="en-US"/>
        </w:rPr>
        <w:t xml:space="preserve"> </w:t>
      </w:r>
      <w:r w:rsidRPr="00235F95">
        <w:rPr>
          <w:rFonts w:eastAsia="Calibri"/>
          <w:i/>
          <w:color w:val="auto"/>
          <w:szCs w:val="24"/>
          <w:lang w:eastAsia="en-US"/>
        </w:rPr>
        <w:t>a</w:t>
      </w:r>
      <w:r w:rsidRPr="00235F95">
        <w:rPr>
          <w:rFonts w:eastAsia="Calibri"/>
          <w:i/>
          <w:color w:val="auto"/>
          <w:spacing w:val="-1"/>
          <w:szCs w:val="24"/>
          <w:lang w:eastAsia="en-US"/>
        </w:rPr>
        <w:t xml:space="preserve"> </w:t>
      </w:r>
      <w:r w:rsidRPr="00235F95">
        <w:rPr>
          <w:rFonts w:eastAsia="Calibri"/>
          <w:i/>
          <w:color w:val="auto"/>
          <w:szCs w:val="24"/>
          <w:lang w:eastAsia="en-US"/>
        </w:rPr>
        <w:t xml:space="preserve">final </w:t>
      </w:r>
      <w:r w:rsidRPr="00235F95">
        <w:rPr>
          <w:rFonts w:eastAsia="Calibri"/>
          <w:i/>
          <w:color w:val="auto"/>
          <w:spacing w:val="-1"/>
          <w:szCs w:val="24"/>
          <w:lang w:eastAsia="en-US"/>
        </w:rPr>
        <w:t>report</w:t>
      </w:r>
      <w:r w:rsidRPr="00235F95">
        <w:rPr>
          <w:rFonts w:eastAsia="Calibri"/>
          <w:i/>
          <w:color w:val="auto"/>
          <w:spacing w:val="73"/>
          <w:szCs w:val="24"/>
          <w:lang w:eastAsia="en-US"/>
        </w:rPr>
        <w:t xml:space="preserve"> </w:t>
      </w:r>
      <w:r w:rsidRPr="00235F95">
        <w:rPr>
          <w:rFonts w:eastAsia="Calibri"/>
          <w:i/>
          <w:color w:val="auto"/>
          <w:szCs w:val="24"/>
          <w:lang w:eastAsia="en-US"/>
        </w:rPr>
        <w:t xml:space="preserve">for </w:t>
      </w:r>
      <w:r w:rsidRPr="00235F95">
        <w:rPr>
          <w:rFonts w:eastAsia="Calibri"/>
          <w:i/>
          <w:color w:val="auto"/>
          <w:spacing w:val="-1"/>
          <w:szCs w:val="24"/>
          <w:lang w:eastAsia="en-US"/>
        </w:rPr>
        <w:t>consideration</w:t>
      </w:r>
      <w:r w:rsidRPr="00235F95">
        <w:rPr>
          <w:rFonts w:eastAsia="Calibri"/>
          <w:i/>
          <w:color w:val="auto"/>
          <w:szCs w:val="24"/>
          <w:lang w:eastAsia="en-US"/>
        </w:rPr>
        <w:t xml:space="preserve"> by </w:t>
      </w:r>
      <w:r w:rsidRPr="00235F95">
        <w:rPr>
          <w:rFonts w:eastAsia="Calibri"/>
          <w:i/>
          <w:color w:val="auto"/>
          <w:spacing w:val="-1"/>
          <w:szCs w:val="24"/>
          <w:lang w:eastAsia="en-US"/>
        </w:rPr>
        <w:t>the</w:t>
      </w:r>
      <w:r w:rsidRPr="00235F95">
        <w:rPr>
          <w:rFonts w:eastAsia="Calibri"/>
          <w:i/>
          <w:color w:val="auto"/>
          <w:szCs w:val="24"/>
          <w:lang w:eastAsia="en-US"/>
        </w:rPr>
        <w:t xml:space="preserve"> </w:t>
      </w:r>
      <w:r w:rsidRPr="00235F95">
        <w:rPr>
          <w:rFonts w:eastAsia="Calibri"/>
          <w:i/>
          <w:color w:val="auto"/>
          <w:spacing w:val="-1"/>
          <w:szCs w:val="24"/>
          <w:lang w:eastAsia="en-US"/>
        </w:rPr>
        <w:t>Open-ended</w:t>
      </w:r>
      <w:r w:rsidRPr="00235F95">
        <w:rPr>
          <w:rFonts w:eastAsia="Calibri"/>
          <w:i/>
          <w:color w:val="auto"/>
          <w:szCs w:val="24"/>
          <w:lang w:eastAsia="en-US"/>
        </w:rPr>
        <w:t xml:space="preserve"> </w:t>
      </w:r>
      <w:r w:rsidRPr="00235F95">
        <w:rPr>
          <w:rFonts w:eastAsia="Calibri"/>
          <w:i/>
          <w:color w:val="auto"/>
          <w:spacing w:val="-1"/>
          <w:szCs w:val="24"/>
          <w:lang w:eastAsia="en-US"/>
        </w:rPr>
        <w:t xml:space="preserve">Working </w:t>
      </w:r>
      <w:r w:rsidRPr="00235F95">
        <w:rPr>
          <w:rFonts w:eastAsia="Calibri"/>
          <w:i/>
          <w:color w:val="auto"/>
          <w:szCs w:val="24"/>
          <w:lang w:eastAsia="en-US"/>
        </w:rPr>
        <w:t xml:space="preserve">Group </w:t>
      </w:r>
      <w:r w:rsidRPr="00235F95">
        <w:rPr>
          <w:rFonts w:eastAsia="Calibri"/>
          <w:i/>
          <w:color w:val="auto"/>
          <w:spacing w:val="-1"/>
          <w:szCs w:val="24"/>
          <w:lang w:eastAsia="en-US"/>
        </w:rPr>
        <w:t>at</w:t>
      </w:r>
      <w:r w:rsidRPr="00235F95">
        <w:rPr>
          <w:rFonts w:eastAsia="Calibri"/>
          <w:i/>
          <w:color w:val="auto"/>
          <w:szCs w:val="24"/>
          <w:lang w:eastAsia="en-US"/>
        </w:rPr>
        <w:t xml:space="preserve"> </w:t>
      </w:r>
      <w:r w:rsidRPr="00235F95">
        <w:rPr>
          <w:rFonts w:eastAsia="Calibri"/>
          <w:i/>
          <w:color w:val="auto"/>
          <w:spacing w:val="-1"/>
          <w:szCs w:val="24"/>
          <w:lang w:eastAsia="en-US"/>
        </w:rPr>
        <w:t>its</w:t>
      </w:r>
      <w:r w:rsidRPr="00235F95">
        <w:rPr>
          <w:rFonts w:eastAsia="Calibri"/>
          <w:i/>
          <w:color w:val="auto"/>
          <w:szCs w:val="24"/>
          <w:lang w:eastAsia="en-US"/>
        </w:rPr>
        <w:t xml:space="preserve"> </w:t>
      </w:r>
      <w:r w:rsidRPr="00235F95">
        <w:rPr>
          <w:rFonts w:eastAsia="Calibri"/>
          <w:i/>
          <w:color w:val="auto"/>
          <w:spacing w:val="-1"/>
          <w:szCs w:val="24"/>
          <w:lang w:eastAsia="en-US"/>
        </w:rPr>
        <w:t>fortieth</w:t>
      </w:r>
      <w:r w:rsidRPr="00235F95">
        <w:rPr>
          <w:rFonts w:eastAsia="Calibri"/>
          <w:i/>
          <w:color w:val="auto"/>
          <w:szCs w:val="24"/>
          <w:lang w:eastAsia="en-US"/>
        </w:rPr>
        <w:t xml:space="preserve"> </w:t>
      </w:r>
      <w:r w:rsidRPr="00235F95">
        <w:rPr>
          <w:rFonts w:eastAsia="Calibri"/>
          <w:i/>
          <w:color w:val="auto"/>
          <w:spacing w:val="-1"/>
          <w:szCs w:val="24"/>
          <w:lang w:eastAsia="en-US"/>
        </w:rPr>
        <w:t>meeting,</w:t>
      </w:r>
      <w:r w:rsidRPr="00235F95">
        <w:rPr>
          <w:rFonts w:eastAsia="Calibri"/>
          <w:i/>
          <w:color w:val="auto"/>
          <w:szCs w:val="24"/>
          <w:lang w:eastAsia="en-US"/>
        </w:rPr>
        <w:t xml:space="preserve"> and </w:t>
      </w:r>
      <w:r w:rsidRPr="00235F95">
        <w:rPr>
          <w:rFonts w:eastAsia="Calibri"/>
          <w:i/>
          <w:color w:val="auto"/>
          <w:spacing w:val="-1"/>
          <w:szCs w:val="24"/>
          <w:lang w:eastAsia="en-US"/>
        </w:rPr>
        <w:t xml:space="preserve">thereafter </w:t>
      </w:r>
      <w:r w:rsidRPr="00235F95">
        <w:rPr>
          <w:rFonts w:eastAsia="Calibri"/>
          <w:i/>
          <w:color w:val="auto"/>
          <w:szCs w:val="24"/>
          <w:lang w:eastAsia="en-US"/>
        </w:rPr>
        <w:t>an</w:t>
      </w:r>
      <w:r w:rsidRPr="00235F95">
        <w:rPr>
          <w:rFonts w:eastAsia="Calibri"/>
          <w:i/>
          <w:color w:val="auto"/>
          <w:spacing w:val="-1"/>
          <w:szCs w:val="24"/>
          <w:lang w:eastAsia="en-US"/>
        </w:rPr>
        <w:t xml:space="preserve"> updated</w:t>
      </w:r>
      <w:r w:rsidRPr="00235F95">
        <w:rPr>
          <w:rFonts w:eastAsia="Calibri"/>
          <w:i/>
          <w:color w:val="auto"/>
          <w:spacing w:val="89"/>
          <w:szCs w:val="24"/>
          <w:lang w:eastAsia="en-US"/>
        </w:rPr>
        <w:t xml:space="preserve"> </w:t>
      </w:r>
      <w:r w:rsidRPr="00235F95">
        <w:rPr>
          <w:rFonts w:eastAsia="Calibri"/>
          <w:i/>
          <w:color w:val="auto"/>
          <w:szCs w:val="24"/>
          <w:lang w:eastAsia="en-US"/>
        </w:rPr>
        <w:t xml:space="preserve">final </w:t>
      </w:r>
      <w:r w:rsidRPr="00235F95">
        <w:rPr>
          <w:rFonts w:eastAsia="Calibri"/>
          <w:i/>
          <w:color w:val="auto"/>
          <w:spacing w:val="-1"/>
          <w:szCs w:val="24"/>
          <w:lang w:eastAsia="en-US"/>
        </w:rPr>
        <w:t>report</w:t>
      </w:r>
      <w:r w:rsidRPr="00235F95">
        <w:rPr>
          <w:rFonts w:eastAsia="Calibri"/>
          <w:i/>
          <w:color w:val="auto"/>
          <w:szCs w:val="24"/>
          <w:lang w:eastAsia="en-US"/>
        </w:rPr>
        <w:t xml:space="preserve"> </w:t>
      </w:r>
      <w:r w:rsidRPr="00235F95">
        <w:rPr>
          <w:rFonts w:eastAsia="Calibri"/>
          <w:i/>
          <w:color w:val="auto"/>
          <w:spacing w:val="-1"/>
          <w:szCs w:val="24"/>
          <w:lang w:eastAsia="en-US"/>
        </w:rPr>
        <w:t>to</w:t>
      </w:r>
      <w:r w:rsidRPr="00235F95">
        <w:rPr>
          <w:rFonts w:eastAsia="Calibri"/>
          <w:i/>
          <w:color w:val="auto"/>
          <w:szCs w:val="24"/>
          <w:lang w:eastAsia="en-US"/>
        </w:rPr>
        <w:t xml:space="preserve"> be </w:t>
      </w:r>
      <w:r w:rsidRPr="00235F95">
        <w:rPr>
          <w:rFonts w:eastAsia="Calibri"/>
          <w:i/>
          <w:color w:val="auto"/>
          <w:spacing w:val="-1"/>
          <w:szCs w:val="24"/>
          <w:lang w:eastAsia="en-US"/>
        </w:rPr>
        <w:t>submitted</w:t>
      </w:r>
      <w:r w:rsidRPr="00235F95">
        <w:rPr>
          <w:rFonts w:eastAsia="Calibri"/>
          <w:i/>
          <w:color w:val="auto"/>
          <w:szCs w:val="24"/>
          <w:lang w:eastAsia="en-US"/>
        </w:rPr>
        <w:t xml:space="preserve"> to the</w:t>
      </w:r>
      <w:r w:rsidRPr="00235F95">
        <w:rPr>
          <w:rFonts w:eastAsia="Calibri"/>
          <w:i/>
          <w:color w:val="auto"/>
          <w:spacing w:val="-1"/>
          <w:szCs w:val="24"/>
          <w:lang w:eastAsia="en-US"/>
        </w:rPr>
        <w:t xml:space="preserve"> Thirtieth Meeting </w:t>
      </w:r>
      <w:r w:rsidRPr="00235F95">
        <w:rPr>
          <w:rFonts w:eastAsia="Calibri"/>
          <w:i/>
          <w:color w:val="auto"/>
          <w:szCs w:val="24"/>
          <w:lang w:eastAsia="en-US"/>
        </w:rPr>
        <w:t xml:space="preserve">of </w:t>
      </w:r>
      <w:r w:rsidRPr="00235F95">
        <w:rPr>
          <w:rFonts w:eastAsia="Calibri"/>
          <w:i/>
          <w:color w:val="auto"/>
          <w:spacing w:val="-1"/>
          <w:szCs w:val="24"/>
          <w:lang w:eastAsia="en-US"/>
        </w:rPr>
        <w:t>the</w:t>
      </w:r>
      <w:r w:rsidRPr="00235F95">
        <w:rPr>
          <w:rFonts w:eastAsia="Calibri"/>
          <w:i/>
          <w:color w:val="auto"/>
          <w:szCs w:val="24"/>
          <w:lang w:eastAsia="en-US"/>
        </w:rPr>
        <w:t xml:space="preserve"> Parties to </w:t>
      </w:r>
      <w:r w:rsidRPr="00235F95">
        <w:rPr>
          <w:rFonts w:eastAsia="Calibri"/>
          <w:i/>
          <w:color w:val="auto"/>
          <w:spacing w:val="-1"/>
          <w:szCs w:val="24"/>
          <w:lang w:eastAsia="en-US"/>
        </w:rPr>
        <w:t>the</w:t>
      </w:r>
      <w:r w:rsidRPr="00235F95">
        <w:rPr>
          <w:rFonts w:eastAsia="Calibri"/>
          <w:i/>
          <w:color w:val="auto"/>
          <w:szCs w:val="24"/>
          <w:lang w:eastAsia="en-US"/>
        </w:rPr>
        <w:t xml:space="preserve"> </w:t>
      </w:r>
      <w:r w:rsidRPr="00235F95">
        <w:rPr>
          <w:rFonts w:eastAsia="Calibri"/>
          <w:i/>
          <w:color w:val="auto"/>
          <w:spacing w:val="-1"/>
          <w:szCs w:val="24"/>
          <w:lang w:eastAsia="en-US"/>
        </w:rPr>
        <w:t>Protocol</w:t>
      </w:r>
      <w:r w:rsidRPr="00235F95">
        <w:rPr>
          <w:rFonts w:eastAsia="Calibri"/>
          <w:i/>
          <w:color w:val="auto"/>
          <w:spacing w:val="-2"/>
          <w:szCs w:val="24"/>
          <w:lang w:eastAsia="en-US"/>
        </w:rPr>
        <w:t xml:space="preserve"> </w:t>
      </w:r>
      <w:r w:rsidRPr="00235F95">
        <w:rPr>
          <w:rFonts w:eastAsia="Calibri"/>
          <w:i/>
          <w:color w:val="auto"/>
          <w:szCs w:val="24"/>
          <w:lang w:eastAsia="en-US"/>
        </w:rPr>
        <w:t xml:space="preserve">on </w:t>
      </w:r>
      <w:r w:rsidRPr="00235F95">
        <w:rPr>
          <w:rFonts w:eastAsia="Calibri"/>
          <w:i/>
          <w:color w:val="auto"/>
          <w:spacing w:val="-1"/>
          <w:szCs w:val="24"/>
          <w:lang w:eastAsia="en-US"/>
        </w:rPr>
        <w:t>Substances</w:t>
      </w:r>
      <w:r w:rsidRPr="00235F95">
        <w:rPr>
          <w:rFonts w:eastAsia="Calibri"/>
          <w:i/>
          <w:color w:val="auto"/>
          <w:szCs w:val="24"/>
          <w:lang w:eastAsia="en-US"/>
        </w:rPr>
        <w:t xml:space="preserve"> that</w:t>
      </w:r>
      <w:r w:rsidRPr="00235F95">
        <w:rPr>
          <w:rFonts w:eastAsia="Calibri"/>
          <w:i/>
          <w:color w:val="auto"/>
          <w:spacing w:val="67"/>
          <w:szCs w:val="24"/>
          <w:lang w:eastAsia="en-US"/>
        </w:rPr>
        <w:t xml:space="preserve"> </w:t>
      </w:r>
      <w:r w:rsidRPr="00235F95">
        <w:rPr>
          <w:rFonts w:eastAsia="Calibri"/>
          <w:i/>
          <w:color w:val="auto"/>
          <w:spacing w:val="-1"/>
          <w:szCs w:val="24"/>
          <w:lang w:eastAsia="en-US"/>
        </w:rPr>
        <w:t>Deplete the</w:t>
      </w:r>
      <w:r w:rsidRPr="00235F95">
        <w:rPr>
          <w:rFonts w:eastAsia="Calibri"/>
          <w:i/>
          <w:color w:val="auto"/>
          <w:szCs w:val="24"/>
          <w:lang w:eastAsia="en-US"/>
        </w:rPr>
        <w:t xml:space="preserve"> </w:t>
      </w:r>
      <w:r w:rsidRPr="00235F95">
        <w:rPr>
          <w:rFonts w:eastAsia="Calibri"/>
          <w:i/>
          <w:color w:val="auto"/>
          <w:spacing w:val="-1"/>
          <w:szCs w:val="24"/>
          <w:lang w:eastAsia="en-US"/>
        </w:rPr>
        <w:t>Ozone</w:t>
      </w:r>
      <w:r w:rsidRPr="00235F95">
        <w:rPr>
          <w:rFonts w:eastAsia="Calibri"/>
          <w:i/>
          <w:color w:val="auto"/>
          <w:spacing w:val="-2"/>
          <w:szCs w:val="24"/>
          <w:lang w:eastAsia="en-US"/>
        </w:rPr>
        <w:t xml:space="preserve"> </w:t>
      </w:r>
      <w:r w:rsidRPr="00235F95">
        <w:rPr>
          <w:rFonts w:eastAsia="Calibri"/>
          <w:i/>
          <w:color w:val="auto"/>
          <w:spacing w:val="-1"/>
          <w:szCs w:val="24"/>
          <w:lang w:eastAsia="en-US"/>
        </w:rPr>
        <w:t>Layer</w:t>
      </w:r>
      <w:r w:rsidRPr="00235F95">
        <w:rPr>
          <w:rFonts w:eastAsia="Calibri"/>
          <w:i/>
          <w:color w:val="auto"/>
          <w:szCs w:val="24"/>
          <w:lang w:eastAsia="en-US"/>
        </w:rPr>
        <w:t xml:space="preserve"> </w:t>
      </w:r>
      <w:r w:rsidRPr="00235F95">
        <w:rPr>
          <w:rFonts w:eastAsia="Calibri"/>
          <w:i/>
          <w:color w:val="auto"/>
          <w:spacing w:val="-1"/>
          <w:szCs w:val="24"/>
          <w:lang w:eastAsia="en-US"/>
        </w:rPr>
        <w:t>taking</w:t>
      </w:r>
      <w:r w:rsidRPr="00235F95">
        <w:rPr>
          <w:rFonts w:eastAsia="Calibri"/>
          <w:i/>
          <w:color w:val="auto"/>
          <w:szCs w:val="24"/>
          <w:lang w:eastAsia="en-US"/>
        </w:rPr>
        <w:t xml:space="preserve"> into</w:t>
      </w:r>
      <w:r w:rsidRPr="00235F95">
        <w:rPr>
          <w:rFonts w:eastAsia="Calibri"/>
          <w:i/>
          <w:color w:val="auto"/>
          <w:spacing w:val="-1"/>
          <w:szCs w:val="24"/>
          <w:lang w:eastAsia="en-US"/>
        </w:rPr>
        <w:t xml:space="preserve"> consideration</w:t>
      </w:r>
      <w:r w:rsidRPr="00235F95">
        <w:rPr>
          <w:rFonts w:eastAsia="Calibri"/>
          <w:i/>
          <w:color w:val="auto"/>
          <w:szCs w:val="24"/>
          <w:lang w:eastAsia="en-US"/>
        </w:rPr>
        <w:t xml:space="preserve"> the</w:t>
      </w:r>
      <w:r w:rsidRPr="00235F95">
        <w:rPr>
          <w:rFonts w:eastAsia="Calibri"/>
          <w:i/>
          <w:color w:val="auto"/>
          <w:spacing w:val="-1"/>
          <w:szCs w:val="24"/>
          <w:lang w:eastAsia="en-US"/>
        </w:rPr>
        <w:t xml:space="preserve"> outcome</w:t>
      </w:r>
      <w:r w:rsidRPr="00235F95">
        <w:rPr>
          <w:rFonts w:eastAsia="Calibri"/>
          <w:i/>
          <w:color w:val="auto"/>
          <w:szCs w:val="24"/>
          <w:lang w:eastAsia="en-US"/>
        </w:rPr>
        <w:t xml:space="preserve"> of the</w:t>
      </w:r>
      <w:r w:rsidRPr="00235F95">
        <w:rPr>
          <w:rFonts w:eastAsia="Calibri"/>
          <w:i/>
          <w:color w:val="auto"/>
          <w:spacing w:val="-2"/>
          <w:szCs w:val="24"/>
          <w:lang w:eastAsia="en-US"/>
        </w:rPr>
        <w:t xml:space="preserve"> </w:t>
      </w:r>
      <w:r w:rsidRPr="00235F95">
        <w:rPr>
          <w:rFonts w:eastAsia="Calibri"/>
          <w:i/>
          <w:color w:val="auto"/>
          <w:spacing w:val="-1"/>
          <w:szCs w:val="24"/>
          <w:lang w:eastAsia="en-US"/>
        </w:rPr>
        <w:t>workshop</w:t>
      </w:r>
      <w:r w:rsidRPr="00235F95">
        <w:rPr>
          <w:rFonts w:eastAsia="Calibri"/>
          <w:i/>
          <w:color w:val="auto"/>
          <w:szCs w:val="24"/>
          <w:lang w:eastAsia="en-US"/>
        </w:rPr>
        <w:t xml:space="preserve"> </w:t>
      </w:r>
      <w:r w:rsidRPr="00235F95">
        <w:rPr>
          <w:rFonts w:eastAsia="Calibri"/>
          <w:i/>
          <w:color w:val="auto"/>
          <w:spacing w:val="-1"/>
          <w:szCs w:val="24"/>
          <w:lang w:eastAsia="en-US"/>
        </w:rPr>
        <w:t>taking place</w:t>
      </w:r>
      <w:r w:rsidRPr="00235F95">
        <w:rPr>
          <w:rFonts w:eastAsia="Calibri"/>
          <w:i/>
          <w:color w:val="auto"/>
          <w:szCs w:val="24"/>
          <w:lang w:eastAsia="en-US"/>
        </w:rPr>
        <w:t xml:space="preserve"> as </w:t>
      </w:r>
      <w:r w:rsidRPr="00235F95">
        <w:rPr>
          <w:rFonts w:eastAsia="Calibri"/>
          <w:i/>
          <w:color w:val="auto"/>
          <w:spacing w:val="-1"/>
          <w:szCs w:val="24"/>
          <w:lang w:eastAsia="en-US"/>
        </w:rPr>
        <w:t>per</w:t>
      </w:r>
      <w:r w:rsidRPr="00235F95">
        <w:rPr>
          <w:rFonts w:eastAsia="Calibri"/>
          <w:i/>
          <w:color w:val="auto"/>
          <w:spacing w:val="95"/>
          <w:szCs w:val="24"/>
          <w:lang w:eastAsia="en-US"/>
        </w:rPr>
        <w:t xml:space="preserve"> </w:t>
      </w:r>
      <w:r w:rsidRPr="00235F95">
        <w:rPr>
          <w:rFonts w:eastAsia="Calibri"/>
          <w:i/>
          <w:color w:val="auto"/>
          <w:spacing w:val="-1"/>
          <w:szCs w:val="24"/>
          <w:lang w:eastAsia="en-US"/>
        </w:rPr>
        <w:t xml:space="preserve">paragraph </w:t>
      </w:r>
      <w:r w:rsidRPr="00235F95">
        <w:rPr>
          <w:rFonts w:eastAsia="Calibri"/>
          <w:i/>
          <w:color w:val="auto"/>
          <w:szCs w:val="24"/>
          <w:lang w:eastAsia="en-US"/>
        </w:rPr>
        <w:t>4 below;</w:t>
      </w:r>
    </w:p>
    <w:bookmarkEnd w:id="22"/>
    <w:p w14:paraId="42A46C9C" w14:textId="77777777" w:rsidR="00592351" w:rsidRPr="00235F95" w:rsidRDefault="00592351" w:rsidP="0093586F">
      <w:pPr>
        <w:overflowPunct w:val="0"/>
        <w:autoSpaceDE w:val="0"/>
        <w:autoSpaceDN w:val="0"/>
        <w:spacing w:after="0"/>
        <w:ind w:left="720" w:right="187" w:hanging="360"/>
        <w:rPr>
          <w:rFonts w:eastAsia="Calibri"/>
          <w:i/>
          <w:color w:val="auto"/>
          <w:szCs w:val="24"/>
          <w:lang w:eastAsia="en-US"/>
        </w:rPr>
      </w:pPr>
    </w:p>
    <w:p w14:paraId="26C24C42" w14:textId="4BC88892" w:rsidR="005E2BBD" w:rsidRPr="00235F95" w:rsidRDefault="005E2BBD" w:rsidP="00736989">
      <w:pPr>
        <w:numPr>
          <w:ilvl w:val="0"/>
          <w:numId w:val="53"/>
        </w:numPr>
        <w:overflowPunct w:val="0"/>
        <w:autoSpaceDE w:val="0"/>
        <w:autoSpaceDN w:val="0"/>
        <w:spacing w:after="0"/>
        <w:ind w:right="187"/>
        <w:rPr>
          <w:rFonts w:eastAsia="Calibri"/>
          <w:i/>
          <w:color w:val="auto"/>
          <w:szCs w:val="24"/>
          <w:lang w:eastAsia="en-US"/>
        </w:rPr>
      </w:pPr>
      <w:r w:rsidRPr="00235F95">
        <w:rPr>
          <w:rFonts w:eastAsia="Calibri"/>
          <w:i/>
          <w:color w:val="auto"/>
          <w:szCs w:val="24"/>
          <w:lang w:eastAsia="en-US"/>
        </w:rPr>
        <w:t xml:space="preserve">To </w:t>
      </w:r>
      <w:r w:rsidRPr="00235F95">
        <w:rPr>
          <w:rFonts w:eastAsia="Calibri"/>
          <w:i/>
          <w:color w:val="auto"/>
          <w:spacing w:val="-1"/>
          <w:szCs w:val="24"/>
          <w:lang w:eastAsia="en-US"/>
        </w:rPr>
        <w:t>request</w:t>
      </w:r>
      <w:r w:rsidRPr="00235F95">
        <w:rPr>
          <w:rFonts w:eastAsia="Calibri"/>
          <w:i/>
          <w:color w:val="auto"/>
          <w:szCs w:val="24"/>
          <w:lang w:eastAsia="en-US"/>
        </w:rPr>
        <w:t xml:space="preserve"> </w:t>
      </w:r>
      <w:r w:rsidRPr="00235F95">
        <w:rPr>
          <w:rFonts w:eastAsia="Calibri"/>
          <w:i/>
          <w:color w:val="auto"/>
          <w:spacing w:val="-1"/>
          <w:szCs w:val="24"/>
          <w:lang w:eastAsia="en-US"/>
        </w:rPr>
        <w:t>the</w:t>
      </w:r>
      <w:r w:rsidRPr="00235F95">
        <w:rPr>
          <w:rFonts w:eastAsia="Calibri"/>
          <w:i/>
          <w:color w:val="auto"/>
          <w:szCs w:val="24"/>
          <w:lang w:eastAsia="en-US"/>
        </w:rPr>
        <w:t xml:space="preserve"> </w:t>
      </w:r>
      <w:r w:rsidRPr="00235F95">
        <w:rPr>
          <w:rFonts w:eastAsia="Calibri"/>
          <w:i/>
          <w:color w:val="auto"/>
          <w:spacing w:val="-1"/>
          <w:szCs w:val="24"/>
          <w:lang w:eastAsia="en-US"/>
        </w:rPr>
        <w:t>Secretariat</w:t>
      </w:r>
      <w:r w:rsidRPr="00235F95">
        <w:rPr>
          <w:rFonts w:eastAsia="Calibri"/>
          <w:i/>
          <w:color w:val="auto"/>
          <w:szCs w:val="24"/>
          <w:lang w:eastAsia="en-US"/>
        </w:rPr>
        <w:t xml:space="preserve"> </w:t>
      </w:r>
      <w:r w:rsidRPr="00235F95">
        <w:rPr>
          <w:rFonts w:eastAsia="Calibri"/>
          <w:i/>
          <w:color w:val="auto"/>
          <w:spacing w:val="-1"/>
          <w:szCs w:val="24"/>
          <w:lang w:eastAsia="en-US"/>
        </w:rPr>
        <w:t>to</w:t>
      </w:r>
      <w:r w:rsidRPr="00235F95">
        <w:rPr>
          <w:rFonts w:eastAsia="Calibri"/>
          <w:i/>
          <w:color w:val="auto"/>
          <w:szCs w:val="24"/>
          <w:lang w:eastAsia="en-US"/>
        </w:rPr>
        <w:t xml:space="preserve"> </w:t>
      </w:r>
      <w:r w:rsidR="00E42383">
        <w:rPr>
          <w:rFonts w:eastAsia="Calibri"/>
          <w:i/>
          <w:color w:val="auto"/>
          <w:spacing w:val="-1"/>
          <w:szCs w:val="24"/>
          <w:lang w:eastAsia="en-US"/>
        </w:rPr>
        <w:t>organis</w:t>
      </w:r>
      <w:r w:rsidRPr="00235F95">
        <w:rPr>
          <w:rFonts w:eastAsia="Calibri"/>
          <w:i/>
          <w:color w:val="auto"/>
          <w:spacing w:val="-1"/>
          <w:szCs w:val="24"/>
          <w:lang w:eastAsia="en-US"/>
        </w:rPr>
        <w:t>e</w:t>
      </w:r>
      <w:r w:rsidRPr="00235F95">
        <w:rPr>
          <w:rFonts w:eastAsia="Calibri"/>
          <w:i/>
          <w:color w:val="auto"/>
          <w:szCs w:val="24"/>
          <w:lang w:eastAsia="en-US"/>
        </w:rPr>
        <w:t xml:space="preserve"> a</w:t>
      </w:r>
      <w:r w:rsidRPr="00235F95">
        <w:rPr>
          <w:rFonts w:eastAsia="Calibri"/>
          <w:i/>
          <w:color w:val="auto"/>
          <w:spacing w:val="-1"/>
          <w:szCs w:val="24"/>
          <w:lang w:eastAsia="en-US"/>
        </w:rPr>
        <w:t xml:space="preserve"> workshop </w:t>
      </w:r>
      <w:r w:rsidRPr="00235F95">
        <w:rPr>
          <w:rFonts w:eastAsia="Calibri"/>
          <w:i/>
          <w:color w:val="auto"/>
          <w:szCs w:val="24"/>
          <w:lang w:eastAsia="en-US"/>
        </w:rPr>
        <w:t xml:space="preserve">on </w:t>
      </w:r>
      <w:r w:rsidRPr="00235F95">
        <w:rPr>
          <w:rFonts w:eastAsia="Calibri"/>
          <w:i/>
          <w:color w:val="auto"/>
          <w:spacing w:val="-1"/>
          <w:szCs w:val="24"/>
          <w:lang w:eastAsia="en-US"/>
        </w:rPr>
        <w:t>energy</w:t>
      </w:r>
      <w:r w:rsidRPr="00235F95">
        <w:rPr>
          <w:rFonts w:eastAsia="Calibri"/>
          <w:i/>
          <w:color w:val="auto"/>
          <w:spacing w:val="-2"/>
          <w:szCs w:val="24"/>
          <w:lang w:eastAsia="en-US"/>
        </w:rPr>
        <w:t xml:space="preserve"> </w:t>
      </w:r>
      <w:r w:rsidRPr="00235F95">
        <w:rPr>
          <w:rFonts w:eastAsia="Calibri"/>
          <w:i/>
          <w:color w:val="auto"/>
          <w:spacing w:val="-1"/>
          <w:szCs w:val="24"/>
          <w:lang w:eastAsia="en-US"/>
        </w:rPr>
        <w:t>efficiency</w:t>
      </w:r>
      <w:r w:rsidRPr="00235F95">
        <w:rPr>
          <w:rFonts w:eastAsia="Calibri"/>
          <w:i/>
          <w:color w:val="auto"/>
          <w:szCs w:val="24"/>
          <w:lang w:eastAsia="en-US"/>
        </w:rPr>
        <w:t xml:space="preserve"> </w:t>
      </w:r>
      <w:r w:rsidRPr="00235F95">
        <w:rPr>
          <w:rFonts w:eastAsia="Calibri"/>
          <w:i/>
          <w:color w:val="auto"/>
          <w:spacing w:val="-1"/>
          <w:szCs w:val="24"/>
          <w:lang w:eastAsia="en-US"/>
        </w:rPr>
        <w:t>opportunities</w:t>
      </w:r>
      <w:r w:rsidRPr="00235F95">
        <w:rPr>
          <w:rFonts w:eastAsia="Calibri"/>
          <w:i/>
          <w:color w:val="auto"/>
          <w:spacing w:val="95"/>
          <w:szCs w:val="24"/>
          <w:lang w:eastAsia="en-US"/>
        </w:rPr>
        <w:t xml:space="preserve"> </w:t>
      </w:r>
      <w:r w:rsidRPr="00235F95">
        <w:rPr>
          <w:rFonts w:eastAsia="Calibri"/>
          <w:i/>
          <w:color w:val="auto"/>
          <w:szCs w:val="24"/>
          <w:lang w:eastAsia="en-US"/>
        </w:rPr>
        <w:t>while</w:t>
      </w:r>
      <w:r w:rsidRPr="00235F95">
        <w:rPr>
          <w:rFonts w:eastAsia="Calibri"/>
          <w:i/>
          <w:color w:val="auto"/>
          <w:spacing w:val="-1"/>
          <w:szCs w:val="24"/>
          <w:lang w:eastAsia="en-US"/>
        </w:rPr>
        <w:t xml:space="preserve"> phasing-down</w:t>
      </w:r>
      <w:r w:rsidRPr="00235F95">
        <w:rPr>
          <w:rFonts w:eastAsia="Calibri"/>
          <w:i/>
          <w:color w:val="auto"/>
          <w:szCs w:val="24"/>
          <w:lang w:eastAsia="en-US"/>
        </w:rPr>
        <w:t xml:space="preserve"> </w:t>
      </w:r>
      <w:r w:rsidRPr="00235F95">
        <w:rPr>
          <w:rFonts w:eastAsia="Calibri"/>
          <w:i/>
          <w:color w:val="auto"/>
          <w:spacing w:val="-1"/>
          <w:szCs w:val="24"/>
          <w:lang w:eastAsia="en-US"/>
        </w:rPr>
        <w:t>hydrofluorocarbons</w:t>
      </w:r>
      <w:r w:rsidRPr="00235F95">
        <w:rPr>
          <w:rFonts w:eastAsia="Calibri"/>
          <w:i/>
          <w:color w:val="auto"/>
          <w:szCs w:val="24"/>
          <w:lang w:eastAsia="en-US"/>
        </w:rPr>
        <w:t xml:space="preserve"> at</w:t>
      </w:r>
      <w:r w:rsidRPr="00235F95">
        <w:rPr>
          <w:rFonts w:eastAsia="Calibri"/>
          <w:i/>
          <w:color w:val="auto"/>
          <w:spacing w:val="-1"/>
          <w:szCs w:val="24"/>
          <w:lang w:eastAsia="en-US"/>
        </w:rPr>
        <w:t xml:space="preserve"> the</w:t>
      </w:r>
      <w:r w:rsidRPr="00235F95">
        <w:rPr>
          <w:rFonts w:eastAsia="Calibri"/>
          <w:i/>
          <w:color w:val="auto"/>
          <w:szCs w:val="24"/>
          <w:lang w:eastAsia="en-US"/>
        </w:rPr>
        <w:t xml:space="preserve"> </w:t>
      </w:r>
      <w:r w:rsidRPr="00235F95">
        <w:rPr>
          <w:rFonts w:eastAsia="Calibri"/>
          <w:i/>
          <w:color w:val="auto"/>
          <w:spacing w:val="-1"/>
          <w:szCs w:val="24"/>
          <w:lang w:eastAsia="en-US"/>
        </w:rPr>
        <w:t>fortieth</w:t>
      </w:r>
      <w:r w:rsidRPr="00235F95">
        <w:rPr>
          <w:rFonts w:eastAsia="Calibri"/>
          <w:i/>
          <w:color w:val="auto"/>
          <w:szCs w:val="24"/>
          <w:lang w:eastAsia="en-US"/>
        </w:rPr>
        <w:t xml:space="preserve"> </w:t>
      </w:r>
      <w:r w:rsidRPr="00235F95">
        <w:rPr>
          <w:rFonts w:eastAsia="Calibri"/>
          <w:i/>
          <w:color w:val="auto"/>
          <w:spacing w:val="-1"/>
          <w:szCs w:val="24"/>
          <w:lang w:eastAsia="en-US"/>
        </w:rPr>
        <w:t>meeting</w:t>
      </w:r>
      <w:r w:rsidRPr="00235F95">
        <w:rPr>
          <w:rFonts w:eastAsia="Calibri"/>
          <w:i/>
          <w:color w:val="auto"/>
          <w:szCs w:val="24"/>
          <w:lang w:eastAsia="en-US"/>
        </w:rPr>
        <w:t xml:space="preserve"> of the</w:t>
      </w:r>
      <w:r w:rsidRPr="00235F95">
        <w:rPr>
          <w:rFonts w:eastAsia="Calibri"/>
          <w:i/>
          <w:color w:val="auto"/>
          <w:spacing w:val="-1"/>
          <w:szCs w:val="24"/>
          <w:lang w:eastAsia="en-US"/>
        </w:rPr>
        <w:t xml:space="preserve"> Open-ended</w:t>
      </w:r>
      <w:r w:rsidRPr="00235F95">
        <w:rPr>
          <w:rFonts w:eastAsia="Calibri"/>
          <w:i/>
          <w:color w:val="auto"/>
          <w:spacing w:val="-2"/>
          <w:szCs w:val="24"/>
          <w:lang w:eastAsia="en-US"/>
        </w:rPr>
        <w:t xml:space="preserve"> </w:t>
      </w:r>
      <w:r w:rsidRPr="00235F95">
        <w:rPr>
          <w:rFonts w:eastAsia="Calibri"/>
          <w:i/>
          <w:color w:val="auto"/>
          <w:spacing w:val="-1"/>
          <w:szCs w:val="24"/>
          <w:lang w:eastAsia="en-US"/>
        </w:rPr>
        <w:t>Working</w:t>
      </w:r>
      <w:r w:rsidRPr="00235F95">
        <w:rPr>
          <w:rFonts w:eastAsia="Calibri"/>
          <w:i/>
          <w:color w:val="auto"/>
          <w:szCs w:val="24"/>
          <w:lang w:eastAsia="en-US"/>
        </w:rPr>
        <w:t xml:space="preserve"> </w:t>
      </w:r>
      <w:r w:rsidRPr="00235F95">
        <w:rPr>
          <w:rFonts w:eastAsia="Calibri"/>
          <w:i/>
          <w:color w:val="auto"/>
          <w:spacing w:val="-1"/>
          <w:szCs w:val="24"/>
          <w:lang w:eastAsia="en-US"/>
        </w:rPr>
        <w:t>Group.</w:t>
      </w:r>
    </w:p>
    <w:p w14:paraId="06F43554" w14:textId="77777777" w:rsidR="005E2BBD" w:rsidRPr="00F867D0" w:rsidRDefault="005E2BBD" w:rsidP="005E2BBD">
      <w:pPr>
        <w:tabs>
          <w:tab w:val="left" w:pos="1440"/>
          <w:tab w:val="left" w:pos="2160"/>
          <w:tab w:val="left" w:pos="2880"/>
          <w:tab w:val="left" w:pos="3600"/>
          <w:tab w:val="left" w:pos="4320"/>
          <w:tab w:val="left" w:pos="5040"/>
          <w:tab w:val="left" w:pos="6480"/>
          <w:tab w:val="left" w:pos="7200"/>
          <w:tab w:val="left" w:pos="7920"/>
        </w:tabs>
        <w:spacing w:after="0"/>
        <w:rPr>
          <w:rFonts w:eastAsia="Calibri"/>
          <w:b/>
          <w:color w:val="auto"/>
          <w:szCs w:val="22"/>
          <w:lang w:eastAsia="en-US"/>
        </w:rPr>
      </w:pPr>
    </w:p>
    <w:p w14:paraId="4B76204F" w14:textId="2BAD714C" w:rsidR="00684D0B" w:rsidRDefault="00E30462" w:rsidP="000F749F">
      <w:pPr>
        <w:pStyle w:val="Heading2"/>
      </w:pPr>
      <w:bookmarkStart w:id="26" w:name="_Toc515454346"/>
      <w:bookmarkEnd w:id="21"/>
      <w:r w:rsidRPr="00F867D0">
        <w:t>1.</w:t>
      </w:r>
      <w:r w:rsidR="00902998" w:rsidRPr="00F867D0">
        <w:t>2</w:t>
      </w:r>
      <w:r w:rsidRPr="00F867D0">
        <w:tab/>
      </w:r>
      <w:bookmarkStart w:id="27" w:name="_Toc504842110"/>
      <w:bookmarkStart w:id="28" w:name="_Toc509492727"/>
      <w:bookmarkStart w:id="29" w:name="_Toc356240452"/>
      <w:r w:rsidR="005E2BBD" w:rsidRPr="00F867D0">
        <w:t>Approach and sources of information</w:t>
      </w:r>
      <w:bookmarkEnd w:id="26"/>
      <w:bookmarkEnd w:id="27"/>
      <w:r w:rsidR="005E2BBD" w:rsidRPr="00F867D0">
        <w:t xml:space="preserve"> </w:t>
      </w:r>
      <w:bookmarkStart w:id="30" w:name="_Toc504842111"/>
    </w:p>
    <w:p w14:paraId="3E90D2ED" w14:textId="2FC59F1E" w:rsidR="005E2BBD" w:rsidRPr="00235F95" w:rsidRDefault="005E2BBD" w:rsidP="000F749F">
      <w:pPr>
        <w:pStyle w:val="Heading3"/>
      </w:pPr>
      <w:bookmarkStart w:id="31" w:name="_Toc515454347"/>
      <w:r w:rsidRPr="00235F95">
        <w:t>1.</w:t>
      </w:r>
      <w:r w:rsidR="00902998" w:rsidRPr="00235F95">
        <w:t>2</w:t>
      </w:r>
      <w:r w:rsidRPr="00235F95">
        <w:t>.1</w:t>
      </w:r>
      <w:r w:rsidRPr="00235F95">
        <w:tab/>
        <w:t>Approach</w:t>
      </w:r>
      <w:bookmarkEnd w:id="30"/>
      <w:bookmarkEnd w:id="31"/>
    </w:p>
    <w:p w14:paraId="54F8B619" w14:textId="4C1F12DF" w:rsidR="005E2BBD" w:rsidRPr="00F867D0" w:rsidRDefault="005E2BBD" w:rsidP="005E2BBD">
      <w:pPr>
        <w:tabs>
          <w:tab w:val="left" w:pos="2160"/>
          <w:tab w:val="left" w:pos="2880"/>
          <w:tab w:val="left" w:pos="3600"/>
          <w:tab w:val="left" w:pos="4320"/>
          <w:tab w:val="left" w:pos="5040"/>
          <w:tab w:val="left" w:pos="6480"/>
          <w:tab w:val="left" w:pos="7200"/>
          <w:tab w:val="left" w:pos="7920"/>
        </w:tabs>
        <w:spacing w:after="0"/>
        <w:rPr>
          <w:rFonts w:eastAsia="Calibri"/>
          <w:color w:val="auto"/>
          <w:szCs w:val="24"/>
          <w:lang w:eastAsia="en-US"/>
        </w:rPr>
      </w:pPr>
      <w:r w:rsidRPr="00F867D0">
        <w:rPr>
          <w:rFonts w:eastAsia="Calibri"/>
          <w:color w:val="auto"/>
          <w:szCs w:val="24"/>
          <w:lang w:eastAsia="en-US"/>
        </w:rPr>
        <w:t>In order to prepare its report responding to Decision XXIX/10, the TEAP established a task force. The composition of the Dec. XXIX/10 Task Force is as follows:</w:t>
      </w:r>
    </w:p>
    <w:p w14:paraId="646EBB6A" w14:textId="77777777" w:rsidR="005E2BBD" w:rsidRPr="00F867D0" w:rsidRDefault="005E2BBD" w:rsidP="005E2BBD">
      <w:pPr>
        <w:spacing w:after="120" w:line="276" w:lineRule="auto"/>
        <w:rPr>
          <w:rFonts w:eastAsia="Calibri"/>
          <w:b/>
          <w:bCs/>
          <w:color w:val="auto"/>
          <w:szCs w:val="24"/>
          <w:lang w:eastAsia="en-US"/>
        </w:rPr>
      </w:pPr>
    </w:p>
    <w:tbl>
      <w:tblPr>
        <w:tblW w:w="0" w:type="auto"/>
        <w:tblCellMar>
          <w:left w:w="0" w:type="dxa"/>
          <w:right w:w="0" w:type="dxa"/>
        </w:tblCellMar>
        <w:tblLook w:val="04A0" w:firstRow="1" w:lastRow="0" w:firstColumn="1" w:lastColumn="0" w:noHBand="0" w:noVBand="1"/>
      </w:tblPr>
      <w:tblGrid>
        <w:gridCol w:w="4518"/>
        <w:gridCol w:w="1260"/>
      </w:tblGrid>
      <w:tr w:rsidR="005E2BBD" w:rsidRPr="00F867D0" w14:paraId="65A5FA60" w14:textId="77777777" w:rsidTr="006F644E">
        <w:tc>
          <w:tcPr>
            <w:tcW w:w="4518"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0718C5A7" w14:textId="77777777" w:rsidR="005E2BBD" w:rsidRPr="00F867D0" w:rsidRDefault="005E2BBD" w:rsidP="005E2BBD">
            <w:pPr>
              <w:spacing w:after="120" w:line="276" w:lineRule="auto"/>
              <w:rPr>
                <w:rFonts w:eastAsia="Calibri"/>
                <w:color w:val="auto"/>
                <w:szCs w:val="24"/>
                <w:lang w:eastAsia="en-US"/>
              </w:rPr>
            </w:pPr>
            <w:r w:rsidRPr="00F867D0">
              <w:rPr>
                <w:rFonts w:eastAsia="Calibri"/>
                <w:b/>
                <w:bCs/>
                <w:color w:val="auto"/>
                <w:szCs w:val="24"/>
                <w:lang w:eastAsia="en-US"/>
              </w:rPr>
              <w:t>Co-chairs</w:t>
            </w:r>
          </w:p>
        </w:tc>
        <w:tc>
          <w:tcPr>
            <w:tcW w:w="1260"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5C63399C" w14:textId="77777777" w:rsidR="005E2BBD" w:rsidRPr="00F867D0" w:rsidRDefault="005E2BBD" w:rsidP="005E2BBD">
            <w:pPr>
              <w:spacing w:after="120" w:line="276" w:lineRule="auto"/>
              <w:rPr>
                <w:rFonts w:eastAsia="Calibri"/>
                <w:color w:val="auto"/>
                <w:szCs w:val="24"/>
                <w:lang w:eastAsia="en-US"/>
              </w:rPr>
            </w:pPr>
            <w:r w:rsidRPr="00F867D0">
              <w:rPr>
                <w:rFonts w:eastAsia="Calibri"/>
                <w:b/>
                <w:bCs/>
                <w:color w:val="auto"/>
                <w:szCs w:val="24"/>
                <w:lang w:eastAsia="en-US"/>
              </w:rPr>
              <w:t>Party</w:t>
            </w:r>
          </w:p>
        </w:tc>
      </w:tr>
      <w:tr w:rsidR="005E2BBD" w:rsidRPr="00F867D0" w14:paraId="60BBAE8F"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B831383" w14:textId="77777777" w:rsidR="005E2BBD" w:rsidRPr="00F867D0" w:rsidRDefault="005E2BBD" w:rsidP="005E2BBD">
            <w:pPr>
              <w:spacing w:after="120" w:line="276" w:lineRule="auto"/>
              <w:rPr>
                <w:rFonts w:eastAsia="Calibri"/>
                <w:color w:val="auto"/>
                <w:szCs w:val="24"/>
                <w:lang w:eastAsia="en-US"/>
              </w:rPr>
            </w:pPr>
            <w:bookmarkStart w:id="32" w:name="_Hlk514707038"/>
            <w:r w:rsidRPr="00F867D0">
              <w:rPr>
                <w:rFonts w:eastAsia="Calibri"/>
                <w:color w:val="auto"/>
                <w:szCs w:val="24"/>
                <w:lang w:eastAsia="en-US"/>
              </w:rPr>
              <w:t>Suely Carvalho, Senior Expert, TEAP</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904BE0"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BRA</w:t>
            </w:r>
          </w:p>
        </w:tc>
      </w:tr>
      <w:tr w:rsidR="005E2BBD" w:rsidRPr="00F867D0" w14:paraId="7571B26F"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B248A27"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Bella Maranion, Co-chair, TEAP</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3D4CAB7"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US</w:t>
            </w:r>
          </w:p>
        </w:tc>
      </w:tr>
      <w:tr w:rsidR="005E2BBD" w:rsidRPr="00F867D0" w14:paraId="3DBCC072"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5D73201"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Fabio Polonara, Co-chair, RTOC</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A61692"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IT</w:t>
            </w:r>
          </w:p>
        </w:tc>
      </w:tr>
      <w:tr w:rsidR="005E2BBD" w:rsidRPr="00F867D0" w14:paraId="7A26997D" w14:textId="77777777" w:rsidTr="006F644E">
        <w:tc>
          <w:tcPr>
            <w:tcW w:w="5778"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tcPr>
          <w:p w14:paraId="0D2FB45A" w14:textId="77777777" w:rsidR="005E2BBD" w:rsidRPr="00F867D0" w:rsidRDefault="005E2BBD" w:rsidP="005E2BBD">
            <w:pPr>
              <w:spacing w:after="120" w:line="276" w:lineRule="auto"/>
              <w:rPr>
                <w:rFonts w:eastAsia="Calibri"/>
                <w:b/>
                <w:color w:val="auto"/>
                <w:szCs w:val="24"/>
                <w:lang w:eastAsia="en-US"/>
              </w:rPr>
            </w:pPr>
            <w:r w:rsidRPr="00F867D0">
              <w:rPr>
                <w:rFonts w:eastAsia="Calibri"/>
                <w:b/>
                <w:color w:val="auto"/>
                <w:szCs w:val="24"/>
                <w:lang w:eastAsia="en-US"/>
              </w:rPr>
              <w:t>Members</w:t>
            </w:r>
          </w:p>
        </w:tc>
      </w:tr>
      <w:tr w:rsidR="005E2BBD" w:rsidRPr="00F867D0" w14:paraId="77219EB9"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5DB447A"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Omar Abdelaziz, Outside expert</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7DEBDBC"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EG</w:t>
            </w:r>
          </w:p>
        </w:tc>
      </w:tr>
      <w:tr w:rsidR="005E2BBD" w:rsidRPr="00F867D0" w14:paraId="263C42C0"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FD31FB5" w14:textId="4E858AC3"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Jitendra M Bhambure, Outside expert</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745060"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IN</w:t>
            </w:r>
          </w:p>
        </w:tc>
      </w:tr>
      <w:tr w:rsidR="005E2BBD" w:rsidRPr="00F867D0" w14:paraId="49790835"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0D98B5A"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 xml:space="preserve">Sukumar Devotta, Member, RTOC </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4C3E019"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IN</w:t>
            </w:r>
          </w:p>
        </w:tc>
      </w:tr>
      <w:tr w:rsidR="005E2BBD" w:rsidRPr="00F867D0" w14:paraId="23566193"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33CAD06" w14:textId="4A3F38A0" w:rsidR="005E2BBD" w:rsidRPr="00F867D0" w:rsidRDefault="00777872" w:rsidP="005E2BBD">
            <w:pPr>
              <w:spacing w:after="120" w:line="276" w:lineRule="auto"/>
              <w:rPr>
                <w:rFonts w:eastAsia="Calibri"/>
                <w:color w:val="auto"/>
                <w:szCs w:val="24"/>
                <w:lang w:eastAsia="en-US"/>
              </w:rPr>
            </w:pPr>
            <w:r w:rsidRPr="00F867D0">
              <w:rPr>
                <w:rFonts w:eastAsia="Calibri"/>
                <w:color w:val="auto"/>
                <w:szCs w:val="24"/>
                <w:lang w:eastAsia="en-US"/>
              </w:rPr>
              <w:t xml:space="preserve">Gabrielle </w:t>
            </w:r>
            <w:r w:rsidR="005E2BBD" w:rsidRPr="00F867D0">
              <w:rPr>
                <w:rFonts w:eastAsia="Calibri"/>
                <w:color w:val="auto"/>
                <w:szCs w:val="24"/>
                <w:lang w:eastAsia="en-US"/>
              </w:rPr>
              <w:t>Dreyfus, Outside expert</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9C69BDF"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US</w:t>
            </w:r>
          </w:p>
        </w:tc>
      </w:tr>
      <w:tr w:rsidR="005E2BBD" w:rsidRPr="00F867D0" w14:paraId="1A0836CE"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3EA1AA5"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Bassam Elassaad, Member, RTOC</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0D0868"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LB</w:t>
            </w:r>
          </w:p>
        </w:tc>
      </w:tr>
      <w:tr w:rsidR="005E2BBD" w:rsidRPr="00F867D0" w14:paraId="6446F0E4"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82B3914"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Ray Gluckman, Member, RTOC</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398F9B"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UK</w:t>
            </w:r>
          </w:p>
        </w:tc>
      </w:tr>
      <w:tr w:rsidR="005E2BBD" w:rsidRPr="00F867D0" w14:paraId="21EF031F"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9454E4"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Marco Gonzalez, Senior Expert, TEAP</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5895E2F"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CR</w:t>
            </w:r>
          </w:p>
        </w:tc>
      </w:tr>
      <w:tr w:rsidR="005E2BBD" w:rsidRPr="00F867D0" w14:paraId="603CAD15"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9579221"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Tingxun Li, Member, RTOC</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F8DDBF8"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PRC</w:t>
            </w:r>
          </w:p>
        </w:tc>
      </w:tr>
      <w:tr w:rsidR="005E2BBD" w:rsidRPr="00F867D0" w14:paraId="582D2908"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2C8DF5D"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Maher Mousa, Member, RTOC</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F2DB95E"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SA</w:t>
            </w:r>
          </w:p>
        </w:tc>
      </w:tr>
      <w:tr w:rsidR="005E2BBD" w:rsidRPr="00F867D0" w14:paraId="5E94877D"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78C0899"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Tetsuji Okada, Member, RTOC</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232B69E"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J</w:t>
            </w:r>
          </w:p>
        </w:tc>
      </w:tr>
      <w:tr w:rsidR="005E2BBD" w:rsidRPr="00F867D0" w14:paraId="401ABD4C"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31EBA2E"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Per Henrik-Pedersen, Member, RTOC</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D91C2D"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DK</w:t>
            </w:r>
          </w:p>
        </w:tc>
      </w:tr>
      <w:tr w:rsidR="005E2BBD" w:rsidRPr="00F867D0" w14:paraId="028CBA52"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CDCDA02"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Roberto Peixoto, Co-chair, RTOC</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A470EB"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BRA</w:t>
            </w:r>
          </w:p>
        </w:tc>
      </w:tr>
      <w:tr w:rsidR="005E2BBD" w:rsidRPr="00F867D0" w14:paraId="71F47600"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D4922F" w14:textId="6A775B87" w:rsidR="005E2BBD" w:rsidRPr="000F749F" w:rsidRDefault="005E2BBD" w:rsidP="005E2BBD">
            <w:pPr>
              <w:spacing w:after="120" w:line="276" w:lineRule="auto"/>
              <w:rPr>
                <w:rFonts w:eastAsia="Calibri"/>
                <w:color w:val="auto"/>
                <w:szCs w:val="24"/>
                <w:lang w:val="it-IT" w:eastAsia="en-US"/>
              </w:rPr>
            </w:pPr>
            <w:r w:rsidRPr="000F749F">
              <w:rPr>
                <w:rFonts w:eastAsia="Calibri"/>
                <w:color w:val="auto"/>
                <w:szCs w:val="24"/>
                <w:lang w:val="it-IT" w:eastAsia="en-US"/>
              </w:rPr>
              <w:t xml:space="preserve">Alessandro </w:t>
            </w:r>
            <w:r w:rsidR="004C5FA4" w:rsidRPr="000F749F">
              <w:rPr>
                <w:rFonts w:eastAsia="Calibri"/>
                <w:color w:val="auto"/>
                <w:szCs w:val="24"/>
                <w:lang w:val="it-IT" w:eastAsia="en-US"/>
              </w:rPr>
              <w:t xml:space="preserve">Giuliano </w:t>
            </w:r>
            <w:r w:rsidRPr="000F749F">
              <w:rPr>
                <w:rFonts w:eastAsia="Calibri"/>
                <w:color w:val="auto"/>
                <w:szCs w:val="24"/>
                <w:lang w:val="it-IT" w:eastAsia="en-US"/>
              </w:rPr>
              <w:t>Peru, Outside expert</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F91055"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IT</w:t>
            </w:r>
          </w:p>
        </w:tc>
      </w:tr>
      <w:tr w:rsidR="005E2BBD" w:rsidRPr="00F867D0" w14:paraId="6AB0A64C"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5FD822"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Rajan Rajendran, Member, RTOC</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F36D30"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US</w:t>
            </w:r>
          </w:p>
        </w:tc>
      </w:tr>
      <w:tr w:rsidR="005E2BBD" w:rsidRPr="00F867D0" w14:paraId="7F895E75"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5E8A5FA"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Helene Rochat, Outside expert</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9341EAC"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CH</w:t>
            </w:r>
          </w:p>
        </w:tc>
      </w:tr>
      <w:tr w:rsidR="005E2BBD" w:rsidRPr="00F867D0" w14:paraId="04A5C718"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F9B4A0"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Nihar Shah, Outside expert</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D933D5C"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IN</w:t>
            </w:r>
          </w:p>
        </w:tc>
      </w:tr>
      <w:tr w:rsidR="005E2BBD" w:rsidRPr="00F867D0" w14:paraId="10A5F2EC"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6D3A0EF"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Dan Verdonik, Co-chair, HTOC</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FD1DA06"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US</w:t>
            </w:r>
          </w:p>
        </w:tc>
      </w:tr>
      <w:tr w:rsidR="005E2BBD" w:rsidRPr="00F867D0" w14:paraId="2C31A022" w14:textId="77777777" w:rsidTr="006F644E">
        <w:tc>
          <w:tcPr>
            <w:tcW w:w="451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964F9F0"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Ashley Woodcock, Co-chair, TEAP</w:t>
            </w:r>
          </w:p>
        </w:tc>
        <w:tc>
          <w:tcPr>
            <w:tcW w:w="12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D53A7D" w14:textId="77777777" w:rsidR="005E2BBD" w:rsidRPr="00F867D0" w:rsidRDefault="005E2BBD" w:rsidP="005E2BBD">
            <w:pPr>
              <w:spacing w:after="120" w:line="276" w:lineRule="auto"/>
              <w:rPr>
                <w:rFonts w:eastAsia="Calibri"/>
                <w:color w:val="auto"/>
                <w:szCs w:val="24"/>
                <w:lang w:eastAsia="en-US"/>
              </w:rPr>
            </w:pPr>
            <w:r w:rsidRPr="00F867D0">
              <w:rPr>
                <w:rFonts w:eastAsia="Calibri"/>
                <w:color w:val="auto"/>
                <w:szCs w:val="24"/>
                <w:lang w:eastAsia="en-US"/>
              </w:rPr>
              <w:t>UK</w:t>
            </w:r>
          </w:p>
        </w:tc>
      </w:tr>
      <w:bookmarkEnd w:id="32"/>
    </w:tbl>
    <w:p w14:paraId="06D90036" w14:textId="7F97705D" w:rsidR="005E2BBD" w:rsidRDefault="005E2BBD" w:rsidP="005E2BBD">
      <w:pPr>
        <w:tabs>
          <w:tab w:val="left" w:pos="90"/>
          <w:tab w:val="num" w:pos="1440"/>
          <w:tab w:val="center" w:pos="3870"/>
          <w:tab w:val="left" w:pos="4320"/>
          <w:tab w:val="left" w:pos="5040"/>
          <w:tab w:val="left" w:pos="6480"/>
          <w:tab w:val="left" w:pos="7200"/>
          <w:tab w:val="left" w:pos="7920"/>
        </w:tabs>
        <w:spacing w:after="0"/>
        <w:rPr>
          <w:rFonts w:eastAsia="MS Mincho"/>
          <w:color w:val="auto"/>
          <w:szCs w:val="24"/>
          <w:lang w:eastAsia="en-US"/>
        </w:rPr>
      </w:pPr>
    </w:p>
    <w:p w14:paraId="6FBEAC20" w14:textId="251D452A" w:rsidR="00CC56DF" w:rsidRPr="00385D9F" w:rsidRDefault="00CC56DF" w:rsidP="005E2BBD">
      <w:pPr>
        <w:tabs>
          <w:tab w:val="left" w:pos="90"/>
          <w:tab w:val="num" w:pos="1440"/>
          <w:tab w:val="center" w:pos="3870"/>
          <w:tab w:val="left" w:pos="4320"/>
          <w:tab w:val="left" w:pos="5040"/>
          <w:tab w:val="left" w:pos="6480"/>
          <w:tab w:val="left" w:pos="7200"/>
          <w:tab w:val="left" w:pos="7920"/>
        </w:tabs>
        <w:spacing w:after="0"/>
        <w:rPr>
          <w:rFonts w:eastAsia="MS Mincho"/>
          <w:color w:val="auto"/>
          <w:szCs w:val="24"/>
          <w:lang w:eastAsia="en-US"/>
        </w:rPr>
      </w:pPr>
      <w:r w:rsidRPr="00385D9F">
        <w:rPr>
          <w:bCs/>
          <w:color w:val="auto"/>
          <w:lang w:val="en-US"/>
        </w:rPr>
        <w:t>Although not members of the Task Force, TEAP would like to extend its appreciation to RTOC members Holger Koenig</w:t>
      </w:r>
      <w:r w:rsidRPr="00385D9F">
        <w:rPr>
          <w:color w:val="auto"/>
          <w:lang w:val="en-US"/>
        </w:rPr>
        <w:t xml:space="preserve"> and </w:t>
      </w:r>
      <w:r w:rsidRPr="00385D9F">
        <w:rPr>
          <w:bCs/>
          <w:color w:val="auto"/>
          <w:lang w:val="en-US"/>
        </w:rPr>
        <w:t>Carloandrea Malvicino</w:t>
      </w:r>
      <w:r w:rsidRPr="00385D9F">
        <w:rPr>
          <w:color w:val="auto"/>
          <w:lang w:val="en-US"/>
        </w:rPr>
        <w:t xml:space="preserve"> for the </w:t>
      </w:r>
      <w:r w:rsidR="00597BFE" w:rsidRPr="00385D9F">
        <w:rPr>
          <w:color w:val="auto"/>
          <w:lang w:val="en-US"/>
        </w:rPr>
        <w:t xml:space="preserve">specific </w:t>
      </w:r>
      <w:r w:rsidRPr="00385D9F">
        <w:rPr>
          <w:color w:val="auto"/>
          <w:lang w:val="en-US"/>
        </w:rPr>
        <w:t xml:space="preserve">information they provided </w:t>
      </w:r>
      <w:r w:rsidR="00597BFE" w:rsidRPr="00385D9F">
        <w:rPr>
          <w:color w:val="auto"/>
          <w:lang w:val="en-US"/>
        </w:rPr>
        <w:t>on t</w:t>
      </w:r>
      <w:r w:rsidRPr="00385D9F">
        <w:rPr>
          <w:color w:val="auto"/>
          <w:lang w:val="en-US"/>
        </w:rPr>
        <w:t>he automotive and tra</w:t>
      </w:r>
      <w:r w:rsidR="00515800" w:rsidRPr="00385D9F">
        <w:rPr>
          <w:color w:val="auto"/>
          <w:lang w:val="en-US"/>
        </w:rPr>
        <w:t>n</w:t>
      </w:r>
      <w:r w:rsidRPr="00385D9F">
        <w:rPr>
          <w:color w:val="auto"/>
          <w:lang w:val="en-US"/>
        </w:rPr>
        <w:t>sport sectors.</w:t>
      </w:r>
    </w:p>
    <w:p w14:paraId="4DE9D283" w14:textId="4CB28F37" w:rsidR="005E2BBD" w:rsidRPr="00F867D0" w:rsidRDefault="005E2BBD" w:rsidP="005E2BBD">
      <w:pPr>
        <w:tabs>
          <w:tab w:val="left" w:pos="90"/>
          <w:tab w:val="num" w:pos="1440"/>
          <w:tab w:val="center" w:pos="3870"/>
          <w:tab w:val="left" w:pos="4320"/>
          <w:tab w:val="left" w:pos="5040"/>
          <w:tab w:val="left" w:pos="6480"/>
          <w:tab w:val="left" w:pos="7200"/>
          <w:tab w:val="left" w:pos="7920"/>
        </w:tabs>
        <w:spacing w:after="0"/>
        <w:rPr>
          <w:rFonts w:eastAsia="MS Mincho"/>
          <w:i/>
          <w:color w:val="auto"/>
          <w:szCs w:val="24"/>
          <w:lang w:eastAsia="en-US"/>
        </w:rPr>
      </w:pPr>
    </w:p>
    <w:p w14:paraId="1E3DBC97" w14:textId="1281F6A0" w:rsidR="005E2BBD" w:rsidRPr="000F749F" w:rsidRDefault="005E2BBD" w:rsidP="000F749F">
      <w:pPr>
        <w:pStyle w:val="Heading3"/>
        <w:rPr>
          <w:b w:val="0"/>
        </w:rPr>
      </w:pPr>
      <w:bookmarkStart w:id="33" w:name="_Toc504842112"/>
      <w:bookmarkStart w:id="34" w:name="_Toc515454348"/>
      <w:r w:rsidRPr="000F749F">
        <w:t>1.</w:t>
      </w:r>
      <w:r w:rsidR="00902998" w:rsidRPr="000F749F">
        <w:t>2</w:t>
      </w:r>
      <w:r w:rsidRPr="000F749F">
        <w:t>.2</w:t>
      </w:r>
      <w:r w:rsidRPr="000F749F">
        <w:tab/>
        <w:t>Sources of information</w:t>
      </w:r>
      <w:bookmarkEnd w:id="33"/>
      <w:bookmarkEnd w:id="34"/>
    </w:p>
    <w:p w14:paraId="6F64C822" w14:textId="7151414D" w:rsidR="00C57682" w:rsidRPr="00F867D0" w:rsidRDefault="005E2BBD" w:rsidP="005E2BBD">
      <w:pPr>
        <w:spacing w:after="0"/>
        <w:rPr>
          <w:rFonts w:eastAsia="Calibri"/>
          <w:color w:val="auto"/>
          <w:sz w:val="24"/>
          <w:szCs w:val="24"/>
          <w:lang w:eastAsia="en-US"/>
        </w:rPr>
      </w:pPr>
      <w:r w:rsidRPr="00F867D0">
        <w:rPr>
          <w:rFonts w:eastAsia="Calibri"/>
          <w:color w:val="auto"/>
          <w:szCs w:val="24"/>
          <w:lang w:eastAsia="en-US"/>
        </w:rPr>
        <w:t>E</w:t>
      </w:r>
      <w:r w:rsidR="001037C0" w:rsidRPr="00F867D0">
        <w:rPr>
          <w:rFonts w:eastAsia="Calibri"/>
          <w:color w:val="auto"/>
          <w:szCs w:val="24"/>
          <w:lang w:eastAsia="en-US"/>
        </w:rPr>
        <w:t>nergy efficiency (</w:t>
      </w:r>
      <w:r w:rsidRPr="00F867D0">
        <w:rPr>
          <w:rFonts w:eastAsia="Calibri"/>
          <w:color w:val="auto"/>
          <w:szCs w:val="24"/>
          <w:lang w:eastAsia="en-US"/>
        </w:rPr>
        <w:t>E</w:t>
      </w:r>
      <w:r w:rsidR="001037C0" w:rsidRPr="00F867D0">
        <w:rPr>
          <w:rFonts w:eastAsia="Calibri"/>
          <w:color w:val="auto"/>
          <w:szCs w:val="24"/>
          <w:lang w:eastAsia="en-US"/>
        </w:rPr>
        <w:t>E)</w:t>
      </w:r>
      <w:r w:rsidRPr="00F867D0">
        <w:rPr>
          <w:rFonts w:eastAsia="Calibri"/>
          <w:color w:val="auto"/>
          <w:szCs w:val="24"/>
          <w:lang w:eastAsia="en-US"/>
        </w:rPr>
        <w:t xml:space="preserve"> is a broad topic of major importance for the environment, economics and health, and there is an enormous amount of published literature and reviews. In preparing its response to the decision, the </w:t>
      </w:r>
      <w:r w:rsidR="00684D0B">
        <w:rPr>
          <w:rFonts w:eastAsia="Calibri"/>
          <w:color w:val="auto"/>
          <w:szCs w:val="24"/>
          <w:lang w:eastAsia="en-US"/>
        </w:rPr>
        <w:t>T</w:t>
      </w:r>
      <w:r w:rsidRPr="00F867D0">
        <w:rPr>
          <w:rFonts w:eastAsia="Calibri"/>
          <w:color w:val="auto"/>
          <w:szCs w:val="24"/>
          <w:lang w:eastAsia="en-US"/>
        </w:rPr>
        <w:t xml:space="preserve">ask </w:t>
      </w:r>
      <w:r w:rsidR="00684D0B">
        <w:rPr>
          <w:rFonts w:eastAsia="Calibri"/>
          <w:color w:val="auto"/>
          <w:szCs w:val="24"/>
          <w:lang w:eastAsia="en-US"/>
        </w:rPr>
        <w:t>F</w:t>
      </w:r>
      <w:r w:rsidRPr="00F867D0">
        <w:rPr>
          <w:rFonts w:eastAsia="Calibri"/>
          <w:color w:val="auto"/>
          <w:szCs w:val="24"/>
          <w:lang w:eastAsia="en-US"/>
        </w:rPr>
        <w:t>orce</w:t>
      </w:r>
      <w:r w:rsidR="000C123E" w:rsidRPr="00F867D0">
        <w:rPr>
          <w:rFonts w:eastAsia="Calibri"/>
          <w:color w:val="auto"/>
          <w:szCs w:val="24"/>
          <w:lang w:eastAsia="en-US"/>
        </w:rPr>
        <w:t xml:space="preserve"> referenced information provided in earlier TEAP reports </w:t>
      </w:r>
      <w:r w:rsidR="001037C0" w:rsidRPr="00F867D0">
        <w:rPr>
          <w:rFonts w:eastAsia="Calibri"/>
          <w:color w:val="auto"/>
          <w:szCs w:val="24"/>
          <w:lang w:eastAsia="en-US"/>
        </w:rPr>
        <w:t>(e.g., Decision XXVIII/</w:t>
      </w:r>
      <w:r w:rsidR="00C7275E">
        <w:rPr>
          <w:rFonts w:eastAsia="Calibri"/>
          <w:color w:val="auto"/>
          <w:szCs w:val="24"/>
          <w:lang w:eastAsia="en-US"/>
        </w:rPr>
        <w:t>3</w:t>
      </w:r>
      <w:r w:rsidR="001037C0" w:rsidRPr="00F867D0">
        <w:rPr>
          <w:rFonts w:eastAsia="Calibri"/>
          <w:color w:val="auto"/>
          <w:szCs w:val="24"/>
          <w:lang w:eastAsia="en-US"/>
        </w:rPr>
        <w:t xml:space="preserve"> </w:t>
      </w:r>
      <w:r w:rsidR="00C7275E">
        <w:rPr>
          <w:rFonts w:eastAsia="Calibri"/>
          <w:color w:val="auto"/>
          <w:szCs w:val="24"/>
          <w:lang w:eastAsia="en-US"/>
        </w:rPr>
        <w:t xml:space="preserve">Working Group </w:t>
      </w:r>
      <w:r w:rsidR="001037C0" w:rsidRPr="00F867D0">
        <w:rPr>
          <w:rFonts w:eastAsia="Calibri"/>
          <w:color w:val="auto"/>
          <w:szCs w:val="24"/>
          <w:lang w:eastAsia="en-US"/>
        </w:rPr>
        <w:t xml:space="preserve">Report – </w:t>
      </w:r>
      <w:r w:rsidR="00C7275E">
        <w:rPr>
          <w:rFonts w:eastAsia="Calibri"/>
          <w:color w:val="auto"/>
          <w:szCs w:val="24"/>
          <w:lang w:eastAsia="en-US"/>
        </w:rPr>
        <w:t>October</w:t>
      </w:r>
      <w:r w:rsidR="001037C0" w:rsidRPr="00F867D0">
        <w:rPr>
          <w:rFonts w:eastAsia="Calibri"/>
          <w:color w:val="auto"/>
          <w:szCs w:val="24"/>
          <w:lang w:eastAsia="en-US"/>
        </w:rPr>
        <w:t xml:space="preserve"> 2017) </w:t>
      </w:r>
      <w:r w:rsidR="000C123E" w:rsidRPr="00F867D0">
        <w:rPr>
          <w:rFonts w:eastAsia="Calibri"/>
          <w:color w:val="auto"/>
          <w:szCs w:val="24"/>
          <w:lang w:eastAsia="en-US"/>
        </w:rPr>
        <w:t xml:space="preserve">and examined updated, available research and studies. While the methodology of calculating costs was adapted from the U.S and Europe, the practical examples were provided from India, China, and other countries. Outside expert members of the Task Force provided relevant information from their own research and </w:t>
      </w:r>
      <w:r w:rsidR="00684D0B">
        <w:rPr>
          <w:rFonts w:eastAsia="Calibri"/>
          <w:color w:val="auto"/>
          <w:szCs w:val="24"/>
          <w:lang w:eastAsia="en-US"/>
        </w:rPr>
        <w:t xml:space="preserve">of work </w:t>
      </w:r>
      <w:r w:rsidR="000C123E" w:rsidRPr="00F867D0">
        <w:rPr>
          <w:rFonts w:eastAsia="Calibri"/>
          <w:color w:val="auto"/>
          <w:szCs w:val="24"/>
          <w:lang w:eastAsia="en-US"/>
        </w:rPr>
        <w:t>done</w:t>
      </w:r>
      <w:r w:rsidR="000A31D6">
        <w:rPr>
          <w:rFonts w:eastAsia="Calibri"/>
          <w:color w:val="auto"/>
          <w:szCs w:val="24"/>
          <w:lang w:eastAsia="en-US"/>
        </w:rPr>
        <w:t xml:space="preserve"> by their colleagues and organis</w:t>
      </w:r>
      <w:r w:rsidR="000C123E" w:rsidRPr="00F867D0">
        <w:rPr>
          <w:rFonts w:eastAsia="Calibri"/>
          <w:color w:val="auto"/>
          <w:szCs w:val="24"/>
          <w:lang w:eastAsia="en-US"/>
        </w:rPr>
        <w:t>ations for consideration</w:t>
      </w:r>
      <w:r w:rsidR="001037C0" w:rsidRPr="00F867D0">
        <w:rPr>
          <w:rFonts w:eastAsia="Calibri"/>
          <w:color w:val="auto"/>
          <w:szCs w:val="24"/>
          <w:lang w:eastAsia="en-US"/>
        </w:rPr>
        <w:t xml:space="preserve"> in this report</w:t>
      </w:r>
      <w:r w:rsidR="000C123E" w:rsidRPr="00F867D0">
        <w:rPr>
          <w:rFonts w:eastAsia="Calibri"/>
          <w:color w:val="auto"/>
          <w:szCs w:val="24"/>
          <w:lang w:eastAsia="en-US"/>
        </w:rPr>
        <w:t>.</w:t>
      </w:r>
    </w:p>
    <w:p w14:paraId="0C1D0ED3" w14:textId="16CEE9B7" w:rsidR="005E2BBD" w:rsidRPr="000F749F" w:rsidRDefault="005E2BBD" w:rsidP="000F749F">
      <w:pPr>
        <w:pStyle w:val="Heading2"/>
        <w:rPr>
          <w:b w:val="0"/>
        </w:rPr>
      </w:pPr>
      <w:bookmarkStart w:id="35" w:name="_Toc504842113"/>
      <w:bookmarkStart w:id="36" w:name="_Toc515454349"/>
      <w:r w:rsidRPr="000F749F">
        <w:t>1.</w:t>
      </w:r>
      <w:r w:rsidR="00902998" w:rsidRPr="000F749F">
        <w:t>3</w:t>
      </w:r>
      <w:r w:rsidRPr="000F749F">
        <w:tab/>
        <w:t>Structure and procedure for the completion of the report</w:t>
      </w:r>
      <w:bookmarkEnd w:id="35"/>
      <w:bookmarkEnd w:id="36"/>
    </w:p>
    <w:p w14:paraId="0F59BF5F" w14:textId="6661E679" w:rsidR="001037C0" w:rsidRPr="00F867D0" w:rsidRDefault="00B26248" w:rsidP="001037C0">
      <w:pPr>
        <w:spacing w:after="0"/>
        <w:rPr>
          <w:rFonts w:eastAsia="Calibri"/>
          <w:color w:val="auto"/>
          <w:szCs w:val="22"/>
          <w:lang w:eastAsia="en-US"/>
        </w:rPr>
      </w:pPr>
      <w:r>
        <w:rPr>
          <w:rFonts w:eastAsia="Calibri"/>
          <w:color w:val="auto"/>
          <w:szCs w:val="22"/>
          <w:lang w:eastAsia="en-US"/>
        </w:rPr>
        <w:t>T</w:t>
      </w:r>
      <w:r w:rsidR="005E2BBD" w:rsidRPr="00F867D0">
        <w:rPr>
          <w:rFonts w:eastAsia="Calibri"/>
          <w:color w:val="auto"/>
          <w:szCs w:val="22"/>
          <w:lang w:eastAsia="en-US"/>
        </w:rPr>
        <w:t>his report</w:t>
      </w:r>
      <w:r w:rsidR="001037C0" w:rsidRPr="00F867D0">
        <w:rPr>
          <w:rFonts w:eastAsia="Calibri"/>
          <w:color w:val="auto"/>
          <w:szCs w:val="22"/>
          <w:lang w:eastAsia="en-US"/>
        </w:rPr>
        <w:t xml:space="preserve"> </w:t>
      </w:r>
      <w:r>
        <w:rPr>
          <w:rFonts w:eastAsia="Calibri"/>
          <w:color w:val="auto"/>
          <w:szCs w:val="22"/>
          <w:lang w:eastAsia="en-US"/>
        </w:rPr>
        <w:t>is organised</w:t>
      </w:r>
      <w:r w:rsidR="00684D0B">
        <w:rPr>
          <w:rFonts w:eastAsia="Calibri"/>
          <w:color w:val="auto"/>
          <w:szCs w:val="22"/>
          <w:lang w:eastAsia="en-US"/>
        </w:rPr>
        <w:t>,</w:t>
      </w:r>
      <w:r>
        <w:rPr>
          <w:rFonts w:eastAsia="Calibri"/>
          <w:color w:val="auto"/>
          <w:szCs w:val="22"/>
          <w:lang w:eastAsia="en-US"/>
        </w:rPr>
        <w:t xml:space="preserve"> </w:t>
      </w:r>
      <w:r w:rsidR="001037C0" w:rsidRPr="00F867D0">
        <w:rPr>
          <w:rFonts w:eastAsia="Calibri"/>
          <w:color w:val="auto"/>
          <w:szCs w:val="22"/>
          <w:lang w:eastAsia="en-US"/>
        </w:rPr>
        <w:t>following the format requested in Decision XXIX/10</w:t>
      </w:r>
      <w:r w:rsidR="00684D0B">
        <w:rPr>
          <w:rFonts w:eastAsia="Calibri"/>
          <w:color w:val="auto"/>
          <w:szCs w:val="22"/>
          <w:lang w:eastAsia="en-US"/>
        </w:rPr>
        <w:t>,</w:t>
      </w:r>
      <w:r w:rsidR="001037C0" w:rsidRPr="00F867D0">
        <w:rPr>
          <w:rFonts w:eastAsia="Calibri"/>
          <w:color w:val="auto"/>
          <w:szCs w:val="22"/>
          <w:lang w:eastAsia="en-US"/>
        </w:rPr>
        <w:t xml:space="preserve"> into an introduction and two main chapters. Chapter 2 deal</w:t>
      </w:r>
      <w:r>
        <w:rPr>
          <w:rFonts w:eastAsia="Calibri"/>
          <w:color w:val="auto"/>
          <w:szCs w:val="22"/>
          <w:lang w:eastAsia="en-US"/>
        </w:rPr>
        <w:t>s</w:t>
      </w:r>
      <w:r w:rsidR="001037C0" w:rsidRPr="00F867D0">
        <w:rPr>
          <w:rFonts w:eastAsia="Calibri"/>
          <w:color w:val="auto"/>
          <w:szCs w:val="22"/>
          <w:lang w:eastAsia="en-US"/>
        </w:rPr>
        <w:t xml:space="preserve"> with the technology opportunities related to maintaining or enhancing </w:t>
      </w:r>
      <w:r w:rsidR="003C37C3">
        <w:rPr>
          <w:rFonts w:eastAsia="Calibri"/>
          <w:color w:val="auto"/>
          <w:szCs w:val="22"/>
          <w:lang w:eastAsia="en-US"/>
        </w:rPr>
        <w:t>EE</w:t>
      </w:r>
      <w:r w:rsidR="002C5E4A">
        <w:rPr>
          <w:rFonts w:eastAsia="Calibri"/>
          <w:color w:val="auto"/>
          <w:szCs w:val="22"/>
          <w:lang w:eastAsia="en-US"/>
        </w:rPr>
        <w:t xml:space="preserve"> during the phasedown of HFCs. </w:t>
      </w:r>
      <w:r w:rsidR="001037C0" w:rsidRPr="00F867D0">
        <w:rPr>
          <w:rFonts w:eastAsia="Calibri"/>
          <w:color w:val="auto"/>
          <w:szCs w:val="22"/>
          <w:lang w:eastAsia="en-US"/>
        </w:rPr>
        <w:t>Various aspects of the</w:t>
      </w:r>
      <w:r w:rsidR="001037C0" w:rsidRPr="00F867D0">
        <w:rPr>
          <w:rFonts w:eastAsia="Calibri"/>
          <w:color w:val="auto"/>
          <w:szCs w:val="24"/>
          <w:lang w:eastAsia="en-US"/>
        </w:rPr>
        <w:t xml:space="preserve"> </w:t>
      </w:r>
      <w:r w:rsidR="00684D0B">
        <w:rPr>
          <w:rFonts w:eastAsia="Calibri"/>
          <w:color w:val="auto"/>
          <w:szCs w:val="24"/>
          <w:lang w:eastAsia="en-US"/>
        </w:rPr>
        <w:t>EE</w:t>
      </w:r>
      <w:r w:rsidR="001037C0" w:rsidRPr="00F867D0">
        <w:rPr>
          <w:rFonts w:eastAsia="Calibri"/>
          <w:color w:val="auto"/>
          <w:szCs w:val="24"/>
          <w:lang w:eastAsia="en-US"/>
        </w:rPr>
        <w:t xml:space="preserve"> opportunities in the RACHP sector were considered</w:t>
      </w:r>
      <w:r w:rsidR="00684D0B">
        <w:rPr>
          <w:rFonts w:eastAsia="Calibri"/>
          <w:color w:val="auto"/>
          <w:szCs w:val="24"/>
          <w:lang w:eastAsia="en-US"/>
        </w:rPr>
        <w:t>.</w:t>
      </w:r>
      <w:r w:rsidR="001037C0" w:rsidRPr="00F867D0">
        <w:rPr>
          <w:rFonts w:eastAsia="Calibri"/>
          <w:color w:val="auto"/>
          <w:szCs w:val="24"/>
          <w:lang w:eastAsia="en-US"/>
        </w:rPr>
        <w:t xml:space="preserve"> </w:t>
      </w:r>
      <w:r>
        <w:rPr>
          <w:rFonts w:eastAsia="Calibri"/>
          <w:color w:val="auto"/>
          <w:szCs w:val="24"/>
          <w:lang w:eastAsia="en-US"/>
        </w:rPr>
        <w:t>C</w:t>
      </w:r>
      <w:r w:rsidR="001037C0" w:rsidRPr="00F867D0">
        <w:rPr>
          <w:rFonts w:eastAsia="Calibri"/>
          <w:color w:val="auto"/>
          <w:szCs w:val="24"/>
          <w:lang w:eastAsia="en-US"/>
        </w:rPr>
        <w:t>hapter</w:t>
      </w:r>
      <w:r>
        <w:rPr>
          <w:rFonts w:eastAsia="Calibri"/>
          <w:color w:val="auto"/>
          <w:szCs w:val="24"/>
          <w:lang w:eastAsia="en-US"/>
        </w:rPr>
        <w:t xml:space="preserve"> 2</w:t>
      </w:r>
      <w:r w:rsidR="001037C0" w:rsidRPr="00F867D0">
        <w:rPr>
          <w:rFonts w:eastAsia="Calibri"/>
          <w:color w:val="auto"/>
          <w:szCs w:val="24"/>
          <w:lang w:eastAsia="en-US"/>
        </w:rPr>
        <w:t xml:space="preserve"> also considered the other topics requested from the decision including the long-term sustainability and viability of the technology opportunities, consideration of </w:t>
      </w:r>
      <w:r w:rsidR="001037C0" w:rsidRPr="00F867D0">
        <w:rPr>
          <w:rFonts w:eastAsia="Calibri"/>
          <w:color w:val="auto"/>
          <w:szCs w:val="22"/>
          <w:lang w:eastAsia="en-US"/>
        </w:rPr>
        <w:t xml:space="preserve">high ambient temperature (HAT) conditions, climate benefits from adopting the RACHP </w:t>
      </w:r>
      <w:r w:rsidR="00684D0B">
        <w:rPr>
          <w:rFonts w:eastAsia="Calibri"/>
          <w:color w:val="auto"/>
          <w:szCs w:val="22"/>
          <w:lang w:eastAsia="en-US"/>
        </w:rPr>
        <w:t>EE</w:t>
      </w:r>
      <w:r w:rsidR="001037C0" w:rsidRPr="00F867D0">
        <w:rPr>
          <w:rFonts w:eastAsia="Calibri"/>
          <w:color w:val="auto"/>
          <w:szCs w:val="22"/>
          <w:lang w:eastAsia="en-US"/>
        </w:rPr>
        <w:t xml:space="preserve"> measures, and consideration of related capital and operating costs. Chapter 3 examine</w:t>
      </w:r>
      <w:r>
        <w:rPr>
          <w:rFonts w:eastAsia="Calibri"/>
          <w:color w:val="auto"/>
          <w:szCs w:val="22"/>
          <w:lang w:eastAsia="en-US"/>
        </w:rPr>
        <w:t>s</w:t>
      </w:r>
      <w:r w:rsidR="001037C0" w:rsidRPr="00F867D0">
        <w:rPr>
          <w:rFonts w:eastAsia="Calibri"/>
          <w:color w:val="auto"/>
          <w:szCs w:val="22"/>
          <w:lang w:eastAsia="en-US"/>
        </w:rPr>
        <w:t xml:space="preserve"> other financial institutions where these may intersect with</w:t>
      </w:r>
      <w:r w:rsidR="00DE31FC" w:rsidRPr="00F867D0">
        <w:rPr>
          <w:rFonts w:eastAsia="Calibri"/>
          <w:color w:val="auto"/>
          <w:szCs w:val="22"/>
          <w:lang w:eastAsia="en-US"/>
        </w:rPr>
        <w:t xml:space="preserve"> support for realizing </w:t>
      </w:r>
      <w:r w:rsidR="003C37C3">
        <w:rPr>
          <w:rFonts w:eastAsia="Calibri"/>
          <w:color w:val="auto"/>
          <w:szCs w:val="22"/>
          <w:lang w:eastAsia="en-US"/>
        </w:rPr>
        <w:t>EE</w:t>
      </w:r>
      <w:r w:rsidR="00DE31FC" w:rsidRPr="00F867D0">
        <w:rPr>
          <w:rFonts w:eastAsia="Calibri"/>
          <w:color w:val="auto"/>
          <w:szCs w:val="22"/>
          <w:lang w:eastAsia="en-US"/>
        </w:rPr>
        <w:t xml:space="preserve"> goals in the RACHP sectors during the phasedown of </w:t>
      </w:r>
      <w:r w:rsidR="00174283">
        <w:rPr>
          <w:rFonts w:eastAsia="Calibri"/>
          <w:color w:val="auto"/>
          <w:szCs w:val="22"/>
          <w:lang w:eastAsia="en-US"/>
        </w:rPr>
        <w:t>hydrofluorocarbons (</w:t>
      </w:r>
      <w:r w:rsidR="00DE31FC" w:rsidRPr="00F867D0">
        <w:rPr>
          <w:rFonts w:eastAsia="Calibri"/>
          <w:color w:val="auto"/>
          <w:szCs w:val="22"/>
          <w:lang w:eastAsia="en-US"/>
        </w:rPr>
        <w:t>HFCs</w:t>
      </w:r>
      <w:r w:rsidR="00174283">
        <w:rPr>
          <w:rFonts w:eastAsia="Calibri"/>
          <w:color w:val="auto"/>
          <w:szCs w:val="22"/>
          <w:lang w:eastAsia="en-US"/>
        </w:rPr>
        <w:t>)</w:t>
      </w:r>
      <w:r w:rsidR="00DE31FC" w:rsidRPr="00F867D0">
        <w:rPr>
          <w:rFonts w:eastAsia="Calibri"/>
          <w:color w:val="auto"/>
          <w:szCs w:val="22"/>
          <w:lang w:eastAsia="en-US"/>
        </w:rPr>
        <w:t>.</w:t>
      </w:r>
      <w:r w:rsidR="001037C0" w:rsidRPr="00F867D0">
        <w:rPr>
          <w:rFonts w:eastAsia="Calibri"/>
          <w:color w:val="auto"/>
          <w:szCs w:val="22"/>
          <w:lang w:eastAsia="en-US"/>
        </w:rPr>
        <w:t xml:space="preserve">  </w:t>
      </w:r>
    </w:p>
    <w:p w14:paraId="010F6559" w14:textId="77777777" w:rsidR="001037C0" w:rsidRPr="00F867D0" w:rsidRDefault="001037C0" w:rsidP="001037C0">
      <w:pPr>
        <w:spacing w:after="0"/>
        <w:rPr>
          <w:rFonts w:eastAsia="Calibri"/>
          <w:color w:val="auto"/>
          <w:szCs w:val="22"/>
          <w:lang w:eastAsia="en-US"/>
        </w:rPr>
      </w:pPr>
    </w:p>
    <w:p w14:paraId="46AFC5E6" w14:textId="317DA4E0" w:rsidR="001037C0" w:rsidRPr="00F867D0" w:rsidRDefault="001037C0" w:rsidP="001037C0">
      <w:pPr>
        <w:spacing w:after="0"/>
        <w:rPr>
          <w:rFonts w:eastAsia="Calibri"/>
          <w:color w:val="auto"/>
          <w:szCs w:val="22"/>
          <w:lang w:eastAsia="en-US"/>
        </w:rPr>
      </w:pPr>
      <w:r w:rsidRPr="00F867D0">
        <w:rPr>
          <w:rFonts w:eastAsia="Calibri"/>
          <w:color w:val="auto"/>
          <w:szCs w:val="22"/>
          <w:lang w:eastAsia="en-US"/>
        </w:rPr>
        <w:t xml:space="preserve">Information about the different challenges to the technology uptake in the RACHP sectors and </w:t>
      </w:r>
      <w:r w:rsidR="00DE31FC" w:rsidRPr="00F867D0">
        <w:rPr>
          <w:rFonts w:eastAsia="Calibri"/>
          <w:color w:val="auto"/>
          <w:szCs w:val="22"/>
          <w:lang w:eastAsia="en-US"/>
        </w:rPr>
        <w:t xml:space="preserve">examples of relevant projects funding </w:t>
      </w:r>
      <w:r w:rsidR="00684D0B">
        <w:rPr>
          <w:rFonts w:eastAsia="Calibri"/>
          <w:color w:val="auto"/>
          <w:szCs w:val="22"/>
          <w:lang w:eastAsia="en-US"/>
        </w:rPr>
        <w:t xml:space="preserve">or financing </w:t>
      </w:r>
      <w:r w:rsidRPr="00F867D0">
        <w:rPr>
          <w:rFonts w:eastAsia="Calibri"/>
          <w:color w:val="auto"/>
          <w:szCs w:val="22"/>
          <w:lang w:eastAsia="en-US"/>
        </w:rPr>
        <w:t xml:space="preserve">can be found in Annexes A </w:t>
      </w:r>
      <w:r w:rsidR="00DE31FC" w:rsidRPr="00F867D0">
        <w:rPr>
          <w:rFonts w:eastAsia="Calibri"/>
          <w:color w:val="auto"/>
          <w:szCs w:val="22"/>
          <w:lang w:eastAsia="en-US"/>
        </w:rPr>
        <w:t>and</w:t>
      </w:r>
      <w:r w:rsidRPr="00F867D0">
        <w:rPr>
          <w:rFonts w:eastAsia="Calibri"/>
          <w:color w:val="auto"/>
          <w:szCs w:val="22"/>
          <w:lang w:eastAsia="en-US"/>
        </w:rPr>
        <w:t xml:space="preserve"> B</w:t>
      </w:r>
      <w:r w:rsidR="00DE31FC" w:rsidRPr="00F867D0">
        <w:rPr>
          <w:rFonts w:eastAsia="Calibri"/>
          <w:color w:val="auto"/>
          <w:szCs w:val="22"/>
          <w:lang w:eastAsia="en-US"/>
        </w:rPr>
        <w:t>,</w:t>
      </w:r>
      <w:r w:rsidRPr="00F867D0">
        <w:rPr>
          <w:rFonts w:eastAsia="Calibri"/>
          <w:color w:val="auto"/>
          <w:szCs w:val="22"/>
          <w:lang w:eastAsia="en-US"/>
        </w:rPr>
        <w:t xml:space="preserve"> respectively.</w:t>
      </w:r>
    </w:p>
    <w:p w14:paraId="6A529E17" w14:textId="77777777" w:rsidR="005E2BBD" w:rsidRPr="00F867D0" w:rsidRDefault="005E2BBD" w:rsidP="005E2BBD">
      <w:pPr>
        <w:spacing w:after="0"/>
        <w:rPr>
          <w:rFonts w:eastAsia="Calibri"/>
          <w:color w:val="auto"/>
          <w:szCs w:val="22"/>
          <w:lang w:eastAsia="en-US"/>
        </w:rPr>
      </w:pPr>
    </w:p>
    <w:p w14:paraId="7E87BFC1" w14:textId="58333114" w:rsidR="005E2BBD" w:rsidRPr="00F867D0" w:rsidRDefault="005E2BBD" w:rsidP="005E2BBD">
      <w:pPr>
        <w:spacing w:after="0"/>
        <w:rPr>
          <w:rFonts w:eastAsia="Calibri"/>
          <w:color w:val="auto"/>
          <w:szCs w:val="22"/>
          <w:lang w:eastAsia="en-US"/>
        </w:rPr>
      </w:pPr>
      <w:r w:rsidRPr="00F867D0">
        <w:rPr>
          <w:rFonts w:eastAsia="Calibri"/>
          <w:color w:val="auto"/>
          <w:szCs w:val="22"/>
          <w:lang w:eastAsia="en-US"/>
        </w:rPr>
        <w:t xml:space="preserve">The report was drafted and reviewed by the </w:t>
      </w:r>
      <w:r w:rsidR="00684D0B">
        <w:rPr>
          <w:rFonts w:eastAsia="Calibri"/>
          <w:color w:val="auto"/>
          <w:szCs w:val="22"/>
          <w:lang w:eastAsia="en-US"/>
        </w:rPr>
        <w:t>Task Force</w:t>
      </w:r>
      <w:r w:rsidRPr="00F867D0">
        <w:rPr>
          <w:rFonts w:eastAsia="Calibri"/>
          <w:color w:val="auto"/>
          <w:szCs w:val="22"/>
          <w:lang w:eastAsia="en-US"/>
        </w:rPr>
        <w:t xml:space="preserve">, </w:t>
      </w:r>
      <w:r w:rsidR="00B15736" w:rsidRPr="00F867D0">
        <w:rPr>
          <w:rFonts w:eastAsia="Calibri"/>
          <w:color w:val="auto"/>
          <w:szCs w:val="22"/>
          <w:lang w:eastAsia="en-US"/>
        </w:rPr>
        <w:t xml:space="preserve">including at a meeting of the Task Force, 21-22 April 2018, in London. The draft was </w:t>
      </w:r>
      <w:r w:rsidRPr="00F867D0">
        <w:rPr>
          <w:rFonts w:eastAsia="Calibri"/>
          <w:color w:val="auto"/>
          <w:szCs w:val="22"/>
          <w:lang w:eastAsia="en-US"/>
        </w:rPr>
        <w:t>then reviewed by TEAP</w:t>
      </w:r>
      <w:r w:rsidR="00B15736" w:rsidRPr="00F867D0">
        <w:rPr>
          <w:rFonts w:eastAsia="Calibri"/>
          <w:color w:val="auto"/>
          <w:szCs w:val="22"/>
          <w:lang w:eastAsia="en-US"/>
        </w:rPr>
        <w:t xml:space="preserve"> and a fin</w:t>
      </w:r>
      <w:r w:rsidRPr="00F867D0">
        <w:rPr>
          <w:rFonts w:eastAsia="Calibri"/>
          <w:color w:val="auto"/>
          <w:szCs w:val="22"/>
          <w:lang w:eastAsia="en-US"/>
        </w:rPr>
        <w:t>al report addressing all comments was submitted to UNEP’s Ozone Secretariat.</w:t>
      </w:r>
    </w:p>
    <w:p w14:paraId="6BBFB06C" w14:textId="77777777" w:rsidR="00D87DA7" w:rsidRDefault="00D87DA7">
      <w:pPr>
        <w:spacing w:after="0"/>
        <w:rPr>
          <w:rStyle w:val="Heading1Char2"/>
          <w:rFonts w:ascii="Times New Roman" w:hAnsi="Times New Roman"/>
        </w:rPr>
        <w:sectPr w:rsidR="00D87DA7" w:rsidSect="00F91F8F">
          <w:pgSz w:w="11906" w:h="16838" w:code="9"/>
          <w:pgMar w:top="1440" w:right="1440" w:bottom="1440" w:left="1440" w:header="0" w:footer="720" w:gutter="0"/>
          <w:pgNumType w:start="1"/>
          <w:cols w:space="720"/>
          <w:docGrid w:linePitch="299"/>
        </w:sectPr>
      </w:pPr>
    </w:p>
    <w:p w14:paraId="1E758BC6" w14:textId="77777777" w:rsidR="00A663AA" w:rsidRPr="000F749F" w:rsidRDefault="00A663AA" w:rsidP="000F749F">
      <w:pPr>
        <w:pStyle w:val="Heading1"/>
        <w:rPr>
          <w:rStyle w:val="Heading1Char2"/>
          <w:rFonts w:ascii="Times New Roman" w:hAnsi="Times New Roman"/>
        </w:rPr>
      </w:pPr>
      <w:bookmarkStart w:id="37" w:name="_Toc515454350"/>
      <w:bookmarkStart w:id="38" w:name="_Toc509492761"/>
      <w:bookmarkEnd w:id="28"/>
      <w:bookmarkEnd w:id="29"/>
      <w:r w:rsidRPr="000F749F">
        <w:rPr>
          <w:rStyle w:val="Heading1Char2"/>
          <w:rFonts w:ascii="Times New Roman" w:hAnsi="Times New Roman"/>
        </w:rPr>
        <w:t>2</w:t>
      </w:r>
      <w:r w:rsidRPr="000F749F">
        <w:rPr>
          <w:rStyle w:val="Heading1Char2"/>
          <w:rFonts w:ascii="Times New Roman" w:hAnsi="Times New Roman"/>
        </w:rPr>
        <w:tab/>
        <w:t>Technology options and requirements for energy efficiency in the refrigeration, air conditioning, and heat pump (RACHP) sectors</w:t>
      </w:r>
      <w:bookmarkEnd w:id="37"/>
    </w:p>
    <w:p w14:paraId="2D82E4AC" w14:textId="77777777" w:rsidR="005E03A8" w:rsidRDefault="006F27CC" w:rsidP="006F27CC">
      <w:pPr>
        <w:widowControl w:val="0"/>
        <w:spacing w:after="0"/>
        <w:rPr>
          <w:color w:val="auto"/>
          <w:szCs w:val="22"/>
        </w:rPr>
      </w:pPr>
      <w:bookmarkStart w:id="39" w:name="_Toc509492728"/>
      <w:r w:rsidRPr="00F867D0">
        <w:rPr>
          <w:color w:val="auto"/>
          <w:szCs w:val="22"/>
        </w:rPr>
        <w:t>Decision XXIX/10 requests the TEAP</w:t>
      </w:r>
      <w:r w:rsidR="005E03A8">
        <w:rPr>
          <w:color w:val="auto"/>
          <w:szCs w:val="22"/>
        </w:rPr>
        <w:t>,</w:t>
      </w:r>
    </w:p>
    <w:p w14:paraId="1B915E1C" w14:textId="77777777" w:rsidR="005E03A8" w:rsidRDefault="005E03A8" w:rsidP="006F27CC">
      <w:pPr>
        <w:widowControl w:val="0"/>
        <w:spacing w:after="0"/>
        <w:rPr>
          <w:color w:val="auto"/>
          <w:szCs w:val="22"/>
        </w:rPr>
      </w:pPr>
    </w:p>
    <w:p w14:paraId="25775C91" w14:textId="7D590809" w:rsidR="006F27CC" w:rsidRPr="005E03A8" w:rsidRDefault="005E03A8" w:rsidP="006F27CC">
      <w:pPr>
        <w:widowControl w:val="0"/>
        <w:spacing w:after="0"/>
        <w:rPr>
          <w:i/>
          <w:color w:val="auto"/>
          <w:szCs w:val="22"/>
        </w:rPr>
      </w:pPr>
      <w:r>
        <w:rPr>
          <w:color w:val="auto"/>
          <w:szCs w:val="22"/>
        </w:rPr>
        <w:t>…</w:t>
      </w:r>
      <w:r w:rsidR="006F27CC" w:rsidRPr="005E03A8">
        <w:rPr>
          <w:i/>
          <w:color w:val="auto"/>
          <w:szCs w:val="22"/>
        </w:rPr>
        <w:t>in relation to maintaining and/or enhancing energy efficiency in the RACHP sectors, including in high-ambient temperature conditions, while phasing down hydrofluorocarbons under the Kigali Amendment to the Montreal Protocol in parties operating under paragraph 1 of Article 5, to assess the following items:</w:t>
      </w:r>
    </w:p>
    <w:p w14:paraId="6F26E23E" w14:textId="30BD5CBA" w:rsidR="006F27CC" w:rsidRPr="0093586F" w:rsidRDefault="006F27CC" w:rsidP="00736989">
      <w:pPr>
        <w:pStyle w:val="ListParagraph"/>
        <w:numPr>
          <w:ilvl w:val="0"/>
          <w:numId w:val="75"/>
        </w:numPr>
      </w:pPr>
      <w:r w:rsidRPr="0093586F">
        <w:t>Technology options and requirements including</w:t>
      </w:r>
    </w:p>
    <w:p w14:paraId="6A73FC67" w14:textId="3FC6AB6F" w:rsidR="00415245" w:rsidRPr="0093586F" w:rsidRDefault="004F14F0" w:rsidP="00736989">
      <w:pPr>
        <w:pStyle w:val="ListParagraph"/>
        <w:numPr>
          <w:ilvl w:val="0"/>
          <w:numId w:val="76"/>
        </w:numPr>
      </w:pPr>
      <w:r>
        <w:t xml:space="preserve"> </w:t>
      </w:r>
      <w:r w:rsidR="006F27CC" w:rsidRPr="0093586F">
        <w:t>Challenges for their uptake;</w:t>
      </w:r>
    </w:p>
    <w:p w14:paraId="475B5B9A" w14:textId="03F1B494" w:rsidR="00415245" w:rsidRPr="0093586F" w:rsidRDefault="004F14F0" w:rsidP="00736989">
      <w:pPr>
        <w:pStyle w:val="ListParagraph"/>
        <w:numPr>
          <w:ilvl w:val="0"/>
          <w:numId w:val="76"/>
        </w:numPr>
      </w:pPr>
      <w:r>
        <w:t xml:space="preserve"> </w:t>
      </w:r>
      <w:r w:rsidR="006F27CC" w:rsidRPr="0093586F">
        <w:t>Their long-term sustainable performance and viability; and</w:t>
      </w:r>
    </w:p>
    <w:p w14:paraId="4A468197" w14:textId="620C74E7" w:rsidR="00415245" w:rsidRPr="0093586F" w:rsidRDefault="004F14F0" w:rsidP="00736989">
      <w:pPr>
        <w:pStyle w:val="ListParagraph"/>
        <w:numPr>
          <w:ilvl w:val="0"/>
          <w:numId w:val="76"/>
        </w:numPr>
      </w:pPr>
      <w:r>
        <w:t xml:space="preserve"> </w:t>
      </w:r>
      <w:r w:rsidR="006F27CC" w:rsidRPr="0093586F">
        <w:t>Their environmental benefits in terms of CO</w:t>
      </w:r>
      <w:r w:rsidR="006F27CC" w:rsidRPr="0093586F">
        <w:rPr>
          <w:vertAlign w:val="subscript"/>
        </w:rPr>
        <w:t>2</w:t>
      </w:r>
      <w:r w:rsidR="006F27CC" w:rsidRPr="0093586F">
        <w:t>eq;</w:t>
      </w:r>
    </w:p>
    <w:p w14:paraId="302884D4" w14:textId="022B550E" w:rsidR="00415245" w:rsidRPr="0093586F" w:rsidRDefault="004F14F0" w:rsidP="00736989">
      <w:pPr>
        <w:pStyle w:val="ListParagraph"/>
        <w:numPr>
          <w:ilvl w:val="0"/>
          <w:numId w:val="76"/>
        </w:numPr>
      </w:pPr>
      <w:r>
        <w:t xml:space="preserve"> </w:t>
      </w:r>
      <w:r w:rsidR="006F27CC" w:rsidRPr="0093586F">
        <w:t>Capacity-building and servicing sector requirements in the refrigeration and air-conditioning and heat-pump sectors;</w:t>
      </w:r>
    </w:p>
    <w:p w14:paraId="1E7FEFDE" w14:textId="38535879" w:rsidR="00A663AA" w:rsidRPr="0093586F" w:rsidRDefault="006F27CC" w:rsidP="00736989">
      <w:pPr>
        <w:pStyle w:val="ListParagraph"/>
        <w:numPr>
          <w:ilvl w:val="0"/>
          <w:numId w:val="75"/>
        </w:numPr>
      </w:pPr>
      <w:r w:rsidRPr="0093586F">
        <w:t>Related costs includ</w:t>
      </w:r>
      <w:r w:rsidR="00415245" w:rsidRPr="0093586F">
        <w:t>ing capital and operating costs.</w:t>
      </w:r>
    </w:p>
    <w:p w14:paraId="47FB70FB" w14:textId="77777777" w:rsidR="00415245" w:rsidRPr="00F867D0" w:rsidRDefault="00415245" w:rsidP="00A663AA">
      <w:pPr>
        <w:widowControl w:val="0"/>
        <w:spacing w:after="0"/>
        <w:rPr>
          <w:color w:val="auto"/>
          <w:szCs w:val="22"/>
        </w:rPr>
      </w:pPr>
    </w:p>
    <w:p w14:paraId="6E7064E7" w14:textId="45E8FB5D" w:rsidR="00CF21B5" w:rsidRPr="00235F95" w:rsidRDefault="00415245" w:rsidP="00A663AA">
      <w:pPr>
        <w:widowControl w:val="0"/>
        <w:spacing w:after="0"/>
        <w:rPr>
          <w:b/>
        </w:rPr>
      </w:pPr>
      <w:r w:rsidRPr="00F867D0">
        <w:rPr>
          <w:color w:val="auto"/>
          <w:szCs w:val="22"/>
        </w:rPr>
        <w:t>Aligning with the information as requested in the decision, to the extent practicable, t</w:t>
      </w:r>
      <w:r w:rsidR="00A663AA" w:rsidRPr="00F867D0">
        <w:rPr>
          <w:color w:val="auto"/>
          <w:szCs w:val="22"/>
        </w:rPr>
        <w:t xml:space="preserve">he structure of this </w:t>
      </w:r>
      <w:r w:rsidRPr="00F867D0">
        <w:rPr>
          <w:color w:val="auto"/>
          <w:szCs w:val="22"/>
        </w:rPr>
        <w:t>c</w:t>
      </w:r>
      <w:r w:rsidR="00A663AA" w:rsidRPr="00F867D0">
        <w:rPr>
          <w:color w:val="auto"/>
          <w:szCs w:val="22"/>
        </w:rPr>
        <w:t>hapter is as follows</w:t>
      </w:r>
      <w:r w:rsidR="00100176">
        <w:rPr>
          <w:color w:val="auto"/>
          <w:szCs w:val="22"/>
        </w:rPr>
        <w:t>:</w:t>
      </w:r>
    </w:p>
    <w:p w14:paraId="03DCEFDA" w14:textId="77777777" w:rsidR="00100176" w:rsidRDefault="00100176" w:rsidP="00235F95">
      <w:pPr>
        <w:widowControl w:val="0"/>
        <w:spacing w:after="0"/>
        <w:rPr>
          <w:b/>
        </w:rPr>
      </w:pPr>
    </w:p>
    <w:p w14:paraId="39FEDAA4" w14:textId="666D02F2" w:rsidR="00CF21B5" w:rsidRDefault="00A663AA" w:rsidP="004F14F0">
      <w:pPr>
        <w:widowControl w:val="0"/>
        <w:spacing w:after="0"/>
        <w:ind w:left="360"/>
      </w:pPr>
      <w:r w:rsidRPr="00F867D0">
        <w:rPr>
          <w:b/>
        </w:rPr>
        <w:t>Section 2.1</w:t>
      </w:r>
      <w:r w:rsidRPr="00F867D0">
        <w:t xml:space="preserve"> summarizes the </w:t>
      </w:r>
      <w:r w:rsidRPr="00F867D0">
        <w:rPr>
          <w:b/>
        </w:rPr>
        <w:t>technical opportunities</w:t>
      </w:r>
      <w:r w:rsidRPr="00F867D0">
        <w:t xml:space="preserve"> available to improve </w:t>
      </w:r>
      <w:r w:rsidR="00174283">
        <w:t>EE</w:t>
      </w:r>
      <w:r w:rsidRPr="00F867D0">
        <w:t xml:space="preserve"> and then describes some of the </w:t>
      </w:r>
      <w:r w:rsidRPr="000F749F">
        <w:rPr>
          <w:b/>
        </w:rPr>
        <w:t>challenges</w:t>
      </w:r>
      <w:r w:rsidRPr="00F867D0">
        <w:t xml:space="preserve"> that must be overcome to achieve the uptake of </w:t>
      </w:r>
      <w:r w:rsidR="00714CE7" w:rsidRPr="00F867D0">
        <w:t xml:space="preserve">the same or </w:t>
      </w:r>
      <w:r w:rsidRPr="00F867D0">
        <w:t>high</w:t>
      </w:r>
      <w:r w:rsidR="00714CE7" w:rsidRPr="00F867D0">
        <w:t>er</w:t>
      </w:r>
      <w:r w:rsidRPr="00F867D0">
        <w:t xml:space="preserve"> efficiency RACHP equipment.</w:t>
      </w:r>
    </w:p>
    <w:p w14:paraId="7F16F39F" w14:textId="77777777" w:rsidR="00294065" w:rsidRPr="00F867D0" w:rsidRDefault="00294065" w:rsidP="004F14F0">
      <w:pPr>
        <w:widowControl w:val="0"/>
        <w:spacing w:after="0"/>
        <w:ind w:left="360"/>
      </w:pPr>
    </w:p>
    <w:p w14:paraId="049AD2E1" w14:textId="65F6B981" w:rsidR="00A663AA" w:rsidRPr="00F867D0" w:rsidRDefault="00A663AA" w:rsidP="004F14F0">
      <w:pPr>
        <w:widowControl w:val="0"/>
        <w:spacing w:after="0"/>
        <w:ind w:left="360"/>
        <w:rPr>
          <w:color w:val="auto"/>
          <w:szCs w:val="22"/>
        </w:rPr>
      </w:pPr>
      <w:r w:rsidRPr="00F867D0">
        <w:rPr>
          <w:b/>
          <w:color w:val="auto"/>
          <w:szCs w:val="22"/>
        </w:rPr>
        <w:t>Section 2.2</w:t>
      </w:r>
      <w:r w:rsidRPr="00F867D0">
        <w:rPr>
          <w:color w:val="auto"/>
          <w:szCs w:val="22"/>
        </w:rPr>
        <w:t xml:space="preserve"> assesses the </w:t>
      </w:r>
      <w:r w:rsidRPr="00F867D0">
        <w:rPr>
          <w:b/>
          <w:color w:val="auto"/>
          <w:szCs w:val="22"/>
        </w:rPr>
        <w:t xml:space="preserve">long-term sustainability performance and viability </w:t>
      </w:r>
      <w:r w:rsidRPr="00F867D0">
        <w:rPr>
          <w:color w:val="auto"/>
          <w:szCs w:val="22"/>
        </w:rPr>
        <w:t xml:space="preserve">of the technologies aimed at </w:t>
      </w:r>
      <w:r w:rsidR="00714CE7" w:rsidRPr="00F867D0">
        <w:rPr>
          <w:color w:val="auto"/>
          <w:szCs w:val="22"/>
        </w:rPr>
        <w:t xml:space="preserve">maintaining and/or enhancing </w:t>
      </w:r>
      <w:r w:rsidR="00174283">
        <w:rPr>
          <w:color w:val="auto"/>
          <w:szCs w:val="22"/>
        </w:rPr>
        <w:t>EE</w:t>
      </w:r>
      <w:r w:rsidRPr="00F867D0">
        <w:rPr>
          <w:color w:val="auto"/>
          <w:szCs w:val="22"/>
        </w:rPr>
        <w:t>.</w:t>
      </w:r>
    </w:p>
    <w:p w14:paraId="3A9F71A6" w14:textId="77777777" w:rsidR="004F2620" w:rsidRDefault="004F2620" w:rsidP="004F14F0">
      <w:pPr>
        <w:widowControl w:val="0"/>
        <w:spacing w:after="0"/>
        <w:ind w:left="360"/>
        <w:rPr>
          <w:b/>
          <w:color w:val="auto"/>
          <w:szCs w:val="22"/>
        </w:rPr>
      </w:pPr>
    </w:p>
    <w:p w14:paraId="4298BE95" w14:textId="53B3FA8A" w:rsidR="00A663AA" w:rsidRPr="00F867D0" w:rsidRDefault="00A663AA" w:rsidP="004F14F0">
      <w:pPr>
        <w:widowControl w:val="0"/>
        <w:spacing w:after="0"/>
        <w:ind w:left="360"/>
        <w:rPr>
          <w:color w:val="auto"/>
          <w:szCs w:val="22"/>
        </w:rPr>
      </w:pPr>
      <w:r w:rsidRPr="00F867D0">
        <w:rPr>
          <w:b/>
          <w:color w:val="auto"/>
          <w:szCs w:val="22"/>
        </w:rPr>
        <w:t>Section 2.3</w:t>
      </w:r>
      <w:r w:rsidRPr="00F867D0">
        <w:rPr>
          <w:color w:val="auto"/>
          <w:szCs w:val="22"/>
        </w:rPr>
        <w:t xml:space="preserve"> explores the </w:t>
      </w:r>
      <w:r w:rsidR="00174283">
        <w:rPr>
          <w:color w:val="auto"/>
          <w:szCs w:val="22"/>
        </w:rPr>
        <w:t>challenges</w:t>
      </w:r>
      <w:r w:rsidR="00174283" w:rsidRPr="00F867D0">
        <w:rPr>
          <w:color w:val="auto"/>
          <w:szCs w:val="22"/>
        </w:rPr>
        <w:t xml:space="preserve"> </w:t>
      </w:r>
      <w:r w:rsidRPr="00F867D0">
        <w:rPr>
          <w:color w:val="auto"/>
          <w:szCs w:val="22"/>
        </w:rPr>
        <w:t xml:space="preserve">of maintaining and enhancing </w:t>
      </w:r>
      <w:r w:rsidR="00174283">
        <w:rPr>
          <w:color w:val="auto"/>
          <w:szCs w:val="22"/>
        </w:rPr>
        <w:t>EE</w:t>
      </w:r>
      <w:r w:rsidRPr="00F867D0">
        <w:rPr>
          <w:color w:val="auto"/>
          <w:szCs w:val="22"/>
        </w:rPr>
        <w:t xml:space="preserve"> under </w:t>
      </w:r>
      <w:r w:rsidRPr="00F867D0">
        <w:rPr>
          <w:b/>
          <w:color w:val="auto"/>
          <w:szCs w:val="22"/>
        </w:rPr>
        <w:t>HAT</w:t>
      </w:r>
      <w:r w:rsidRPr="00F867D0">
        <w:rPr>
          <w:color w:val="auto"/>
          <w:szCs w:val="22"/>
        </w:rPr>
        <w:t xml:space="preserve"> conditions.</w:t>
      </w:r>
    </w:p>
    <w:p w14:paraId="66B8E5D3" w14:textId="77777777" w:rsidR="00415245" w:rsidRPr="00F867D0" w:rsidRDefault="00415245" w:rsidP="004F14F0">
      <w:pPr>
        <w:widowControl w:val="0"/>
        <w:spacing w:after="0"/>
        <w:ind w:left="360"/>
        <w:rPr>
          <w:color w:val="auto"/>
          <w:szCs w:val="22"/>
        </w:rPr>
      </w:pPr>
    </w:p>
    <w:p w14:paraId="78D4207C" w14:textId="2758BAA9" w:rsidR="00A663AA" w:rsidRPr="00F867D0" w:rsidRDefault="00A663AA" w:rsidP="004F14F0">
      <w:pPr>
        <w:widowControl w:val="0"/>
        <w:spacing w:after="0"/>
        <w:ind w:left="360"/>
        <w:rPr>
          <w:color w:val="auto"/>
          <w:szCs w:val="22"/>
        </w:rPr>
      </w:pPr>
      <w:r w:rsidRPr="00F867D0">
        <w:rPr>
          <w:b/>
          <w:color w:val="auto"/>
          <w:szCs w:val="22"/>
        </w:rPr>
        <w:t>Section 2.4</w:t>
      </w:r>
      <w:r w:rsidRPr="00F867D0">
        <w:rPr>
          <w:color w:val="auto"/>
          <w:szCs w:val="22"/>
        </w:rPr>
        <w:t xml:space="preserve"> assesses the</w:t>
      </w:r>
      <w:r w:rsidRPr="00F867D0">
        <w:rPr>
          <w:b/>
          <w:color w:val="auto"/>
          <w:szCs w:val="22"/>
        </w:rPr>
        <w:t xml:space="preserve"> environmental benefits in terms of CO</w:t>
      </w:r>
      <w:r w:rsidRPr="00F867D0">
        <w:rPr>
          <w:b/>
          <w:color w:val="auto"/>
          <w:szCs w:val="22"/>
          <w:vertAlign w:val="subscript"/>
        </w:rPr>
        <w:t>2</w:t>
      </w:r>
      <w:r w:rsidRPr="00F867D0">
        <w:rPr>
          <w:b/>
          <w:color w:val="auto"/>
          <w:szCs w:val="22"/>
        </w:rPr>
        <w:t>eq</w:t>
      </w:r>
      <w:r w:rsidRPr="00F867D0">
        <w:rPr>
          <w:color w:val="auto"/>
          <w:szCs w:val="22"/>
        </w:rPr>
        <w:t xml:space="preserve"> that can be achieved while improving </w:t>
      </w:r>
      <w:r w:rsidR="00174283">
        <w:rPr>
          <w:color w:val="auto"/>
          <w:szCs w:val="22"/>
        </w:rPr>
        <w:t>EE</w:t>
      </w:r>
      <w:r w:rsidRPr="00F867D0">
        <w:rPr>
          <w:color w:val="auto"/>
          <w:szCs w:val="22"/>
        </w:rPr>
        <w:t xml:space="preserve"> of RACHP.</w:t>
      </w:r>
    </w:p>
    <w:p w14:paraId="5A21B2E0" w14:textId="77777777" w:rsidR="00415245" w:rsidRPr="00F867D0" w:rsidRDefault="00415245" w:rsidP="004F14F0">
      <w:pPr>
        <w:widowControl w:val="0"/>
        <w:spacing w:after="0"/>
        <w:ind w:left="360"/>
        <w:rPr>
          <w:color w:val="auto"/>
          <w:szCs w:val="22"/>
        </w:rPr>
      </w:pPr>
    </w:p>
    <w:p w14:paraId="7CEF2463" w14:textId="35B41F4E" w:rsidR="00A663AA" w:rsidRPr="00F867D0" w:rsidRDefault="00A663AA" w:rsidP="004F14F0">
      <w:pPr>
        <w:widowControl w:val="0"/>
        <w:spacing w:after="0"/>
        <w:ind w:left="360"/>
        <w:rPr>
          <w:color w:val="auto"/>
          <w:szCs w:val="22"/>
        </w:rPr>
      </w:pPr>
      <w:r w:rsidRPr="00F867D0">
        <w:rPr>
          <w:b/>
          <w:color w:val="auto"/>
          <w:szCs w:val="22"/>
        </w:rPr>
        <w:t>Section 2.5</w:t>
      </w:r>
      <w:r w:rsidRPr="00F867D0">
        <w:rPr>
          <w:color w:val="auto"/>
          <w:szCs w:val="22"/>
        </w:rPr>
        <w:t xml:space="preserve"> describes the requirements for the </w:t>
      </w:r>
      <w:r w:rsidRPr="00F867D0">
        <w:rPr>
          <w:b/>
          <w:color w:val="auto"/>
          <w:szCs w:val="22"/>
        </w:rPr>
        <w:t>servicing sector</w:t>
      </w:r>
      <w:r w:rsidRPr="00F867D0">
        <w:rPr>
          <w:color w:val="auto"/>
          <w:szCs w:val="22"/>
        </w:rPr>
        <w:t>.</w:t>
      </w:r>
    </w:p>
    <w:p w14:paraId="11676A79" w14:textId="77777777" w:rsidR="00415245" w:rsidRPr="00F867D0" w:rsidRDefault="00415245" w:rsidP="004F14F0">
      <w:pPr>
        <w:widowControl w:val="0"/>
        <w:spacing w:after="0"/>
        <w:ind w:left="360"/>
        <w:rPr>
          <w:color w:val="auto"/>
          <w:szCs w:val="22"/>
        </w:rPr>
      </w:pPr>
    </w:p>
    <w:p w14:paraId="7D53E72B" w14:textId="0F458F9F" w:rsidR="00A663AA" w:rsidRPr="00F867D0" w:rsidRDefault="00A663AA" w:rsidP="004F14F0">
      <w:pPr>
        <w:widowControl w:val="0"/>
        <w:spacing w:after="0"/>
        <w:ind w:left="360"/>
        <w:rPr>
          <w:color w:val="auto"/>
          <w:szCs w:val="22"/>
        </w:rPr>
      </w:pPr>
      <w:r w:rsidRPr="00F867D0">
        <w:rPr>
          <w:b/>
          <w:color w:val="auto"/>
          <w:szCs w:val="22"/>
        </w:rPr>
        <w:t xml:space="preserve">Section 2.6 </w:t>
      </w:r>
      <w:r w:rsidRPr="00F867D0">
        <w:rPr>
          <w:color w:val="auto"/>
          <w:szCs w:val="22"/>
        </w:rPr>
        <w:t xml:space="preserve">describes the </w:t>
      </w:r>
      <w:r w:rsidR="00714CE7" w:rsidRPr="00F867D0">
        <w:rPr>
          <w:b/>
          <w:color w:val="auto"/>
          <w:szCs w:val="22"/>
        </w:rPr>
        <w:t>capacity-building</w:t>
      </w:r>
      <w:r w:rsidR="00714CE7" w:rsidRPr="00F867D0">
        <w:rPr>
          <w:color w:val="auto"/>
          <w:szCs w:val="22"/>
        </w:rPr>
        <w:t xml:space="preserve"> </w:t>
      </w:r>
      <w:r w:rsidRPr="00F867D0">
        <w:rPr>
          <w:color w:val="auto"/>
          <w:szCs w:val="22"/>
        </w:rPr>
        <w:t>requirements.</w:t>
      </w:r>
    </w:p>
    <w:p w14:paraId="70CF6D0C" w14:textId="77777777" w:rsidR="00415245" w:rsidRPr="00F867D0" w:rsidRDefault="00415245" w:rsidP="004F14F0">
      <w:pPr>
        <w:widowControl w:val="0"/>
        <w:spacing w:after="0"/>
        <w:ind w:left="360"/>
        <w:rPr>
          <w:color w:val="auto"/>
          <w:szCs w:val="22"/>
        </w:rPr>
      </w:pPr>
    </w:p>
    <w:p w14:paraId="16D84A8B" w14:textId="11FDB379" w:rsidR="00A663AA" w:rsidRPr="00F867D0" w:rsidRDefault="00A663AA" w:rsidP="004F14F0">
      <w:pPr>
        <w:widowControl w:val="0"/>
        <w:spacing w:after="0"/>
        <w:ind w:left="360"/>
        <w:rPr>
          <w:color w:val="auto"/>
          <w:szCs w:val="22"/>
        </w:rPr>
      </w:pPr>
      <w:r w:rsidRPr="00F867D0">
        <w:rPr>
          <w:b/>
          <w:color w:val="auto"/>
          <w:szCs w:val="22"/>
        </w:rPr>
        <w:t>Section 2.7</w:t>
      </w:r>
      <w:r w:rsidRPr="00F867D0">
        <w:rPr>
          <w:color w:val="auto"/>
          <w:szCs w:val="22"/>
        </w:rPr>
        <w:t xml:space="preserve"> </w:t>
      </w:r>
      <w:r w:rsidRPr="00F867D0">
        <w:t xml:space="preserve">summarizes the current understanding with respect to the </w:t>
      </w:r>
      <w:r w:rsidRPr="00F867D0">
        <w:rPr>
          <w:b/>
        </w:rPr>
        <w:t>capital and operating costs</w:t>
      </w:r>
      <w:r w:rsidRPr="00F867D0">
        <w:t xml:space="preserve"> to the consumer and manufacturer for maintaining and/or enhancing </w:t>
      </w:r>
      <w:r w:rsidR="00174283">
        <w:t>EE</w:t>
      </w:r>
      <w:r w:rsidRPr="00F867D0">
        <w:t>.</w:t>
      </w:r>
    </w:p>
    <w:p w14:paraId="02B07BF5" w14:textId="77777777" w:rsidR="00A663AA" w:rsidRPr="00F867D0" w:rsidRDefault="00A663AA" w:rsidP="00A663AA">
      <w:pPr>
        <w:widowControl w:val="0"/>
        <w:spacing w:after="0"/>
        <w:rPr>
          <w:color w:val="auto"/>
          <w:szCs w:val="22"/>
        </w:rPr>
      </w:pPr>
    </w:p>
    <w:p w14:paraId="47902817" w14:textId="4BD2A1C7" w:rsidR="00A663AA" w:rsidRPr="000F749F" w:rsidRDefault="00A663AA" w:rsidP="000F749F">
      <w:pPr>
        <w:pStyle w:val="Heading2"/>
        <w:rPr>
          <w:b w:val="0"/>
        </w:rPr>
      </w:pPr>
      <w:bookmarkStart w:id="40" w:name="_Toc515454351"/>
      <w:bookmarkStart w:id="41" w:name="_Hlk514683356"/>
      <w:r w:rsidRPr="000F749F">
        <w:t>2.1</w:t>
      </w:r>
      <w:r w:rsidRPr="000F749F">
        <w:tab/>
        <w:t xml:space="preserve">Opportunities and challenges to </w:t>
      </w:r>
      <w:r w:rsidR="00714CE7" w:rsidRPr="000F749F">
        <w:t xml:space="preserve">maintain and/or enhance energy </w:t>
      </w:r>
      <w:r w:rsidRPr="000F749F">
        <w:t>efficiency of new RACHP equipment</w:t>
      </w:r>
      <w:bookmarkEnd w:id="40"/>
    </w:p>
    <w:p w14:paraId="199FCC14" w14:textId="5DB50563" w:rsidR="00610A50" w:rsidRDefault="00610A50" w:rsidP="00A663AA">
      <w:pPr>
        <w:widowControl w:val="0"/>
        <w:spacing w:after="0"/>
        <w:rPr>
          <w:b/>
          <w:color w:val="auto"/>
          <w:sz w:val="24"/>
          <w:szCs w:val="22"/>
        </w:rPr>
      </w:pPr>
      <w:r w:rsidRPr="00F867D0">
        <w:rPr>
          <w:b/>
          <w:color w:val="auto"/>
          <w:sz w:val="24"/>
          <w:szCs w:val="22"/>
        </w:rPr>
        <w:t>Summary</w:t>
      </w:r>
    </w:p>
    <w:p w14:paraId="049C8228" w14:textId="77777777" w:rsidR="004F14F0" w:rsidRPr="00F867D0" w:rsidRDefault="004F14F0" w:rsidP="00A663AA">
      <w:pPr>
        <w:widowControl w:val="0"/>
        <w:spacing w:after="0"/>
        <w:rPr>
          <w:b/>
          <w:color w:val="auto"/>
          <w:sz w:val="24"/>
          <w:szCs w:val="22"/>
        </w:rPr>
      </w:pPr>
    </w:p>
    <w:p w14:paraId="2FC351C1" w14:textId="3B4E69D2" w:rsidR="00EE119C" w:rsidRPr="005A7023" w:rsidRDefault="00EE119C" w:rsidP="00385D9F">
      <w:pPr>
        <w:pStyle w:val="ListParagraph"/>
        <w:numPr>
          <w:ilvl w:val="0"/>
          <w:numId w:val="90"/>
        </w:numPr>
      </w:pPr>
      <w:bookmarkStart w:id="42" w:name="_Hlk514596386"/>
      <w:bookmarkEnd w:id="41"/>
      <w:r w:rsidRPr="005A7023">
        <w:t>By using a rigorous integrated approach to RACHP equipment design and selection, the opportunities to improve EE or reduce energy use can be maximi</w:t>
      </w:r>
      <w:r w:rsidR="00385D9F">
        <w:t>s</w:t>
      </w:r>
      <w:r w:rsidRPr="005A7023">
        <w:t>ed.</w:t>
      </w:r>
      <w:r w:rsidR="00110165">
        <w:rPr>
          <w:rStyle w:val="FootnoteReference"/>
        </w:rPr>
        <w:footnoteReference w:id="1"/>
      </w:r>
      <w:r w:rsidRPr="005A7023">
        <w:t xml:space="preserve"> This approach includes:</w:t>
      </w:r>
    </w:p>
    <w:p w14:paraId="73241F8B" w14:textId="77777777" w:rsidR="00EE119C" w:rsidRPr="005A7023" w:rsidRDefault="00EE119C" w:rsidP="00736989">
      <w:pPr>
        <w:widowControl w:val="0"/>
        <w:numPr>
          <w:ilvl w:val="0"/>
          <w:numId w:val="92"/>
        </w:numPr>
        <w:tabs>
          <w:tab w:val="left" w:pos="220"/>
          <w:tab w:val="left" w:pos="270"/>
        </w:tabs>
        <w:autoSpaceDE w:val="0"/>
        <w:autoSpaceDN w:val="0"/>
        <w:adjustRightInd w:val="0"/>
        <w:spacing w:after="0"/>
        <w:rPr>
          <w:color w:val="auto"/>
          <w:kern w:val="2"/>
          <w:szCs w:val="22"/>
        </w:rPr>
      </w:pPr>
      <w:r w:rsidRPr="005A7023">
        <w:rPr>
          <w:color w:val="auto"/>
          <w:kern w:val="2"/>
          <w:szCs w:val="22"/>
        </w:rPr>
        <w:t>Ensuring minimi</w:t>
      </w:r>
      <w:r>
        <w:rPr>
          <w:color w:val="auto"/>
          <w:kern w:val="2"/>
          <w:szCs w:val="22"/>
        </w:rPr>
        <w:t>s</w:t>
      </w:r>
      <w:r w:rsidRPr="005A7023">
        <w:rPr>
          <w:color w:val="auto"/>
          <w:kern w:val="2"/>
          <w:szCs w:val="22"/>
        </w:rPr>
        <w:t>ation of cooling/heating loads;</w:t>
      </w:r>
    </w:p>
    <w:p w14:paraId="4BDB1C32" w14:textId="77777777" w:rsidR="00EE119C" w:rsidRPr="005A7023" w:rsidRDefault="00EE119C" w:rsidP="00736989">
      <w:pPr>
        <w:widowControl w:val="0"/>
        <w:numPr>
          <w:ilvl w:val="0"/>
          <w:numId w:val="92"/>
        </w:numPr>
        <w:tabs>
          <w:tab w:val="left" w:pos="220"/>
          <w:tab w:val="left" w:pos="270"/>
        </w:tabs>
        <w:autoSpaceDE w:val="0"/>
        <w:autoSpaceDN w:val="0"/>
        <w:adjustRightInd w:val="0"/>
        <w:spacing w:after="0"/>
        <w:rPr>
          <w:color w:val="auto"/>
          <w:kern w:val="2"/>
          <w:szCs w:val="22"/>
        </w:rPr>
      </w:pPr>
      <w:r w:rsidRPr="005A7023">
        <w:rPr>
          <w:color w:val="auto"/>
          <w:kern w:val="2"/>
          <w:szCs w:val="22"/>
        </w:rPr>
        <w:t>Selection of appropriate refrigerant;</w:t>
      </w:r>
    </w:p>
    <w:p w14:paraId="2FD57804" w14:textId="77777777" w:rsidR="00EE119C" w:rsidRPr="005A7023" w:rsidRDefault="00EE119C" w:rsidP="00736989">
      <w:pPr>
        <w:widowControl w:val="0"/>
        <w:numPr>
          <w:ilvl w:val="0"/>
          <w:numId w:val="92"/>
        </w:numPr>
        <w:tabs>
          <w:tab w:val="left" w:pos="220"/>
          <w:tab w:val="left" w:pos="270"/>
        </w:tabs>
        <w:autoSpaceDE w:val="0"/>
        <w:autoSpaceDN w:val="0"/>
        <w:adjustRightInd w:val="0"/>
        <w:spacing w:after="0"/>
        <w:rPr>
          <w:color w:val="auto"/>
          <w:kern w:val="2"/>
          <w:szCs w:val="22"/>
        </w:rPr>
      </w:pPr>
      <w:r w:rsidRPr="005A7023">
        <w:rPr>
          <w:color w:val="auto"/>
          <w:kern w:val="2"/>
          <w:szCs w:val="22"/>
        </w:rPr>
        <w:t>Use of high efficiency components and system design;</w:t>
      </w:r>
    </w:p>
    <w:p w14:paraId="2B6A00BB" w14:textId="77777777" w:rsidR="00EE119C" w:rsidRPr="005A7023" w:rsidRDefault="00EE119C" w:rsidP="00736989">
      <w:pPr>
        <w:widowControl w:val="0"/>
        <w:numPr>
          <w:ilvl w:val="0"/>
          <w:numId w:val="92"/>
        </w:numPr>
        <w:tabs>
          <w:tab w:val="left" w:pos="220"/>
          <w:tab w:val="left" w:pos="270"/>
        </w:tabs>
        <w:autoSpaceDE w:val="0"/>
        <w:autoSpaceDN w:val="0"/>
        <w:adjustRightInd w:val="0"/>
        <w:spacing w:after="0"/>
        <w:rPr>
          <w:color w:val="auto"/>
          <w:kern w:val="2"/>
          <w:szCs w:val="22"/>
        </w:rPr>
      </w:pPr>
      <w:r w:rsidRPr="005A7023">
        <w:rPr>
          <w:color w:val="auto"/>
          <w:kern w:val="2"/>
          <w:szCs w:val="22"/>
        </w:rPr>
        <w:t xml:space="preserve">Ensuring </w:t>
      </w:r>
      <w:r>
        <w:rPr>
          <w:color w:val="auto"/>
          <w:kern w:val="2"/>
          <w:szCs w:val="22"/>
        </w:rPr>
        <w:t xml:space="preserve">proper install, </w:t>
      </w:r>
      <w:r w:rsidRPr="005A7023">
        <w:rPr>
          <w:color w:val="auto"/>
          <w:kern w:val="2"/>
          <w:szCs w:val="22"/>
        </w:rPr>
        <w:t>optimi</w:t>
      </w:r>
      <w:r>
        <w:rPr>
          <w:color w:val="auto"/>
          <w:kern w:val="2"/>
          <w:szCs w:val="22"/>
        </w:rPr>
        <w:t>s</w:t>
      </w:r>
      <w:r w:rsidRPr="005A7023">
        <w:rPr>
          <w:color w:val="auto"/>
          <w:kern w:val="2"/>
          <w:szCs w:val="22"/>
        </w:rPr>
        <w:t xml:space="preserve">ed control and operation, under all </w:t>
      </w:r>
      <w:r>
        <w:rPr>
          <w:color w:val="auto"/>
          <w:kern w:val="2"/>
          <w:szCs w:val="22"/>
        </w:rPr>
        <w:t>common operating conditions;</w:t>
      </w:r>
    </w:p>
    <w:p w14:paraId="6EB12884" w14:textId="77777777" w:rsidR="00EE119C" w:rsidRDefault="00EE119C" w:rsidP="00736989">
      <w:pPr>
        <w:widowControl w:val="0"/>
        <w:numPr>
          <w:ilvl w:val="0"/>
          <w:numId w:val="92"/>
        </w:numPr>
        <w:tabs>
          <w:tab w:val="left" w:pos="220"/>
          <w:tab w:val="left" w:pos="270"/>
        </w:tabs>
        <w:autoSpaceDE w:val="0"/>
        <w:autoSpaceDN w:val="0"/>
        <w:adjustRightInd w:val="0"/>
        <w:spacing w:after="0"/>
        <w:rPr>
          <w:color w:val="auto"/>
          <w:kern w:val="2"/>
          <w:szCs w:val="22"/>
        </w:rPr>
      </w:pPr>
      <w:r w:rsidRPr="005A7023">
        <w:rPr>
          <w:color w:val="auto"/>
          <w:kern w:val="2"/>
          <w:szCs w:val="22"/>
        </w:rPr>
        <w:t>Designing features that will support servicing and maintenance.</w:t>
      </w:r>
    </w:p>
    <w:p w14:paraId="6C3A332A" w14:textId="77777777" w:rsidR="004F2620" w:rsidRPr="000F749F" w:rsidRDefault="004F2620" w:rsidP="000F749F">
      <w:pPr>
        <w:pStyle w:val="ListParagraph"/>
        <w:numPr>
          <w:ilvl w:val="0"/>
          <w:numId w:val="0"/>
        </w:numPr>
        <w:ind w:left="720"/>
        <w:rPr>
          <w:color w:val="auto"/>
        </w:rPr>
      </w:pPr>
    </w:p>
    <w:p w14:paraId="2CBC14E7" w14:textId="0CC13C7D" w:rsidR="00EE119C" w:rsidRPr="00EE119C" w:rsidRDefault="00EE119C" w:rsidP="004F2620">
      <w:pPr>
        <w:pStyle w:val="ListParagraph"/>
        <w:numPr>
          <w:ilvl w:val="0"/>
          <w:numId w:val="91"/>
        </w:numPr>
        <w:rPr>
          <w:color w:val="auto"/>
        </w:rPr>
      </w:pPr>
      <w:r w:rsidRPr="005A7023">
        <w:t>While the benefits of higher EE, such as savings in energy, operating cost to the consumer, peak load and GHG emissions are widely recogni</w:t>
      </w:r>
      <w:r w:rsidR="000A31D6">
        <w:t>s</w:t>
      </w:r>
      <w:r w:rsidRPr="005A7023">
        <w:t>ed, many barriers to the uptake of more efficient equipment continue to persist. There are a number of common challenges that apply to all types of RACHP equipment. There are also certain market</w:t>
      </w:r>
      <w:r>
        <w:t xml:space="preserve"> and</w:t>
      </w:r>
      <w:r w:rsidRPr="005A7023">
        <w:t xml:space="preserve"> sector-specific issues that are presented in further detail. Broadly, these barriers can be classified into the following categories: financial, market, information, institutional and regulatory, technical, service competency and others.</w:t>
      </w:r>
    </w:p>
    <w:p w14:paraId="65DE3BFD" w14:textId="77777777" w:rsidR="004F14F0" w:rsidRDefault="004F14F0" w:rsidP="000F749F">
      <w:pPr>
        <w:spacing w:after="0"/>
        <w:ind w:left="630"/>
      </w:pPr>
    </w:p>
    <w:p w14:paraId="69E43CCA" w14:textId="54C35D46" w:rsidR="00EE119C" w:rsidRDefault="00EE119C" w:rsidP="004F2620">
      <w:pPr>
        <w:pStyle w:val="ListParagraph"/>
        <w:numPr>
          <w:ilvl w:val="0"/>
          <w:numId w:val="90"/>
        </w:numPr>
      </w:pPr>
      <w:r>
        <w:t>Technologies resulting in efficiency improvement opportunities available for high-GWP refrigerants may be applicable to low-GWP refrigerants as well.</w:t>
      </w:r>
    </w:p>
    <w:p w14:paraId="18F06903" w14:textId="77777777" w:rsidR="004F14F0" w:rsidRDefault="004F14F0" w:rsidP="000F749F">
      <w:pPr>
        <w:spacing w:after="0"/>
        <w:ind w:left="630"/>
      </w:pPr>
    </w:p>
    <w:p w14:paraId="73FD0166" w14:textId="5752A77E" w:rsidR="00EE119C" w:rsidRPr="005A7023" w:rsidRDefault="00EE119C" w:rsidP="004F2620">
      <w:pPr>
        <w:pStyle w:val="ListParagraph"/>
        <w:numPr>
          <w:ilvl w:val="0"/>
          <w:numId w:val="90"/>
        </w:numPr>
      </w:pPr>
      <w:r w:rsidRPr="005A7023">
        <w:t xml:space="preserve">The largest potential for </w:t>
      </w:r>
      <w:r>
        <w:t>EE</w:t>
      </w:r>
      <w:r w:rsidRPr="005A7023">
        <w:t xml:space="preserve"> improvement comes from improvements in </w:t>
      </w:r>
      <w:r>
        <w:t xml:space="preserve">total system </w:t>
      </w:r>
      <w:r w:rsidRPr="005A7023">
        <w:t xml:space="preserve">design and components, which can yield efficiency improvements </w:t>
      </w:r>
      <w:r>
        <w:t>(compared to a baseline design) that can range from</w:t>
      </w:r>
      <w:r w:rsidRPr="005A7023">
        <w:t xml:space="preserve"> 10</w:t>
      </w:r>
      <w:r>
        <w:t>%</w:t>
      </w:r>
      <w:r w:rsidRPr="005A7023">
        <w:t xml:space="preserve"> to 70%</w:t>
      </w:r>
      <w:r>
        <w:t xml:space="preserve"> (for a “best in class” unit)</w:t>
      </w:r>
      <w:r w:rsidRPr="005A7023">
        <w:t xml:space="preserve">. </w:t>
      </w:r>
      <w:r>
        <w:t xml:space="preserve">On the other hand, the impact of refrigerant choice on the EE of the units is usually relatively small </w:t>
      </w:r>
      <w:r w:rsidR="004F14F0">
        <w:t xml:space="preserve">– typically ranging from +/- 5 </w:t>
      </w:r>
      <w:r>
        <w:t>to 10%</w:t>
      </w:r>
      <w:r w:rsidRPr="005A7023">
        <w:t xml:space="preserve">.  </w:t>
      </w:r>
    </w:p>
    <w:bookmarkEnd w:id="42"/>
    <w:p w14:paraId="2B1CBE51" w14:textId="77777777" w:rsidR="002F0F6A" w:rsidRDefault="002F0F6A" w:rsidP="00A663AA">
      <w:pPr>
        <w:widowControl w:val="0"/>
        <w:spacing w:after="0"/>
      </w:pPr>
    </w:p>
    <w:p w14:paraId="005EDC25" w14:textId="2E87CEFE" w:rsidR="00A663AA" w:rsidRPr="000F749F" w:rsidRDefault="002F0F6A" w:rsidP="000F749F">
      <w:pPr>
        <w:pStyle w:val="Heading3"/>
        <w:rPr>
          <w:b w:val="0"/>
        </w:rPr>
      </w:pPr>
      <w:bookmarkStart w:id="43" w:name="_Toc515454352"/>
      <w:r w:rsidRPr="000F749F">
        <w:t>2.1.1</w:t>
      </w:r>
      <w:r w:rsidRPr="000F749F">
        <w:tab/>
      </w:r>
      <w:r w:rsidR="00A663AA" w:rsidRPr="000F749F">
        <w:t>Background</w:t>
      </w:r>
      <w:bookmarkEnd w:id="43"/>
    </w:p>
    <w:p w14:paraId="77E7F5F0" w14:textId="370CB3A6" w:rsidR="00BB0E86" w:rsidRDefault="00BB0E86" w:rsidP="00A663AA">
      <w:pPr>
        <w:widowControl w:val="0"/>
        <w:spacing w:after="0"/>
        <w:rPr>
          <w:color w:val="auto"/>
          <w:szCs w:val="22"/>
        </w:rPr>
      </w:pPr>
      <w:r w:rsidRPr="002917E8">
        <w:rPr>
          <w:color w:val="auto"/>
          <w:szCs w:val="22"/>
        </w:rPr>
        <w:t>To provide cooling or heating, RACHP equipment and systems consume energy, which is, in most cases, electricity. The amount of energy consumed</w:t>
      </w:r>
      <w:r>
        <w:rPr>
          <w:color w:val="auto"/>
          <w:szCs w:val="22"/>
        </w:rPr>
        <w:t xml:space="preserve"> by a unit</w:t>
      </w:r>
      <w:r w:rsidRPr="002917E8">
        <w:rPr>
          <w:color w:val="auto"/>
          <w:szCs w:val="22"/>
        </w:rPr>
        <w:t xml:space="preserve">, </w:t>
      </w:r>
      <w:r w:rsidRPr="002917E8">
        <w:rPr>
          <w:b/>
          <w:color w:val="auto"/>
          <w:szCs w:val="22"/>
        </w:rPr>
        <w:t xml:space="preserve">the </w:t>
      </w:r>
      <w:r>
        <w:rPr>
          <w:b/>
          <w:color w:val="auto"/>
          <w:szCs w:val="22"/>
        </w:rPr>
        <w:t xml:space="preserve">unit </w:t>
      </w:r>
      <w:r w:rsidRPr="002917E8">
        <w:rPr>
          <w:b/>
          <w:color w:val="auto"/>
          <w:szCs w:val="22"/>
        </w:rPr>
        <w:t>energy consumption</w:t>
      </w:r>
      <w:r w:rsidRPr="002917E8">
        <w:rPr>
          <w:color w:val="auto"/>
          <w:szCs w:val="22"/>
        </w:rPr>
        <w:t>, is basically related to the quantity of cooling/heating load that needs to be provided</w:t>
      </w:r>
      <w:r>
        <w:rPr>
          <w:color w:val="auto"/>
          <w:szCs w:val="22"/>
        </w:rPr>
        <w:t xml:space="preserve"> (the amount of cooling or heating service)</w:t>
      </w:r>
      <w:r w:rsidRPr="002917E8">
        <w:rPr>
          <w:color w:val="auto"/>
          <w:szCs w:val="22"/>
        </w:rPr>
        <w:t xml:space="preserve"> and to the </w:t>
      </w:r>
      <w:r w:rsidRPr="00AD26E7">
        <w:rPr>
          <w:color w:val="auto"/>
          <w:szCs w:val="22"/>
        </w:rPr>
        <w:t xml:space="preserve">energy </w:t>
      </w:r>
      <w:r>
        <w:rPr>
          <w:color w:val="auto"/>
          <w:szCs w:val="22"/>
        </w:rPr>
        <w:t>needed to deliver that service</w:t>
      </w:r>
      <w:r w:rsidRPr="002917E8">
        <w:rPr>
          <w:color w:val="auto"/>
          <w:szCs w:val="22"/>
        </w:rPr>
        <w:t xml:space="preserve">. </w:t>
      </w:r>
      <w:r>
        <w:rPr>
          <w:color w:val="auto"/>
          <w:szCs w:val="22"/>
        </w:rPr>
        <w:t xml:space="preserve">A more energy efficient unit or system will deliver the same amount of service </w:t>
      </w:r>
      <w:r w:rsidRPr="00195096">
        <w:t>for a lower level of energy consumed</w:t>
      </w:r>
      <w:r>
        <w:rPr>
          <w:color w:val="auto"/>
          <w:szCs w:val="22"/>
        </w:rPr>
        <w:t>.</w:t>
      </w:r>
      <w:r>
        <w:rPr>
          <w:rStyle w:val="FootnoteReference"/>
          <w:color w:val="auto"/>
          <w:szCs w:val="22"/>
        </w:rPr>
        <w:footnoteReference w:id="2"/>
      </w:r>
      <w:r>
        <w:rPr>
          <w:color w:val="auto"/>
          <w:szCs w:val="22"/>
        </w:rPr>
        <w:t xml:space="preserve"> </w:t>
      </w:r>
      <w:r w:rsidRPr="002917E8">
        <w:rPr>
          <w:color w:val="auto"/>
          <w:szCs w:val="22"/>
        </w:rPr>
        <w:t>Reducing cooling/heating load</w:t>
      </w:r>
      <w:r>
        <w:rPr>
          <w:color w:val="auto"/>
          <w:szCs w:val="22"/>
        </w:rPr>
        <w:t>s and increasing system</w:t>
      </w:r>
      <w:r w:rsidRPr="002917E8">
        <w:rPr>
          <w:color w:val="auto"/>
          <w:szCs w:val="22"/>
        </w:rPr>
        <w:t xml:space="preserve"> and equipment </w:t>
      </w:r>
      <w:r w:rsidR="00174283">
        <w:rPr>
          <w:color w:val="auto"/>
          <w:szCs w:val="22"/>
        </w:rPr>
        <w:t>EE</w:t>
      </w:r>
      <w:r w:rsidRPr="002917E8">
        <w:rPr>
          <w:color w:val="auto"/>
          <w:szCs w:val="22"/>
        </w:rPr>
        <w:t xml:space="preserve"> are the main components of a strategy </w:t>
      </w:r>
      <w:r w:rsidR="00174283">
        <w:rPr>
          <w:color w:val="auto"/>
          <w:szCs w:val="22"/>
        </w:rPr>
        <w:t>that aims</w:t>
      </w:r>
      <w:r w:rsidR="00174283" w:rsidRPr="002917E8">
        <w:rPr>
          <w:color w:val="auto"/>
          <w:szCs w:val="22"/>
        </w:rPr>
        <w:t xml:space="preserve"> </w:t>
      </w:r>
      <w:r w:rsidRPr="002917E8">
        <w:rPr>
          <w:color w:val="auto"/>
          <w:szCs w:val="22"/>
        </w:rPr>
        <w:t xml:space="preserve">to reduce or slow the growth of RACHP energy consumption. </w:t>
      </w:r>
    </w:p>
    <w:p w14:paraId="229CEBE5" w14:textId="77777777" w:rsidR="00BB0E86" w:rsidRDefault="00BB0E86" w:rsidP="00A663AA">
      <w:pPr>
        <w:widowControl w:val="0"/>
        <w:spacing w:after="0"/>
        <w:rPr>
          <w:color w:val="auto"/>
          <w:szCs w:val="22"/>
        </w:rPr>
      </w:pPr>
    </w:p>
    <w:p w14:paraId="1ADA62D8" w14:textId="5E705601" w:rsidR="00A663AA" w:rsidRPr="00F867D0" w:rsidRDefault="00BB0E86" w:rsidP="00A663AA">
      <w:pPr>
        <w:widowControl w:val="0"/>
        <w:spacing w:after="0"/>
        <w:rPr>
          <w:color w:val="auto"/>
          <w:szCs w:val="22"/>
        </w:rPr>
      </w:pPr>
      <w:r w:rsidRPr="00F867D0">
        <w:rPr>
          <w:color w:val="auto"/>
          <w:szCs w:val="22"/>
        </w:rPr>
        <w:t>EE</w:t>
      </w:r>
      <w:r w:rsidRPr="00BB0E86">
        <w:rPr>
          <w:color w:val="auto"/>
          <w:szCs w:val="22"/>
        </w:rPr>
        <w:t xml:space="preserve"> </w:t>
      </w:r>
      <w:r>
        <w:rPr>
          <w:color w:val="auto"/>
          <w:szCs w:val="22"/>
        </w:rPr>
        <w:t>and the efficient use of energy</w:t>
      </w:r>
      <w:r w:rsidR="00A663AA" w:rsidRPr="00F867D0">
        <w:rPr>
          <w:color w:val="auto"/>
          <w:szCs w:val="22"/>
          <w:vertAlign w:val="superscript"/>
        </w:rPr>
        <w:footnoteReference w:id="3"/>
      </w:r>
      <w:r w:rsidR="00A663AA" w:rsidRPr="00F867D0">
        <w:rPr>
          <w:color w:val="auto"/>
          <w:szCs w:val="22"/>
        </w:rPr>
        <w:t xml:space="preserve"> ha</w:t>
      </w:r>
      <w:r>
        <w:rPr>
          <w:color w:val="auto"/>
          <w:szCs w:val="22"/>
        </w:rPr>
        <w:t>ve</w:t>
      </w:r>
      <w:r w:rsidR="00A663AA" w:rsidRPr="00F867D0">
        <w:rPr>
          <w:color w:val="auto"/>
          <w:szCs w:val="22"/>
        </w:rPr>
        <w:t xml:space="preserve"> been important factor</w:t>
      </w:r>
      <w:r>
        <w:rPr>
          <w:color w:val="auto"/>
          <w:szCs w:val="22"/>
        </w:rPr>
        <w:t>s</w:t>
      </w:r>
      <w:r w:rsidR="00A663AA" w:rsidRPr="00F867D0">
        <w:rPr>
          <w:color w:val="auto"/>
          <w:szCs w:val="22"/>
        </w:rPr>
        <w:t xml:space="preserve"> for the development of new products in all RACHP sectors </w:t>
      </w:r>
      <w:r w:rsidR="00164BCA" w:rsidRPr="00F867D0">
        <w:rPr>
          <w:color w:val="auto"/>
          <w:szCs w:val="22"/>
        </w:rPr>
        <w:t xml:space="preserve">since </w:t>
      </w:r>
      <w:r w:rsidR="00A663AA" w:rsidRPr="00F867D0">
        <w:rPr>
          <w:color w:val="auto"/>
          <w:szCs w:val="22"/>
        </w:rPr>
        <w:t xml:space="preserve">well before the ozone issue </w:t>
      </w:r>
      <w:r w:rsidR="00415245" w:rsidRPr="00F867D0">
        <w:rPr>
          <w:color w:val="auto"/>
          <w:szCs w:val="22"/>
        </w:rPr>
        <w:t>affected t</w:t>
      </w:r>
      <w:r w:rsidR="00A663AA" w:rsidRPr="00F867D0">
        <w:rPr>
          <w:color w:val="auto"/>
          <w:szCs w:val="22"/>
        </w:rPr>
        <w:t xml:space="preserve">he technology </w:t>
      </w:r>
      <w:r w:rsidR="00C57682" w:rsidRPr="00F867D0">
        <w:rPr>
          <w:color w:val="auto"/>
          <w:szCs w:val="22"/>
        </w:rPr>
        <w:t>[</w:t>
      </w:r>
      <w:r w:rsidR="00C07ADA" w:rsidRPr="00F867D0">
        <w:rPr>
          <w:color w:val="auto"/>
          <w:szCs w:val="22"/>
        </w:rPr>
        <w:t>Kuijpers et al., 2018</w:t>
      </w:r>
      <w:r w:rsidR="00C57682" w:rsidRPr="00F867D0">
        <w:rPr>
          <w:color w:val="auto"/>
          <w:szCs w:val="22"/>
        </w:rPr>
        <w:t>]</w:t>
      </w:r>
      <w:r w:rsidR="00A663AA" w:rsidRPr="00F867D0">
        <w:rPr>
          <w:color w:val="auto"/>
          <w:szCs w:val="22"/>
        </w:rPr>
        <w:t xml:space="preserve">. For example, during the 1970s and the 1980s the </w:t>
      </w:r>
      <w:r w:rsidR="00174283">
        <w:rPr>
          <w:color w:val="auto"/>
          <w:szCs w:val="22"/>
        </w:rPr>
        <w:t>focus on EE</w:t>
      </w:r>
      <w:r w:rsidR="00A663AA" w:rsidRPr="00F867D0">
        <w:rPr>
          <w:color w:val="auto"/>
          <w:szCs w:val="22"/>
        </w:rPr>
        <w:t xml:space="preserve"> </w:t>
      </w:r>
      <w:r w:rsidR="00B26248" w:rsidRPr="00F867D0">
        <w:rPr>
          <w:color w:val="auto"/>
          <w:szCs w:val="22"/>
        </w:rPr>
        <w:t>ha</w:t>
      </w:r>
      <w:r w:rsidR="00B26248">
        <w:rPr>
          <w:color w:val="auto"/>
          <w:szCs w:val="22"/>
        </w:rPr>
        <w:t>d</w:t>
      </w:r>
      <w:r w:rsidR="00B26248" w:rsidRPr="00F867D0">
        <w:rPr>
          <w:color w:val="auto"/>
          <w:szCs w:val="22"/>
        </w:rPr>
        <w:t xml:space="preserve"> </w:t>
      </w:r>
      <w:r w:rsidR="00DE333B" w:rsidRPr="00F867D0">
        <w:rPr>
          <w:color w:val="auto"/>
          <w:szCs w:val="22"/>
        </w:rPr>
        <w:t>been mo</w:t>
      </w:r>
      <w:r w:rsidR="00A663AA" w:rsidRPr="00F867D0">
        <w:rPr>
          <w:color w:val="auto"/>
          <w:szCs w:val="22"/>
        </w:rPr>
        <w:t xml:space="preserve">tivated by the need </w:t>
      </w:r>
      <w:r w:rsidR="00415245" w:rsidRPr="00F867D0">
        <w:rPr>
          <w:color w:val="auto"/>
          <w:szCs w:val="22"/>
        </w:rPr>
        <w:t>to make R</w:t>
      </w:r>
      <w:r w:rsidR="00A663AA" w:rsidRPr="00F867D0">
        <w:rPr>
          <w:color w:val="auto"/>
          <w:szCs w:val="22"/>
        </w:rPr>
        <w:t xml:space="preserve">ACHP technologies accessible to larger markets. </w:t>
      </w:r>
      <w:bookmarkEnd w:id="39"/>
      <w:r w:rsidR="00A663AA" w:rsidRPr="00F867D0">
        <w:rPr>
          <w:color w:val="auto"/>
          <w:szCs w:val="22"/>
        </w:rPr>
        <w:t>W</w:t>
      </w:r>
      <w:r w:rsidR="00415245" w:rsidRPr="00F867D0">
        <w:rPr>
          <w:color w:val="auto"/>
          <w:szCs w:val="22"/>
        </w:rPr>
        <w:t>ith the signing of the Montreal Protocol and implementation of the phase</w:t>
      </w:r>
      <w:r w:rsidR="00DE31FC" w:rsidRPr="00F867D0">
        <w:rPr>
          <w:color w:val="auto"/>
          <w:szCs w:val="22"/>
        </w:rPr>
        <w:t>-</w:t>
      </w:r>
      <w:r w:rsidR="00415245" w:rsidRPr="00F867D0">
        <w:rPr>
          <w:color w:val="auto"/>
          <w:szCs w:val="22"/>
        </w:rPr>
        <w:t xml:space="preserve">out of ODS, </w:t>
      </w:r>
      <w:r w:rsidR="00174283">
        <w:rPr>
          <w:color w:val="auto"/>
          <w:szCs w:val="22"/>
        </w:rPr>
        <w:t xml:space="preserve">EE </w:t>
      </w:r>
      <w:r w:rsidR="00DE333B" w:rsidRPr="00F867D0">
        <w:rPr>
          <w:color w:val="auto"/>
          <w:szCs w:val="22"/>
        </w:rPr>
        <w:t>continues</w:t>
      </w:r>
      <w:r w:rsidR="00A663AA" w:rsidRPr="00F867D0">
        <w:rPr>
          <w:color w:val="auto"/>
          <w:szCs w:val="22"/>
        </w:rPr>
        <w:t xml:space="preserve"> to be a priority </w:t>
      </w:r>
      <w:r w:rsidR="00DE333B" w:rsidRPr="00F867D0">
        <w:rPr>
          <w:color w:val="auto"/>
          <w:szCs w:val="22"/>
        </w:rPr>
        <w:t xml:space="preserve">consideration </w:t>
      </w:r>
      <w:r w:rsidR="00A663AA" w:rsidRPr="00F867D0">
        <w:rPr>
          <w:color w:val="auto"/>
          <w:szCs w:val="22"/>
        </w:rPr>
        <w:t>in the development and choice of ODS alternatives</w:t>
      </w:r>
      <w:r w:rsidR="00DE31FC" w:rsidRPr="00F867D0">
        <w:rPr>
          <w:color w:val="auto"/>
          <w:szCs w:val="22"/>
        </w:rPr>
        <w:t xml:space="preserve"> and</w:t>
      </w:r>
      <w:r w:rsidR="00C07ADA" w:rsidRPr="00F867D0">
        <w:rPr>
          <w:color w:val="auto"/>
          <w:szCs w:val="22"/>
        </w:rPr>
        <w:t xml:space="preserve"> </w:t>
      </w:r>
      <w:r w:rsidR="00A663AA" w:rsidRPr="00F867D0">
        <w:rPr>
          <w:color w:val="auto"/>
          <w:szCs w:val="22"/>
        </w:rPr>
        <w:t xml:space="preserve">of paramount importance when </w:t>
      </w:r>
      <w:r w:rsidR="00DE333B" w:rsidRPr="00F867D0">
        <w:rPr>
          <w:color w:val="auto"/>
          <w:szCs w:val="22"/>
        </w:rPr>
        <w:t xml:space="preserve">assessing the potential climate impact of the </w:t>
      </w:r>
      <w:r w:rsidR="00A663AA" w:rsidRPr="00F867D0">
        <w:rPr>
          <w:color w:val="auto"/>
          <w:szCs w:val="22"/>
        </w:rPr>
        <w:t xml:space="preserve">RACHP </w:t>
      </w:r>
      <w:r w:rsidR="00DE333B" w:rsidRPr="00F867D0">
        <w:rPr>
          <w:color w:val="auto"/>
          <w:szCs w:val="22"/>
        </w:rPr>
        <w:t>sector.</w:t>
      </w:r>
      <w:r w:rsidR="00A663AA" w:rsidRPr="00F867D0">
        <w:rPr>
          <w:color w:val="auto"/>
          <w:szCs w:val="22"/>
        </w:rPr>
        <w:t xml:space="preserve">  </w:t>
      </w:r>
    </w:p>
    <w:p w14:paraId="1460F2EC" w14:textId="77777777" w:rsidR="00415245" w:rsidRPr="00F867D0" w:rsidRDefault="00415245" w:rsidP="00A663AA">
      <w:pPr>
        <w:widowControl w:val="0"/>
        <w:spacing w:after="0"/>
        <w:rPr>
          <w:color w:val="auto"/>
          <w:szCs w:val="22"/>
        </w:rPr>
      </w:pPr>
    </w:p>
    <w:p w14:paraId="470EB0E4" w14:textId="3E226492" w:rsidR="00A663AA" w:rsidRDefault="00A663AA" w:rsidP="00A663AA">
      <w:pPr>
        <w:widowControl w:val="0"/>
        <w:spacing w:after="0"/>
        <w:rPr>
          <w:color w:val="auto"/>
          <w:szCs w:val="22"/>
        </w:rPr>
      </w:pPr>
      <w:r w:rsidRPr="00F867D0">
        <w:rPr>
          <w:color w:val="auto"/>
          <w:szCs w:val="22"/>
        </w:rPr>
        <w:t xml:space="preserve">RACHP equipment </w:t>
      </w:r>
      <w:r w:rsidR="00DE31FC" w:rsidRPr="00F867D0">
        <w:rPr>
          <w:color w:val="auto"/>
          <w:szCs w:val="22"/>
        </w:rPr>
        <w:t xml:space="preserve">contributes </w:t>
      </w:r>
      <w:r w:rsidRPr="00F867D0">
        <w:rPr>
          <w:color w:val="auto"/>
          <w:szCs w:val="22"/>
        </w:rPr>
        <w:t xml:space="preserve">two distinct types of greenhouse gas </w:t>
      </w:r>
      <w:r w:rsidR="004F2506" w:rsidRPr="00F867D0">
        <w:rPr>
          <w:color w:val="auto"/>
          <w:szCs w:val="22"/>
        </w:rPr>
        <w:t xml:space="preserve">(GHG) </w:t>
      </w:r>
      <w:r w:rsidRPr="00F867D0">
        <w:rPr>
          <w:color w:val="auto"/>
          <w:szCs w:val="22"/>
        </w:rPr>
        <w:t>emissions:</w:t>
      </w:r>
    </w:p>
    <w:p w14:paraId="4879159F" w14:textId="77777777" w:rsidR="004F14F0" w:rsidRDefault="004F14F0" w:rsidP="00A663AA">
      <w:pPr>
        <w:widowControl w:val="0"/>
        <w:spacing w:after="0"/>
        <w:rPr>
          <w:color w:val="auto"/>
          <w:szCs w:val="22"/>
        </w:rPr>
      </w:pPr>
    </w:p>
    <w:p w14:paraId="19A4EC0E" w14:textId="5AF62714" w:rsidR="00A663AA" w:rsidRPr="00F867D0" w:rsidRDefault="00A663AA" w:rsidP="004F2620">
      <w:pPr>
        <w:widowControl w:val="0"/>
        <w:numPr>
          <w:ilvl w:val="0"/>
          <w:numId w:val="63"/>
        </w:numPr>
        <w:tabs>
          <w:tab w:val="left" w:pos="220"/>
          <w:tab w:val="left" w:pos="270"/>
        </w:tabs>
        <w:autoSpaceDE w:val="0"/>
        <w:autoSpaceDN w:val="0"/>
        <w:adjustRightInd w:val="0"/>
        <w:spacing w:after="0"/>
        <w:rPr>
          <w:color w:val="auto"/>
          <w:kern w:val="2"/>
          <w:szCs w:val="22"/>
        </w:rPr>
      </w:pPr>
      <w:r w:rsidRPr="00F867D0">
        <w:rPr>
          <w:b/>
          <w:color w:val="auto"/>
          <w:kern w:val="2"/>
          <w:szCs w:val="22"/>
        </w:rPr>
        <w:t>Direct emissions</w:t>
      </w:r>
      <w:r w:rsidRPr="00F867D0">
        <w:rPr>
          <w:color w:val="auto"/>
          <w:kern w:val="2"/>
          <w:szCs w:val="22"/>
        </w:rPr>
        <w:t xml:space="preserve">, </w:t>
      </w:r>
      <w:r w:rsidR="00DE31FC" w:rsidRPr="00F867D0">
        <w:rPr>
          <w:color w:val="auto"/>
          <w:kern w:val="2"/>
          <w:szCs w:val="22"/>
        </w:rPr>
        <w:t>as a result of</w:t>
      </w:r>
      <w:r w:rsidRPr="00F867D0">
        <w:rPr>
          <w:color w:val="auto"/>
          <w:kern w:val="2"/>
          <w:szCs w:val="22"/>
        </w:rPr>
        <w:t xml:space="preserve"> leakage of refrigerants. </w:t>
      </w:r>
      <w:r w:rsidR="00B26248">
        <w:rPr>
          <w:color w:val="auto"/>
          <w:kern w:val="2"/>
          <w:szCs w:val="22"/>
          <w:lang w:val="en-US"/>
        </w:rPr>
        <w:t xml:space="preserve">Chlorofluorocarbon (CFC) and many hydrochlorofluorocarbon (HCFC) and HFC </w:t>
      </w:r>
      <w:r w:rsidRPr="00F867D0">
        <w:rPr>
          <w:color w:val="auto"/>
          <w:kern w:val="2"/>
          <w:szCs w:val="22"/>
        </w:rPr>
        <w:t xml:space="preserve">refrigerants have very high </w:t>
      </w:r>
      <w:r w:rsidR="0053584A">
        <w:rPr>
          <w:color w:val="auto"/>
          <w:kern w:val="2"/>
          <w:szCs w:val="22"/>
        </w:rPr>
        <w:t>GWP</w:t>
      </w:r>
      <w:r w:rsidRPr="00F867D0">
        <w:rPr>
          <w:color w:val="auto"/>
          <w:kern w:val="2"/>
          <w:szCs w:val="22"/>
        </w:rPr>
        <w:t>s, hence the importance of reducing direct emissions.</w:t>
      </w:r>
    </w:p>
    <w:p w14:paraId="798240F7" w14:textId="77777777" w:rsidR="004F14F0" w:rsidRPr="004F14F0" w:rsidRDefault="004F14F0" w:rsidP="000F749F">
      <w:pPr>
        <w:spacing w:after="0"/>
        <w:ind w:left="720"/>
      </w:pPr>
    </w:p>
    <w:p w14:paraId="6EC75FE8" w14:textId="5DCF6C80" w:rsidR="0053584A" w:rsidRDefault="00A663AA" w:rsidP="004F2620">
      <w:pPr>
        <w:pStyle w:val="ListParagraph"/>
        <w:numPr>
          <w:ilvl w:val="0"/>
          <w:numId w:val="63"/>
        </w:numPr>
      </w:pPr>
      <w:r w:rsidRPr="0053584A">
        <w:rPr>
          <w:b/>
        </w:rPr>
        <w:t>Indirect emissions</w:t>
      </w:r>
      <w:r w:rsidRPr="0053584A">
        <w:t>, linked to the energy consumption of the equipment [UNEP, 2017</w:t>
      </w:r>
      <w:r w:rsidR="00C07ADA" w:rsidRPr="0053584A">
        <w:t>a</w:t>
      </w:r>
      <w:r w:rsidRPr="0053584A">
        <w:t>].</w:t>
      </w:r>
      <w:r w:rsidR="0053584A" w:rsidRPr="0053584A">
        <w:t xml:space="preserve"> The indirect energy-related emissions are dominant for most types of RACHP equipment. </w:t>
      </w:r>
    </w:p>
    <w:p w14:paraId="20F0A1CF" w14:textId="77777777" w:rsidR="00CF21B5" w:rsidRDefault="00CF21B5" w:rsidP="007D246C">
      <w:pPr>
        <w:widowControl w:val="0"/>
        <w:spacing w:after="0"/>
        <w:rPr>
          <w:color w:val="auto"/>
        </w:rPr>
      </w:pPr>
    </w:p>
    <w:p w14:paraId="6734939F" w14:textId="5F813D03" w:rsidR="00A663AA" w:rsidRPr="00F867D0" w:rsidRDefault="0053584A" w:rsidP="007D246C">
      <w:pPr>
        <w:widowControl w:val="0"/>
        <w:spacing w:after="0"/>
        <w:rPr>
          <w:color w:val="auto"/>
          <w:szCs w:val="22"/>
        </w:rPr>
      </w:pPr>
      <w:r w:rsidRPr="0053584A">
        <w:rPr>
          <w:color w:val="auto"/>
        </w:rPr>
        <w:t xml:space="preserve">Around 80% of annual global RACHP GHG emissions are indirect and only 20% </w:t>
      </w:r>
      <w:r>
        <w:rPr>
          <w:color w:val="auto"/>
        </w:rPr>
        <w:t xml:space="preserve">are direct, </w:t>
      </w:r>
      <w:r w:rsidRPr="0053584A">
        <w:rPr>
          <w:color w:val="auto"/>
        </w:rPr>
        <w:t>com</w:t>
      </w:r>
      <w:r>
        <w:rPr>
          <w:color w:val="auto"/>
        </w:rPr>
        <w:t>ing</w:t>
      </w:r>
      <w:r w:rsidRPr="0053584A">
        <w:rPr>
          <w:color w:val="auto"/>
        </w:rPr>
        <w:t xml:space="preserve"> from refrigerant leakage. It should be noted that the ratio between indirect and direct emissions varies in different sectors of the RACHP market. It also varies with when and for how long equipment is used over the year and is strongly influenced by the level of </w:t>
      </w:r>
      <w:r w:rsidRPr="0053584A">
        <w:rPr>
          <w:rFonts w:cs="Cambria"/>
          <w:color w:val="auto"/>
        </w:rPr>
        <w:t>CO</w:t>
      </w:r>
      <w:r w:rsidRPr="0053584A">
        <w:rPr>
          <w:rFonts w:cs="Cambria"/>
          <w:color w:val="auto"/>
          <w:vertAlign w:val="subscript"/>
        </w:rPr>
        <w:t>2</w:t>
      </w:r>
      <w:r w:rsidRPr="0053584A">
        <w:rPr>
          <w:color w:val="auto"/>
        </w:rPr>
        <w:t xml:space="preserve"> emissions from the source of electricity.</w:t>
      </w:r>
      <w:r w:rsidR="007D246C">
        <w:rPr>
          <w:color w:val="auto"/>
          <w:szCs w:val="22"/>
        </w:rPr>
        <w:t xml:space="preserve"> </w:t>
      </w:r>
      <w:r w:rsidR="00A663AA" w:rsidRPr="00F867D0">
        <w:rPr>
          <w:color w:val="auto"/>
          <w:szCs w:val="22"/>
        </w:rPr>
        <w:t xml:space="preserve">For some types of equipment such as </w:t>
      </w:r>
      <w:r w:rsidR="00D44618" w:rsidRPr="00F867D0">
        <w:rPr>
          <w:color w:val="auto"/>
          <w:szCs w:val="22"/>
        </w:rPr>
        <w:t xml:space="preserve">large, field-installed </w:t>
      </w:r>
      <w:r w:rsidR="00A663AA" w:rsidRPr="00F867D0">
        <w:rPr>
          <w:color w:val="auto"/>
          <w:szCs w:val="22"/>
        </w:rPr>
        <w:t>commercial refrigeration</w:t>
      </w:r>
      <w:r w:rsidR="00D44618" w:rsidRPr="00F867D0">
        <w:rPr>
          <w:color w:val="auto"/>
          <w:szCs w:val="22"/>
        </w:rPr>
        <w:t xml:space="preserve"> systems</w:t>
      </w:r>
      <w:r w:rsidR="004F2506" w:rsidRPr="00F867D0">
        <w:rPr>
          <w:color w:val="auto"/>
          <w:szCs w:val="22"/>
        </w:rPr>
        <w:t>,</w:t>
      </w:r>
      <w:r w:rsidR="00A663AA" w:rsidRPr="00F867D0">
        <w:rPr>
          <w:color w:val="auto"/>
          <w:szCs w:val="22"/>
        </w:rPr>
        <w:t xml:space="preserve"> the direct emissions can be as high as 40% of the total</w:t>
      </w:r>
      <w:r w:rsidR="004F2506" w:rsidRPr="00F867D0">
        <w:rPr>
          <w:color w:val="auto"/>
          <w:szCs w:val="22"/>
        </w:rPr>
        <w:t xml:space="preserve"> emissions. </w:t>
      </w:r>
      <w:r w:rsidR="00D44618" w:rsidRPr="00F867D0">
        <w:rPr>
          <w:color w:val="auto"/>
          <w:szCs w:val="22"/>
        </w:rPr>
        <w:t xml:space="preserve">In contrast, </w:t>
      </w:r>
      <w:r w:rsidR="004F2506" w:rsidRPr="00F867D0">
        <w:rPr>
          <w:color w:val="auto"/>
          <w:szCs w:val="22"/>
        </w:rPr>
        <w:t>factory-</w:t>
      </w:r>
      <w:r w:rsidR="00A663AA" w:rsidRPr="00F867D0">
        <w:rPr>
          <w:color w:val="auto"/>
          <w:szCs w:val="22"/>
        </w:rPr>
        <w:t>sealed</w:t>
      </w:r>
      <w:r w:rsidR="00D44618" w:rsidRPr="00F867D0">
        <w:rPr>
          <w:color w:val="auto"/>
          <w:szCs w:val="22"/>
        </w:rPr>
        <w:t xml:space="preserve"> systems </w:t>
      </w:r>
      <w:r w:rsidR="00A663AA" w:rsidRPr="00F867D0">
        <w:rPr>
          <w:color w:val="auto"/>
          <w:szCs w:val="22"/>
        </w:rPr>
        <w:t xml:space="preserve">direct emissions </w:t>
      </w:r>
      <w:r>
        <w:rPr>
          <w:color w:val="auto"/>
          <w:szCs w:val="22"/>
        </w:rPr>
        <w:t xml:space="preserve">can be </w:t>
      </w:r>
      <w:r w:rsidR="00714CE7" w:rsidRPr="00F867D0">
        <w:rPr>
          <w:color w:val="auto"/>
          <w:szCs w:val="22"/>
        </w:rPr>
        <w:t>lower than</w:t>
      </w:r>
      <w:r w:rsidR="00947784" w:rsidRPr="00F867D0">
        <w:rPr>
          <w:color w:val="auto"/>
          <w:szCs w:val="22"/>
        </w:rPr>
        <w:t xml:space="preserve"> </w:t>
      </w:r>
      <w:r w:rsidR="004F14F0">
        <w:rPr>
          <w:color w:val="auto"/>
          <w:szCs w:val="22"/>
        </w:rPr>
        <w:t xml:space="preserve">1%. </w:t>
      </w:r>
      <w:r w:rsidR="00A663AA" w:rsidRPr="00F867D0">
        <w:rPr>
          <w:color w:val="auto"/>
          <w:szCs w:val="22"/>
        </w:rPr>
        <w:t>It is important to recogni</w:t>
      </w:r>
      <w:r>
        <w:rPr>
          <w:color w:val="auto"/>
          <w:szCs w:val="22"/>
        </w:rPr>
        <w:t>s</w:t>
      </w:r>
      <w:r w:rsidR="00A663AA" w:rsidRPr="00F867D0">
        <w:rPr>
          <w:color w:val="auto"/>
          <w:szCs w:val="22"/>
        </w:rPr>
        <w:t xml:space="preserve">e that the indirect emissions </w:t>
      </w:r>
      <w:r w:rsidR="004F2506" w:rsidRPr="00F867D0">
        <w:rPr>
          <w:color w:val="auto"/>
          <w:szCs w:val="22"/>
        </w:rPr>
        <w:t xml:space="preserve">from energy consumption </w:t>
      </w:r>
      <w:r w:rsidR="00A663AA" w:rsidRPr="00F867D0">
        <w:rPr>
          <w:color w:val="auto"/>
          <w:szCs w:val="22"/>
        </w:rPr>
        <w:t xml:space="preserve">are always </w:t>
      </w:r>
      <w:r w:rsidR="002830D2" w:rsidRPr="00F867D0">
        <w:rPr>
          <w:color w:val="auto"/>
          <w:szCs w:val="22"/>
        </w:rPr>
        <w:t xml:space="preserve">substantial </w:t>
      </w:r>
      <w:r w:rsidR="00A663AA" w:rsidRPr="00F867D0">
        <w:rPr>
          <w:color w:val="auto"/>
          <w:szCs w:val="22"/>
        </w:rPr>
        <w:t xml:space="preserve">and steps should be taken to minimize </w:t>
      </w:r>
      <w:r w:rsidR="00A24B8D">
        <w:rPr>
          <w:color w:val="auto"/>
          <w:szCs w:val="22"/>
        </w:rPr>
        <w:t xml:space="preserve">the </w:t>
      </w:r>
      <w:r w:rsidR="00A663AA" w:rsidRPr="00F867D0">
        <w:rPr>
          <w:color w:val="auto"/>
          <w:szCs w:val="22"/>
        </w:rPr>
        <w:t xml:space="preserve">energy </w:t>
      </w:r>
      <w:r w:rsidR="00A24B8D">
        <w:rPr>
          <w:color w:val="auto"/>
          <w:szCs w:val="22"/>
        </w:rPr>
        <w:t>required to deliver the desired cooling/heating</w:t>
      </w:r>
      <w:r w:rsidR="00A663AA" w:rsidRPr="00F867D0">
        <w:rPr>
          <w:color w:val="auto"/>
          <w:szCs w:val="22"/>
        </w:rPr>
        <w:t>. The RACHP industry has provided the market with increasingly energy efficient products driven by market forces and by regulations</w:t>
      </w:r>
      <w:r w:rsidR="004F2506" w:rsidRPr="00F867D0">
        <w:rPr>
          <w:color w:val="auto"/>
          <w:szCs w:val="22"/>
        </w:rPr>
        <w:t>,</w:t>
      </w:r>
      <w:r w:rsidR="00A663AA" w:rsidRPr="00F867D0">
        <w:rPr>
          <w:color w:val="auto"/>
          <w:szCs w:val="22"/>
        </w:rPr>
        <w:t xml:space="preserve"> and this effort is likely to continue during the Kigali Amendment implementation.</w:t>
      </w:r>
    </w:p>
    <w:p w14:paraId="67101BDE" w14:textId="77777777" w:rsidR="00A663AA" w:rsidRPr="00F867D0" w:rsidRDefault="00A663AA" w:rsidP="00A663AA">
      <w:pPr>
        <w:widowControl w:val="0"/>
        <w:spacing w:after="0"/>
        <w:rPr>
          <w:color w:val="auto"/>
          <w:szCs w:val="22"/>
        </w:rPr>
      </w:pPr>
    </w:p>
    <w:p w14:paraId="7009FD12" w14:textId="13AF1E6E" w:rsidR="00A663AA" w:rsidRPr="000F749F" w:rsidRDefault="002F0F6A" w:rsidP="000F749F">
      <w:pPr>
        <w:pStyle w:val="Heading3"/>
        <w:rPr>
          <w:b w:val="0"/>
        </w:rPr>
      </w:pPr>
      <w:bookmarkStart w:id="44" w:name="_Toc515454353"/>
      <w:r w:rsidRPr="000F749F">
        <w:t>2.1.2</w:t>
      </w:r>
      <w:r w:rsidRPr="000F749F">
        <w:tab/>
      </w:r>
      <w:r w:rsidR="00A663AA" w:rsidRPr="000F749F">
        <w:t xml:space="preserve">Types of </w:t>
      </w:r>
      <w:r w:rsidR="0053584A" w:rsidRPr="000F749F">
        <w:t>e</w:t>
      </w:r>
      <w:r w:rsidR="00A663AA" w:rsidRPr="000F749F">
        <w:t xml:space="preserve">fficiency </w:t>
      </w:r>
      <w:r w:rsidR="0053584A" w:rsidRPr="000F749F">
        <w:t>i</w:t>
      </w:r>
      <w:r w:rsidR="00A663AA" w:rsidRPr="000F749F">
        <w:t xml:space="preserve">mprovement, </w:t>
      </w:r>
      <w:r w:rsidR="0053584A" w:rsidRPr="000F749F">
        <w:t>n</w:t>
      </w:r>
      <w:r w:rsidR="00A663AA" w:rsidRPr="000F749F">
        <w:t xml:space="preserve">ew RACHP </w:t>
      </w:r>
      <w:r w:rsidR="0053584A" w:rsidRPr="000F749F">
        <w:t>e</w:t>
      </w:r>
      <w:r w:rsidR="00A663AA" w:rsidRPr="000F749F">
        <w:t>quipment</w:t>
      </w:r>
      <w:bookmarkEnd w:id="44"/>
    </w:p>
    <w:p w14:paraId="4A3E8B2F" w14:textId="1201CD1B" w:rsidR="00A663AA" w:rsidRDefault="004F2506" w:rsidP="00A663AA">
      <w:pPr>
        <w:widowControl w:val="0"/>
        <w:spacing w:after="0"/>
        <w:rPr>
          <w:color w:val="auto"/>
          <w:szCs w:val="22"/>
        </w:rPr>
      </w:pPr>
      <w:r w:rsidRPr="00F867D0">
        <w:rPr>
          <w:color w:val="auto"/>
          <w:szCs w:val="22"/>
        </w:rPr>
        <w:t>Improvements</w:t>
      </w:r>
      <w:r w:rsidR="00D62A02" w:rsidRPr="00F867D0">
        <w:rPr>
          <w:color w:val="auto"/>
          <w:szCs w:val="22"/>
          <w:vertAlign w:val="superscript"/>
        </w:rPr>
        <w:footnoteReference w:id="4"/>
      </w:r>
      <w:r w:rsidRPr="00F867D0">
        <w:rPr>
          <w:color w:val="auto"/>
          <w:szCs w:val="22"/>
        </w:rPr>
        <w:t xml:space="preserve"> to </w:t>
      </w:r>
      <w:r w:rsidR="002830D2" w:rsidRPr="00F867D0">
        <w:rPr>
          <w:color w:val="auto"/>
          <w:szCs w:val="22"/>
        </w:rPr>
        <w:t xml:space="preserve">the </w:t>
      </w:r>
      <w:r w:rsidR="0053584A">
        <w:rPr>
          <w:color w:val="auto"/>
          <w:szCs w:val="22"/>
        </w:rPr>
        <w:t>EE</w:t>
      </w:r>
      <w:r w:rsidR="00A663AA" w:rsidRPr="00F867D0">
        <w:rPr>
          <w:color w:val="auto"/>
          <w:szCs w:val="22"/>
        </w:rPr>
        <w:t xml:space="preserve"> </w:t>
      </w:r>
      <w:r w:rsidRPr="00F867D0">
        <w:rPr>
          <w:color w:val="auto"/>
          <w:szCs w:val="22"/>
        </w:rPr>
        <w:t xml:space="preserve">of equipment </w:t>
      </w:r>
      <w:r w:rsidR="00714CE7" w:rsidRPr="00F867D0">
        <w:rPr>
          <w:color w:val="auto"/>
          <w:szCs w:val="22"/>
        </w:rPr>
        <w:t>are</w:t>
      </w:r>
      <w:r w:rsidRPr="00F867D0">
        <w:rPr>
          <w:color w:val="auto"/>
          <w:szCs w:val="22"/>
        </w:rPr>
        <w:t xml:space="preserve"> best addressed when new equipment is designed and manufactured. </w:t>
      </w:r>
      <w:r w:rsidR="00A663AA" w:rsidRPr="00F867D0">
        <w:rPr>
          <w:color w:val="auto"/>
          <w:szCs w:val="22"/>
        </w:rPr>
        <w:t xml:space="preserve">The designer </w:t>
      </w:r>
      <w:r w:rsidR="0080536C" w:rsidRPr="00F867D0">
        <w:rPr>
          <w:color w:val="auto"/>
          <w:szCs w:val="22"/>
        </w:rPr>
        <w:t xml:space="preserve">can </w:t>
      </w:r>
      <w:r w:rsidR="00A663AA" w:rsidRPr="00F867D0">
        <w:rPr>
          <w:color w:val="auto"/>
          <w:szCs w:val="22"/>
        </w:rPr>
        <w:t>incorporate appropriate energy saving features that will deliver multiple benefits</w:t>
      </w:r>
      <w:r w:rsidRPr="00F867D0">
        <w:rPr>
          <w:color w:val="auto"/>
          <w:szCs w:val="22"/>
        </w:rPr>
        <w:t xml:space="preserve"> including</w:t>
      </w:r>
      <w:r w:rsidR="00A663AA" w:rsidRPr="00F867D0">
        <w:rPr>
          <w:color w:val="auto"/>
          <w:szCs w:val="22"/>
        </w:rPr>
        <w:t>:</w:t>
      </w:r>
    </w:p>
    <w:p w14:paraId="6A263330" w14:textId="77777777" w:rsidR="004F14F0" w:rsidRPr="00F867D0" w:rsidRDefault="004F14F0" w:rsidP="00A663AA">
      <w:pPr>
        <w:widowControl w:val="0"/>
        <w:spacing w:after="0"/>
        <w:rPr>
          <w:color w:val="auto"/>
          <w:szCs w:val="22"/>
        </w:rPr>
      </w:pPr>
    </w:p>
    <w:p w14:paraId="5C6E566D" w14:textId="133632A6" w:rsidR="00A663AA" w:rsidRPr="00F867D0" w:rsidRDefault="004F2506" w:rsidP="00736989">
      <w:pPr>
        <w:widowControl w:val="0"/>
        <w:numPr>
          <w:ilvl w:val="0"/>
          <w:numId w:val="64"/>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Reduced energy-</w:t>
      </w:r>
      <w:r w:rsidR="00A663AA" w:rsidRPr="00F867D0">
        <w:rPr>
          <w:color w:val="auto"/>
          <w:kern w:val="2"/>
          <w:szCs w:val="22"/>
        </w:rPr>
        <w:t>related GHG emissions throughout the life of the equipment</w:t>
      </w:r>
      <w:r w:rsidRPr="00F867D0">
        <w:rPr>
          <w:color w:val="auto"/>
          <w:kern w:val="2"/>
          <w:szCs w:val="22"/>
        </w:rPr>
        <w:t>;</w:t>
      </w:r>
    </w:p>
    <w:p w14:paraId="3BC10EEE"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p>
    <w:p w14:paraId="0FF670F6" w14:textId="1CDF40AE" w:rsidR="00A663AA" w:rsidRPr="00F867D0" w:rsidRDefault="00A663AA" w:rsidP="00736989">
      <w:pPr>
        <w:widowControl w:val="0"/>
        <w:numPr>
          <w:ilvl w:val="0"/>
          <w:numId w:val="64"/>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Reduced energy costs, providing good fin</w:t>
      </w:r>
      <w:r w:rsidR="004F2506" w:rsidRPr="00F867D0">
        <w:rPr>
          <w:color w:val="auto"/>
          <w:kern w:val="2"/>
          <w:szCs w:val="22"/>
        </w:rPr>
        <w:t>ancial benefits to the end user; and</w:t>
      </w:r>
    </w:p>
    <w:p w14:paraId="3F7F9938"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p>
    <w:p w14:paraId="7C584D47" w14:textId="60267C68" w:rsidR="00A663AA" w:rsidRPr="00F867D0" w:rsidRDefault="00A663AA" w:rsidP="00736989">
      <w:pPr>
        <w:widowControl w:val="0"/>
        <w:numPr>
          <w:ilvl w:val="0"/>
          <w:numId w:val="64"/>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 xml:space="preserve">Reduced peak </w:t>
      </w:r>
      <w:r w:rsidR="00A24B8D">
        <w:rPr>
          <w:color w:val="auto"/>
          <w:kern w:val="2"/>
          <w:szCs w:val="22"/>
        </w:rPr>
        <w:t xml:space="preserve">electricity </w:t>
      </w:r>
      <w:r w:rsidRPr="00F867D0">
        <w:rPr>
          <w:color w:val="auto"/>
          <w:kern w:val="2"/>
          <w:szCs w:val="22"/>
        </w:rPr>
        <w:t xml:space="preserve">demand, providing potential financial benefits </w:t>
      </w:r>
      <w:r w:rsidR="00A24B8D">
        <w:rPr>
          <w:color w:val="auto"/>
          <w:kern w:val="2"/>
          <w:szCs w:val="22"/>
        </w:rPr>
        <w:t>by reducing the need for electricity generation and distribution capacity, which translates into lower investment, fuel and costs of operation for</w:t>
      </w:r>
      <w:r w:rsidR="00271774" w:rsidRPr="00F867D0">
        <w:rPr>
          <w:color w:val="auto"/>
          <w:kern w:val="2"/>
          <w:szCs w:val="22"/>
        </w:rPr>
        <w:t xml:space="preserve"> </w:t>
      </w:r>
      <w:r w:rsidR="00777872" w:rsidRPr="00F867D0">
        <w:rPr>
          <w:color w:val="auto"/>
          <w:kern w:val="2"/>
          <w:szCs w:val="22"/>
        </w:rPr>
        <w:t xml:space="preserve">electricity </w:t>
      </w:r>
      <w:r w:rsidR="00A24B8D">
        <w:rPr>
          <w:color w:val="auto"/>
          <w:kern w:val="2"/>
          <w:szCs w:val="22"/>
        </w:rPr>
        <w:t>generators</w:t>
      </w:r>
      <w:r w:rsidRPr="00F867D0">
        <w:rPr>
          <w:color w:val="auto"/>
          <w:kern w:val="2"/>
          <w:szCs w:val="22"/>
        </w:rPr>
        <w:t>.</w:t>
      </w:r>
    </w:p>
    <w:p w14:paraId="75435F26" w14:textId="77777777" w:rsidR="009D5CDA" w:rsidRPr="00F867D0" w:rsidRDefault="009D5CDA" w:rsidP="00A663AA">
      <w:pPr>
        <w:widowControl w:val="0"/>
        <w:spacing w:after="0"/>
        <w:rPr>
          <w:color w:val="auto"/>
          <w:szCs w:val="22"/>
        </w:rPr>
      </w:pPr>
    </w:p>
    <w:p w14:paraId="62999AAC" w14:textId="6D5E2CEE" w:rsidR="00A663AA" w:rsidRPr="00F867D0" w:rsidRDefault="00A663AA" w:rsidP="00A663AA">
      <w:pPr>
        <w:widowControl w:val="0"/>
        <w:spacing w:after="0"/>
        <w:rPr>
          <w:color w:val="auto"/>
          <w:szCs w:val="22"/>
        </w:rPr>
      </w:pPr>
      <w:r w:rsidRPr="00F867D0">
        <w:rPr>
          <w:color w:val="auto"/>
          <w:szCs w:val="22"/>
        </w:rPr>
        <w:t>By using a rigorous integrated approach to RACHP equipment design and selection</w:t>
      </w:r>
      <w:r w:rsidR="004F2506" w:rsidRPr="00F867D0">
        <w:rPr>
          <w:color w:val="auto"/>
          <w:szCs w:val="22"/>
        </w:rPr>
        <w:t>,</w:t>
      </w:r>
      <w:r w:rsidRPr="00F867D0">
        <w:rPr>
          <w:color w:val="auto"/>
          <w:szCs w:val="22"/>
        </w:rPr>
        <w:t xml:space="preserve"> the opportunities to improve </w:t>
      </w:r>
      <w:r w:rsidR="0053584A">
        <w:rPr>
          <w:color w:val="auto"/>
          <w:szCs w:val="22"/>
        </w:rPr>
        <w:t>EE</w:t>
      </w:r>
      <w:r w:rsidRPr="00F867D0">
        <w:rPr>
          <w:color w:val="auto"/>
          <w:szCs w:val="22"/>
        </w:rPr>
        <w:t xml:space="preserve"> can be maximized. This approach includes:</w:t>
      </w:r>
    </w:p>
    <w:p w14:paraId="74D282BB"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p>
    <w:p w14:paraId="39CF9852" w14:textId="74337313" w:rsidR="00A663AA" w:rsidRPr="00F867D0" w:rsidRDefault="00A663AA" w:rsidP="00736989">
      <w:pPr>
        <w:widowControl w:val="0"/>
        <w:numPr>
          <w:ilvl w:val="0"/>
          <w:numId w:val="65"/>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Ensuring minimi</w:t>
      </w:r>
      <w:r w:rsidR="00EA66B3">
        <w:rPr>
          <w:color w:val="auto"/>
          <w:kern w:val="2"/>
          <w:szCs w:val="22"/>
        </w:rPr>
        <w:t>s</w:t>
      </w:r>
      <w:r w:rsidR="009D5CDA" w:rsidRPr="00F867D0">
        <w:rPr>
          <w:color w:val="auto"/>
          <w:kern w:val="2"/>
          <w:szCs w:val="22"/>
        </w:rPr>
        <w:t>ation of cooling/heating loads;</w:t>
      </w:r>
    </w:p>
    <w:p w14:paraId="6FF98DB0"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p>
    <w:p w14:paraId="6C13417A" w14:textId="12A57155" w:rsidR="00A663AA" w:rsidRPr="00F867D0" w:rsidRDefault="00A663AA" w:rsidP="00736989">
      <w:pPr>
        <w:widowControl w:val="0"/>
        <w:numPr>
          <w:ilvl w:val="0"/>
          <w:numId w:val="65"/>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Selec</w:t>
      </w:r>
      <w:r w:rsidR="009D5CDA" w:rsidRPr="00F867D0">
        <w:rPr>
          <w:color w:val="auto"/>
          <w:kern w:val="2"/>
          <w:szCs w:val="22"/>
        </w:rPr>
        <w:t>tion of appropriate refrigerant;</w:t>
      </w:r>
    </w:p>
    <w:p w14:paraId="1331CF2B"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p>
    <w:p w14:paraId="39C3CE4C" w14:textId="20F9334D" w:rsidR="00A663AA" w:rsidRPr="00F867D0" w:rsidRDefault="00A663AA" w:rsidP="00736989">
      <w:pPr>
        <w:widowControl w:val="0"/>
        <w:numPr>
          <w:ilvl w:val="0"/>
          <w:numId w:val="65"/>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 xml:space="preserve">Use of high efficiency </w:t>
      </w:r>
      <w:r w:rsidR="00271774" w:rsidRPr="00F867D0">
        <w:rPr>
          <w:color w:val="auto"/>
          <w:kern w:val="2"/>
          <w:szCs w:val="22"/>
        </w:rPr>
        <w:t xml:space="preserve">components </w:t>
      </w:r>
      <w:r w:rsidR="00164BCA" w:rsidRPr="00F867D0">
        <w:rPr>
          <w:color w:val="auto"/>
          <w:kern w:val="2"/>
          <w:szCs w:val="22"/>
        </w:rPr>
        <w:t>and system design</w:t>
      </w:r>
      <w:r w:rsidR="009D5CDA" w:rsidRPr="00F867D0">
        <w:rPr>
          <w:color w:val="auto"/>
          <w:kern w:val="2"/>
          <w:szCs w:val="22"/>
        </w:rPr>
        <w:t>;</w:t>
      </w:r>
    </w:p>
    <w:p w14:paraId="1E078090"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bookmarkStart w:id="45" w:name="_Hlk512178444"/>
    </w:p>
    <w:p w14:paraId="14994C1A" w14:textId="12929FC2" w:rsidR="009D5CDA" w:rsidRPr="00F867D0" w:rsidRDefault="00A663AA" w:rsidP="00736989">
      <w:pPr>
        <w:widowControl w:val="0"/>
        <w:numPr>
          <w:ilvl w:val="0"/>
          <w:numId w:val="65"/>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Ensuring optimi</w:t>
      </w:r>
      <w:r w:rsidR="00A33EB1">
        <w:rPr>
          <w:color w:val="auto"/>
          <w:kern w:val="2"/>
          <w:szCs w:val="22"/>
        </w:rPr>
        <w:t>s</w:t>
      </w:r>
      <w:r w:rsidRPr="00F867D0">
        <w:rPr>
          <w:color w:val="auto"/>
          <w:kern w:val="2"/>
          <w:szCs w:val="22"/>
        </w:rPr>
        <w:t>ed control and operation</w:t>
      </w:r>
      <w:bookmarkEnd w:id="45"/>
      <w:r w:rsidRPr="00F867D0">
        <w:rPr>
          <w:color w:val="auto"/>
          <w:kern w:val="2"/>
          <w:szCs w:val="22"/>
        </w:rPr>
        <w:t>, under all common operating conditions</w:t>
      </w:r>
      <w:r w:rsidR="009D5CDA" w:rsidRPr="00F867D0">
        <w:rPr>
          <w:color w:val="auto"/>
          <w:kern w:val="2"/>
          <w:szCs w:val="22"/>
        </w:rPr>
        <w:t>; and</w:t>
      </w:r>
    </w:p>
    <w:p w14:paraId="1B23C631"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p>
    <w:p w14:paraId="24D056DA" w14:textId="49429A3C" w:rsidR="00A663AA" w:rsidRPr="00F867D0" w:rsidRDefault="009D5CDA" w:rsidP="00736989">
      <w:pPr>
        <w:widowControl w:val="0"/>
        <w:numPr>
          <w:ilvl w:val="0"/>
          <w:numId w:val="65"/>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D</w:t>
      </w:r>
      <w:r w:rsidR="00A663AA" w:rsidRPr="00F867D0">
        <w:rPr>
          <w:color w:val="auto"/>
          <w:kern w:val="2"/>
          <w:szCs w:val="22"/>
        </w:rPr>
        <w:t>esign</w:t>
      </w:r>
      <w:r w:rsidRPr="00F867D0">
        <w:rPr>
          <w:color w:val="auto"/>
          <w:kern w:val="2"/>
          <w:szCs w:val="22"/>
        </w:rPr>
        <w:t>ing</w:t>
      </w:r>
      <w:r w:rsidR="00A663AA" w:rsidRPr="00F867D0">
        <w:rPr>
          <w:color w:val="auto"/>
          <w:kern w:val="2"/>
          <w:szCs w:val="22"/>
        </w:rPr>
        <w:t xml:space="preserve"> features that will support servicing and maintenance.</w:t>
      </w:r>
    </w:p>
    <w:p w14:paraId="0DCB4659" w14:textId="77777777" w:rsidR="004F14F0" w:rsidRDefault="004F14F0" w:rsidP="00A663AA">
      <w:pPr>
        <w:widowControl w:val="0"/>
        <w:spacing w:after="0"/>
        <w:rPr>
          <w:color w:val="auto"/>
          <w:szCs w:val="22"/>
        </w:rPr>
      </w:pPr>
    </w:p>
    <w:p w14:paraId="67A0B240" w14:textId="72359CBF" w:rsidR="00A663AA" w:rsidRPr="00F867D0" w:rsidRDefault="00E51F97" w:rsidP="00A663AA">
      <w:pPr>
        <w:widowControl w:val="0"/>
        <w:spacing w:after="0"/>
        <w:rPr>
          <w:color w:val="auto"/>
          <w:szCs w:val="22"/>
        </w:rPr>
      </w:pPr>
      <w:r>
        <w:rPr>
          <w:color w:val="auto"/>
          <w:szCs w:val="22"/>
        </w:rPr>
        <w:t xml:space="preserve">Point 1) may be not directly related to </w:t>
      </w:r>
      <w:r w:rsidR="00EA66B3">
        <w:rPr>
          <w:color w:val="auto"/>
          <w:szCs w:val="22"/>
        </w:rPr>
        <w:t xml:space="preserve">more energy efficient </w:t>
      </w:r>
      <w:r w:rsidR="0053584A">
        <w:rPr>
          <w:color w:val="auto"/>
          <w:szCs w:val="22"/>
        </w:rPr>
        <w:t>equipment design and selection</w:t>
      </w:r>
      <w:r>
        <w:rPr>
          <w:color w:val="auto"/>
          <w:szCs w:val="22"/>
        </w:rPr>
        <w:t xml:space="preserve">, but it </w:t>
      </w:r>
      <w:r w:rsidR="0053584A">
        <w:rPr>
          <w:color w:val="auto"/>
          <w:szCs w:val="22"/>
        </w:rPr>
        <w:t xml:space="preserve">should </w:t>
      </w:r>
      <w:r>
        <w:rPr>
          <w:color w:val="auto"/>
          <w:szCs w:val="22"/>
        </w:rPr>
        <w:t xml:space="preserve">be taken into account in an integrated approach because </w:t>
      </w:r>
      <w:r w:rsidR="00EA66B3">
        <w:rPr>
          <w:color w:val="auto"/>
          <w:szCs w:val="22"/>
        </w:rPr>
        <w:t xml:space="preserve">of its importance in </w:t>
      </w:r>
      <w:r>
        <w:rPr>
          <w:color w:val="auto"/>
          <w:szCs w:val="22"/>
        </w:rPr>
        <w:t xml:space="preserve">reducing energy consumption </w:t>
      </w:r>
      <w:r w:rsidR="00EA66B3">
        <w:rPr>
          <w:color w:val="auto"/>
          <w:szCs w:val="22"/>
        </w:rPr>
        <w:t>overall</w:t>
      </w:r>
      <w:r>
        <w:rPr>
          <w:color w:val="auto"/>
          <w:szCs w:val="22"/>
        </w:rPr>
        <w:t>.</w:t>
      </w:r>
      <w:r w:rsidR="00EA66B3">
        <w:rPr>
          <w:color w:val="auto"/>
          <w:szCs w:val="22"/>
        </w:rPr>
        <w:t xml:space="preserve"> </w:t>
      </w:r>
      <w:r w:rsidR="00164BCA" w:rsidRPr="00F867D0">
        <w:rPr>
          <w:color w:val="auto"/>
          <w:szCs w:val="22"/>
        </w:rPr>
        <w:t>Each of these five requirements is discussed in the following paragraphs.</w:t>
      </w:r>
    </w:p>
    <w:p w14:paraId="62C16550" w14:textId="77777777" w:rsidR="00FB23F0" w:rsidRPr="00F867D0" w:rsidRDefault="00FB23F0" w:rsidP="00A663AA">
      <w:pPr>
        <w:widowControl w:val="0"/>
        <w:spacing w:after="0"/>
        <w:rPr>
          <w:color w:val="auto"/>
          <w:szCs w:val="22"/>
        </w:rPr>
      </w:pPr>
    </w:p>
    <w:p w14:paraId="1AE31EEA" w14:textId="0AE2C392" w:rsidR="00A663AA" w:rsidRPr="000F749F" w:rsidRDefault="00A663AA" w:rsidP="000F749F">
      <w:pPr>
        <w:pStyle w:val="Heading3"/>
        <w:rPr>
          <w:b w:val="0"/>
        </w:rPr>
      </w:pPr>
      <w:bookmarkStart w:id="46" w:name="_Toc515454354"/>
      <w:r w:rsidRPr="000F749F">
        <w:t>2.1.</w:t>
      </w:r>
      <w:r w:rsidR="002F0F6A" w:rsidRPr="000F749F">
        <w:t>3</w:t>
      </w:r>
      <w:r w:rsidRPr="000F749F">
        <w:tab/>
        <w:t>Ensuring minimi</w:t>
      </w:r>
      <w:r w:rsidR="00EA66B3" w:rsidRPr="000F749F">
        <w:t>s</w:t>
      </w:r>
      <w:r w:rsidRPr="000F749F">
        <w:t>ation of cooling/heating loads</w:t>
      </w:r>
      <w:bookmarkEnd w:id="46"/>
    </w:p>
    <w:p w14:paraId="1625AC6F" w14:textId="387577BB" w:rsidR="00A663AA" w:rsidRPr="00F867D0" w:rsidRDefault="00A663AA" w:rsidP="00A663AA">
      <w:pPr>
        <w:widowControl w:val="0"/>
        <w:spacing w:after="0"/>
        <w:rPr>
          <w:color w:val="auto"/>
          <w:szCs w:val="22"/>
        </w:rPr>
      </w:pPr>
      <w:r w:rsidRPr="00F867D0">
        <w:rPr>
          <w:color w:val="auto"/>
          <w:szCs w:val="22"/>
        </w:rPr>
        <w:t>Eliminating or reducing loads can significan</w:t>
      </w:r>
      <w:r w:rsidR="009D5CDA" w:rsidRPr="00F867D0">
        <w:rPr>
          <w:color w:val="auto"/>
          <w:szCs w:val="22"/>
        </w:rPr>
        <w:t>tly reduce energy consumption</w:t>
      </w:r>
      <w:r w:rsidR="00A24B8D">
        <w:rPr>
          <w:color w:val="auto"/>
          <w:szCs w:val="22"/>
        </w:rPr>
        <w:t xml:space="preserve"> while still delivering </w:t>
      </w:r>
      <w:r w:rsidR="00EA66B3">
        <w:rPr>
          <w:color w:val="auto"/>
          <w:szCs w:val="22"/>
        </w:rPr>
        <w:t xml:space="preserve">the </w:t>
      </w:r>
      <w:r w:rsidR="00A24B8D">
        <w:rPr>
          <w:color w:val="auto"/>
          <w:szCs w:val="22"/>
        </w:rPr>
        <w:t>desired level of heating or cooling capacity</w:t>
      </w:r>
      <w:r w:rsidR="009D5CDA" w:rsidRPr="00F867D0">
        <w:rPr>
          <w:color w:val="auto"/>
          <w:szCs w:val="22"/>
        </w:rPr>
        <w:t xml:space="preserve">. </w:t>
      </w:r>
      <w:r w:rsidRPr="00F867D0">
        <w:rPr>
          <w:color w:val="auto"/>
          <w:szCs w:val="22"/>
        </w:rPr>
        <w:t xml:space="preserve">An important first step in the design of a cooling system is to review the </w:t>
      </w:r>
      <w:r w:rsidR="00A24B8D">
        <w:rPr>
          <w:color w:val="auto"/>
          <w:szCs w:val="22"/>
        </w:rPr>
        <w:t>causes of excess need for heating or cooling</w:t>
      </w:r>
      <w:r w:rsidRPr="00F867D0">
        <w:rPr>
          <w:color w:val="auto"/>
          <w:szCs w:val="22"/>
        </w:rPr>
        <w:t xml:space="preserve"> and take steps to avoid them. </w:t>
      </w:r>
      <w:r w:rsidR="002830D2" w:rsidRPr="00F867D0">
        <w:rPr>
          <w:color w:val="auto"/>
          <w:szCs w:val="22"/>
        </w:rPr>
        <w:t xml:space="preserve">Substantial </w:t>
      </w:r>
      <w:r w:rsidRPr="00F867D0">
        <w:rPr>
          <w:color w:val="auto"/>
          <w:szCs w:val="22"/>
        </w:rPr>
        <w:t xml:space="preserve">energy savings are </w:t>
      </w:r>
      <w:r w:rsidR="002830D2" w:rsidRPr="00F867D0">
        <w:rPr>
          <w:color w:val="auto"/>
          <w:szCs w:val="22"/>
        </w:rPr>
        <w:t>often seen</w:t>
      </w:r>
      <w:r w:rsidRPr="00F867D0">
        <w:rPr>
          <w:color w:val="auto"/>
          <w:szCs w:val="22"/>
        </w:rPr>
        <w:t>. S</w:t>
      </w:r>
      <w:r w:rsidR="009D5CDA" w:rsidRPr="00F867D0">
        <w:rPr>
          <w:color w:val="auto"/>
          <w:szCs w:val="22"/>
        </w:rPr>
        <w:t xml:space="preserve">ome examples of load reducing actions </w:t>
      </w:r>
      <w:r w:rsidRPr="00F867D0">
        <w:rPr>
          <w:color w:val="auto"/>
          <w:szCs w:val="22"/>
        </w:rPr>
        <w:t>include:</w:t>
      </w:r>
    </w:p>
    <w:p w14:paraId="4106DCF0"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p>
    <w:p w14:paraId="3E54E55B" w14:textId="0BD9E3DA" w:rsidR="00A663AA" w:rsidRPr="00F867D0" w:rsidRDefault="00A663AA" w:rsidP="00736989">
      <w:pPr>
        <w:widowControl w:val="0"/>
        <w:numPr>
          <w:ilvl w:val="0"/>
          <w:numId w:val="66"/>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Building design features that reduce summer heat gains, e.g. shading, reflective roof materials, location of windows, insulation</w:t>
      </w:r>
      <w:r w:rsidR="009D5CDA" w:rsidRPr="00F867D0">
        <w:rPr>
          <w:color w:val="auto"/>
          <w:kern w:val="2"/>
          <w:szCs w:val="22"/>
        </w:rPr>
        <w:t>;</w:t>
      </w:r>
    </w:p>
    <w:p w14:paraId="5D09D88E"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p>
    <w:p w14:paraId="59EFB564" w14:textId="43D8538B" w:rsidR="00A663AA" w:rsidRPr="00F867D0" w:rsidRDefault="00A663AA" w:rsidP="00736989">
      <w:pPr>
        <w:widowControl w:val="0"/>
        <w:numPr>
          <w:ilvl w:val="0"/>
          <w:numId w:val="66"/>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 xml:space="preserve">Putting doors on retail </w:t>
      </w:r>
      <w:r w:rsidR="00164BCA" w:rsidRPr="00F867D0">
        <w:rPr>
          <w:color w:val="auto"/>
          <w:kern w:val="2"/>
          <w:szCs w:val="22"/>
        </w:rPr>
        <w:t xml:space="preserve">refrigerated </w:t>
      </w:r>
      <w:r w:rsidRPr="00F867D0">
        <w:rPr>
          <w:color w:val="auto"/>
          <w:kern w:val="2"/>
          <w:szCs w:val="22"/>
        </w:rPr>
        <w:t>display cabinets</w:t>
      </w:r>
      <w:r w:rsidR="009D5CDA" w:rsidRPr="00F867D0">
        <w:rPr>
          <w:color w:val="auto"/>
          <w:kern w:val="2"/>
          <w:szCs w:val="22"/>
        </w:rPr>
        <w:t>;</w:t>
      </w:r>
    </w:p>
    <w:p w14:paraId="1D26D1B0"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p>
    <w:p w14:paraId="5C0E954B" w14:textId="2708F189" w:rsidR="00A663AA" w:rsidRPr="00F867D0" w:rsidRDefault="00A663AA" w:rsidP="00736989">
      <w:pPr>
        <w:widowControl w:val="0"/>
        <w:numPr>
          <w:ilvl w:val="0"/>
          <w:numId w:val="66"/>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Pre-cooling of hot products prior to refrigeration (e.g. in a food factory using cooling tower water to pre-cool a cooked product)</w:t>
      </w:r>
      <w:r w:rsidR="009D5CDA" w:rsidRPr="00F867D0">
        <w:rPr>
          <w:color w:val="auto"/>
          <w:kern w:val="2"/>
          <w:szCs w:val="22"/>
        </w:rPr>
        <w:t>;</w:t>
      </w:r>
    </w:p>
    <w:p w14:paraId="19C2112B"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p>
    <w:p w14:paraId="36824187" w14:textId="6B6B9863" w:rsidR="00A663AA" w:rsidRPr="00F867D0" w:rsidRDefault="00A663AA" w:rsidP="00736989">
      <w:pPr>
        <w:widowControl w:val="0"/>
        <w:numPr>
          <w:ilvl w:val="0"/>
          <w:numId w:val="66"/>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Reducing heat created by electrical auxiliaries such as evaporator fans, chilled water pumps or lighting</w:t>
      </w:r>
      <w:r w:rsidR="009D5CDA" w:rsidRPr="00F867D0">
        <w:rPr>
          <w:color w:val="auto"/>
          <w:kern w:val="2"/>
          <w:szCs w:val="22"/>
        </w:rPr>
        <w:t>; and</w:t>
      </w:r>
    </w:p>
    <w:p w14:paraId="0A482925" w14:textId="77777777" w:rsidR="004F14F0" w:rsidRDefault="004F14F0" w:rsidP="004F14F0">
      <w:pPr>
        <w:widowControl w:val="0"/>
        <w:tabs>
          <w:tab w:val="left" w:pos="220"/>
          <w:tab w:val="left" w:pos="270"/>
        </w:tabs>
        <w:autoSpaceDE w:val="0"/>
        <w:autoSpaceDN w:val="0"/>
        <w:adjustRightInd w:val="0"/>
        <w:spacing w:after="0"/>
        <w:ind w:left="714"/>
        <w:rPr>
          <w:color w:val="auto"/>
          <w:kern w:val="2"/>
          <w:szCs w:val="22"/>
        </w:rPr>
      </w:pPr>
    </w:p>
    <w:p w14:paraId="3E18A55F" w14:textId="646B7A85" w:rsidR="00A663AA" w:rsidRPr="00F867D0" w:rsidRDefault="00A663AA" w:rsidP="00736989">
      <w:pPr>
        <w:widowControl w:val="0"/>
        <w:numPr>
          <w:ilvl w:val="0"/>
          <w:numId w:val="66"/>
        </w:numPr>
        <w:tabs>
          <w:tab w:val="left" w:pos="220"/>
          <w:tab w:val="left" w:pos="270"/>
        </w:tabs>
        <w:autoSpaceDE w:val="0"/>
        <w:autoSpaceDN w:val="0"/>
        <w:adjustRightInd w:val="0"/>
        <w:spacing w:after="0"/>
        <w:ind w:left="714" w:hanging="357"/>
        <w:rPr>
          <w:color w:val="auto"/>
          <w:kern w:val="2"/>
          <w:szCs w:val="22"/>
        </w:rPr>
      </w:pPr>
      <w:r w:rsidRPr="00F867D0">
        <w:rPr>
          <w:color w:val="auto"/>
          <w:kern w:val="2"/>
          <w:szCs w:val="22"/>
        </w:rPr>
        <w:t xml:space="preserve">Reducing cold storage heat load with improved insulation and prevention of warm air entering through </w:t>
      </w:r>
      <w:r w:rsidR="00164BCA" w:rsidRPr="00F867D0">
        <w:rPr>
          <w:color w:val="auto"/>
          <w:kern w:val="2"/>
          <w:szCs w:val="22"/>
        </w:rPr>
        <w:t xml:space="preserve">open </w:t>
      </w:r>
      <w:r w:rsidRPr="00F867D0">
        <w:rPr>
          <w:color w:val="auto"/>
          <w:kern w:val="2"/>
          <w:szCs w:val="22"/>
        </w:rPr>
        <w:t>doors.</w:t>
      </w:r>
    </w:p>
    <w:p w14:paraId="4CAC4B30" w14:textId="77777777" w:rsidR="009D5CDA" w:rsidRPr="00F867D0" w:rsidRDefault="009D5CDA" w:rsidP="00A663AA">
      <w:pPr>
        <w:widowControl w:val="0"/>
        <w:spacing w:after="0"/>
        <w:rPr>
          <w:color w:val="auto"/>
          <w:szCs w:val="22"/>
        </w:rPr>
      </w:pPr>
    </w:p>
    <w:p w14:paraId="528CF25F" w14:textId="0D7F038C" w:rsidR="00A663AA" w:rsidRPr="00F867D0" w:rsidRDefault="00A663AA" w:rsidP="00A663AA">
      <w:pPr>
        <w:widowControl w:val="0"/>
        <w:spacing w:after="0"/>
        <w:rPr>
          <w:color w:val="auto"/>
          <w:szCs w:val="22"/>
        </w:rPr>
      </w:pPr>
      <w:r w:rsidRPr="00F867D0">
        <w:rPr>
          <w:color w:val="auto"/>
          <w:szCs w:val="22"/>
        </w:rPr>
        <w:t xml:space="preserve">Reducing loads may require extra investment, </w:t>
      </w:r>
      <w:r w:rsidR="009D5CDA" w:rsidRPr="00F867D0">
        <w:rPr>
          <w:color w:val="auto"/>
          <w:szCs w:val="22"/>
        </w:rPr>
        <w:t>e.</w:t>
      </w:r>
      <w:r w:rsidR="00B26248">
        <w:rPr>
          <w:color w:val="auto"/>
          <w:szCs w:val="22"/>
        </w:rPr>
        <w:t>g.,</w:t>
      </w:r>
      <w:r w:rsidR="009D5CDA" w:rsidRPr="00F867D0">
        <w:rPr>
          <w:color w:val="auto"/>
          <w:szCs w:val="22"/>
        </w:rPr>
        <w:t xml:space="preserve"> </w:t>
      </w:r>
      <w:r w:rsidRPr="00F867D0">
        <w:rPr>
          <w:color w:val="auto"/>
          <w:szCs w:val="22"/>
        </w:rPr>
        <w:t>added insulation, orientation of building shading or adding a d</w:t>
      </w:r>
      <w:r w:rsidR="009D5CDA" w:rsidRPr="00F867D0">
        <w:rPr>
          <w:color w:val="auto"/>
          <w:szCs w:val="22"/>
        </w:rPr>
        <w:t xml:space="preserve">oor to a display cabinet case. </w:t>
      </w:r>
      <w:r w:rsidRPr="00F867D0">
        <w:rPr>
          <w:color w:val="auto"/>
          <w:szCs w:val="22"/>
        </w:rPr>
        <w:t>However, the reduc</w:t>
      </w:r>
      <w:r w:rsidR="009D5CDA" w:rsidRPr="00F867D0">
        <w:rPr>
          <w:color w:val="auto"/>
          <w:szCs w:val="22"/>
        </w:rPr>
        <w:t xml:space="preserve">ed cooling load may result in some capital cost savings due to, for example, </w:t>
      </w:r>
      <w:r w:rsidRPr="00F867D0">
        <w:rPr>
          <w:color w:val="auto"/>
          <w:szCs w:val="22"/>
        </w:rPr>
        <w:t>smaller</w:t>
      </w:r>
      <w:r w:rsidR="009D5CDA" w:rsidRPr="00F867D0">
        <w:rPr>
          <w:color w:val="auto"/>
          <w:szCs w:val="22"/>
        </w:rPr>
        <w:t>-</w:t>
      </w:r>
      <w:r w:rsidRPr="00F867D0">
        <w:rPr>
          <w:color w:val="auto"/>
          <w:szCs w:val="22"/>
        </w:rPr>
        <w:t>sized refrigeration systems</w:t>
      </w:r>
      <w:r w:rsidR="0080536C" w:rsidRPr="00F867D0">
        <w:rPr>
          <w:color w:val="auto"/>
          <w:szCs w:val="22"/>
        </w:rPr>
        <w:t xml:space="preserve"> and reduced electric interconnection rating</w:t>
      </w:r>
      <w:r w:rsidRPr="00F867D0">
        <w:rPr>
          <w:color w:val="auto"/>
          <w:szCs w:val="22"/>
        </w:rPr>
        <w:t>.</w:t>
      </w:r>
    </w:p>
    <w:p w14:paraId="043AFD95" w14:textId="77777777" w:rsidR="00A663AA" w:rsidRPr="00F867D0" w:rsidRDefault="00A663AA" w:rsidP="00A663AA">
      <w:pPr>
        <w:widowControl w:val="0"/>
        <w:spacing w:after="0"/>
        <w:rPr>
          <w:color w:val="auto"/>
          <w:szCs w:val="22"/>
        </w:rPr>
      </w:pPr>
    </w:p>
    <w:p w14:paraId="661EF326" w14:textId="5CB7D7B1" w:rsidR="00A663AA" w:rsidRPr="000F749F" w:rsidRDefault="00A663AA" w:rsidP="000F749F">
      <w:pPr>
        <w:pStyle w:val="Heading3"/>
        <w:rPr>
          <w:b w:val="0"/>
        </w:rPr>
      </w:pPr>
      <w:bookmarkStart w:id="47" w:name="_Toc515454355"/>
      <w:r w:rsidRPr="000F749F">
        <w:t>2.1.</w:t>
      </w:r>
      <w:r w:rsidR="002F0F6A" w:rsidRPr="000F749F">
        <w:t>4</w:t>
      </w:r>
      <w:r w:rsidRPr="000F749F">
        <w:tab/>
        <w:t>Selection of appropriate refrigerant</w:t>
      </w:r>
      <w:bookmarkEnd w:id="47"/>
    </w:p>
    <w:p w14:paraId="649855C8" w14:textId="3EE57048" w:rsidR="009D5CDA" w:rsidRPr="00F867D0" w:rsidRDefault="00A663AA" w:rsidP="00A663AA">
      <w:pPr>
        <w:widowControl w:val="0"/>
        <w:spacing w:after="0"/>
        <w:rPr>
          <w:color w:val="auto"/>
          <w:szCs w:val="22"/>
        </w:rPr>
      </w:pPr>
      <w:r w:rsidRPr="00F867D0">
        <w:rPr>
          <w:color w:val="auto"/>
          <w:szCs w:val="22"/>
        </w:rPr>
        <w:t xml:space="preserve">Refrigerant selection is a trade-off between environmental benefits, safety, </w:t>
      </w:r>
      <w:r w:rsidR="00A24B8D">
        <w:rPr>
          <w:color w:val="auto"/>
          <w:szCs w:val="22"/>
        </w:rPr>
        <w:t>thermodynamic cycle efficiency</w:t>
      </w:r>
      <w:r w:rsidRPr="00F867D0">
        <w:rPr>
          <w:color w:val="auto"/>
          <w:szCs w:val="22"/>
        </w:rPr>
        <w:t>, system des</w:t>
      </w:r>
      <w:r w:rsidR="009D5CDA" w:rsidRPr="00F867D0">
        <w:rPr>
          <w:color w:val="auto"/>
          <w:szCs w:val="22"/>
        </w:rPr>
        <w:t xml:space="preserve">ign and reliability, and cost. </w:t>
      </w:r>
      <w:r w:rsidR="000A31D6">
        <w:rPr>
          <w:color w:val="auto"/>
          <w:szCs w:val="22"/>
        </w:rPr>
        <w:t>It is very important to recognis</w:t>
      </w:r>
      <w:r w:rsidRPr="00F867D0">
        <w:rPr>
          <w:color w:val="auto"/>
          <w:szCs w:val="22"/>
        </w:rPr>
        <w:t xml:space="preserve">e that </w:t>
      </w:r>
      <w:r w:rsidR="00BC5380">
        <w:rPr>
          <w:rFonts w:eastAsia="Times New Roman"/>
        </w:rPr>
        <w:t>the impact of refrigerant choice on the EE of the units is usually relatively small – typically ranging from +/- 5 to 10%.</w:t>
      </w:r>
      <w:r w:rsidRPr="00F867D0">
        <w:rPr>
          <w:color w:val="auto"/>
          <w:szCs w:val="22"/>
        </w:rPr>
        <w:t xml:space="preserve"> This has been discussed in the TEAP 2017 Working Group </w:t>
      </w:r>
      <w:r w:rsidR="009D5CDA" w:rsidRPr="00F867D0">
        <w:rPr>
          <w:color w:val="auto"/>
          <w:szCs w:val="22"/>
        </w:rPr>
        <w:t xml:space="preserve">Report </w:t>
      </w:r>
      <w:r w:rsidRPr="00F867D0">
        <w:rPr>
          <w:color w:val="auto"/>
          <w:szCs w:val="22"/>
        </w:rPr>
        <w:t xml:space="preserve">on Energy Efficiency </w:t>
      </w:r>
      <w:r w:rsidR="00C57682" w:rsidRPr="00F867D0">
        <w:rPr>
          <w:color w:val="auto"/>
          <w:szCs w:val="22"/>
        </w:rPr>
        <w:t>[</w:t>
      </w:r>
      <w:r w:rsidRPr="00F867D0">
        <w:rPr>
          <w:color w:val="auto"/>
          <w:szCs w:val="22"/>
        </w:rPr>
        <w:t>UNEP, 2017</w:t>
      </w:r>
      <w:r w:rsidR="00C07ADA" w:rsidRPr="00F867D0">
        <w:rPr>
          <w:color w:val="auto"/>
          <w:szCs w:val="22"/>
        </w:rPr>
        <w:t>a</w:t>
      </w:r>
      <w:r w:rsidR="00C57682" w:rsidRPr="00F867D0">
        <w:rPr>
          <w:color w:val="auto"/>
          <w:szCs w:val="22"/>
        </w:rPr>
        <w:t>]</w:t>
      </w:r>
      <w:r w:rsidRPr="00F867D0">
        <w:rPr>
          <w:color w:val="auto"/>
          <w:szCs w:val="22"/>
        </w:rPr>
        <w:t xml:space="preserve"> and recently confirmed in the literature </w:t>
      </w:r>
      <w:r w:rsidR="00C57682" w:rsidRPr="00F867D0">
        <w:rPr>
          <w:color w:val="auto"/>
          <w:szCs w:val="22"/>
        </w:rPr>
        <w:t>[</w:t>
      </w:r>
      <w:r w:rsidR="00C07ADA" w:rsidRPr="00F867D0">
        <w:rPr>
          <w:color w:val="auto"/>
          <w:szCs w:val="22"/>
        </w:rPr>
        <w:t>Kuijpers et al., 2018</w:t>
      </w:r>
      <w:r w:rsidR="00C57682" w:rsidRPr="00F867D0">
        <w:rPr>
          <w:color w:val="auto"/>
          <w:szCs w:val="22"/>
        </w:rPr>
        <w:t>]</w:t>
      </w:r>
      <w:r w:rsidRPr="00F867D0">
        <w:rPr>
          <w:color w:val="auto"/>
          <w:szCs w:val="22"/>
        </w:rPr>
        <w:t xml:space="preserve">. Designers </w:t>
      </w:r>
      <w:r w:rsidR="00BC5380">
        <w:rPr>
          <w:color w:val="auto"/>
          <w:szCs w:val="22"/>
        </w:rPr>
        <w:t xml:space="preserve">should </w:t>
      </w:r>
      <w:r w:rsidRPr="00F867D0">
        <w:rPr>
          <w:color w:val="auto"/>
          <w:szCs w:val="22"/>
        </w:rPr>
        <w:t xml:space="preserve">carefully select the best refrigerant from an efficiency perspective but </w:t>
      </w:r>
      <w:r w:rsidR="00BC5380">
        <w:rPr>
          <w:color w:val="auto"/>
          <w:szCs w:val="22"/>
        </w:rPr>
        <w:t xml:space="preserve">should </w:t>
      </w:r>
      <w:r w:rsidRPr="00F867D0">
        <w:rPr>
          <w:color w:val="auto"/>
          <w:szCs w:val="22"/>
        </w:rPr>
        <w:t xml:space="preserve">also address the wide range of other design issues discussed in this </w:t>
      </w:r>
      <w:r w:rsidR="00EA66B3">
        <w:rPr>
          <w:color w:val="auto"/>
          <w:szCs w:val="22"/>
        </w:rPr>
        <w:t>c</w:t>
      </w:r>
      <w:r w:rsidRPr="00F867D0">
        <w:rPr>
          <w:color w:val="auto"/>
          <w:szCs w:val="22"/>
        </w:rPr>
        <w:t>hapter.</w:t>
      </w:r>
      <w:r w:rsidR="009D5CDA" w:rsidRPr="00F867D0">
        <w:rPr>
          <w:color w:val="auto"/>
          <w:szCs w:val="22"/>
        </w:rPr>
        <w:t xml:space="preserve"> </w:t>
      </w:r>
      <w:r w:rsidR="00BC5380">
        <w:rPr>
          <w:color w:val="auto"/>
          <w:szCs w:val="22"/>
        </w:rPr>
        <w:t>It is also important to note that t</w:t>
      </w:r>
      <w:r w:rsidR="00BC5380" w:rsidRPr="00BC5380">
        <w:rPr>
          <w:color w:val="auto"/>
          <w:szCs w:val="22"/>
        </w:rPr>
        <w:t>echnologies resulting in efficiency improvement opportunities available for high-GWP refrigerants may be applicable to low-GWP refrigerants as well.</w:t>
      </w:r>
    </w:p>
    <w:p w14:paraId="5F485306" w14:textId="77777777" w:rsidR="009D5CDA" w:rsidRPr="00F867D0" w:rsidRDefault="009D5CDA" w:rsidP="00A663AA">
      <w:pPr>
        <w:widowControl w:val="0"/>
        <w:spacing w:after="0"/>
        <w:rPr>
          <w:color w:val="auto"/>
          <w:szCs w:val="22"/>
        </w:rPr>
      </w:pPr>
    </w:p>
    <w:p w14:paraId="04A4AD87" w14:textId="3C389705" w:rsidR="00A663AA" w:rsidRPr="00F867D0" w:rsidRDefault="00A663AA" w:rsidP="00A663AA">
      <w:pPr>
        <w:widowControl w:val="0"/>
        <w:spacing w:after="0"/>
        <w:rPr>
          <w:color w:val="auto"/>
          <w:szCs w:val="22"/>
        </w:rPr>
      </w:pPr>
      <w:r w:rsidRPr="00F867D0">
        <w:rPr>
          <w:color w:val="auto"/>
          <w:szCs w:val="22"/>
        </w:rPr>
        <w:t xml:space="preserve">Tables 2-3 and 2-4 of TEAP </w:t>
      </w:r>
      <w:r w:rsidR="009D5CDA" w:rsidRPr="00F867D0">
        <w:rPr>
          <w:color w:val="auto"/>
          <w:szCs w:val="22"/>
        </w:rPr>
        <w:t xml:space="preserve">2016 Decision </w:t>
      </w:r>
      <w:r w:rsidRPr="00F867D0">
        <w:rPr>
          <w:color w:val="auto"/>
          <w:szCs w:val="22"/>
        </w:rPr>
        <w:t xml:space="preserve">XXVII/4 Task Force Report </w:t>
      </w:r>
      <w:r w:rsidR="0096475F" w:rsidRPr="00F867D0">
        <w:rPr>
          <w:color w:val="auto"/>
          <w:szCs w:val="22"/>
        </w:rPr>
        <w:t>[</w:t>
      </w:r>
      <w:r w:rsidR="00C07ADA" w:rsidRPr="00F867D0">
        <w:rPr>
          <w:color w:val="auto"/>
          <w:szCs w:val="22"/>
        </w:rPr>
        <w:t>UNEP, 2016</w:t>
      </w:r>
      <w:r w:rsidR="0096475F" w:rsidRPr="00F867D0">
        <w:rPr>
          <w:color w:val="auto"/>
          <w:szCs w:val="22"/>
        </w:rPr>
        <w:t>]</w:t>
      </w:r>
      <w:r w:rsidRPr="00F867D0">
        <w:rPr>
          <w:color w:val="auto"/>
          <w:szCs w:val="22"/>
        </w:rPr>
        <w:t xml:space="preserve"> on “Further Information on Alternatives to Ozone-Depleting Substances” list several alternative refrigerants for diff</w:t>
      </w:r>
      <w:r w:rsidR="009D5CDA" w:rsidRPr="00F867D0">
        <w:rPr>
          <w:color w:val="auto"/>
          <w:szCs w:val="22"/>
        </w:rPr>
        <w:t xml:space="preserve">erent categories of equipment. </w:t>
      </w:r>
      <w:r w:rsidRPr="00F867D0">
        <w:rPr>
          <w:color w:val="auto"/>
          <w:szCs w:val="22"/>
        </w:rPr>
        <w:t xml:space="preserve">The applicability of various new refrigerants </w:t>
      </w:r>
      <w:r w:rsidR="0080536C" w:rsidRPr="00F867D0">
        <w:rPr>
          <w:color w:val="auto"/>
          <w:szCs w:val="22"/>
        </w:rPr>
        <w:t>has</w:t>
      </w:r>
      <w:r w:rsidRPr="00F867D0">
        <w:rPr>
          <w:color w:val="auto"/>
          <w:szCs w:val="22"/>
        </w:rPr>
        <w:t xml:space="preserve"> been the subject of a number of recent studies and assessments </w:t>
      </w:r>
      <w:r w:rsidR="00C57682" w:rsidRPr="00F867D0">
        <w:rPr>
          <w:color w:val="auto"/>
          <w:szCs w:val="22"/>
        </w:rPr>
        <w:t>[</w:t>
      </w:r>
      <w:r w:rsidR="0096475F" w:rsidRPr="00F867D0">
        <w:rPr>
          <w:color w:val="auto"/>
          <w:szCs w:val="22"/>
        </w:rPr>
        <w:t xml:space="preserve">Wang and Amrane, 2014; Abdelaziz et al., 2015; Abdelaziz et al., 2016; Wang and Amrane, 2016; PRAHA, 2016; </w:t>
      </w:r>
      <w:r w:rsidR="00694192" w:rsidRPr="00F867D0">
        <w:rPr>
          <w:color w:val="auto"/>
          <w:szCs w:val="22"/>
        </w:rPr>
        <w:t>Majurin et al., 2017</w:t>
      </w:r>
      <w:r w:rsidR="00C57682" w:rsidRPr="00F867D0">
        <w:rPr>
          <w:color w:val="auto"/>
          <w:szCs w:val="22"/>
        </w:rPr>
        <w:t>]</w:t>
      </w:r>
      <w:r w:rsidRPr="00F867D0">
        <w:rPr>
          <w:color w:val="auto"/>
          <w:szCs w:val="22"/>
        </w:rPr>
        <w:t>.</w:t>
      </w:r>
    </w:p>
    <w:p w14:paraId="6F69F751" w14:textId="77777777" w:rsidR="009D5CDA" w:rsidRPr="00F867D0" w:rsidRDefault="009D5CDA" w:rsidP="00A663AA">
      <w:pPr>
        <w:widowControl w:val="0"/>
        <w:spacing w:after="0"/>
        <w:rPr>
          <w:color w:val="auto"/>
          <w:szCs w:val="22"/>
        </w:rPr>
      </w:pPr>
    </w:p>
    <w:p w14:paraId="259EFCA3" w14:textId="6B571186" w:rsidR="00A663AA" w:rsidRPr="00F867D0" w:rsidRDefault="00A663AA" w:rsidP="00A663AA">
      <w:pPr>
        <w:widowControl w:val="0"/>
        <w:spacing w:after="0"/>
        <w:rPr>
          <w:color w:val="auto"/>
          <w:szCs w:val="22"/>
        </w:rPr>
      </w:pPr>
      <w:r w:rsidRPr="00F867D0">
        <w:rPr>
          <w:color w:val="auto"/>
          <w:szCs w:val="22"/>
        </w:rPr>
        <w:t>Simplified thermodynamic analys</w:t>
      </w:r>
      <w:r w:rsidR="00DE31FC" w:rsidRPr="00F867D0">
        <w:rPr>
          <w:color w:val="auto"/>
          <w:szCs w:val="22"/>
        </w:rPr>
        <w:t>i</w:t>
      </w:r>
      <w:r w:rsidRPr="00F867D0">
        <w:rPr>
          <w:color w:val="auto"/>
          <w:szCs w:val="22"/>
        </w:rPr>
        <w:t xml:space="preserve">s </w:t>
      </w:r>
      <w:r w:rsidR="002830D2" w:rsidRPr="00F867D0">
        <w:rPr>
          <w:color w:val="auto"/>
          <w:szCs w:val="22"/>
        </w:rPr>
        <w:t>demonstrate</w:t>
      </w:r>
      <w:r w:rsidR="00DE31FC" w:rsidRPr="00F867D0">
        <w:rPr>
          <w:color w:val="auto"/>
          <w:szCs w:val="22"/>
        </w:rPr>
        <w:t>s</w:t>
      </w:r>
      <w:r w:rsidRPr="00F867D0">
        <w:rPr>
          <w:color w:val="auto"/>
          <w:szCs w:val="22"/>
        </w:rPr>
        <w:t xml:space="preserve"> the relative impact of different refrigerants</w:t>
      </w:r>
      <w:r w:rsidR="00A24B8D">
        <w:rPr>
          <w:color w:val="auto"/>
          <w:szCs w:val="22"/>
        </w:rPr>
        <w:t xml:space="preserve"> on the EE of the unit</w:t>
      </w:r>
      <w:r w:rsidRPr="00F867D0">
        <w:rPr>
          <w:color w:val="auto"/>
          <w:szCs w:val="22"/>
        </w:rPr>
        <w:t>, which can help designers create a “short-list” of options</w:t>
      </w:r>
      <w:r w:rsidR="0096475F" w:rsidRPr="00F867D0">
        <w:rPr>
          <w:color w:val="auto"/>
          <w:szCs w:val="22"/>
        </w:rPr>
        <w:t xml:space="preserve"> </w:t>
      </w:r>
      <w:r w:rsidR="002830D2" w:rsidRPr="00F867D0">
        <w:rPr>
          <w:color w:val="auto"/>
          <w:szCs w:val="22"/>
        </w:rPr>
        <w:t>[</w:t>
      </w:r>
      <w:r w:rsidR="00A331D1">
        <w:rPr>
          <w:color w:val="auto"/>
          <w:szCs w:val="22"/>
        </w:rPr>
        <w:t>McLinden et al., 2017</w:t>
      </w:r>
      <w:r w:rsidR="002830D2" w:rsidRPr="00F867D0">
        <w:rPr>
          <w:color w:val="auto"/>
          <w:szCs w:val="22"/>
        </w:rPr>
        <w:t>]</w:t>
      </w:r>
      <w:r w:rsidR="00A331D1">
        <w:rPr>
          <w:color w:val="auto"/>
          <w:szCs w:val="22"/>
        </w:rPr>
        <w:t>.</w:t>
      </w:r>
      <w:r w:rsidRPr="00F867D0">
        <w:rPr>
          <w:color w:val="auto"/>
          <w:szCs w:val="22"/>
        </w:rPr>
        <w:t xml:space="preserve"> For a given application there will be a </w:t>
      </w:r>
      <w:r w:rsidR="006C7630">
        <w:rPr>
          <w:color w:val="auto"/>
          <w:szCs w:val="22"/>
        </w:rPr>
        <w:t>limited number of refrigerants</w:t>
      </w:r>
      <w:r w:rsidRPr="00F867D0">
        <w:rPr>
          <w:color w:val="auto"/>
          <w:szCs w:val="22"/>
        </w:rPr>
        <w:t xml:space="preserve"> that are likely to be within </w:t>
      </w:r>
      <w:r w:rsidR="000822E8" w:rsidRPr="00F867D0">
        <w:rPr>
          <w:color w:val="auto"/>
          <w:szCs w:val="22"/>
        </w:rPr>
        <w:t>±</w:t>
      </w:r>
      <w:r w:rsidRPr="00F867D0">
        <w:rPr>
          <w:color w:val="auto"/>
          <w:szCs w:val="22"/>
        </w:rPr>
        <w:t xml:space="preserve">5% in terms of </w:t>
      </w:r>
      <w:r w:rsidR="00A24B8D">
        <w:rPr>
          <w:color w:val="auto"/>
          <w:szCs w:val="22"/>
        </w:rPr>
        <w:t>energy performance</w:t>
      </w:r>
      <w:r w:rsidRPr="00F867D0">
        <w:rPr>
          <w:color w:val="auto"/>
          <w:szCs w:val="22"/>
        </w:rPr>
        <w:t>.</w:t>
      </w:r>
      <w:r w:rsidR="009D5CDA" w:rsidRPr="00F867D0">
        <w:rPr>
          <w:color w:val="auto"/>
          <w:szCs w:val="22"/>
        </w:rPr>
        <w:t xml:space="preserve"> </w:t>
      </w:r>
      <w:r w:rsidR="006C7630">
        <w:rPr>
          <w:color w:val="auto"/>
          <w:szCs w:val="22"/>
        </w:rPr>
        <w:t>A</w:t>
      </w:r>
      <w:r w:rsidRPr="00F867D0">
        <w:rPr>
          <w:color w:val="auto"/>
          <w:szCs w:val="22"/>
        </w:rPr>
        <w:t xml:space="preserve"> thermodynamic analysis provides a useful starting point but it is essential to consider “real-world” </w:t>
      </w:r>
      <w:r w:rsidR="00A24B8D">
        <w:rPr>
          <w:color w:val="auto"/>
          <w:szCs w:val="22"/>
        </w:rPr>
        <w:t>performance</w:t>
      </w:r>
      <w:r w:rsidRPr="00F867D0">
        <w:rPr>
          <w:color w:val="auto"/>
          <w:szCs w:val="22"/>
        </w:rPr>
        <w:t xml:space="preserve">, which is based on the way the refrigerant interacts with the various system components, in particular the </w:t>
      </w:r>
      <w:r w:rsidR="009D5CDA" w:rsidRPr="00F867D0">
        <w:rPr>
          <w:color w:val="auto"/>
          <w:szCs w:val="22"/>
        </w:rPr>
        <w:t>compressor and heat exchangers.</w:t>
      </w:r>
      <w:r w:rsidRPr="00F867D0">
        <w:rPr>
          <w:color w:val="auto"/>
          <w:szCs w:val="22"/>
        </w:rPr>
        <w:t xml:space="preserve"> This can be illustrated with the comparison of HCFC-22 and R-410A for use in sm</w:t>
      </w:r>
      <w:r w:rsidR="009D5CDA" w:rsidRPr="00F867D0">
        <w:rPr>
          <w:color w:val="auto"/>
          <w:szCs w:val="22"/>
        </w:rPr>
        <w:t xml:space="preserve">all </w:t>
      </w:r>
      <w:r w:rsidR="0080536C" w:rsidRPr="00F867D0">
        <w:rPr>
          <w:color w:val="auto"/>
          <w:szCs w:val="22"/>
        </w:rPr>
        <w:t xml:space="preserve">room </w:t>
      </w:r>
      <w:r w:rsidR="009D5CDA" w:rsidRPr="00F867D0">
        <w:rPr>
          <w:color w:val="auto"/>
          <w:szCs w:val="22"/>
        </w:rPr>
        <w:t xml:space="preserve">air-conditioners. </w:t>
      </w:r>
      <w:r w:rsidR="006C7630">
        <w:rPr>
          <w:color w:val="auto"/>
          <w:szCs w:val="22"/>
        </w:rPr>
        <w:t>A</w:t>
      </w:r>
      <w:r w:rsidR="001D147C">
        <w:rPr>
          <w:color w:val="auto"/>
          <w:szCs w:val="22"/>
        </w:rPr>
        <w:t xml:space="preserve"> </w:t>
      </w:r>
      <w:r w:rsidRPr="00F867D0">
        <w:rPr>
          <w:color w:val="auto"/>
          <w:szCs w:val="22"/>
        </w:rPr>
        <w:t xml:space="preserve">thermodynamic analysis shows efficiency advantages for HCFC-22, but the most efficient equipment </w:t>
      </w:r>
      <w:r w:rsidR="009D5CDA" w:rsidRPr="00F867D0">
        <w:rPr>
          <w:color w:val="auto"/>
          <w:szCs w:val="22"/>
        </w:rPr>
        <w:t xml:space="preserve">currently </w:t>
      </w:r>
      <w:r w:rsidRPr="00F867D0">
        <w:rPr>
          <w:color w:val="auto"/>
          <w:szCs w:val="22"/>
        </w:rPr>
        <w:t>availa</w:t>
      </w:r>
      <w:r w:rsidR="009D5CDA" w:rsidRPr="00F867D0">
        <w:rPr>
          <w:color w:val="auto"/>
          <w:szCs w:val="22"/>
        </w:rPr>
        <w:t xml:space="preserve">ble on the market uses R-410A. </w:t>
      </w:r>
      <w:r w:rsidRPr="00F867D0">
        <w:rPr>
          <w:color w:val="auto"/>
          <w:szCs w:val="22"/>
        </w:rPr>
        <w:t xml:space="preserve">This reflects the fact that equipment manufacturers stopped </w:t>
      </w:r>
      <w:r w:rsidR="009D5CDA" w:rsidRPr="00F867D0">
        <w:rPr>
          <w:color w:val="auto"/>
          <w:szCs w:val="22"/>
        </w:rPr>
        <w:t>research and development (</w:t>
      </w:r>
      <w:r w:rsidRPr="00F867D0">
        <w:rPr>
          <w:color w:val="auto"/>
          <w:szCs w:val="22"/>
        </w:rPr>
        <w:t>R&amp;D</w:t>
      </w:r>
      <w:r w:rsidR="009D5CDA" w:rsidRPr="00F867D0">
        <w:rPr>
          <w:color w:val="auto"/>
          <w:szCs w:val="22"/>
        </w:rPr>
        <w:t>)</w:t>
      </w:r>
      <w:r w:rsidRPr="00F867D0">
        <w:rPr>
          <w:color w:val="auto"/>
          <w:szCs w:val="22"/>
        </w:rPr>
        <w:t xml:space="preserve"> to improve HCFC-22 equipment</w:t>
      </w:r>
      <w:r w:rsidR="001A6881" w:rsidRPr="00F867D0">
        <w:rPr>
          <w:color w:val="auto"/>
          <w:szCs w:val="22"/>
        </w:rPr>
        <w:t xml:space="preserve"> after the HCFC phase-out began under the Montreal Protocol.</w:t>
      </w:r>
      <w:r w:rsidRPr="00F867D0">
        <w:rPr>
          <w:color w:val="auto"/>
          <w:szCs w:val="22"/>
        </w:rPr>
        <w:t xml:space="preserve"> Modern R-410A equipment has a number</w:t>
      </w:r>
      <w:r w:rsidR="001A6881" w:rsidRPr="00F867D0">
        <w:rPr>
          <w:color w:val="auto"/>
          <w:szCs w:val="22"/>
        </w:rPr>
        <w:t xml:space="preserve"> </w:t>
      </w:r>
      <w:r w:rsidRPr="00F867D0">
        <w:rPr>
          <w:color w:val="auto"/>
          <w:szCs w:val="22"/>
        </w:rPr>
        <w:t>of efficiency innovations not available with HCFC</w:t>
      </w:r>
      <w:r w:rsidRPr="00F867D0">
        <w:rPr>
          <w:color w:val="auto"/>
          <w:szCs w:val="22"/>
        </w:rPr>
        <w:noBreakHyphen/>
        <w:t>22, making the real-world efficiency of R-410A higher. A thermodynamic analysis of HFC-32 shows it has an advantage</w:t>
      </w:r>
      <w:r w:rsidR="006C7630">
        <w:rPr>
          <w:color w:val="auto"/>
          <w:szCs w:val="22"/>
        </w:rPr>
        <w:t xml:space="preserve"> of about 5%</w:t>
      </w:r>
      <w:r w:rsidRPr="00F867D0">
        <w:rPr>
          <w:color w:val="auto"/>
          <w:szCs w:val="22"/>
        </w:rPr>
        <w:t xml:space="preserve"> over R-410A for s</w:t>
      </w:r>
      <w:r w:rsidR="001A6881" w:rsidRPr="00F867D0">
        <w:rPr>
          <w:color w:val="auto"/>
          <w:szCs w:val="22"/>
        </w:rPr>
        <w:t>mall building air-conditioners</w:t>
      </w:r>
      <w:r w:rsidR="009D5977">
        <w:rPr>
          <w:color w:val="auto"/>
          <w:szCs w:val="22"/>
        </w:rPr>
        <w:t xml:space="preserve"> [</w:t>
      </w:r>
      <w:r w:rsidR="006C7630">
        <w:rPr>
          <w:color w:val="auto"/>
          <w:szCs w:val="22"/>
        </w:rPr>
        <w:t xml:space="preserve">REFPROP, 2013; </w:t>
      </w:r>
      <w:r w:rsidR="009D5977">
        <w:rPr>
          <w:color w:val="auto"/>
          <w:szCs w:val="22"/>
        </w:rPr>
        <w:t>Mota-Babiloni et al., 2017</w:t>
      </w:r>
      <w:r w:rsidR="003B44F2">
        <w:rPr>
          <w:color w:val="auto"/>
          <w:szCs w:val="22"/>
        </w:rPr>
        <w:t>]</w:t>
      </w:r>
      <w:r w:rsidR="001A6881" w:rsidRPr="00F867D0">
        <w:rPr>
          <w:color w:val="auto"/>
          <w:szCs w:val="22"/>
        </w:rPr>
        <w:t>.</w:t>
      </w:r>
    </w:p>
    <w:p w14:paraId="3A314ACE" w14:textId="77777777" w:rsidR="00A24B8D" w:rsidRDefault="00A24B8D" w:rsidP="00A663AA">
      <w:pPr>
        <w:widowControl w:val="0"/>
        <w:spacing w:after="0"/>
        <w:rPr>
          <w:color w:val="auto"/>
          <w:szCs w:val="22"/>
        </w:rPr>
      </w:pPr>
    </w:p>
    <w:p w14:paraId="78BC69CC" w14:textId="3C9E016C" w:rsidR="00FE106C" w:rsidRDefault="00EE119C" w:rsidP="00FE106C">
      <w:pPr>
        <w:keepNext/>
        <w:keepLines/>
        <w:widowControl w:val="0"/>
        <w:tabs>
          <w:tab w:val="left" w:pos="0"/>
        </w:tabs>
        <w:autoSpaceDE w:val="0"/>
        <w:autoSpaceDN w:val="0"/>
        <w:adjustRightInd w:val="0"/>
        <w:spacing w:after="0"/>
        <w:ind w:right="28" w:hanging="851"/>
        <w:outlineLvl w:val="2"/>
        <w:rPr>
          <w:lang w:val="en-US" w:eastAsia="en-US"/>
        </w:rPr>
      </w:pPr>
      <w:r>
        <w:rPr>
          <w:color w:val="auto"/>
          <w:szCs w:val="22"/>
        </w:rPr>
        <w:tab/>
      </w:r>
      <w:r w:rsidR="006C7630">
        <w:rPr>
          <w:color w:val="auto"/>
          <w:szCs w:val="22"/>
        </w:rPr>
        <w:t>In comparison with HCFC-22, a thermodynamic cycle analysis of p</w:t>
      </w:r>
      <w:r w:rsidR="00203240">
        <w:rPr>
          <w:color w:val="auto"/>
          <w:szCs w:val="22"/>
        </w:rPr>
        <w:t>ropane (</w:t>
      </w:r>
      <w:r w:rsidR="00623827" w:rsidRPr="00F867D0">
        <w:rPr>
          <w:color w:val="auto"/>
          <w:szCs w:val="22"/>
        </w:rPr>
        <w:t>HC-290</w:t>
      </w:r>
      <w:r w:rsidR="00EA66B3">
        <w:rPr>
          <w:color w:val="auto"/>
          <w:szCs w:val="22"/>
        </w:rPr>
        <w:t xml:space="preserve">) </w:t>
      </w:r>
      <w:r w:rsidR="005842D7" w:rsidRPr="00F867D0">
        <w:rPr>
          <w:color w:val="auto"/>
          <w:szCs w:val="22"/>
        </w:rPr>
        <w:t>show</w:t>
      </w:r>
      <w:r w:rsidR="006C7630">
        <w:rPr>
          <w:color w:val="auto"/>
          <w:szCs w:val="22"/>
        </w:rPr>
        <w:t>s</w:t>
      </w:r>
      <w:r w:rsidR="005842D7" w:rsidRPr="00F867D0">
        <w:rPr>
          <w:color w:val="auto"/>
          <w:szCs w:val="22"/>
        </w:rPr>
        <w:t xml:space="preserve"> </w:t>
      </w:r>
      <w:r w:rsidR="00203240">
        <w:rPr>
          <w:color w:val="auto"/>
          <w:szCs w:val="22"/>
        </w:rPr>
        <w:t>coefficient of performance (</w:t>
      </w:r>
      <w:r w:rsidR="005842D7" w:rsidRPr="00F867D0">
        <w:rPr>
          <w:color w:val="auto"/>
          <w:szCs w:val="22"/>
        </w:rPr>
        <w:t>COP</w:t>
      </w:r>
      <w:r w:rsidR="00203240">
        <w:rPr>
          <w:color w:val="auto"/>
          <w:szCs w:val="22"/>
        </w:rPr>
        <w:t>)</w:t>
      </w:r>
      <w:r w:rsidR="00203240">
        <w:rPr>
          <w:rStyle w:val="FootnoteReference"/>
          <w:color w:val="auto"/>
          <w:szCs w:val="22"/>
        </w:rPr>
        <w:footnoteReference w:id="5"/>
      </w:r>
      <w:r w:rsidR="005842D7" w:rsidRPr="00F867D0">
        <w:rPr>
          <w:color w:val="auto"/>
          <w:szCs w:val="22"/>
        </w:rPr>
        <w:t xml:space="preserve"> loss ranging from -2% to 0% </w:t>
      </w:r>
      <w:r w:rsidR="006C7630">
        <w:rPr>
          <w:color w:val="auto"/>
          <w:szCs w:val="22"/>
        </w:rPr>
        <w:t xml:space="preserve">dependent </w:t>
      </w:r>
      <w:r w:rsidR="005842D7" w:rsidRPr="00F867D0">
        <w:rPr>
          <w:color w:val="auto"/>
          <w:szCs w:val="22"/>
        </w:rPr>
        <w:t xml:space="preserve">on the evaporating temperature. However, the </w:t>
      </w:r>
      <w:r w:rsidR="006C7630">
        <w:rPr>
          <w:color w:val="auto"/>
          <w:szCs w:val="22"/>
        </w:rPr>
        <w:t xml:space="preserve">volumetric capacity for </w:t>
      </w:r>
      <w:r w:rsidR="005842D7" w:rsidRPr="00F867D0">
        <w:rPr>
          <w:color w:val="auto"/>
          <w:szCs w:val="22"/>
        </w:rPr>
        <w:t xml:space="preserve">HC-290 is consistently lower than HCFC-22 by ~14%. </w:t>
      </w:r>
      <w:r w:rsidR="006C7630">
        <w:rPr>
          <w:color w:val="auto"/>
          <w:szCs w:val="22"/>
        </w:rPr>
        <w:t>D</w:t>
      </w:r>
      <w:r w:rsidR="005842D7" w:rsidRPr="00F867D0">
        <w:rPr>
          <w:color w:val="auto"/>
          <w:szCs w:val="22"/>
        </w:rPr>
        <w:t>rop-in testing of HC-290 in HCFC-22 equipment show</w:t>
      </w:r>
      <w:r w:rsidR="00F867D0" w:rsidRPr="00F867D0">
        <w:rPr>
          <w:color w:val="auto"/>
          <w:szCs w:val="22"/>
        </w:rPr>
        <w:t xml:space="preserve">ed that </w:t>
      </w:r>
      <w:r w:rsidR="005842D7" w:rsidRPr="00F867D0">
        <w:rPr>
          <w:color w:val="auto"/>
          <w:szCs w:val="22"/>
        </w:rPr>
        <w:t xml:space="preserve">COP improvement of 7% and </w:t>
      </w:r>
      <w:r w:rsidR="00F867D0" w:rsidRPr="00F867D0">
        <w:rPr>
          <w:color w:val="auto"/>
          <w:szCs w:val="22"/>
        </w:rPr>
        <w:t xml:space="preserve">capacity reduction of </w:t>
      </w:r>
      <w:r w:rsidR="005842D7" w:rsidRPr="00F867D0">
        <w:rPr>
          <w:color w:val="auto"/>
          <w:szCs w:val="22"/>
        </w:rPr>
        <w:t xml:space="preserve">8% </w:t>
      </w:r>
      <w:r w:rsidR="00F867D0" w:rsidRPr="00F867D0">
        <w:rPr>
          <w:color w:val="auto"/>
          <w:szCs w:val="22"/>
        </w:rPr>
        <w:t>compared with HCFC-22 at standard rating conditions [Abdelaziz et al. 2015]</w:t>
      </w:r>
      <w:r w:rsidR="003B44F2">
        <w:rPr>
          <w:color w:val="auto"/>
          <w:szCs w:val="22"/>
        </w:rPr>
        <w:t>.</w:t>
      </w:r>
      <w:r w:rsidR="00F867D0" w:rsidRPr="00F867D0">
        <w:rPr>
          <w:color w:val="auto"/>
          <w:szCs w:val="22"/>
        </w:rPr>
        <w:t xml:space="preserve"> This is primarily attributed to the improved transport properties of HC-290 </w:t>
      </w:r>
      <w:r w:rsidR="006C7630">
        <w:rPr>
          <w:color w:val="auto"/>
          <w:szCs w:val="22"/>
        </w:rPr>
        <w:t>versus</w:t>
      </w:r>
      <w:r w:rsidR="00F867D0" w:rsidRPr="00F867D0">
        <w:rPr>
          <w:color w:val="auto"/>
          <w:szCs w:val="22"/>
        </w:rPr>
        <w:t xml:space="preserve"> HCFC-22. One major barrier for t</w:t>
      </w:r>
      <w:r w:rsidR="00F867D0" w:rsidRPr="00E13AFF">
        <w:rPr>
          <w:color w:val="auto"/>
          <w:szCs w:val="22"/>
        </w:rPr>
        <w:t>he use of HC-290 in room AC is the flammability rating which currently restrict</w:t>
      </w:r>
      <w:r w:rsidR="00203240" w:rsidRPr="00E13AFF">
        <w:rPr>
          <w:color w:val="auto"/>
          <w:szCs w:val="22"/>
        </w:rPr>
        <w:t>s</w:t>
      </w:r>
      <w:r w:rsidR="00F867D0" w:rsidRPr="00E13AFF">
        <w:rPr>
          <w:color w:val="auto"/>
          <w:szCs w:val="22"/>
        </w:rPr>
        <w:t xml:space="preserve"> its use.</w:t>
      </w:r>
      <w:r w:rsidR="00943EAB" w:rsidRPr="00E13AFF">
        <w:rPr>
          <w:lang w:val="en-US" w:eastAsia="en-US"/>
        </w:rPr>
        <w:t xml:space="preserve"> </w:t>
      </w:r>
      <w:r w:rsidR="006C7630">
        <w:rPr>
          <w:lang w:val="en-US" w:eastAsia="en-US"/>
        </w:rPr>
        <w:t>W</w:t>
      </w:r>
      <w:r w:rsidR="00943EAB" w:rsidRPr="00E13AFF">
        <w:rPr>
          <w:lang w:val="en-US" w:eastAsia="en-US"/>
        </w:rPr>
        <w:t>ith engineering optimi</w:t>
      </w:r>
      <w:r w:rsidR="006C7630">
        <w:rPr>
          <w:lang w:val="en-US" w:eastAsia="en-US"/>
        </w:rPr>
        <w:t>s</w:t>
      </w:r>
      <w:r w:rsidR="00943EAB" w:rsidRPr="00E13AFF">
        <w:rPr>
          <w:lang w:val="en-US" w:eastAsia="en-US"/>
        </w:rPr>
        <w:t>ation, HCFC-22 alternatives such as R-290, can match or exceed the p</w:t>
      </w:r>
      <w:r w:rsidR="00943EAB" w:rsidRPr="00A663AA">
        <w:rPr>
          <w:lang w:val="en-US" w:eastAsia="en-US"/>
        </w:rPr>
        <w:t xml:space="preserve">erformance of existing HCFC-22 units with efficiency </w:t>
      </w:r>
      <w:r w:rsidR="00943EAB">
        <w:rPr>
          <w:lang w:val="en-US" w:eastAsia="en-US"/>
        </w:rPr>
        <w:t>increase of up to 10%</w:t>
      </w:r>
      <w:r w:rsidR="006C7630">
        <w:rPr>
          <w:lang w:val="en-US" w:eastAsia="en-US"/>
        </w:rPr>
        <w:t xml:space="preserve"> [Shen et al</w:t>
      </w:r>
      <w:r w:rsidR="004C6282">
        <w:rPr>
          <w:lang w:val="en-US" w:eastAsia="en-US"/>
        </w:rPr>
        <w:t>, 2017]</w:t>
      </w:r>
      <w:r w:rsidR="00FE106C">
        <w:rPr>
          <w:lang w:val="en-US" w:eastAsia="en-US"/>
        </w:rPr>
        <w:t>.</w:t>
      </w:r>
    </w:p>
    <w:p w14:paraId="3D63FF11" w14:textId="77777777" w:rsidR="00FE106C" w:rsidRDefault="00FE106C" w:rsidP="00235F95">
      <w:pPr>
        <w:keepNext/>
        <w:keepLines/>
        <w:widowControl w:val="0"/>
        <w:tabs>
          <w:tab w:val="left" w:pos="0"/>
        </w:tabs>
        <w:autoSpaceDE w:val="0"/>
        <w:autoSpaceDN w:val="0"/>
        <w:adjustRightInd w:val="0"/>
        <w:spacing w:after="0"/>
        <w:ind w:left="851" w:right="28" w:hanging="851"/>
        <w:outlineLvl w:val="2"/>
        <w:rPr>
          <w:lang w:val="en-US" w:eastAsia="en-US"/>
        </w:rPr>
      </w:pPr>
    </w:p>
    <w:p w14:paraId="69BC6307" w14:textId="14A94E66" w:rsidR="00A663AA" w:rsidRPr="000F749F" w:rsidRDefault="00A663AA" w:rsidP="000F749F">
      <w:pPr>
        <w:pStyle w:val="Heading3"/>
        <w:rPr>
          <w:b w:val="0"/>
        </w:rPr>
      </w:pPr>
      <w:bookmarkStart w:id="48" w:name="_Toc515454356"/>
      <w:r w:rsidRPr="000F749F">
        <w:t>2.1.</w:t>
      </w:r>
      <w:r w:rsidR="002F0F6A" w:rsidRPr="000F749F">
        <w:t>5</w:t>
      </w:r>
      <w:r w:rsidRPr="000F749F">
        <w:tab/>
        <w:t>Use of high efficiency components and system design</w:t>
      </w:r>
      <w:bookmarkEnd w:id="48"/>
    </w:p>
    <w:p w14:paraId="01F8B79F" w14:textId="7770A0DB" w:rsidR="00A663AA" w:rsidRPr="00F867D0" w:rsidRDefault="00A663AA" w:rsidP="00235F95">
      <w:pPr>
        <w:widowControl w:val="0"/>
        <w:spacing w:after="0"/>
        <w:rPr>
          <w:color w:val="auto"/>
          <w:kern w:val="2"/>
          <w:szCs w:val="22"/>
        </w:rPr>
      </w:pPr>
      <w:r w:rsidRPr="00F867D0">
        <w:rPr>
          <w:color w:val="auto"/>
          <w:szCs w:val="22"/>
        </w:rPr>
        <w:t>Vapour compression RACHP equipment consists of a number of primary components (</w:t>
      </w:r>
      <w:r w:rsidR="00A254A6">
        <w:rPr>
          <w:color w:val="auto"/>
          <w:szCs w:val="22"/>
        </w:rPr>
        <w:t xml:space="preserve">e.g., </w:t>
      </w:r>
      <w:r w:rsidRPr="00F867D0">
        <w:rPr>
          <w:color w:val="auto"/>
          <w:szCs w:val="22"/>
        </w:rPr>
        <w:t>evaporator, condenser, compressor, expansion</w:t>
      </w:r>
      <w:r w:rsidR="003B44F2">
        <w:rPr>
          <w:color w:val="auto"/>
          <w:szCs w:val="22"/>
        </w:rPr>
        <w:t xml:space="preserve"> </w:t>
      </w:r>
      <w:r w:rsidRPr="00F867D0">
        <w:rPr>
          <w:color w:val="auto"/>
          <w:szCs w:val="22"/>
        </w:rPr>
        <w:t>valve, refrigerant) and secondary components (e.g.</w:t>
      </w:r>
      <w:r w:rsidR="00A254A6">
        <w:rPr>
          <w:color w:val="auto"/>
          <w:szCs w:val="22"/>
        </w:rPr>
        <w:t>,</w:t>
      </w:r>
      <w:r w:rsidRPr="00F867D0">
        <w:rPr>
          <w:color w:val="auto"/>
          <w:szCs w:val="22"/>
        </w:rPr>
        <w:t xml:space="preserve"> fans, pumps and cooling towers). To maximize </w:t>
      </w:r>
      <w:r w:rsidR="001A6881" w:rsidRPr="00F867D0">
        <w:rPr>
          <w:color w:val="auto"/>
          <w:szCs w:val="22"/>
        </w:rPr>
        <w:t>EE,</w:t>
      </w:r>
      <w:r w:rsidRPr="00F867D0">
        <w:rPr>
          <w:color w:val="auto"/>
          <w:szCs w:val="22"/>
        </w:rPr>
        <w:t xml:space="preserve"> it is important to:</w:t>
      </w:r>
      <w:r w:rsidR="002E3385" w:rsidRPr="00F867D0">
        <w:rPr>
          <w:color w:val="auto"/>
          <w:szCs w:val="22"/>
        </w:rPr>
        <w:t xml:space="preserve"> a) s</w:t>
      </w:r>
      <w:r w:rsidRPr="00F867D0">
        <w:rPr>
          <w:color w:val="auto"/>
          <w:kern w:val="2"/>
          <w:szCs w:val="22"/>
        </w:rPr>
        <w:t xml:space="preserve">elect an appropriate “system design” that defines the overall system arrangement </w:t>
      </w:r>
      <w:r w:rsidR="001A6881" w:rsidRPr="00F867D0">
        <w:rPr>
          <w:color w:val="auto"/>
          <w:kern w:val="2"/>
          <w:szCs w:val="22"/>
        </w:rPr>
        <w:t>and operating temperature levels and</w:t>
      </w:r>
      <w:r w:rsidR="002E3385" w:rsidRPr="00F867D0">
        <w:rPr>
          <w:color w:val="auto"/>
          <w:kern w:val="2"/>
          <w:szCs w:val="22"/>
        </w:rPr>
        <w:t xml:space="preserve"> b) s</w:t>
      </w:r>
      <w:r w:rsidRPr="00F867D0">
        <w:rPr>
          <w:color w:val="auto"/>
          <w:kern w:val="2"/>
          <w:szCs w:val="22"/>
        </w:rPr>
        <w:t>elect individual components that can contribute to the system efficiency.</w:t>
      </w:r>
    </w:p>
    <w:p w14:paraId="3E482796" w14:textId="77777777" w:rsidR="00AE5D81" w:rsidRDefault="00AE5D81" w:rsidP="00A663AA">
      <w:pPr>
        <w:spacing w:after="0"/>
      </w:pPr>
    </w:p>
    <w:p w14:paraId="3DA8ED8F" w14:textId="0C08709C" w:rsidR="00A663AA" w:rsidRPr="00F867D0" w:rsidRDefault="00A663AA" w:rsidP="00A663AA">
      <w:pPr>
        <w:spacing w:after="0"/>
      </w:pPr>
      <w:r w:rsidRPr="00F867D0">
        <w:t xml:space="preserve">There are many examples </w:t>
      </w:r>
      <w:r w:rsidR="004C6282">
        <w:t>which</w:t>
      </w:r>
      <w:r w:rsidR="001A6881" w:rsidRPr="00F867D0">
        <w:t xml:space="preserve"> </w:t>
      </w:r>
      <w:r w:rsidRPr="00F867D0">
        <w:t xml:space="preserve">illustrate </w:t>
      </w:r>
      <w:r w:rsidR="001A6881" w:rsidRPr="00F867D0">
        <w:t>EE</w:t>
      </w:r>
      <w:r w:rsidRPr="00F867D0">
        <w:t xml:space="preserve"> improvements related to system and component design</w:t>
      </w:r>
      <w:r w:rsidR="004C6282">
        <w:t>, and</w:t>
      </w:r>
      <w:r w:rsidRPr="00F867D0">
        <w:t>.</w:t>
      </w:r>
      <w:r w:rsidR="004C6282">
        <w:t>t</w:t>
      </w:r>
      <w:r w:rsidRPr="00F867D0">
        <w:t xml:space="preserve">he examples given below illustrate some important </w:t>
      </w:r>
      <w:r w:rsidR="004C6282">
        <w:t>points</w:t>
      </w:r>
      <w:r w:rsidRPr="00F867D0">
        <w:t>.</w:t>
      </w:r>
    </w:p>
    <w:p w14:paraId="14AE5388" w14:textId="77777777" w:rsidR="00A663AA" w:rsidRPr="00F867D0" w:rsidRDefault="00A663AA" w:rsidP="00A663AA">
      <w:pPr>
        <w:spacing w:after="0"/>
      </w:pPr>
    </w:p>
    <w:p w14:paraId="5C487A23" w14:textId="094BF86C" w:rsidR="00CD37ED" w:rsidRPr="00031D16" w:rsidRDefault="00CD37ED" w:rsidP="00031D16">
      <w:pPr>
        <w:spacing w:after="0"/>
        <w:rPr>
          <w:b/>
        </w:rPr>
      </w:pPr>
      <w:r w:rsidRPr="00031D16">
        <w:rPr>
          <w:b/>
        </w:rPr>
        <w:t>System design</w:t>
      </w:r>
    </w:p>
    <w:p w14:paraId="281E1021" w14:textId="77777777" w:rsidR="00CF21B5" w:rsidRDefault="00CF21B5" w:rsidP="00031D16">
      <w:pPr>
        <w:spacing w:after="0"/>
        <w:rPr>
          <w:b/>
          <w:i/>
        </w:rPr>
      </w:pPr>
    </w:p>
    <w:p w14:paraId="7EC744F2" w14:textId="118F3F4C" w:rsidR="00A663AA" w:rsidRPr="00F867D0" w:rsidRDefault="001A6881" w:rsidP="004F14F0">
      <w:pPr>
        <w:spacing w:after="0"/>
        <w:ind w:left="360"/>
      </w:pPr>
      <w:r w:rsidRPr="00031D16">
        <w:rPr>
          <w:b/>
          <w:i/>
        </w:rPr>
        <w:t xml:space="preserve">Example 1: </w:t>
      </w:r>
      <w:r w:rsidR="00A663AA" w:rsidRPr="00031D16">
        <w:rPr>
          <w:b/>
          <w:i/>
        </w:rPr>
        <w:t xml:space="preserve">Compressor size. </w:t>
      </w:r>
      <w:r w:rsidR="00A663AA" w:rsidRPr="00F867D0">
        <w:rPr>
          <w:b/>
        </w:rPr>
        <w:t xml:space="preserve"> </w:t>
      </w:r>
      <w:r w:rsidR="004C6282">
        <w:t>System</w:t>
      </w:r>
      <w:r w:rsidR="00A663AA" w:rsidRPr="00F867D0">
        <w:t xml:space="preserve"> designer</w:t>
      </w:r>
      <w:r w:rsidR="004C6282">
        <w:t>s</w:t>
      </w:r>
      <w:r w:rsidR="00A663AA" w:rsidRPr="00F867D0">
        <w:t xml:space="preserve"> consider the optimum number of compressors to suit a given load. For very small systems there is always one compressor. However, for larger systems it may be more efficient to select several small compressors rather than one large one</w:t>
      </w:r>
      <w:r w:rsidR="00AE5D81">
        <w:t>,</w:t>
      </w:r>
      <w:r w:rsidR="00A663AA" w:rsidRPr="00F867D0">
        <w:t xml:space="preserve"> with a trade-off </w:t>
      </w:r>
      <w:r w:rsidR="00AE5D81">
        <w:t xml:space="preserve">being made </w:t>
      </w:r>
      <w:r w:rsidR="00A663AA" w:rsidRPr="00F867D0">
        <w:t xml:space="preserve">between the extra capital cost and </w:t>
      </w:r>
      <w:r w:rsidR="00AE5D81">
        <w:t xml:space="preserve">the resulting </w:t>
      </w:r>
      <w:r w:rsidR="00A663AA" w:rsidRPr="00F867D0">
        <w:t>energy savings.  This is especially important to support high efficiency under part-load operating conditions.</w:t>
      </w:r>
    </w:p>
    <w:p w14:paraId="0AF202D0" w14:textId="77777777" w:rsidR="001A6881" w:rsidRPr="00F867D0" w:rsidRDefault="001A6881" w:rsidP="004F14F0">
      <w:pPr>
        <w:spacing w:after="0"/>
        <w:ind w:left="360"/>
        <w:rPr>
          <w:b/>
        </w:rPr>
      </w:pPr>
    </w:p>
    <w:p w14:paraId="3DACEF20" w14:textId="11A35643" w:rsidR="00A663AA" w:rsidRPr="00F867D0" w:rsidRDefault="001A6881" w:rsidP="004F14F0">
      <w:pPr>
        <w:spacing w:after="0"/>
        <w:ind w:left="360"/>
      </w:pPr>
      <w:r w:rsidRPr="00031D16">
        <w:rPr>
          <w:b/>
          <w:i/>
        </w:rPr>
        <w:t xml:space="preserve">Example 2: </w:t>
      </w:r>
      <w:r w:rsidR="00A663AA" w:rsidRPr="00031D16">
        <w:rPr>
          <w:b/>
          <w:i/>
        </w:rPr>
        <w:t>Cooling at appropriate temperature level.</w:t>
      </w:r>
      <w:r w:rsidR="00A663AA" w:rsidRPr="00031D16">
        <w:rPr>
          <w:i/>
        </w:rPr>
        <w:t xml:space="preserve"> </w:t>
      </w:r>
      <w:r w:rsidR="00A663AA" w:rsidRPr="00F867D0">
        <w:t xml:space="preserve">To maximize efficiency, RACHP systems should provide cooling at the maximum possible temperature level. Raising the evaporating temperature by just 1°C can improve efficiency by between 2% and 4%. A common design is to group several cooling loads onto one cooling system, even though the temperature requirement is different for each load. The evaporating temperature has to suit the coldest load – which means that the warmer loads are being cooled inefficiently. A system design that separates loads at different temperatures </w:t>
      </w:r>
      <w:r w:rsidR="004C6282">
        <w:t>can</w:t>
      </w:r>
      <w:r w:rsidR="00A663AA" w:rsidRPr="00F867D0">
        <w:t xml:space="preserve"> be significantly more efficient</w:t>
      </w:r>
      <w:r w:rsidR="005A4E69">
        <w:t>,</w:t>
      </w:r>
      <w:r w:rsidR="007A44DB" w:rsidRPr="00F867D0">
        <w:t xml:space="preserve"> but this comes at </w:t>
      </w:r>
      <w:r w:rsidR="004C6282">
        <w:t>the</w:t>
      </w:r>
      <w:r w:rsidR="007A44DB" w:rsidRPr="00F867D0">
        <w:t xml:space="preserve"> additional cost for multiple systems</w:t>
      </w:r>
      <w:r w:rsidR="00A663AA" w:rsidRPr="00F867D0">
        <w:t>.</w:t>
      </w:r>
      <w:r w:rsidR="007A44DB" w:rsidRPr="00F867D0">
        <w:t xml:space="preserve"> </w:t>
      </w:r>
      <w:r w:rsidR="00A663AA" w:rsidRPr="00F867D0">
        <w:t xml:space="preserve"> Another example is the choice of chilled water temperature </w:t>
      </w:r>
      <w:r w:rsidR="004C6282">
        <w:t>with</w:t>
      </w:r>
      <w:r w:rsidR="00A663AA" w:rsidRPr="00F867D0">
        <w:t>in a space cooling system – using a higher temperature provides better efficiency for the same cooling load.</w:t>
      </w:r>
    </w:p>
    <w:p w14:paraId="07427C53" w14:textId="77777777" w:rsidR="001A6881" w:rsidRPr="00F867D0" w:rsidRDefault="001A6881" w:rsidP="001A6881">
      <w:pPr>
        <w:widowControl w:val="0"/>
        <w:spacing w:after="0"/>
        <w:ind w:left="851"/>
        <w:rPr>
          <w:b/>
          <w:color w:val="auto"/>
          <w:szCs w:val="22"/>
        </w:rPr>
      </w:pPr>
    </w:p>
    <w:p w14:paraId="4E635F39" w14:textId="64E261C1" w:rsidR="00CD37ED" w:rsidRPr="002261E5" w:rsidRDefault="00CD37ED" w:rsidP="002261E5">
      <w:pPr>
        <w:widowControl w:val="0"/>
        <w:spacing w:after="0"/>
        <w:rPr>
          <w:b/>
          <w:color w:val="auto"/>
          <w:szCs w:val="22"/>
        </w:rPr>
      </w:pPr>
      <w:r w:rsidRPr="002261E5">
        <w:rPr>
          <w:b/>
          <w:color w:val="auto"/>
          <w:szCs w:val="22"/>
        </w:rPr>
        <w:t>Component design</w:t>
      </w:r>
    </w:p>
    <w:p w14:paraId="3463DFA9" w14:textId="77777777" w:rsidR="00CF21B5" w:rsidRDefault="00CF21B5" w:rsidP="002261E5">
      <w:pPr>
        <w:widowControl w:val="0"/>
        <w:spacing w:after="0"/>
        <w:rPr>
          <w:b/>
          <w:i/>
          <w:color w:val="auto"/>
          <w:szCs w:val="22"/>
        </w:rPr>
      </w:pPr>
    </w:p>
    <w:p w14:paraId="2E5E782A" w14:textId="42310DB9" w:rsidR="00A663AA" w:rsidRPr="00F867D0" w:rsidRDefault="00CD37ED" w:rsidP="004F14F0">
      <w:pPr>
        <w:widowControl w:val="0"/>
        <w:spacing w:after="0"/>
        <w:ind w:left="360"/>
        <w:rPr>
          <w:color w:val="auto"/>
          <w:szCs w:val="22"/>
        </w:rPr>
      </w:pPr>
      <w:r w:rsidRPr="002261E5">
        <w:rPr>
          <w:b/>
          <w:i/>
          <w:color w:val="auto"/>
          <w:szCs w:val="22"/>
        </w:rPr>
        <w:t>Example 1</w:t>
      </w:r>
      <w:r w:rsidR="001A6881" w:rsidRPr="002261E5">
        <w:rPr>
          <w:b/>
          <w:i/>
          <w:color w:val="auto"/>
          <w:szCs w:val="22"/>
        </w:rPr>
        <w:t xml:space="preserve">: </w:t>
      </w:r>
      <w:r w:rsidR="00A663AA" w:rsidRPr="002261E5">
        <w:rPr>
          <w:b/>
          <w:i/>
          <w:color w:val="auto"/>
          <w:szCs w:val="22"/>
        </w:rPr>
        <w:t>Heat exchanger selection.</w:t>
      </w:r>
      <w:r w:rsidR="00A663AA" w:rsidRPr="00F867D0">
        <w:rPr>
          <w:color w:val="auto"/>
          <w:szCs w:val="22"/>
        </w:rPr>
        <w:t xml:space="preserve"> </w:t>
      </w:r>
      <w:r w:rsidR="0080536C" w:rsidRPr="00F867D0">
        <w:rPr>
          <w:color w:val="auto"/>
          <w:szCs w:val="22"/>
        </w:rPr>
        <w:t>The designer should select heat exchangers with the lowest practical temperature difference t</w:t>
      </w:r>
      <w:r w:rsidR="00A663AA" w:rsidRPr="00F867D0">
        <w:rPr>
          <w:color w:val="auto"/>
          <w:szCs w:val="22"/>
        </w:rPr>
        <w:t>o optimi</w:t>
      </w:r>
      <w:r w:rsidR="00AE5D81">
        <w:rPr>
          <w:color w:val="auto"/>
          <w:szCs w:val="22"/>
        </w:rPr>
        <w:t>s</w:t>
      </w:r>
      <w:r w:rsidR="00A663AA" w:rsidRPr="00F867D0">
        <w:rPr>
          <w:color w:val="auto"/>
          <w:szCs w:val="22"/>
        </w:rPr>
        <w:t>e evaporating temperature (</w:t>
      </w:r>
      <w:r w:rsidR="00164BCA" w:rsidRPr="00F867D0">
        <w:rPr>
          <w:color w:val="auto"/>
          <w:szCs w:val="22"/>
        </w:rPr>
        <w:t xml:space="preserve">which </w:t>
      </w:r>
      <w:r w:rsidR="00A663AA" w:rsidRPr="00F867D0">
        <w:rPr>
          <w:color w:val="auto"/>
          <w:szCs w:val="22"/>
        </w:rPr>
        <w:t xml:space="preserve">should be as </w:t>
      </w:r>
      <w:r w:rsidR="00A663AA" w:rsidRPr="002261E5">
        <w:rPr>
          <w:b/>
          <w:i/>
          <w:color w:val="auto"/>
          <w:szCs w:val="22"/>
        </w:rPr>
        <w:t>high</w:t>
      </w:r>
      <w:r w:rsidR="00A663AA" w:rsidRPr="00F867D0">
        <w:rPr>
          <w:color w:val="auto"/>
          <w:szCs w:val="22"/>
        </w:rPr>
        <w:t xml:space="preserve"> as possible) and condensing temperature (as </w:t>
      </w:r>
      <w:r w:rsidR="00A663AA" w:rsidRPr="002261E5">
        <w:rPr>
          <w:b/>
          <w:i/>
          <w:color w:val="auto"/>
          <w:szCs w:val="22"/>
        </w:rPr>
        <w:t>low</w:t>
      </w:r>
      <w:r w:rsidR="00A663AA" w:rsidRPr="00F867D0">
        <w:rPr>
          <w:color w:val="auto"/>
          <w:szCs w:val="22"/>
        </w:rPr>
        <w:t xml:space="preserve"> as possible). Heat exchanger</w:t>
      </w:r>
      <w:r w:rsidR="004C6282">
        <w:rPr>
          <w:color w:val="auto"/>
          <w:szCs w:val="22"/>
        </w:rPr>
        <w:t>s with a</w:t>
      </w:r>
      <w:r w:rsidR="00A663AA" w:rsidRPr="00F867D0">
        <w:rPr>
          <w:color w:val="auto"/>
          <w:szCs w:val="22"/>
        </w:rPr>
        <w:t xml:space="preserve"> tube</w:t>
      </w:r>
      <w:r w:rsidR="0080536C" w:rsidRPr="00F867D0">
        <w:rPr>
          <w:color w:val="auto"/>
          <w:szCs w:val="22"/>
        </w:rPr>
        <w:t>-and-fin</w:t>
      </w:r>
      <w:r w:rsidR="00A663AA" w:rsidRPr="00F867D0">
        <w:rPr>
          <w:color w:val="auto"/>
          <w:szCs w:val="22"/>
        </w:rPr>
        <w:t xml:space="preserve"> </w:t>
      </w:r>
      <w:r w:rsidR="004C6282">
        <w:rPr>
          <w:color w:val="auto"/>
          <w:szCs w:val="22"/>
        </w:rPr>
        <w:t>design</w:t>
      </w:r>
      <w:r w:rsidR="00A663AA" w:rsidRPr="00F867D0">
        <w:rPr>
          <w:color w:val="auto"/>
          <w:szCs w:val="22"/>
        </w:rPr>
        <w:t xml:space="preserve"> with smaller diameter </w:t>
      </w:r>
      <w:r w:rsidR="004C6282">
        <w:rPr>
          <w:color w:val="auto"/>
          <w:szCs w:val="22"/>
        </w:rPr>
        <w:t xml:space="preserve">tubes </w:t>
      </w:r>
      <w:r w:rsidR="00A663AA" w:rsidRPr="00F867D0">
        <w:rPr>
          <w:color w:val="auto"/>
          <w:szCs w:val="22"/>
        </w:rPr>
        <w:t>have been introduced. This is aimed at improving the heat transfer rate and the</w:t>
      </w:r>
      <w:r w:rsidR="0080536C" w:rsidRPr="00F867D0">
        <w:rPr>
          <w:color w:val="auto"/>
          <w:szCs w:val="22"/>
        </w:rPr>
        <w:t xml:space="preserve"> EE</w:t>
      </w:r>
      <w:r w:rsidR="00A663AA" w:rsidRPr="00F867D0">
        <w:rPr>
          <w:color w:val="auto"/>
          <w:szCs w:val="22"/>
        </w:rPr>
        <w:t xml:space="preserve">, although the designer must </w:t>
      </w:r>
      <w:r w:rsidR="004C6282">
        <w:rPr>
          <w:color w:val="auto"/>
          <w:szCs w:val="22"/>
        </w:rPr>
        <w:t xml:space="preserve">also </w:t>
      </w:r>
      <w:r w:rsidR="00A663AA" w:rsidRPr="00F867D0">
        <w:rPr>
          <w:color w:val="auto"/>
          <w:szCs w:val="22"/>
        </w:rPr>
        <w:t>consider the impact of higher pressure drops. This can reduce the internal volume of the heat exchanger, making it possible to reduce the required amount of refrigerant. Micro</w:t>
      </w:r>
      <w:r w:rsidR="00164BCA" w:rsidRPr="00F867D0">
        <w:rPr>
          <w:color w:val="auto"/>
          <w:szCs w:val="22"/>
        </w:rPr>
        <w:t>-c</w:t>
      </w:r>
      <w:r w:rsidR="00A663AA" w:rsidRPr="00F867D0">
        <w:rPr>
          <w:color w:val="auto"/>
          <w:szCs w:val="22"/>
        </w:rPr>
        <w:t xml:space="preserve">hannel </w:t>
      </w:r>
      <w:r w:rsidR="00164BCA" w:rsidRPr="00F867D0">
        <w:rPr>
          <w:color w:val="auto"/>
          <w:szCs w:val="22"/>
        </w:rPr>
        <w:t>h</w:t>
      </w:r>
      <w:r w:rsidR="00A663AA" w:rsidRPr="00F867D0">
        <w:rPr>
          <w:color w:val="auto"/>
          <w:szCs w:val="22"/>
        </w:rPr>
        <w:t>eat e</w:t>
      </w:r>
      <w:r w:rsidR="00164BCA" w:rsidRPr="00F867D0">
        <w:rPr>
          <w:color w:val="auto"/>
          <w:szCs w:val="22"/>
        </w:rPr>
        <w:t>x</w:t>
      </w:r>
      <w:r w:rsidR="00A663AA" w:rsidRPr="00F867D0">
        <w:rPr>
          <w:color w:val="auto"/>
          <w:szCs w:val="22"/>
        </w:rPr>
        <w:t>changers (MCHX) have also been developed and provide another design option.</w:t>
      </w:r>
    </w:p>
    <w:p w14:paraId="66068099" w14:textId="77777777" w:rsidR="001A6881" w:rsidRPr="00F867D0" w:rsidRDefault="001A6881" w:rsidP="004F14F0">
      <w:pPr>
        <w:widowControl w:val="0"/>
        <w:spacing w:after="0"/>
        <w:ind w:left="360"/>
        <w:rPr>
          <w:b/>
          <w:color w:val="auto"/>
          <w:szCs w:val="22"/>
        </w:rPr>
      </w:pPr>
    </w:p>
    <w:p w14:paraId="7934BF6B" w14:textId="5C968C3F" w:rsidR="00A663AA" w:rsidRPr="00F867D0" w:rsidRDefault="001A6881" w:rsidP="004F14F0">
      <w:pPr>
        <w:widowControl w:val="0"/>
        <w:spacing w:after="0"/>
        <w:ind w:left="360"/>
        <w:rPr>
          <w:color w:val="auto"/>
          <w:szCs w:val="22"/>
        </w:rPr>
      </w:pPr>
      <w:r w:rsidRPr="002261E5">
        <w:rPr>
          <w:b/>
          <w:i/>
          <w:color w:val="auto"/>
          <w:szCs w:val="22"/>
        </w:rPr>
        <w:t xml:space="preserve">Example </w:t>
      </w:r>
      <w:r w:rsidR="00CD37ED" w:rsidRPr="002261E5">
        <w:rPr>
          <w:b/>
          <w:i/>
          <w:color w:val="auto"/>
          <w:szCs w:val="22"/>
        </w:rPr>
        <w:t>2</w:t>
      </w:r>
      <w:r w:rsidRPr="002261E5">
        <w:rPr>
          <w:b/>
          <w:i/>
          <w:color w:val="auto"/>
          <w:szCs w:val="22"/>
        </w:rPr>
        <w:t xml:space="preserve">: </w:t>
      </w:r>
      <w:r w:rsidR="00A663AA" w:rsidRPr="002261E5">
        <w:rPr>
          <w:b/>
          <w:i/>
          <w:color w:val="auto"/>
          <w:szCs w:val="22"/>
        </w:rPr>
        <w:t>Full load compressor efficiency</w:t>
      </w:r>
      <w:r w:rsidR="00A663AA" w:rsidRPr="00F867D0">
        <w:rPr>
          <w:color w:val="auto"/>
          <w:szCs w:val="22"/>
        </w:rPr>
        <w:t xml:space="preserve">. The </w:t>
      </w:r>
      <w:r w:rsidR="00AE5D81">
        <w:rPr>
          <w:color w:val="auto"/>
          <w:szCs w:val="22"/>
        </w:rPr>
        <w:t>EE</w:t>
      </w:r>
      <w:r w:rsidR="00A663AA" w:rsidRPr="00F867D0">
        <w:rPr>
          <w:color w:val="auto"/>
          <w:szCs w:val="22"/>
        </w:rPr>
        <w:t xml:space="preserve"> of the compressor has a direct impact on energy use of RACHP equipment. The compressor used needs to be optimi</w:t>
      </w:r>
      <w:r w:rsidR="00AE5D81">
        <w:rPr>
          <w:color w:val="auto"/>
          <w:szCs w:val="22"/>
        </w:rPr>
        <w:t>s</w:t>
      </w:r>
      <w:r w:rsidR="00A663AA" w:rsidRPr="00F867D0">
        <w:rPr>
          <w:color w:val="auto"/>
          <w:szCs w:val="22"/>
        </w:rPr>
        <w:t xml:space="preserve">ed for the refrigerant selected and the expected range of operating conditions (in terms of evaporating and condensing temperatures). There can be as much as </w:t>
      </w:r>
      <w:r w:rsidR="00AE5D81">
        <w:rPr>
          <w:color w:val="auto"/>
          <w:szCs w:val="22"/>
        </w:rPr>
        <w:t xml:space="preserve">a </w:t>
      </w:r>
      <w:r w:rsidR="00A663AA" w:rsidRPr="00F867D0">
        <w:rPr>
          <w:color w:val="auto"/>
          <w:szCs w:val="22"/>
        </w:rPr>
        <w:t>20% difference in efficiency between two compressors of similar size and cost. Good selection can provide good efficiency improvement at little or no extra cost.</w:t>
      </w:r>
    </w:p>
    <w:p w14:paraId="77A055BE" w14:textId="77777777" w:rsidR="00A663AA" w:rsidRPr="00F867D0" w:rsidRDefault="00A663AA" w:rsidP="004F14F0">
      <w:pPr>
        <w:widowControl w:val="0"/>
        <w:spacing w:after="0"/>
        <w:ind w:left="360"/>
        <w:rPr>
          <w:color w:val="auto"/>
          <w:szCs w:val="22"/>
        </w:rPr>
      </w:pPr>
    </w:p>
    <w:p w14:paraId="55CC0B52" w14:textId="66AB2800" w:rsidR="00A663AA" w:rsidRPr="00F867D0" w:rsidRDefault="00A663AA" w:rsidP="004F14F0">
      <w:pPr>
        <w:widowControl w:val="0"/>
        <w:spacing w:after="0"/>
        <w:ind w:left="360"/>
        <w:rPr>
          <w:color w:val="auto"/>
          <w:szCs w:val="22"/>
        </w:rPr>
      </w:pPr>
      <w:r w:rsidRPr="00F867D0">
        <w:rPr>
          <w:color w:val="auto"/>
          <w:szCs w:val="22"/>
        </w:rPr>
        <w:t xml:space="preserve">There are numerous ancillary components that the designer must consider, </w:t>
      </w:r>
      <w:r w:rsidR="00AE5D81">
        <w:rPr>
          <w:color w:val="auto"/>
          <w:szCs w:val="22"/>
        </w:rPr>
        <w:t>e.g.,</w:t>
      </w:r>
      <w:r w:rsidRPr="00F867D0">
        <w:rPr>
          <w:color w:val="auto"/>
          <w:szCs w:val="22"/>
        </w:rPr>
        <w:t xml:space="preserve"> evaporator and condenser fans, chilled water, condenser water and oil pumps, crankcase heaters, </w:t>
      </w:r>
      <w:r w:rsidR="00A254A6">
        <w:rPr>
          <w:color w:val="auto"/>
          <w:szCs w:val="22"/>
        </w:rPr>
        <w:t xml:space="preserve">and </w:t>
      </w:r>
      <w:r w:rsidRPr="00F867D0">
        <w:rPr>
          <w:color w:val="auto"/>
          <w:szCs w:val="22"/>
        </w:rPr>
        <w:t xml:space="preserve">standby power.  Similarly, there are numerous possibilities for improvement in the thermodynamic cycle, </w:t>
      </w:r>
      <w:r w:rsidR="00AE5D81">
        <w:rPr>
          <w:color w:val="auto"/>
          <w:szCs w:val="22"/>
        </w:rPr>
        <w:t xml:space="preserve">e.g., </w:t>
      </w:r>
      <w:r w:rsidRPr="00F867D0">
        <w:rPr>
          <w:color w:val="auto"/>
          <w:szCs w:val="22"/>
        </w:rPr>
        <w:t>two</w:t>
      </w:r>
      <w:r w:rsidR="00AE5D81">
        <w:rPr>
          <w:color w:val="auto"/>
          <w:szCs w:val="22"/>
        </w:rPr>
        <w:t>-</w:t>
      </w:r>
      <w:r w:rsidRPr="00F867D0">
        <w:rPr>
          <w:color w:val="auto"/>
          <w:szCs w:val="22"/>
        </w:rPr>
        <w:t>stage compression, tandem operation of compressors, compressors with economizers, vapor/liquid injection, expansion work recovery using either mechanical expanders, ejectors, or vortex tubes.</w:t>
      </w:r>
      <w:r w:rsidR="00AE5D81">
        <w:rPr>
          <w:color w:val="auto"/>
          <w:szCs w:val="22"/>
        </w:rPr>
        <w:t xml:space="preserve"> </w:t>
      </w:r>
      <w:r w:rsidRPr="00F867D0">
        <w:rPr>
          <w:color w:val="auto"/>
          <w:szCs w:val="22"/>
        </w:rPr>
        <w:t xml:space="preserve">Table 2.1 summarizes efficiency improvements for a range of component design improvements </w:t>
      </w:r>
      <w:r w:rsidR="00C57682" w:rsidRPr="00F867D0">
        <w:rPr>
          <w:color w:val="auto"/>
          <w:szCs w:val="22"/>
        </w:rPr>
        <w:t>[</w:t>
      </w:r>
      <w:r w:rsidR="00694192" w:rsidRPr="00F867D0">
        <w:rPr>
          <w:color w:val="auto"/>
          <w:szCs w:val="22"/>
        </w:rPr>
        <w:t>Shah et al., 2014</w:t>
      </w:r>
      <w:r w:rsidR="00C57682" w:rsidRPr="00F867D0">
        <w:rPr>
          <w:color w:val="auto"/>
          <w:szCs w:val="22"/>
        </w:rPr>
        <w:t>]</w:t>
      </w:r>
      <w:r w:rsidR="008261A6">
        <w:rPr>
          <w:color w:val="auto"/>
          <w:szCs w:val="22"/>
        </w:rPr>
        <w:t xml:space="preserve"> from a “base case” represented by a European </w:t>
      </w:r>
      <w:r w:rsidR="00AE5D81">
        <w:rPr>
          <w:color w:val="auto"/>
          <w:szCs w:val="22"/>
        </w:rPr>
        <w:t>minimum energy performance standard (</w:t>
      </w:r>
      <w:r w:rsidR="008261A6">
        <w:rPr>
          <w:color w:val="auto"/>
          <w:szCs w:val="22"/>
        </w:rPr>
        <w:t>MEPS</w:t>
      </w:r>
      <w:r w:rsidR="00AE5D81">
        <w:rPr>
          <w:color w:val="auto"/>
          <w:szCs w:val="22"/>
        </w:rPr>
        <w:t>)</w:t>
      </w:r>
      <w:r w:rsidR="008261A6">
        <w:rPr>
          <w:color w:val="auto"/>
          <w:szCs w:val="22"/>
        </w:rPr>
        <w:t>.</w:t>
      </w:r>
    </w:p>
    <w:p w14:paraId="0FDB1D50" w14:textId="77777777" w:rsidR="00A663AA" w:rsidRPr="00F867D0" w:rsidRDefault="00A663AA" w:rsidP="00A663AA">
      <w:pPr>
        <w:widowControl w:val="0"/>
        <w:spacing w:after="0"/>
        <w:rPr>
          <w:color w:val="auto"/>
          <w:szCs w:val="22"/>
        </w:rPr>
      </w:pPr>
    </w:p>
    <w:p w14:paraId="64003557" w14:textId="675B917D" w:rsidR="00A663AA" w:rsidRPr="003D5FEE" w:rsidRDefault="00E13AFF" w:rsidP="00A663AA">
      <w:pPr>
        <w:spacing w:after="0"/>
        <w:ind w:left="-284" w:right="-138"/>
        <w:jc w:val="center"/>
        <w:rPr>
          <w:b/>
          <w:i/>
          <w:spacing w:val="-2"/>
          <w:lang w:eastAsia="en-US"/>
        </w:rPr>
      </w:pPr>
      <w:r w:rsidRPr="003D5FEE">
        <w:rPr>
          <w:b/>
          <w:i/>
          <w:spacing w:val="-2"/>
          <w:lang w:eastAsia="en-US"/>
        </w:rPr>
        <w:t xml:space="preserve">Table 2.1 </w:t>
      </w:r>
      <w:r w:rsidR="00A663AA" w:rsidRPr="003D5FEE">
        <w:rPr>
          <w:b/>
          <w:i/>
          <w:spacing w:val="-2"/>
          <w:lang w:eastAsia="en-US"/>
        </w:rPr>
        <w:t>Efficiency improvement options and the corresponding energy savings based on European conditions</w:t>
      </w:r>
    </w:p>
    <w:p w14:paraId="3EE94D6A" w14:textId="77777777" w:rsidR="00AF36BF" w:rsidRPr="00F867D0" w:rsidRDefault="00AF36BF" w:rsidP="00A663AA">
      <w:pPr>
        <w:spacing w:after="0"/>
        <w:ind w:left="-284" w:right="-138"/>
        <w:jc w:val="center"/>
        <w:rPr>
          <w:b/>
          <w:spacing w:val="-2"/>
          <w:lang w:eastAsia="en-US"/>
        </w:rPr>
      </w:pP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4141"/>
        <w:gridCol w:w="867"/>
        <w:gridCol w:w="821"/>
      </w:tblGrid>
      <w:tr w:rsidR="00A663AA" w:rsidRPr="00F867D0" w14:paraId="598658E4" w14:textId="77777777" w:rsidTr="00453103">
        <w:trPr>
          <w:jc w:val="center"/>
        </w:trPr>
        <w:tc>
          <w:tcPr>
            <w:tcW w:w="2496" w:type="dxa"/>
            <w:vMerge w:val="restart"/>
            <w:tcBorders>
              <w:top w:val="single" w:sz="8" w:space="0" w:color="auto"/>
              <w:left w:val="single" w:sz="8" w:space="0" w:color="auto"/>
              <w:bottom w:val="single" w:sz="8" w:space="0" w:color="auto"/>
              <w:right w:val="single" w:sz="8" w:space="0" w:color="auto"/>
            </w:tcBorders>
            <w:vAlign w:val="center"/>
            <w:hideMark/>
          </w:tcPr>
          <w:p w14:paraId="770B3C0B" w14:textId="77777777" w:rsidR="00A663AA" w:rsidRPr="00F867D0" w:rsidRDefault="00A663AA" w:rsidP="00A663AA">
            <w:pPr>
              <w:spacing w:after="0"/>
              <w:jc w:val="center"/>
              <w:rPr>
                <w:rFonts w:eastAsia="Cambria" w:cs="Arial"/>
                <w:b/>
                <w:bCs/>
                <w:szCs w:val="22"/>
                <w:lang w:eastAsia="en-US"/>
              </w:rPr>
            </w:pPr>
            <w:r w:rsidRPr="00F867D0">
              <w:rPr>
                <w:rFonts w:eastAsia="Cambria" w:cs="Arial"/>
                <w:b/>
                <w:bCs/>
                <w:szCs w:val="22"/>
                <w:lang w:eastAsia="en-US"/>
              </w:rPr>
              <w:t>Option</w:t>
            </w:r>
          </w:p>
        </w:tc>
        <w:tc>
          <w:tcPr>
            <w:tcW w:w="4141" w:type="dxa"/>
            <w:vMerge w:val="restart"/>
            <w:tcBorders>
              <w:top w:val="single" w:sz="8" w:space="0" w:color="auto"/>
              <w:left w:val="single" w:sz="8" w:space="0" w:color="auto"/>
              <w:bottom w:val="single" w:sz="8" w:space="0" w:color="auto"/>
              <w:right w:val="single" w:sz="8" w:space="0" w:color="auto"/>
            </w:tcBorders>
            <w:vAlign w:val="center"/>
          </w:tcPr>
          <w:p w14:paraId="050B725A" w14:textId="77777777" w:rsidR="00A663AA" w:rsidRPr="00F867D0" w:rsidRDefault="00A663AA" w:rsidP="00A663AA">
            <w:pPr>
              <w:spacing w:after="0"/>
              <w:jc w:val="center"/>
              <w:rPr>
                <w:rFonts w:eastAsia="Cambria" w:cs="Arial"/>
                <w:b/>
                <w:bCs/>
                <w:szCs w:val="22"/>
                <w:lang w:eastAsia="en-US"/>
              </w:rPr>
            </w:pPr>
            <w:r w:rsidRPr="00F867D0">
              <w:rPr>
                <w:rFonts w:eastAsia="Cambria" w:cs="Arial"/>
                <w:b/>
                <w:bCs/>
                <w:szCs w:val="22"/>
                <w:lang w:eastAsia="en-US"/>
              </w:rPr>
              <w:t>Description</w:t>
            </w:r>
          </w:p>
          <w:p w14:paraId="232EA004" w14:textId="77777777" w:rsidR="00A663AA" w:rsidRPr="00F867D0" w:rsidRDefault="00A663AA" w:rsidP="00A663AA">
            <w:pPr>
              <w:spacing w:after="0"/>
              <w:jc w:val="center"/>
              <w:rPr>
                <w:rFonts w:eastAsia="Cambria" w:cs="Arial"/>
                <w:b/>
                <w:bCs/>
                <w:szCs w:val="22"/>
                <w:lang w:eastAsia="en-US"/>
              </w:rPr>
            </w:pPr>
          </w:p>
        </w:tc>
        <w:tc>
          <w:tcPr>
            <w:tcW w:w="1688" w:type="dxa"/>
            <w:gridSpan w:val="2"/>
            <w:tcBorders>
              <w:top w:val="single" w:sz="8" w:space="0" w:color="auto"/>
              <w:left w:val="single" w:sz="8" w:space="0" w:color="auto"/>
              <w:bottom w:val="single" w:sz="8" w:space="0" w:color="auto"/>
              <w:right w:val="single" w:sz="8" w:space="0" w:color="auto"/>
            </w:tcBorders>
            <w:vAlign w:val="center"/>
            <w:hideMark/>
          </w:tcPr>
          <w:p w14:paraId="4EBD9191" w14:textId="77777777" w:rsidR="00A663AA" w:rsidRPr="00F867D0" w:rsidRDefault="00A663AA" w:rsidP="00A663AA">
            <w:pPr>
              <w:spacing w:after="0"/>
              <w:jc w:val="center"/>
              <w:rPr>
                <w:rFonts w:eastAsia="Cambria" w:cs="Arial"/>
                <w:b/>
                <w:bCs/>
                <w:szCs w:val="22"/>
                <w:lang w:eastAsia="en-US"/>
              </w:rPr>
            </w:pPr>
            <w:r w:rsidRPr="00F867D0">
              <w:rPr>
                <w:rFonts w:eastAsia="Cambria" w:cs="Arial"/>
                <w:b/>
                <w:bCs/>
                <w:szCs w:val="22"/>
                <w:lang w:eastAsia="en-US"/>
              </w:rPr>
              <w:t>% improvement from base case</w:t>
            </w:r>
          </w:p>
        </w:tc>
      </w:tr>
      <w:tr w:rsidR="00A663AA" w:rsidRPr="00F867D0" w14:paraId="1F1D1705" w14:textId="77777777" w:rsidTr="00453103">
        <w:trPr>
          <w:jc w:val="center"/>
        </w:trPr>
        <w:tc>
          <w:tcPr>
            <w:tcW w:w="2496" w:type="dxa"/>
            <w:vMerge/>
            <w:tcBorders>
              <w:top w:val="single" w:sz="8" w:space="0" w:color="auto"/>
              <w:left w:val="single" w:sz="8" w:space="0" w:color="auto"/>
              <w:bottom w:val="single" w:sz="8" w:space="0" w:color="auto"/>
              <w:right w:val="single" w:sz="8" w:space="0" w:color="auto"/>
            </w:tcBorders>
          </w:tcPr>
          <w:p w14:paraId="120D0E47" w14:textId="77777777" w:rsidR="00A663AA" w:rsidRPr="00F867D0" w:rsidRDefault="00A663AA" w:rsidP="00A663AA">
            <w:pPr>
              <w:spacing w:after="0"/>
              <w:rPr>
                <w:rFonts w:eastAsia="Cambria" w:cs="Arial"/>
                <w:b/>
                <w:bCs/>
                <w:szCs w:val="22"/>
                <w:lang w:eastAsia="en-US"/>
              </w:rPr>
            </w:pPr>
          </w:p>
        </w:tc>
        <w:tc>
          <w:tcPr>
            <w:tcW w:w="4141" w:type="dxa"/>
            <w:vMerge/>
            <w:tcBorders>
              <w:top w:val="single" w:sz="8" w:space="0" w:color="auto"/>
              <w:left w:val="single" w:sz="8" w:space="0" w:color="auto"/>
              <w:bottom w:val="single" w:sz="8" w:space="0" w:color="auto"/>
              <w:right w:val="single" w:sz="8" w:space="0" w:color="auto"/>
            </w:tcBorders>
          </w:tcPr>
          <w:p w14:paraId="19E97F67" w14:textId="77777777" w:rsidR="00A663AA" w:rsidRPr="00F867D0" w:rsidRDefault="00A663AA" w:rsidP="00A663AA">
            <w:pPr>
              <w:spacing w:after="0"/>
              <w:rPr>
                <w:rFonts w:eastAsia="Cambria" w:cs="Arial"/>
                <w:b/>
                <w:bCs/>
                <w:szCs w:val="22"/>
                <w:lang w:eastAsia="en-US"/>
              </w:rPr>
            </w:pPr>
          </w:p>
        </w:tc>
        <w:tc>
          <w:tcPr>
            <w:tcW w:w="867" w:type="dxa"/>
            <w:tcBorders>
              <w:top w:val="single" w:sz="8" w:space="0" w:color="auto"/>
              <w:left w:val="single" w:sz="8" w:space="0" w:color="auto"/>
              <w:bottom w:val="single" w:sz="8" w:space="0" w:color="auto"/>
              <w:right w:val="single" w:sz="8" w:space="0" w:color="auto"/>
            </w:tcBorders>
            <w:vAlign w:val="center"/>
            <w:hideMark/>
          </w:tcPr>
          <w:p w14:paraId="2DC96271" w14:textId="77777777" w:rsidR="00A663AA" w:rsidRPr="00F867D0" w:rsidRDefault="00A663AA" w:rsidP="00A663AA">
            <w:pPr>
              <w:spacing w:after="0"/>
              <w:jc w:val="center"/>
              <w:rPr>
                <w:rFonts w:eastAsia="Cambria" w:cs="Arial"/>
                <w:b/>
                <w:bCs/>
                <w:szCs w:val="22"/>
                <w:lang w:eastAsia="en-US"/>
              </w:rPr>
            </w:pPr>
            <w:r w:rsidRPr="00F867D0">
              <w:rPr>
                <w:rFonts w:eastAsia="Cambria" w:cs="Arial"/>
                <w:b/>
                <w:bCs/>
                <w:szCs w:val="22"/>
                <w:lang w:eastAsia="en-US"/>
              </w:rPr>
              <w:t>Min</w:t>
            </w:r>
          </w:p>
        </w:tc>
        <w:tc>
          <w:tcPr>
            <w:tcW w:w="821" w:type="dxa"/>
            <w:tcBorders>
              <w:top w:val="single" w:sz="8" w:space="0" w:color="auto"/>
              <w:left w:val="single" w:sz="8" w:space="0" w:color="auto"/>
              <w:bottom w:val="single" w:sz="8" w:space="0" w:color="auto"/>
              <w:right w:val="single" w:sz="8" w:space="0" w:color="auto"/>
            </w:tcBorders>
            <w:vAlign w:val="center"/>
            <w:hideMark/>
          </w:tcPr>
          <w:p w14:paraId="21D26298" w14:textId="77777777" w:rsidR="00A663AA" w:rsidRPr="00F867D0" w:rsidRDefault="00A663AA" w:rsidP="00A663AA">
            <w:pPr>
              <w:spacing w:after="0"/>
              <w:jc w:val="center"/>
              <w:rPr>
                <w:rFonts w:eastAsia="Cambria" w:cs="Arial"/>
                <w:b/>
                <w:bCs/>
                <w:szCs w:val="22"/>
                <w:lang w:eastAsia="en-US"/>
              </w:rPr>
            </w:pPr>
            <w:r w:rsidRPr="00F867D0">
              <w:rPr>
                <w:rFonts w:eastAsia="Cambria" w:cs="Arial"/>
                <w:b/>
                <w:bCs/>
                <w:szCs w:val="22"/>
                <w:lang w:eastAsia="en-US"/>
              </w:rPr>
              <w:t>Max</w:t>
            </w:r>
          </w:p>
        </w:tc>
      </w:tr>
      <w:tr w:rsidR="00A663AA" w:rsidRPr="00F867D0" w14:paraId="0DD8FB70" w14:textId="77777777" w:rsidTr="004F14F0">
        <w:trPr>
          <w:jc w:val="center"/>
        </w:trPr>
        <w:tc>
          <w:tcPr>
            <w:tcW w:w="2496" w:type="dxa"/>
            <w:tcBorders>
              <w:top w:val="single" w:sz="8" w:space="0" w:color="auto"/>
              <w:left w:val="single" w:sz="8" w:space="0" w:color="auto"/>
              <w:bottom w:val="single" w:sz="8" w:space="0" w:color="auto"/>
              <w:right w:val="single" w:sz="8" w:space="0" w:color="auto"/>
            </w:tcBorders>
            <w:hideMark/>
          </w:tcPr>
          <w:p w14:paraId="3A08DE54" w14:textId="77777777" w:rsidR="00A663AA" w:rsidRPr="00F867D0" w:rsidRDefault="00A663AA" w:rsidP="00A663AA">
            <w:pPr>
              <w:spacing w:after="0"/>
              <w:rPr>
                <w:rFonts w:eastAsia="Cambria" w:cs="Arial"/>
                <w:b/>
                <w:bCs/>
                <w:szCs w:val="22"/>
                <w:lang w:eastAsia="en-US"/>
              </w:rPr>
            </w:pPr>
            <w:r w:rsidRPr="00F867D0">
              <w:rPr>
                <w:rFonts w:eastAsia="Cambria" w:cs="Arial"/>
                <w:szCs w:val="22"/>
                <w:lang w:eastAsia="en-US"/>
              </w:rPr>
              <w:t>Efficient Heat Exchanger</w:t>
            </w:r>
          </w:p>
        </w:tc>
        <w:tc>
          <w:tcPr>
            <w:tcW w:w="4141" w:type="dxa"/>
            <w:tcBorders>
              <w:top w:val="single" w:sz="8" w:space="0" w:color="auto"/>
              <w:left w:val="single" w:sz="8" w:space="0" w:color="auto"/>
              <w:bottom w:val="single" w:sz="8" w:space="0" w:color="auto"/>
              <w:right w:val="single" w:sz="8" w:space="0" w:color="auto"/>
            </w:tcBorders>
            <w:hideMark/>
          </w:tcPr>
          <w:p w14:paraId="752BF9A2" w14:textId="77777777" w:rsidR="00A663AA" w:rsidRDefault="00A663AA" w:rsidP="00A663AA">
            <w:pPr>
              <w:spacing w:after="0"/>
              <w:rPr>
                <w:rFonts w:eastAsia="Cambria" w:cs="Arial"/>
                <w:szCs w:val="22"/>
                <w:lang w:eastAsia="en-US"/>
              </w:rPr>
            </w:pPr>
            <w:r w:rsidRPr="00F867D0">
              <w:rPr>
                <w:rFonts w:eastAsia="Cambria" w:cs="Arial"/>
                <w:szCs w:val="22"/>
                <w:lang w:eastAsia="en-US"/>
              </w:rPr>
              <w:t>High efficiency microchannel heat exchangers, larger sized heat exchangers</w:t>
            </w:r>
          </w:p>
          <w:p w14:paraId="0146093F" w14:textId="1E4C6E30" w:rsidR="004F14F0" w:rsidRPr="00F867D0" w:rsidRDefault="004F14F0" w:rsidP="00A663AA">
            <w:pPr>
              <w:spacing w:after="0"/>
              <w:rPr>
                <w:rFonts w:eastAsia="Cambria" w:cs="Arial"/>
                <w:szCs w:val="22"/>
                <w:lang w:eastAsia="en-US"/>
              </w:rPr>
            </w:pPr>
          </w:p>
        </w:tc>
        <w:tc>
          <w:tcPr>
            <w:tcW w:w="867" w:type="dxa"/>
            <w:tcBorders>
              <w:top w:val="single" w:sz="8" w:space="0" w:color="auto"/>
              <w:left w:val="single" w:sz="8" w:space="0" w:color="auto"/>
              <w:bottom w:val="single" w:sz="8" w:space="0" w:color="auto"/>
              <w:right w:val="single" w:sz="8" w:space="0" w:color="auto"/>
            </w:tcBorders>
            <w:vAlign w:val="center"/>
            <w:hideMark/>
          </w:tcPr>
          <w:p w14:paraId="76DD695C" w14:textId="77777777" w:rsidR="00A663AA" w:rsidRPr="00F867D0" w:rsidRDefault="00A663AA" w:rsidP="00A663AA">
            <w:pPr>
              <w:spacing w:after="0"/>
              <w:jc w:val="center"/>
              <w:rPr>
                <w:rFonts w:eastAsia="Cambria" w:cs="Arial"/>
                <w:b/>
                <w:bCs/>
                <w:szCs w:val="22"/>
                <w:lang w:eastAsia="en-US"/>
              </w:rPr>
            </w:pPr>
            <w:r w:rsidRPr="00F867D0">
              <w:rPr>
                <w:rFonts w:eastAsia="Cambria" w:cs="Arial"/>
                <w:szCs w:val="22"/>
                <w:lang w:eastAsia="en-US"/>
              </w:rPr>
              <w:t>9%</w:t>
            </w:r>
          </w:p>
        </w:tc>
        <w:tc>
          <w:tcPr>
            <w:tcW w:w="821" w:type="dxa"/>
            <w:tcBorders>
              <w:top w:val="single" w:sz="8" w:space="0" w:color="auto"/>
              <w:left w:val="single" w:sz="8" w:space="0" w:color="auto"/>
              <w:bottom w:val="single" w:sz="8" w:space="0" w:color="auto"/>
              <w:right w:val="single" w:sz="8" w:space="0" w:color="auto"/>
            </w:tcBorders>
            <w:vAlign w:val="center"/>
            <w:hideMark/>
          </w:tcPr>
          <w:p w14:paraId="271FE676" w14:textId="77777777" w:rsidR="00A663AA" w:rsidRPr="00F867D0" w:rsidRDefault="00A663AA" w:rsidP="00A663AA">
            <w:pPr>
              <w:spacing w:after="0"/>
              <w:jc w:val="center"/>
              <w:rPr>
                <w:rFonts w:eastAsia="Cambria" w:cs="Arial"/>
                <w:szCs w:val="22"/>
                <w:lang w:eastAsia="en-US"/>
              </w:rPr>
            </w:pPr>
            <w:r w:rsidRPr="00F867D0">
              <w:rPr>
                <w:rFonts w:eastAsia="Cambria" w:cs="Arial"/>
                <w:szCs w:val="22"/>
                <w:lang w:eastAsia="en-US"/>
              </w:rPr>
              <w:t>29%</w:t>
            </w:r>
          </w:p>
        </w:tc>
      </w:tr>
      <w:tr w:rsidR="00A663AA" w:rsidRPr="00F867D0" w14:paraId="0EA1C4A1" w14:textId="77777777" w:rsidTr="004F14F0">
        <w:trPr>
          <w:jc w:val="center"/>
        </w:trPr>
        <w:tc>
          <w:tcPr>
            <w:tcW w:w="2496" w:type="dxa"/>
            <w:tcBorders>
              <w:top w:val="single" w:sz="8" w:space="0" w:color="auto"/>
              <w:left w:val="single" w:sz="8" w:space="0" w:color="auto"/>
              <w:bottom w:val="single" w:sz="8" w:space="0" w:color="auto"/>
              <w:right w:val="single" w:sz="8" w:space="0" w:color="auto"/>
            </w:tcBorders>
            <w:hideMark/>
          </w:tcPr>
          <w:p w14:paraId="58329E80" w14:textId="77777777" w:rsidR="00A663AA" w:rsidRPr="00F867D0" w:rsidRDefault="00A663AA" w:rsidP="00A663AA">
            <w:pPr>
              <w:spacing w:after="0"/>
              <w:rPr>
                <w:rFonts w:eastAsia="Cambria" w:cs="Arial"/>
                <w:szCs w:val="22"/>
                <w:lang w:eastAsia="en-US"/>
              </w:rPr>
            </w:pPr>
            <w:r w:rsidRPr="00F867D0">
              <w:rPr>
                <w:rFonts w:eastAsia="Cambria" w:cs="Arial"/>
                <w:szCs w:val="22"/>
                <w:lang w:eastAsia="en-US"/>
              </w:rPr>
              <w:t>Efficient Compressors</w:t>
            </w:r>
          </w:p>
        </w:tc>
        <w:tc>
          <w:tcPr>
            <w:tcW w:w="4141" w:type="dxa"/>
            <w:tcBorders>
              <w:top w:val="single" w:sz="8" w:space="0" w:color="auto"/>
              <w:left w:val="single" w:sz="8" w:space="0" w:color="auto"/>
              <w:bottom w:val="single" w:sz="8" w:space="0" w:color="auto"/>
              <w:right w:val="single" w:sz="8" w:space="0" w:color="auto"/>
            </w:tcBorders>
            <w:hideMark/>
          </w:tcPr>
          <w:p w14:paraId="099E2EE6" w14:textId="77777777" w:rsidR="00A663AA" w:rsidRDefault="00A663AA" w:rsidP="00A663AA">
            <w:pPr>
              <w:spacing w:after="0"/>
              <w:rPr>
                <w:rFonts w:eastAsia="Cambria" w:cs="Arial"/>
                <w:spacing w:val="-4"/>
                <w:szCs w:val="22"/>
                <w:lang w:eastAsia="en-US"/>
              </w:rPr>
            </w:pPr>
            <w:r w:rsidRPr="00F867D0">
              <w:rPr>
                <w:rFonts w:eastAsia="Cambria" w:cs="Arial"/>
                <w:spacing w:val="-4"/>
                <w:szCs w:val="22"/>
                <w:lang w:eastAsia="en-US"/>
              </w:rPr>
              <w:t>Two-stage rotary compressors, high efficiency scroll compressors with DC motors</w:t>
            </w:r>
          </w:p>
          <w:p w14:paraId="28F771CA" w14:textId="46B42FE5" w:rsidR="004F14F0" w:rsidRPr="00F867D0" w:rsidRDefault="004F14F0" w:rsidP="00A663AA">
            <w:pPr>
              <w:spacing w:after="0"/>
              <w:rPr>
                <w:rFonts w:eastAsia="Cambria" w:cs="Arial"/>
                <w:spacing w:val="-4"/>
                <w:szCs w:val="22"/>
                <w:lang w:eastAsia="en-US"/>
              </w:rPr>
            </w:pPr>
          </w:p>
        </w:tc>
        <w:tc>
          <w:tcPr>
            <w:tcW w:w="867" w:type="dxa"/>
            <w:tcBorders>
              <w:top w:val="single" w:sz="8" w:space="0" w:color="auto"/>
              <w:left w:val="single" w:sz="8" w:space="0" w:color="auto"/>
              <w:bottom w:val="single" w:sz="8" w:space="0" w:color="auto"/>
              <w:right w:val="single" w:sz="8" w:space="0" w:color="auto"/>
            </w:tcBorders>
            <w:vAlign w:val="center"/>
            <w:hideMark/>
          </w:tcPr>
          <w:p w14:paraId="37D50B54" w14:textId="77777777" w:rsidR="00A663AA" w:rsidRPr="00F867D0" w:rsidRDefault="00A663AA" w:rsidP="00A663AA">
            <w:pPr>
              <w:spacing w:after="0"/>
              <w:jc w:val="center"/>
              <w:rPr>
                <w:rFonts w:eastAsia="Cambria" w:cs="Arial"/>
                <w:bCs/>
                <w:szCs w:val="22"/>
                <w:lang w:eastAsia="en-US"/>
              </w:rPr>
            </w:pPr>
            <w:r w:rsidRPr="00F867D0">
              <w:rPr>
                <w:rFonts w:eastAsia="Cambria" w:cs="Arial"/>
                <w:bCs/>
                <w:szCs w:val="22"/>
                <w:lang w:eastAsia="en-US"/>
              </w:rPr>
              <w:t>6%</w:t>
            </w:r>
          </w:p>
        </w:tc>
        <w:tc>
          <w:tcPr>
            <w:tcW w:w="821" w:type="dxa"/>
            <w:tcBorders>
              <w:top w:val="single" w:sz="8" w:space="0" w:color="auto"/>
              <w:left w:val="single" w:sz="8" w:space="0" w:color="auto"/>
              <w:bottom w:val="single" w:sz="8" w:space="0" w:color="auto"/>
              <w:right w:val="single" w:sz="8" w:space="0" w:color="auto"/>
            </w:tcBorders>
            <w:vAlign w:val="center"/>
            <w:hideMark/>
          </w:tcPr>
          <w:p w14:paraId="03207128" w14:textId="77777777" w:rsidR="00A663AA" w:rsidRPr="00F867D0" w:rsidRDefault="00A663AA" w:rsidP="00A663AA">
            <w:pPr>
              <w:spacing w:after="0"/>
              <w:jc w:val="center"/>
              <w:rPr>
                <w:rFonts w:eastAsia="Cambria" w:cs="Arial"/>
                <w:bCs/>
                <w:szCs w:val="22"/>
                <w:lang w:eastAsia="en-US"/>
              </w:rPr>
            </w:pPr>
            <w:r w:rsidRPr="00F867D0">
              <w:rPr>
                <w:rFonts w:eastAsia="Cambria" w:cs="Arial"/>
                <w:bCs/>
                <w:szCs w:val="22"/>
                <w:lang w:eastAsia="en-US"/>
              </w:rPr>
              <w:t>19%</w:t>
            </w:r>
          </w:p>
        </w:tc>
      </w:tr>
      <w:tr w:rsidR="00A663AA" w:rsidRPr="00F867D0" w14:paraId="1F7B7422" w14:textId="77777777" w:rsidTr="004F14F0">
        <w:trPr>
          <w:jc w:val="center"/>
        </w:trPr>
        <w:tc>
          <w:tcPr>
            <w:tcW w:w="2496" w:type="dxa"/>
            <w:tcBorders>
              <w:top w:val="single" w:sz="8" w:space="0" w:color="auto"/>
              <w:left w:val="single" w:sz="8" w:space="0" w:color="auto"/>
              <w:bottom w:val="single" w:sz="8" w:space="0" w:color="auto"/>
              <w:right w:val="single" w:sz="8" w:space="0" w:color="auto"/>
            </w:tcBorders>
            <w:hideMark/>
          </w:tcPr>
          <w:p w14:paraId="6F0117B3" w14:textId="77777777" w:rsidR="00A663AA" w:rsidRPr="00F867D0" w:rsidRDefault="00A663AA" w:rsidP="00A663AA">
            <w:pPr>
              <w:spacing w:after="0"/>
              <w:rPr>
                <w:rFonts w:eastAsia="Cambria" w:cs="Arial"/>
                <w:szCs w:val="22"/>
                <w:lang w:eastAsia="en-US"/>
              </w:rPr>
            </w:pPr>
            <w:r w:rsidRPr="00F867D0">
              <w:rPr>
                <w:rFonts w:eastAsia="Cambria" w:cs="Arial"/>
                <w:szCs w:val="22"/>
                <w:lang w:eastAsia="en-US"/>
              </w:rPr>
              <w:t>Inverter/Variable Speed</w:t>
            </w:r>
          </w:p>
        </w:tc>
        <w:tc>
          <w:tcPr>
            <w:tcW w:w="4141" w:type="dxa"/>
            <w:tcBorders>
              <w:top w:val="single" w:sz="8" w:space="0" w:color="auto"/>
              <w:left w:val="single" w:sz="8" w:space="0" w:color="auto"/>
              <w:bottom w:val="single" w:sz="8" w:space="0" w:color="auto"/>
              <w:right w:val="single" w:sz="8" w:space="0" w:color="auto"/>
            </w:tcBorders>
            <w:hideMark/>
          </w:tcPr>
          <w:p w14:paraId="75884559" w14:textId="77777777" w:rsidR="00A663AA" w:rsidRDefault="00A663AA" w:rsidP="00A663AA">
            <w:pPr>
              <w:spacing w:after="0"/>
              <w:rPr>
                <w:rFonts w:eastAsia="Cambria" w:cs="Arial"/>
                <w:szCs w:val="22"/>
                <w:lang w:eastAsia="en-US"/>
              </w:rPr>
            </w:pPr>
            <w:r w:rsidRPr="00F867D0">
              <w:rPr>
                <w:rFonts w:eastAsia="Cambria" w:cs="Arial"/>
                <w:szCs w:val="22"/>
                <w:lang w:eastAsia="en-US"/>
              </w:rPr>
              <w:t>AC, AC/DC or DC inverter driven compressors</w:t>
            </w:r>
          </w:p>
          <w:p w14:paraId="17F71C40" w14:textId="76BAC0ED" w:rsidR="004F14F0" w:rsidRPr="00F867D0" w:rsidRDefault="004F14F0" w:rsidP="00A663AA">
            <w:pPr>
              <w:spacing w:after="0"/>
              <w:rPr>
                <w:rFonts w:eastAsia="Cambria" w:cs="Arial"/>
                <w:szCs w:val="22"/>
                <w:lang w:eastAsia="en-US"/>
              </w:rPr>
            </w:pPr>
          </w:p>
        </w:tc>
        <w:tc>
          <w:tcPr>
            <w:tcW w:w="867" w:type="dxa"/>
            <w:tcBorders>
              <w:top w:val="single" w:sz="8" w:space="0" w:color="auto"/>
              <w:left w:val="single" w:sz="8" w:space="0" w:color="auto"/>
              <w:bottom w:val="single" w:sz="8" w:space="0" w:color="auto"/>
              <w:right w:val="single" w:sz="8" w:space="0" w:color="auto"/>
            </w:tcBorders>
            <w:vAlign w:val="center"/>
            <w:hideMark/>
          </w:tcPr>
          <w:p w14:paraId="7E037E37" w14:textId="77777777" w:rsidR="00A663AA" w:rsidRPr="00F867D0" w:rsidRDefault="00A663AA" w:rsidP="00A663AA">
            <w:pPr>
              <w:spacing w:after="0"/>
              <w:jc w:val="center"/>
              <w:rPr>
                <w:rFonts w:eastAsia="Cambria" w:cs="Arial"/>
                <w:b/>
                <w:bCs/>
                <w:szCs w:val="22"/>
                <w:lang w:eastAsia="en-US"/>
              </w:rPr>
            </w:pPr>
            <w:r w:rsidRPr="00F867D0">
              <w:rPr>
                <w:rFonts w:eastAsia="Cambria" w:cs="Arial"/>
                <w:szCs w:val="22"/>
                <w:lang w:eastAsia="en-US"/>
              </w:rPr>
              <w:t>20%</w:t>
            </w:r>
          </w:p>
        </w:tc>
        <w:tc>
          <w:tcPr>
            <w:tcW w:w="821" w:type="dxa"/>
            <w:tcBorders>
              <w:top w:val="single" w:sz="8" w:space="0" w:color="auto"/>
              <w:left w:val="single" w:sz="8" w:space="0" w:color="auto"/>
              <w:bottom w:val="single" w:sz="8" w:space="0" w:color="auto"/>
              <w:right w:val="single" w:sz="8" w:space="0" w:color="auto"/>
            </w:tcBorders>
            <w:vAlign w:val="center"/>
            <w:hideMark/>
          </w:tcPr>
          <w:p w14:paraId="670E024F" w14:textId="474F9CF0" w:rsidR="00A663AA" w:rsidRPr="00F867D0" w:rsidRDefault="00777872" w:rsidP="00A663AA">
            <w:pPr>
              <w:spacing w:after="0"/>
              <w:jc w:val="center"/>
              <w:rPr>
                <w:rFonts w:eastAsia="Cambria" w:cs="Arial"/>
                <w:b/>
                <w:bCs/>
                <w:szCs w:val="22"/>
                <w:lang w:eastAsia="en-US"/>
              </w:rPr>
            </w:pPr>
            <w:r w:rsidRPr="00F867D0">
              <w:rPr>
                <w:rFonts w:eastAsia="Cambria" w:cs="Arial"/>
                <w:szCs w:val="22"/>
                <w:lang w:eastAsia="en-US"/>
              </w:rPr>
              <w:t>&gt;</w:t>
            </w:r>
            <w:r w:rsidR="00A663AA" w:rsidRPr="00F867D0">
              <w:rPr>
                <w:rFonts w:eastAsia="Cambria" w:cs="Arial"/>
                <w:szCs w:val="22"/>
                <w:lang w:eastAsia="en-US"/>
              </w:rPr>
              <w:t>25%</w:t>
            </w:r>
          </w:p>
        </w:tc>
      </w:tr>
      <w:tr w:rsidR="00A663AA" w:rsidRPr="00F867D0" w14:paraId="4BC862C9" w14:textId="77777777" w:rsidTr="004F14F0">
        <w:trPr>
          <w:jc w:val="center"/>
        </w:trPr>
        <w:tc>
          <w:tcPr>
            <w:tcW w:w="2496" w:type="dxa"/>
            <w:tcBorders>
              <w:top w:val="single" w:sz="8" w:space="0" w:color="auto"/>
              <w:left w:val="single" w:sz="8" w:space="0" w:color="auto"/>
              <w:bottom w:val="single" w:sz="8" w:space="0" w:color="auto"/>
              <w:right w:val="single" w:sz="8" w:space="0" w:color="auto"/>
            </w:tcBorders>
            <w:hideMark/>
          </w:tcPr>
          <w:p w14:paraId="5E22F140" w14:textId="77777777" w:rsidR="00A663AA" w:rsidRPr="00F867D0" w:rsidRDefault="00A663AA" w:rsidP="00A663AA">
            <w:pPr>
              <w:spacing w:after="0"/>
              <w:rPr>
                <w:rFonts w:eastAsia="Cambria" w:cs="Arial"/>
                <w:szCs w:val="22"/>
                <w:lang w:eastAsia="en-US"/>
              </w:rPr>
            </w:pPr>
            <w:r w:rsidRPr="00F867D0">
              <w:rPr>
                <w:rFonts w:eastAsia="Cambria" w:cs="Arial"/>
                <w:szCs w:val="22"/>
                <w:lang w:eastAsia="en-US"/>
              </w:rPr>
              <w:t>Expansion Valve</w:t>
            </w:r>
          </w:p>
        </w:tc>
        <w:tc>
          <w:tcPr>
            <w:tcW w:w="4141" w:type="dxa"/>
            <w:tcBorders>
              <w:top w:val="single" w:sz="8" w:space="0" w:color="auto"/>
              <w:left w:val="single" w:sz="8" w:space="0" w:color="auto"/>
              <w:bottom w:val="single" w:sz="8" w:space="0" w:color="auto"/>
              <w:right w:val="single" w:sz="8" w:space="0" w:color="auto"/>
            </w:tcBorders>
            <w:hideMark/>
          </w:tcPr>
          <w:p w14:paraId="05C014E9" w14:textId="77777777" w:rsidR="00A663AA" w:rsidRDefault="00A663AA" w:rsidP="00A663AA">
            <w:pPr>
              <w:spacing w:after="0"/>
              <w:rPr>
                <w:rFonts w:eastAsia="Cambria" w:cs="Arial"/>
                <w:szCs w:val="22"/>
                <w:lang w:eastAsia="en-US"/>
              </w:rPr>
            </w:pPr>
            <w:r w:rsidRPr="00F867D0">
              <w:rPr>
                <w:rFonts w:eastAsia="Cambria" w:cs="Arial"/>
                <w:szCs w:val="22"/>
                <w:lang w:eastAsia="en-US"/>
              </w:rPr>
              <w:t>Thermostatic and electronic expansion valves</w:t>
            </w:r>
          </w:p>
          <w:p w14:paraId="7D8E073A" w14:textId="56D00797" w:rsidR="004F14F0" w:rsidRPr="00F867D0" w:rsidRDefault="004F14F0" w:rsidP="00A663AA">
            <w:pPr>
              <w:spacing w:after="0"/>
              <w:rPr>
                <w:rFonts w:eastAsia="Cambria" w:cs="Arial"/>
                <w:szCs w:val="22"/>
                <w:lang w:eastAsia="en-US"/>
              </w:rPr>
            </w:pPr>
          </w:p>
        </w:tc>
        <w:tc>
          <w:tcPr>
            <w:tcW w:w="867" w:type="dxa"/>
            <w:tcBorders>
              <w:top w:val="single" w:sz="8" w:space="0" w:color="auto"/>
              <w:left w:val="single" w:sz="8" w:space="0" w:color="auto"/>
              <w:bottom w:val="single" w:sz="8" w:space="0" w:color="auto"/>
              <w:right w:val="single" w:sz="8" w:space="0" w:color="auto"/>
            </w:tcBorders>
            <w:vAlign w:val="center"/>
            <w:hideMark/>
          </w:tcPr>
          <w:p w14:paraId="4CB83A40" w14:textId="77777777" w:rsidR="00A663AA" w:rsidRPr="00F867D0" w:rsidRDefault="00A663AA" w:rsidP="00A663AA">
            <w:pPr>
              <w:spacing w:after="0"/>
              <w:jc w:val="center"/>
              <w:rPr>
                <w:rFonts w:eastAsia="Cambria" w:cs="Arial"/>
                <w:szCs w:val="22"/>
                <w:lang w:eastAsia="en-US"/>
              </w:rPr>
            </w:pPr>
            <w:r w:rsidRPr="00F867D0">
              <w:rPr>
                <w:rFonts w:eastAsia="Cambria" w:cs="Arial"/>
                <w:szCs w:val="22"/>
                <w:lang w:eastAsia="en-US"/>
              </w:rPr>
              <w:t>5%</w:t>
            </w:r>
          </w:p>
        </w:tc>
        <w:tc>
          <w:tcPr>
            <w:tcW w:w="821" w:type="dxa"/>
            <w:tcBorders>
              <w:top w:val="single" w:sz="8" w:space="0" w:color="auto"/>
              <w:left w:val="single" w:sz="8" w:space="0" w:color="auto"/>
              <w:bottom w:val="single" w:sz="8" w:space="0" w:color="auto"/>
              <w:right w:val="single" w:sz="8" w:space="0" w:color="auto"/>
            </w:tcBorders>
            <w:vAlign w:val="center"/>
            <w:hideMark/>
          </w:tcPr>
          <w:p w14:paraId="529F7E98" w14:textId="77777777" w:rsidR="00A663AA" w:rsidRPr="00F867D0" w:rsidRDefault="00A663AA" w:rsidP="00A663AA">
            <w:pPr>
              <w:spacing w:after="0"/>
              <w:jc w:val="center"/>
              <w:rPr>
                <w:rFonts w:eastAsia="Cambria" w:cs="Arial"/>
                <w:szCs w:val="22"/>
                <w:lang w:eastAsia="en-US"/>
              </w:rPr>
            </w:pPr>
            <w:r w:rsidRPr="00F867D0">
              <w:rPr>
                <w:rFonts w:eastAsia="Cambria" w:cs="Arial"/>
                <w:szCs w:val="22"/>
                <w:lang w:eastAsia="en-US"/>
              </w:rPr>
              <w:t>9%</w:t>
            </w:r>
          </w:p>
        </w:tc>
      </w:tr>
      <w:tr w:rsidR="00A663AA" w:rsidRPr="00F867D0" w14:paraId="6E025C18" w14:textId="77777777" w:rsidTr="004F14F0">
        <w:trPr>
          <w:jc w:val="center"/>
        </w:trPr>
        <w:tc>
          <w:tcPr>
            <w:tcW w:w="2496" w:type="dxa"/>
            <w:tcBorders>
              <w:top w:val="single" w:sz="8" w:space="0" w:color="auto"/>
              <w:left w:val="single" w:sz="8" w:space="0" w:color="auto"/>
              <w:bottom w:val="single" w:sz="8" w:space="0" w:color="auto"/>
              <w:right w:val="single" w:sz="8" w:space="0" w:color="auto"/>
            </w:tcBorders>
            <w:hideMark/>
          </w:tcPr>
          <w:p w14:paraId="6182A37E" w14:textId="77777777" w:rsidR="00A663AA" w:rsidRPr="00F867D0" w:rsidRDefault="00A663AA" w:rsidP="00A663AA">
            <w:pPr>
              <w:spacing w:after="0"/>
              <w:rPr>
                <w:rFonts w:eastAsia="Cambria" w:cs="Arial"/>
                <w:szCs w:val="22"/>
                <w:lang w:eastAsia="en-US"/>
              </w:rPr>
            </w:pPr>
            <w:r w:rsidRPr="00F867D0">
              <w:rPr>
                <w:rFonts w:eastAsia="Cambria" w:cs="Arial"/>
                <w:szCs w:val="22"/>
                <w:lang w:eastAsia="en-US"/>
              </w:rPr>
              <w:t>Crankcase Heating</w:t>
            </w:r>
          </w:p>
        </w:tc>
        <w:tc>
          <w:tcPr>
            <w:tcW w:w="4141" w:type="dxa"/>
            <w:tcBorders>
              <w:top w:val="single" w:sz="8" w:space="0" w:color="auto"/>
              <w:left w:val="single" w:sz="8" w:space="0" w:color="auto"/>
              <w:bottom w:val="single" w:sz="8" w:space="0" w:color="auto"/>
              <w:right w:val="single" w:sz="8" w:space="0" w:color="auto"/>
            </w:tcBorders>
            <w:hideMark/>
          </w:tcPr>
          <w:p w14:paraId="7C2AA466" w14:textId="77777777" w:rsidR="00A663AA" w:rsidRDefault="008261A6" w:rsidP="00A663AA">
            <w:pPr>
              <w:spacing w:after="0"/>
              <w:rPr>
                <w:rFonts w:eastAsia="Cambria" w:cs="Arial"/>
                <w:szCs w:val="22"/>
                <w:lang w:val="en-US" w:eastAsia="en-US"/>
              </w:rPr>
            </w:pPr>
            <w:r w:rsidRPr="00A663AA">
              <w:rPr>
                <w:rFonts w:eastAsia="Cambria" w:cs="Arial"/>
                <w:szCs w:val="22"/>
                <w:lang w:val="en-US" w:eastAsia="en-US"/>
              </w:rPr>
              <w:t>Reduced crankcase heating power and duration</w:t>
            </w:r>
          </w:p>
          <w:p w14:paraId="6BC6F6E2" w14:textId="700B4A34" w:rsidR="004F14F0" w:rsidRPr="00F867D0" w:rsidRDefault="004F14F0" w:rsidP="00A663AA">
            <w:pPr>
              <w:spacing w:after="0"/>
              <w:rPr>
                <w:rFonts w:eastAsia="Cambria" w:cs="Arial"/>
                <w:szCs w:val="22"/>
                <w:lang w:eastAsia="en-US"/>
              </w:rPr>
            </w:pPr>
          </w:p>
        </w:tc>
        <w:tc>
          <w:tcPr>
            <w:tcW w:w="867" w:type="dxa"/>
            <w:tcBorders>
              <w:top w:val="single" w:sz="8" w:space="0" w:color="auto"/>
              <w:left w:val="single" w:sz="8" w:space="0" w:color="auto"/>
              <w:bottom w:val="single" w:sz="8" w:space="0" w:color="auto"/>
              <w:right w:val="single" w:sz="8" w:space="0" w:color="auto"/>
            </w:tcBorders>
            <w:vAlign w:val="center"/>
            <w:hideMark/>
          </w:tcPr>
          <w:p w14:paraId="4AFA1B56" w14:textId="77777777" w:rsidR="00A663AA" w:rsidRPr="00F867D0" w:rsidRDefault="00A663AA" w:rsidP="00A663AA">
            <w:pPr>
              <w:spacing w:after="0"/>
              <w:jc w:val="center"/>
              <w:rPr>
                <w:rFonts w:eastAsia="Cambria" w:cs="Arial"/>
                <w:szCs w:val="22"/>
                <w:lang w:eastAsia="en-US"/>
              </w:rPr>
            </w:pPr>
            <w:r w:rsidRPr="00F867D0">
              <w:rPr>
                <w:rFonts w:eastAsia="Cambria" w:cs="Arial"/>
                <w:szCs w:val="22"/>
                <w:lang w:eastAsia="en-US"/>
              </w:rPr>
              <w:t>9%</w:t>
            </w:r>
          </w:p>
        </w:tc>
        <w:tc>
          <w:tcPr>
            <w:tcW w:w="821" w:type="dxa"/>
            <w:tcBorders>
              <w:top w:val="single" w:sz="8" w:space="0" w:color="auto"/>
              <w:left w:val="single" w:sz="8" w:space="0" w:color="auto"/>
              <w:bottom w:val="single" w:sz="8" w:space="0" w:color="auto"/>
              <w:right w:val="single" w:sz="8" w:space="0" w:color="auto"/>
            </w:tcBorders>
            <w:vAlign w:val="center"/>
            <w:hideMark/>
          </w:tcPr>
          <w:p w14:paraId="77F786FC" w14:textId="77777777" w:rsidR="00A663AA" w:rsidRPr="00F867D0" w:rsidRDefault="00A663AA" w:rsidP="00A663AA">
            <w:pPr>
              <w:spacing w:after="0"/>
              <w:jc w:val="center"/>
              <w:rPr>
                <w:rFonts w:eastAsia="Cambria" w:cs="Arial"/>
                <w:szCs w:val="22"/>
                <w:lang w:eastAsia="en-US"/>
              </w:rPr>
            </w:pPr>
            <w:r w:rsidRPr="00F867D0">
              <w:rPr>
                <w:rFonts w:eastAsia="Cambria" w:cs="Arial"/>
                <w:szCs w:val="22"/>
                <w:lang w:eastAsia="en-US"/>
              </w:rPr>
              <w:t>11%</w:t>
            </w:r>
          </w:p>
        </w:tc>
      </w:tr>
      <w:tr w:rsidR="00A663AA" w:rsidRPr="00F867D0" w14:paraId="550B24A0" w14:textId="77777777" w:rsidTr="004F14F0">
        <w:trPr>
          <w:jc w:val="center"/>
        </w:trPr>
        <w:tc>
          <w:tcPr>
            <w:tcW w:w="2496" w:type="dxa"/>
            <w:tcBorders>
              <w:top w:val="single" w:sz="8" w:space="0" w:color="auto"/>
              <w:left w:val="single" w:sz="8" w:space="0" w:color="auto"/>
              <w:bottom w:val="single" w:sz="8" w:space="0" w:color="auto"/>
              <w:right w:val="single" w:sz="8" w:space="0" w:color="auto"/>
            </w:tcBorders>
            <w:hideMark/>
          </w:tcPr>
          <w:p w14:paraId="6B93E9F2" w14:textId="77777777" w:rsidR="00A663AA" w:rsidRPr="00F867D0" w:rsidRDefault="00A663AA" w:rsidP="00A663AA">
            <w:pPr>
              <w:spacing w:after="0"/>
              <w:rPr>
                <w:rFonts w:eastAsia="Cambria" w:cs="Arial"/>
                <w:szCs w:val="22"/>
                <w:lang w:eastAsia="en-US"/>
              </w:rPr>
            </w:pPr>
            <w:r w:rsidRPr="00F867D0">
              <w:rPr>
                <w:rFonts w:eastAsia="Cambria" w:cs="Arial"/>
                <w:szCs w:val="22"/>
                <w:lang w:eastAsia="en-US"/>
              </w:rPr>
              <w:t>Standby load</w:t>
            </w:r>
          </w:p>
        </w:tc>
        <w:tc>
          <w:tcPr>
            <w:tcW w:w="4141" w:type="dxa"/>
            <w:tcBorders>
              <w:top w:val="single" w:sz="8" w:space="0" w:color="auto"/>
              <w:left w:val="single" w:sz="8" w:space="0" w:color="auto"/>
              <w:bottom w:val="single" w:sz="8" w:space="0" w:color="auto"/>
              <w:right w:val="single" w:sz="8" w:space="0" w:color="auto"/>
            </w:tcBorders>
            <w:hideMark/>
          </w:tcPr>
          <w:p w14:paraId="5B8A7E91" w14:textId="77777777" w:rsidR="00A663AA" w:rsidRDefault="00A663AA" w:rsidP="00A663AA">
            <w:pPr>
              <w:spacing w:after="0"/>
              <w:rPr>
                <w:rFonts w:eastAsia="Cambria" w:cs="Arial"/>
                <w:szCs w:val="22"/>
                <w:lang w:eastAsia="en-US"/>
              </w:rPr>
            </w:pPr>
            <w:r w:rsidRPr="00F867D0">
              <w:rPr>
                <w:rFonts w:eastAsia="Cambria" w:cs="Arial"/>
                <w:szCs w:val="22"/>
                <w:lang w:eastAsia="en-US"/>
              </w:rPr>
              <w:t>Reduced standby loads</w:t>
            </w:r>
          </w:p>
          <w:p w14:paraId="2482D20A" w14:textId="7F7F8E7E" w:rsidR="004F14F0" w:rsidRPr="00F867D0" w:rsidRDefault="004F14F0" w:rsidP="00A663AA">
            <w:pPr>
              <w:spacing w:after="0"/>
              <w:rPr>
                <w:rFonts w:eastAsia="Cambria" w:cs="Arial"/>
                <w:szCs w:val="22"/>
                <w:lang w:eastAsia="en-US"/>
              </w:rPr>
            </w:pPr>
          </w:p>
        </w:tc>
        <w:tc>
          <w:tcPr>
            <w:tcW w:w="867" w:type="dxa"/>
            <w:tcBorders>
              <w:top w:val="single" w:sz="8" w:space="0" w:color="auto"/>
              <w:left w:val="single" w:sz="8" w:space="0" w:color="auto"/>
              <w:bottom w:val="single" w:sz="8" w:space="0" w:color="auto"/>
              <w:right w:val="single" w:sz="8" w:space="0" w:color="auto"/>
            </w:tcBorders>
            <w:vAlign w:val="center"/>
            <w:hideMark/>
          </w:tcPr>
          <w:p w14:paraId="49C09D7A" w14:textId="77777777" w:rsidR="00A663AA" w:rsidRPr="00F867D0" w:rsidRDefault="00A663AA" w:rsidP="00A663AA">
            <w:pPr>
              <w:spacing w:after="0"/>
              <w:jc w:val="center"/>
              <w:rPr>
                <w:rFonts w:eastAsia="Cambria" w:cs="Arial"/>
                <w:szCs w:val="22"/>
                <w:lang w:eastAsia="en-US"/>
              </w:rPr>
            </w:pPr>
            <w:r w:rsidRPr="00F867D0">
              <w:rPr>
                <w:rFonts w:eastAsia="Cambria" w:cs="Arial"/>
                <w:szCs w:val="22"/>
                <w:lang w:eastAsia="en-US"/>
              </w:rPr>
              <w:t>2%</w:t>
            </w:r>
          </w:p>
        </w:tc>
        <w:tc>
          <w:tcPr>
            <w:tcW w:w="821" w:type="dxa"/>
            <w:tcBorders>
              <w:top w:val="single" w:sz="8" w:space="0" w:color="auto"/>
              <w:left w:val="single" w:sz="8" w:space="0" w:color="auto"/>
              <w:bottom w:val="single" w:sz="8" w:space="0" w:color="auto"/>
              <w:right w:val="single" w:sz="8" w:space="0" w:color="auto"/>
            </w:tcBorders>
            <w:vAlign w:val="center"/>
            <w:hideMark/>
          </w:tcPr>
          <w:p w14:paraId="7D6634F9" w14:textId="77777777" w:rsidR="00A663AA" w:rsidRPr="00F867D0" w:rsidRDefault="00A663AA" w:rsidP="00A663AA">
            <w:pPr>
              <w:spacing w:after="0"/>
              <w:jc w:val="center"/>
              <w:rPr>
                <w:rFonts w:eastAsia="Cambria" w:cs="Arial"/>
                <w:szCs w:val="22"/>
                <w:lang w:eastAsia="en-US"/>
              </w:rPr>
            </w:pPr>
            <w:r w:rsidRPr="00F867D0">
              <w:rPr>
                <w:rFonts w:eastAsia="Cambria" w:cs="Arial"/>
                <w:szCs w:val="22"/>
                <w:lang w:eastAsia="en-US"/>
              </w:rPr>
              <w:t>2%</w:t>
            </w:r>
          </w:p>
        </w:tc>
      </w:tr>
    </w:tbl>
    <w:p w14:paraId="2788E4D2" w14:textId="333DA6ED" w:rsidR="00A663AA" w:rsidRPr="00F867D0" w:rsidRDefault="00A663AA" w:rsidP="00AF36BF">
      <w:pPr>
        <w:keepNext/>
        <w:keepLines/>
        <w:widowControl w:val="0"/>
        <w:tabs>
          <w:tab w:val="left" w:pos="0"/>
        </w:tabs>
        <w:autoSpaceDE w:val="0"/>
        <w:autoSpaceDN w:val="0"/>
        <w:adjustRightInd w:val="0"/>
        <w:spacing w:after="0"/>
        <w:ind w:right="28"/>
        <w:outlineLvl w:val="2"/>
        <w:rPr>
          <w:rFonts w:eastAsia="MS Mincho"/>
          <w:snapToGrid w:val="0"/>
          <w:color w:val="auto"/>
          <w:sz w:val="20"/>
          <w:lang w:eastAsia="en-US"/>
        </w:rPr>
      </w:pPr>
      <w:r w:rsidRPr="00F867D0">
        <w:rPr>
          <w:rFonts w:eastAsia="MS Mincho"/>
          <w:snapToGrid w:val="0"/>
          <w:color w:val="auto"/>
          <w:sz w:val="20"/>
          <w:lang w:eastAsia="en-US"/>
        </w:rPr>
        <w:t>Note: the cumulative efficiency improvement of multiple measures from the above t</w:t>
      </w:r>
      <w:r w:rsidR="002E3385" w:rsidRPr="00F867D0">
        <w:rPr>
          <w:rFonts w:eastAsia="MS Mincho"/>
          <w:snapToGrid w:val="0"/>
          <w:color w:val="auto"/>
          <w:sz w:val="20"/>
          <w:lang w:eastAsia="en-US"/>
        </w:rPr>
        <w:t xml:space="preserve">able will not be the sum of all </w:t>
      </w:r>
      <w:r w:rsidRPr="00F867D0">
        <w:rPr>
          <w:rFonts w:eastAsia="MS Mincho"/>
          <w:snapToGrid w:val="0"/>
          <w:color w:val="auto"/>
          <w:sz w:val="20"/>
          <w:lang w:eastAsia="en-US"/>
        </w:rPr>
        <w:t>the individual components.</w:t>
      </w:r>
    </w:p>
    <w:p w14:paraId="49BF05D5" w14:textId="77777777" w:rsidR="00A663AA" w:rsidRPr="00F867D0" w:rsidRDefault="00A663AA" w:rsidP="00A663AA">
      <w:pPr>
        <w:keepNext/>
        <w:keepLines/>
        <w:widowControl w:val="0"/>
        <w:tabs>
          <w:tab w:val="left" w:pos="0"/>
        </w:tabs>
        <w:autoSpaceDE w:val="0"/>
        <w:autoSpaceDN w:val="0"/>
        <w:adjustRightInd w:val="0"/>
        <w:spacing w:after="0"/>
        <w:ind w:right="28"/>
        <w:outlineLvl w:val="2"/>
        <w:rPr>
          <w:rFonts w:eastAsia="MS Mincho"/>
          <w:snapToGrid w:val="0"/>
          <w:color w:val="auto"/>
          <w:szCs w:val="24"/>
          <w:lang w:eastAsia="en-US"/>
        </w:rPr>
      </w:pPr>
    </w:p>
    <w:p w14:paraId="404FA966" w14:textId="0F8CC948" w:rsidR="00A663AA" w:rsidRPr="000F749F" w:rsidRDefault="00A663AA" w:rsidP="000F749F">
      <w:pPr>
        <w:pStyle w:val="Heading3"/>
        <w:rPr>
          <w:b w:val="0"/>
        </w:rPr>
      </w:pPr>
      <w:bookmarkStart w:id="49" w:name="_Toc515454357"/>
      <w:r w:rsidRPr="000F749F">
        <w:t>2.1.</w:t>
      </w:r>
      <w:r w:rsidR="002F0F6A" w:rsidRPr="000F749F">
        <w:t>6</w:t>
      </w:r>
      <w:r w:rsidRPr="000F749F">
        <w:tab/>
        <w:t>Ensuring optimi</w:t>
      </w:r>
      <w:r w:rsidR="00AE5D81" w:rsidRPr="000F749F">
        <w:t>s</w:t>
      </w:r>
      <w:r w:rsidRPr="000F749F">
        <w:t>ed control and operation</w:t>
      </w:r>
      <w:bookmarkEnd w:id="49"/>
    </w:p>
    <w:p w14:paraId="6A95D8E1" w14:textId="5CE203E7" w:rsidR="00A663AA" w:rsidRPr="00F867D0" w:rsidRDefault="00A663AA" w:rsidP="002E3385">
      <w:pPr>
        <w:widowControl w:val="0"/>
        <w:spacing w:after="0"/>
        <w:rPr>
          <w:color w:val="auto"/>
          <w:kern w:val="2"/>
          <w:szCs w:val="22"/>
        </w:rPr>
      </w:pPr>
      <w:r w:rsidRPr="00F867D0">
        <w:rPr>
          <w:color w:val="auto"/>
          <w:szCs w:val="22"/>
        </w:rPr>
        <w:t xml:space="preserve">Controls can be treated as another component of a RACHP system, but it is helpful for the designer to consider the control and operation of the system as a separate issue. </w:t>
      </w:r>
      <w:r w:rsidR="002830D2" w:rsidRPr="00F867D0">
        <w:rPr>
          <w:color w:val="auto"/>
          <w:szCs w:val="22"/>
        </w:rPr>
        <w:t>This</w:t>
      </w:r>
      <w:r w:rsidRPr="00F867D0">
        <w:rPr>
          <w:color w:val="auto"/>
          <w:szCs w:val="22"/>
        </w:rPr>
        <w:t xml:space="preserve"> has a significant impact on efficiency and often provides very good efficiency improvement at r</w:t>
      </w:r>
      <w:r w:rsidR="002E3385" w:rsidRPr="00F867D0">
        <w:rPr>
          <w:color w:val="auto"/>
          <w:szCs w:val="22"/>
        </w:rPr>
        <w:t xml:space="preserve">elatively low investment cost. </w:t>
      </w:r>
      <w:r w:rsidRPr="00F867D0">
        <w:rPr>
          <w:color w:val="auto"/>
          <w:szCs w:val="22"/>
        </w:rPr>
        <w:t xml:space="preserve">The introduction of modern sensors and electronic control systems </w:t>
      </w:r>
      <w:r w:rsidR="002830D2" w:rsidRPr="00F867D0">
        <w:rPr>
          <w:color w:val="auto"/>
          <w:szCs w:val="22"/>
        </w:rPr>
        <w:t>provide</w:t>
      </w:r>
      <w:r w:rsidRPr="00F867D0">
        <w:rPr>
          <w:color w:val="auto"/>
          <w:szCs w:val="22"/>
        </w:rPr>
        <w:t xml:space="preserve"> numerous new control options that were not available just a few years ago.</w:t>
      </w:r>
      <w:r w:rsidR="002E3385" w:rsidRPr="00F867D0">
        <w:rPr>
          <w:color w:val="auto"/>
          <w:szCs w:val="22"/>
        </w:rPr>
        <w:t xml:space="preserve"> </w:t>
      </w:r>
      <w:r w:rsidRPr="00F867D0">
        <w:rPr>
          <w:color w:val="auto"/>
          <w:szCs w:val="22"/>
        </w:rPr>
        <w:t>RACHP equipment usually operates under widely varying conditions, mainly in terms of:</w:t>
      </w:r>
      <w:r w:rsidR="002E3385" w:rsidRPr="00F867D0">
        <w:rPr>
          <w:color w:val="auto"/>
          <w:szCs w:val="22"/>
        </w:rPr>
        <w:t xml:space="preserve"> a) t</w:t>
      </w:r>
      <w:r w:rsidRPr="00F867D0">
        <w:rPr>
          <w:color w:val="auto"/>
          <w:kern w:val="2"/>
          <w:szCs w:val="22"/>
        </w:rPr>
        <w:t>he required cooling load</w:t>
      </w:r>
      <w:r w:rsidR="002E3385" w:rsidRPr="00F867D0">
        <w:rPr>
          <w:color w:val="auto"/>
          <w:kern w:val="2"/>
          <w:szCs w:val="22"/>
        </w:rPr>
        <w:t xml:space="preserve"> and b) t</w:t>
      </w:r>
      <w:r w:rsidRPr="00F867D0">
        <w:rPr>
          <w:color w:val="auto"/>
          <w:kern w:val="2"/>
          <w:szCs w:val="22"/>
        </w:rPr>
        <w:t>he prevailing ambient temperature.</w:t>
      </w:r>
    </w:p>
    <w:p w14:paraId="0AB0430A" w14:textId="77777777" w:rsidR="002E3385" w:rsidRPr="00F867D0" w:rsidRDefault="002E3385" w:rsidP="00A663AA">
      <w:pPr>
        <w:spacing w:after="0"/>
      </w:pPr>
    </w:p>
    <w:p w14:paraId="11AE0EE7" w14:textId="2E9B2903" w:rsidR="00A663AA" w:rsidRPr="00F867D0" w:rsidRDefault="00A663AA" w:rsidP="00A663AA">
      <w:pPr>
        <w:spacing w:after="0"/>
      </w:pPr>
      <w:r w:rsidRPr="00F867D0">
        <w:t xml:space="preserve">Equipment is designed to achieve a </w:t>
      </w:r>
      <w:r w:rsidRPr="002261E5">
        <w:rPr>
          <w:b/>
          <w:i/>
        </w:rPr>
        <w:t>nominal design point</w:t>
      </w:r>
      <w:r w:rsidR="006A16FF" w:rsidRPr="00F867D0">
        <w:t>,</w:t>
      </w:r>
      <w:r w:rsidRPr="00F867D0">
        <w:t xml:space="preserve"> which is the peak cooling load during the hottest expected ambient conditions. This design point can be considered as th</w:t>
      </w:r>
      <w:r w:rsidR="002E3385" w:rsidRPr="00F867D0">
        <w:t xml:space="preserve">e “worst case” load condition. </w:t>
      </w:r>
      <w:r w:rsidRPr="00F867D0">
        <w:t>In reality, most systems spend very few hours per ye</w:t>
      </w:r>
      <w:r w:rsidR="002E3385" w:rsidRPr="00F867D0">
        <w:t xml:space="preserve">ar close to this design point. </w:t>
      </w:r>
      <w:r w:rsidRPr="00F867D0">
        <w:t>Most of the time</w:t>
      </w:r>
      <w:r w:rsidR="002E3385" w:rsidRPr="00F867D0">
        <w:t>,</w:t>
      </w:r>
      <w:r w:rsidRPr="00F867D0">
        <w:t xml:space="preserve"> the cooling load is lower and the weather is cooler.</w:t>
      </w:r>
    </w:p>
    <w:p w14:paraId="3D59D688" w14:textId="77777777" w:rsidR="002E3385" w:rsidRPr="00F867D0" w:rsidRDefault="002E3385" w:rsidP="00A663AA">
      <w:pPr>
        <w:spacing w:after="0"/>
      </w:pPr>
    </w:p>
    <w:p w14:paraId="5D7E66B8" w14:textId="0D4F8556" w:rsidR="00A663AA" w:rsidRPr="00F867D0" w:rsidRDefault="00A663AA" w:rsidP="00A663AA">
      <w:pPr>
        <w:spacing w:after="0"/>
      </w:pPr>
      <w:r w:rsidRPr="00F867D0">
        <w:t>In a well</w:t>
      </w:r>
      <w:r w:rsidR="002E3385" w:rsidRPr="00F867D0">
        <w:t>-</w:t>
      </w:r>
      <w:r w:rsidRPr="00F867D0">
        <w:t xml:space="preserve">controlled </w:t>
      </w:r>
      <w:r w:rsidR="00090E5B">
        <w:t>system</w:t>
      </w:r>
      <w:r w:rsidRPr="00F867D0">
        <w:t xml:space="preserve">, the </w:t>
      </w:r>
      <w:r w:rsidR="00CD37ED" w:rsidRPr="00F867D0">
        <w:t>EE</w:t>
      </w:r>
      <w:r w:rsidRPr="00F867D0">
        <w:t xml:space="preserve"> should improve at conditio</w:t>
      </w:r>
      <w:r w:rsidR="00CD37ED" w:rsidRPr="00F867D0">
        <w:t xml:space="preserve">ns away from the design point. </w:t>
      </w:r>
      <w:r w:rsidRPr="00F867D0">
        <w:t>For example, in cool weather the condensing temperature should fall, giving a pote</w:t>
      </w:r>
      <w:r w:rsidR="00CD37ED" w:rsidRPr="00F867D0">
        <w:t>ntially significant increase in efficiency.</w:t>
      </w:r>
      <w:r w:rsidRPr="00F867D0">
        <w:t xml:space="preserve"> In a poorly controlled </w:t>
      </w:r>
      <w:r w:rsidR="00090E5B">
        <w:t>system</w:t>
      </w:r>
      <w:r w:rsidRPr="00F867D0">
        <w:t xml:space="preserve"> these improvements do not occur</w:t>
      </w:r>
      <w:r w:rsidR="005A4E69">
        <w:t>,</w:t>
      </w:r>
      <w:r w:rsidRPr="00F867D0">
        <w:t xml:space="preserve"> and the efficiency might </w:t>
      </w:r>
      <w:r w:rsidR="002261E5">
        <w:t>degrade more</w:t>
      </w:r>
      <w:r w:rsidR="002261E5" w:rsidRPr="00F867D0">
        <w:t xml:space="preserve"> </w:t>
      </w:r>
      <w:r w:rsidRPr="00F867D0">
        <w:t>as compressors operate at part-load capacity.</w:t>
      </w:r>
    </w:p>
    <w:p w14:paraId="56950591" w14:textId="77777777" w:rsidR="00CD37ED" w:rsidRPr="00F867D0" w:rsidRDefault="00CD37ED" w:rsidP="00A663AA">
      <w:pPr>
        <w:spacing w:after="0"/>
      </w:pPr>
    </w:p>
    <w:p w14:paraId="55378087" w14:textId="72C89B31" w:rsidR="00A663AA" w:rsidRPr="00F867D0" w:rsidRDefault="00A663AA" w:rsidP="00A663AA">
      <w:pPr>
        <w:spacing w:after="0"/>
      </w:pPr>
      <w:r w:rsidRPr="00F867D0">
        <w:t xml:space="preserve">There are many examples that can illustrate </w:t>
      </w:r>
      <w:r w:rsidR="00B81ECB" w:rsidRPr="00F867D0">
        <w:t xml:space="preserve">EE </w:t>
      </w:r>
      <w:r w:rsidRPr="00F867D0">
        <w:t>improvements related t</w:t>
      </w:r>
      <w:r w:rsidR="00CD37ED" w:rsidRPr="00F867D0">
        <w:t xml:space="preserve">o </w:t>
      </w:r>
      <w:r w:rsidR="00164BCA" w:rsidRPr="00F867D0">
        <w:t>optimised control</w:t>
      </w:r>
      <w:r w:rsidR="00CD37ED" w:rsidRPr="00F867D0">
        <w:t xml:space="preserve">. </w:t>
      </w:r>
      <w:r w:rsidRPr="00F867D0">
        <w:t>The examples given below illustrate some important issues.</w:t>
      </w:r>
      <w:r w:rsidR="00741F1F">
        <w:t xml:space="preserve"> It must be noted that improvements are not for free and add to the cost of the unit: a thorough analysis of costs and benefits usually accompanies their introduction.</w:t>
      </w:r>
    </w:p>
    <w:p w14:paraId="4D4A9328" w14:textId="77777777" w:rsidR="00A663AA" w:rsidRPr="00F867D0" w:rsidRDefault="00A663AA" w:rsidP="00A663AA">
      <w:pPr>
        <w:spacing w:after="0"/>
      </w:pPr>
    </w:p>
    <w:p w14:paraId="40FC56C0" w14:textId="6EE853B0" w:rsidR="00A663AA" w:rsidRPr="00F867D0" w:rsidRDefault="00CD37ED" w:rsidP="004F14F0">
      <w:pPr>
        <w:widowControl w:val="0"/>
        <w:spacing w:after="0"/>
        <w:ind w:left="360"/>
        <w:rPr>
          <w:color w:val="auto"/>
          <w:szCs w:val="22"/>
        </w:rPr>
      </w:pPr>
      <w:r w:rsidRPr="002261E5">
        <w:rPr>
          <w:b/>
          <w:i/>
          <w:color w:val="auto"/>
          <w:szCs w:val="22"/>
        </w:rPr>
        <w:t>E</w:t>
      </w:r>
      <w:r w:rsidR="00A663AA" w:rsidRPr="002261E5">
        <w:rPr>
          <w:b/>
          <w:i/>
          <w:color w:val="auto"/>
          <w:szCs w:val="22"/>
        </w:rPr>
        <w:t>xample 1: Condenser pressure control.</w:t>
      </w:r>
      <w:r w:rsidRPr="00F867D0">
        <w:rPr>
          <w:color w:val="auto"/>
          <w:szCs w:val="22"/>
        </w:rPr>
        <w:t xml:space="preserve"> </w:t>
      </w:r>
      <w:r w:rsidR="00A663AA" w:rsidRPr="00F867D0">
        <w:rPr>
          <w:color w:val="auto"/>
          <w:szCs w:val="22"/>
        </w:rPr>
        <w:t>Many RACHP systems have “head pressure control” which stops the condenser pressure float</w:t>
      </w:r>
      <w:r w:rsidRPr="00F867D0">
        <w:rPr>
          <w:color w:val="auto"/>
          <w:szCs w:val="22"/>
        </w:rPr>
        <w:t xml:space="preserve">ing downwards in cold weather. </w:t>
      </w:r>
      <w:r w:rsidR="00A663AA" w:rsidRPr="00F867D0">
        <w:rPr>
          <w:color w:val="auto"/>
          <w:szCs w:val="22"/>
        </w:rPr>
        <w:t>The use of such controls can be eliminated or minim</w:t>
      </w:r>
      <w:r w:rsidRPr="00F867D0">
        <w:rPr>
          <w:color w:val="auto"/>
          <w:szCs w:val="22"/>
        </w:rPr>
        <w:t>i</w:t>
      </w:r>
      <w:r w:rsidR="00A33EB1">
        <w:rPr>
          <w:color w:val="auto"/>
          <w:szCs w:val="22"/>
        </w:rPr>
        <w:t>s</w:t>
      </w:r>
      <w:r w:rsidRPr="00F867D0">
        <w:rPr>
          <w:color w:val="auto"/>
          <w:szCs w:val="22"/>
        </w:rPr>
        <w:t xml:space="preserve">ed through improved design. </w:t>
      </w:r>
      <w:r w:rsidR="00A663AA" w:rsidRPr="00F867D0">
        <w:rPr>
          <w:color w:val="auto"/>
          <w:szCs w:val="22"/>
        </w:rPr>
        <w:t xml:space="preserve">For example, by using an electronic expansion valve in place of a thermostatic expansion valve the head pressure control setting can be significantly reduced. </w:t>
      </w:r>
      <w:r w:rsidR="004C6282">
        <w:rPr>
          <w:color w:val="auto"/>
          <w:szCs w:val="22"/>
        </w:rPr>
        <w:t>Energy savings of  ̴</w:t>
      </w:r>
      <w:r w:rsidR="00A663AA" w:rsidRPr="00F867D0">
        <w:rPr>
          <w:color w:val="auto"/>
          <w:szCs w:val="22"/>
        </w:rPr>
        <w:t>20% are often possible.</w:t>
      </w:r>
    </w:p>
    <w:p w14:paraId="61286B68" w14:textId="77777777" w:rsidR="00CD37ED" w:rsidRPr="00F867D0" w:rsidRDefault="00CD37ED" w:rsidP="004F14F0">
      <w:pPr>
        <w:widowControl w:val="0"/>
        <w:spacing w:after="0"/>
        <w:ind w:left="360"/>
        <w:rPr>
          <w:b/>
          <w:color w:val="auto"/>
          <w:szCs w:val="22"/>
        </w:rPr>
      </w:pPr>
    </w:p>
    <w:p w14:paraId="2B98C8D6" w14:textId="244BDC0B" w:rsidR="00A663AA" w:rsidRPr="00F867D0" w:rsidRDefault="00CD37ED" w:rsidP="004F14F0">
      <w:pPr>
        <w:widowControl w:val="0"/>
        <w:spacing w:after="0"/>
        <w:ind w:left="360"/>
        <w:rPr>
          <w:color w:val="auto"/>
          <w:szCs w:val="22"/>
        </w:rPr>
      </w:pPr>
      <w:r w:rsidRPr="002261E5">
        <w:rPr>
          <w:b/>
          <w:i/>
          <w:color w:val="auto"/>
          <w:szCs w:val="22"/>
        </w:rPr>
        <w:t>E</w:t>
      </w:r>
      <w:r w:rsidR="00A663AA" w:rsidRPr="002261E5">
        <w:rPr>
          <w:b/>
          <w:i/>
          <w:color w:val="auto"/>
          <w:szCs w:val="22"/>
        </w:rPr>
        <w:t>xample 2: Compressor variable speed control.</w:t>
      </w:r>
      <w:r w:rsidRPr="002261E5">
        <w:rPr>
          <w:i/>
          <w:color w:val="auto"/>
          <w:szCs w:val="22"/>
        </w:rPr>
        <w:t xml:space="preserve"> </w:t>
      </w:r>
      <w:r w:rsidR="00A663AA" w:rsidRPr="00F867D0">
        <w:rPr>
          <w:color w:val="auto"/>
          <w:szCs w:val="22"/>
        </w:rPr>
        <w:t>When a cooling load falls e.g. due to change in ambient conditions, the compressor needs to operate at part-load as the load is lower than the</w:t>
      </w:r>
      <w:r w:rsidRPr="00F867D0">
        <w:rPr>
          <w:color w:val="auto"/>
          <w:szCs w:val="22"/>
        </w:rPr>
        <w:t xml:space="preserve"> system’s nominal design point. </w:t>
      </w:r>
      <w:r w:rsidR="00A663AA" w:rsidRPr="00F867D0">
        <w:rPr>
          <w:color w:val="auto"/>
          <w:szCs w:val="22"/>
        </w:rPr>
        <w:t>On small systems this is done with on-off control and on large systems with compressor load adjuste</w:t>
      </w:r>
      <w:r w:rsidRPr="00F867D0">
        <w:rPr>
          <w:color w:val="auto"/>
          <w:szCs w:val="22"/>
        </w:rPr>
        <w:t>rs such as cylinder unloading</w:t>
      </w:r>
      <w:r w:rsidR="006E5FE3" w:rsidRPr="00F867D0">
        <w:rPr>
          <w:color w:val="auto"/>
          <w:szCs w:val="22"/>
        </w:rPr>
        <w:t xml:space="preserve"> for reciprocating compressors or slide valves for screw compressors</w:t>
      </w:r>
      <w:r w:rsidRPr="00F867D0">
        <w:rPr>
          <w:color w:val="auto"/>
          <w:szCs w:val="22"/>
        </w:rPr>
        <w:t xml:space="preserve">. </w:t>
      </w:r>
      <w:r w:rsidR="00A663AA" w:rsidRPr="00F867D0">
        <w:rPr>
          <w:color w:val="auto"/>
          <w:szCs w:val="22"/>
        </w:rPr>
        <w:t>These are very inefficient ways of providing part-load control. Recent advances in variable speed drives (VSDs, e.g.</w:t>
      </w:r>
      <w:r w:rsidR="00A254A6">
        <w:rPr>
          <w:color w:val="auto"/>
          <w:szCs w:val="22"/>
        </w:rPr>
        <w:t>,</w:t>
      </w:r>
      <w:r w:rsidR="00A663AA" w:rsidRPr="00F867D0">
        <w:rPr>
          <w:color w:val="auto"/>
          <w:szCs w:val="22"/>
        </w:rPr>
        <w:t xml:space="preserve"> the inverter) allow </w:t>
      </w:r>
      <w:r w:rsidR="00B81ECB" w:rsidRPr="00F867D0">
        <w:rPr>
          <w:color w:val="auto"/>
          <w:szCs w:val="22"/>
        </w:rPr>
        <w:t xml:space="preserve">for the </w:t>
      </w:r>
      <w:r w:rsidR="00A663AA" w:rsidRPr="00F867D0">
        <w:rPr>
          <w:color w:val="auto"/>
          <w:szCs w:val="22"/>
        </w:rPr>
        <w:t xml:space="preserve">use of variable speed compressors, which can often deliver </w:t>
      </w:r>
      <w:r w:rsidR="006A16FF" w:rsidRPr="00F867D0">
        <w:rPr>
          <w:color w:val="auto"/>
          <w:szCs w:val="22"/>
        </w:rPr>
        <w:t>over</w:t>
      </w:r>
      <w:r w:rsidR="00A254A6">
        <w:rPr>
          <w:color w:val="auto"/>
          <w:szCs w:val="22"/>
        </w:rPr>
        <w:t xml:space="preserve"> a</w:t>
      </w:r>
      <w:r w:rsidR="006A16FF" w:rsidRPr="00F867D0">
        <w:rPr>
          <w:color w:val="auto"/>
          <w:szCs w:val="22"/>
        </w:rPr>
        <w:t xml:space="preserve"> </w:t>
      </w:r>
      <w:r w:rsidR="00A663AA" w:rsidRPr="00F867D0">
        <w:rPr>
          <w:color w:val="auto"/>
          <w:szCs w:val="22"/>
        </w:rPr>
        <w:t>25% efficiency improvement.</w:t>
      </w:r>
    </w:p>
    <w:p w14:paraId="484D6C86" w14:textId="77777777" w:rsidR="00CD37ED" w:rsidRPr="00F867D0" w:rsidRDefault="00CD37ED" w:rsidP="004F14F0">
      <w:pPr>
        <w:widowControl w:val="0"/>
        <w:spacing w:after="0"/>
        <w:ind w:left="360"/>
        <w:rPr>
          <w:b/>
          <w:color w:val="auto"/>
          <w:szCs w:val="22"/>
        </w:rPr>
      </w:pPr>
    </w:p>
    <w:p w14:paraId="1F5D7F5A" w14:textId="6091D90E" w:rsidR="00A663AA" w:rsidRPr="00F867D0" w:rsidRDefault="00CD37ED" w:rsidP="004F14F0">
      <w:pPr>
        <w:widowControl w:val="0"/>
        <w:spacing w:after="0"/>
        <w:ind w:left="360"/>
        <w:rPr>
          <w:color w:val="auto"/>
          <w:szCs w:val="22"/>
        </w:rPr>
      </w:pPr>
      <w:r w:rsidRPr="002261E5">
        <w:rPr>
          <w:b/>
          <w:i/>
          <w:color w:val="auto"/>
          <w:szCs w:val="22"/>
        </w:rPr>
        <w:t>Ex</w:t>
      </w:r>
      <w:r w:rsidR="00A663AA" w:rsidRPr="002261E5">
        <w:rPr>
          <w:b/>
          <w:i/>
          <w:color w:val="auto"/>
          <w:szCs w:val="22"/>
        </w:rPr>
        <w:t xml:space="preserve">ample 3: Control of auxiliary pumps and fans. </w:t>
      </w:r>
      <w:r w:rsidR="00A663AA" w:rsidRPr="00F867D0">
        <w:rPr>
          <w:color w:val="auto"/>
          <w:szCs w:val="22"/>
        </w:rPr>
        <w:t>Many systems use fans to circulate air being cooled or pumps to circulate chilled water. Traditionally</w:t>
      </w:r>
      <w:r w:rsidR="00A254A6">
        <w:rPr>
          <w:color w:val="auto"/>
          <w:szCs w:val="22"/>
        </w:rPr>
        <w:t>,</w:t>
      </w:r>
      <w:r w:rsidR="00A663AA" w:rsidRPr="00F867D0">
        <w:rPr>
          <w:color w:val="auto"/>
          <w:szCs w:val="22"/>
        </w:rPr>
        <w:t xml:space="preserve"> these were fixed speed devices</w:t>
      </w:r>
      <w:r w:rsidR="00A254A6">
        <w:rPr>
          <w:color w:val="auto"/>
          <w:szCs w:val="22"/>
        </w:rPr>
        <w:t xml:space="preserve"> that are</w:t>
      </w:r>
      <w:r w:rsidR="00A663AA" w:rsidRPr="00F867D0">
        <w:rPr>
          <w:color w:val="auto"/>
          <w:szCs w:val="22"/>
        </w:rPr>
        <w:t xml:space="preserve"> designed to</w:t>
      </w:r>
      <w:r w:rsidRPr="00F867D0">
        <w:rPr>
          <w:color w:val="auto"/>
          <w:szCs w:val="22"/>
        </w:rPr>
        <w:t xml:space="preserve"> suit the nominal design load. </w:t>
      </w:r>
      <w:r w:rsidR="00A663AA" w:rsidRPr="00F867D0">
        <w:rPr>
          <w:color w:val="auto"/>
          <w:szCs w:val="22"/>
        </w:rPr>
        <w:t xml:space="preserve">Auxiliary loads on the cold side of a </w:t>
      </w:r>
      <w:r w:rsidRPr="00F867D0">
        <w:rPr>
          <w:color w:val="auto"/>
          <w:szCs w:val="22"/>
        </w:rPr>
        <w:t>RAC</w:t>
      </w:r>
      <w:r w:rsidR="00A663AA" w:rsidRPr="00F867D0">
        <w:rPr>
          <w:color w:val="auto"/>
          <w:szCs w:val="22"/>
        </w:rPr>
        <w:t xml:space="preserve"> system are “paid-for-twice” because as well as running the pump or fan, they create an extra heat load that must be remove</w:t>
      </w:r>
      <w:r w:rsidRPr="00F867D0">
        <w:rPr>
          <w:color w:val="auto"/>
          <w:szCs w:val="22"/>
        </w:rPr>
        <w:t>d by the refrigeration system. A</w:t>
      </w:r>
      <w:r w:rsidR="00A663AA" w:rsidRPr="00F867D0">
        <w:rPr>
          <w:color w:val="auto"/>
          <w:szCs w:val="22"/>
        </w:rPr>
        <w:t>t part-load, these auxiliary loads can become a disproportionately large part of the total power consumption. By using VSDs, the fans and pumps can be slowed down at part-load.</w:t>
      </w:r>
    </w:p>
    <w:p w14:paraId="4D5EE6C0" w14:textId="77777777" w:rsidR="00CD37ED" w:rsidRPr="00F867D0" w:rsidRDefault="00CD37ED" w:rsidP="00A663AA">
      <w:pPr>
        <w:widowControl w:val="0"/>
        <w:spacing w:after="0"/>
        <w:rPr>
          <w:color w:val="auto"/>
          <w:szCs w:val="22"/>
        </w:rPr>
      </w:pPr>
    </w:p>
    <w:p w14:paraId="60EB6FB8" w14:textId="23864D73" w:rsidR="00A663AA" w:rsidRPr="00F867D0" w:rsidRDefault="00A663AA" w:rsidP="00A663AA">
      <w:pPr>
        <w:widowControl w:val="0"/>
        <w:spacing w:after="0"/>
        <w:rPr>
          <w:color w:val="auto"/>
          <w:szCs w:val="22"/>
        </w:rPr>
      </w:pPr>
      <w:r w:rsidRPr="00F867D0">
        <w:rPr>
          <w:color w:val="auto"/>
          <w:szCs w:val="22"/>
        </w:rPr>
        <w:t xml:space="preserve">There are many other examples of good controls </w:t>
      </w:r>
      <w:r w:rsidR="00A254A6">
        <w:rPr>
          <w:color w:val="auto"/>
          <w:szCs w:val="22"/>
        </w:rPr>
        <w:t>including</w:t>
      </w:r>
      <w:r w:rsidRPr="00F867D0">
        <w:rPr>
          <w:color w:val="auto"/>
          <w:szCs w:val="22"/>
        </w:rPr>
        <w:t xml:space="preserve"> adjustable suction pressure control and defrost-on-demand contr</w:t>
      </w:r>
      <w:r w:rsidR="00CD37ED" w:rsidRPr="00F867D0">
        <w:rPr>
          <w:color w:val="auto"/>
          <w:szCs w:val="22"/>
        </w:rPr>
        <w:t xml:space="preserve">ol in refrigeration equipment. </w:t>
      </w:r>
      <w:r w:rsidR="00741F1F">
        <w:rPr>
          <w:color w:val="auto"/>
          <w:szCs w:val="22"/>
        </w:rPr>
        <w:t xml:space="preserve">In terms of costs, as a general rule it can be said that effective control technologies offer </w:t>
      </w:r>
      <w:r w:rsidR="002261E5">
        <w:rPr>
          <w:color w:val="auto"/>
          <w:szCs w:val="22"/>
        </w:rPr>
        <w:t xml:space="preserve">a </w:t>
      </w:r>
      <w:r w:rsidRPr="00F867D0">
        <w:rPr>
          <w:color w:val="auto"/>
          <w:szCs w:val="22"/>
        </w:rPr>
        <w:t xml:space="preserve">cost-effective </w:t>
      </w:r>
      <w:r w:rsidR="00CD37ED" w:rsidRPr="00F867D0">
        <w:rPr>
          <w:color w:val="auto"/>
          <w:szCs w:val="22"/>
        </w:rPr>
        <w:t>EE</w:t>
      </w:r>
      <w:r w:rsidRPr="00F867D0">
        <w:rPr>
          <w:color w:val="auto"/>
          <w:szCs w:val="22"/>
        </w:rPr>
        <w:t xml:space="preserve"> strategy.</w:t>
      </w:r>
    </w:p>
    <w:p w14:paraId="4329BF62" w14:textId="77777777" w:rsidR="00A663AA" w:rsidRPr="00F867D0" w:rsidRDefault="00A663AA" w:rsidP="00A663AA">
      <w:pPr>
        <w:widowControl w:val="0"/>
        <w:spacing w:after="0"/>
        <w:rPr>
          <w:color w:val="auto"/>
          <w:szCs w:val="22"/>
        </w:rPr>
      </w:pPr>
    </w:p>
    <w:p w14:paraId="339FEEC4" w14:textId="7255F297" w:rsidR="00A663AA" w:rsidRPr="000F749F" w:rsidRDefault="00A663AA" w:rsidP="000F749F">
      <w:pPr>
        <w:pStyle w:val="Heading3"/>
        <w:rPr>
          <w:b w:val="0"/>
        </w:rPr>
      </w:pPr>
      <w:bookmarkStart w:id="50" w:name="_Toc515454358"/>
      <w:bookmarkStart w:id="51" w:name="_Hlk513813427"/>
      <w:r w:rsidRPr="000F749F">
        <w:t>2.1.</w:t>
      </w:r>
      <w:r w:rsidR="002F0F6A" w:rsidRPr="000F749F">
        <w:t>7</w:t>
      </w:r>
      <w:r w:rsidRPr="000F749F">
        <w:tab/>
        <w:t>Design features that will support servicing and maintenance</w:t>
      </w:r>
      <w:bookmarkEnd w:id="50"/>
    </w:p>
    <w:p w14:paraId="5AE8F494" w14:textId="61DF6CD7" w:rsidR="002830D2" w:rsidRPr="00F867D0" w:rsidRDefault="002830D2" w:rsidP="002830D2">
      <w:pPr>
        <w:spacing w:after="0"/>
        <w:rPr>
          <w:color w:val="auto"/>
          <w:szCs w:val="22"/>
        </w:rPr>
      </w:pPr>
      <w:r w:rsidRPr="00F867D0">
        <w:rPr>
          <w:color w:val="auto"/>
          <w:szCs w:val="22"/>
        </w:rPr>
        <w:t>E</w:t>
      </w:r>
      <w:r w:rsidR="00A663AA" w:rsidRPr="00F867D0">
        <w:rPr>
          <w:color w:val="auto"/>
          <w:szCs w:val="22"/>
        </w:rPr>
        <w:t>nergy savings</w:t>
      </w:r>
      <w:r w:rsidR="00A663AA" w:rsidRPr="00F867D0">
        <w:rPr>
          <w:b/>
          <w:color w:val="auto"/>
          <w:szCs w:val="22"/>
        </w:rPr>
        <w:t xml:space="preserve"> </w:t>
      </w:r>
      <w:r w:rsidR="00A663AA" w:rsidRPr="00F867D0">
        <w:rPr>
          <w:color w:val="auto"/>
          <w:szCs w:val="22"/>
        </w:rPr>
        <w:t>related to</w:t>
      </w:r>
      <w:r w:rsidR="00A663AA" w:rsidRPr="00F867D0">
        <w:rPr>
          <w:b/>
          <w:color w:val="auto"/>
          <w:szCs w:val="22"/>
        </w:rPr>
        <w:t xml:space="preserve"> </w:t>
      </w:r>
      <w:r w:rsidR="00A663AA" w:rsidRPr="00F867D0">
        <w:rPr>
          <w:color w:val="auto"/>
          <w:szCs w:val="22"/>
        </w:rPr>
        <w:t xml:space="preserve">servicing and maintenance can easily </w:t>
      </w:r>
      <w:r w:rsidR="008704C9" w:rsidRPr="00F867D0">
        <w:rPr>
          <w:color w:val="auto"/>
          <w:szCs w:val="22"/>
        </w:rPr>
        <w:t>make up t</w:t>
      </w:r>
      <w:r w:rsidR="00A663AA" w:rsidRPr="00F867D0">
        <w:rPr>
          <w:color w:val="auto"/>
          <w:szCs w:val="22"/>
        </w:rPr>
        <w:t xml:space="preserve">o 20% of the overall </w:t>
      </w:r>
      <w:r w:rsidR="008704C9" w:rsidRPr="00F867D0">
        <w:rPr>
          <w:color w:val="auto"/>
          <w:szCs w:val="22"/>
        </w:rPr>
        <w:t xml:space="preserve">system </w:t>
      </w:r>
      <w:r w:rsidR="00A663AA" w:rsidRPr="00F867D0">
        <w:rPr>
          <w:color w:val="auto"/>
          <w:szCs w:val="22"/>
        </w:rPr>
        <w:t xml:space="preserve">performance </w:t>
      </w:r>
      <w:r w:rsidR="004529E6">
        <w:rPr>
          <w:color w:val="auto"/>
          <w:szCs w:val="22"/>
        </w:rPr>
        <w:t xml:space="preserve">in India </w:t>
      </w:r>
      <w:r w:rsidR="002261E5">
        <w:rPr>
          <w:color w:val="auto"/>
          <w:szCs w:val="22"/>
        </w:rPr>
        <w:t>r</w:t>
      </w:r>
      <w:r w:rsidR="004529E6">
        <w:rPr>
          <w:color w:val="auto"/>
          <w:szCs w:val="22"/>
        </w:rPr>
        <w:t xml:space="preserve">oom AC sector </w:t>
      </w:r>
      <w:r w:rsidR="00E51F97">
        <w:rPr>
          <w:color w:val="auto"/>
          <w:szCs w:val="22"/>
        </w:rPr>
        <w:t>[</w:t>
      </w:r>
      <w:r w:rsidR="00445257" w:rsidRPr="00F867D0">
        <w:rPr>
          <w:color w:val="auto"/>
          <w:szCs w:val="22"/>
        </w:rPr>
        <w:t>TERI, 2017</w:t>
      </w:r>
      <w:r w:rsidR="00E51F97">
        <w:rPr>
          <w:color w:val="auto"/>
          <w:szCs w:val="22"/>
        </w:rPr>
        <w:t>]</w:t>
      </w:r>
      <w:r w:rsidR="00A254A6">
        <w:rPr>
          <w:color w:val="auto"/>
          <w:szCs w:val="22"/>
        </w:rPr>
        <w:t>.</w:t>
      </w:r>
      <w:r w:rsidR="00A663AA" w:rsidRPr="00F867D0">
        <w:rPr>
          <w:color w:val="auto"/>
          <w:szCs w:val="22"/>
        </w:rPr>
        <w:t xml:space="preserve"> </w:t>
      </w:r>
      <w:r w:rsidR="00A254A6">
        <w:rPr>
          <w:color w:val="auto"/>
          <w:szCs w:val="22"/>
        </w:rPr>
        <w:t>W</w:t>
      </w:r>
      <w:r w:rsidR="00A663AA" w:rsidRPr="00F867D0">
        <w:rPr>
          <w:color w:val="auto"/>
          <w:szCs w:val="22"/>
        </w:rPr>
        <w:t>hen new equipment is being considered</w:t>
      </w:r>
      <w:r w:rsidR="00A254A6">
        <w:rPr>
          <w:color w:val="auto"/>
          <w:szCs w:val="22"/>
        </w:rPr>
        <w:t>,</w:t>
      </w:r>
      <w:r w:rsidR="00A663AA" w:rsidRPr="00F867D0">
        <w:rPr>
          <w:color w:val="auto"/>
          <w:szCs w:val="22"/>
        </w:rPr>
        <w:t xml:space="preserve"> the designer should consider </w:t>
      </w:r>
      <w:r w:rsidR="008704C9" w:rsidRPr="00F867D0">
        <w:rPr>
          <w:color w:val="auto"/>
          <w:szCs w:val="22"/>
        </w:rPr>
        <w:t xml:space="preserve">the </w:t>
      </w:r>
      <w:r w:rsidR="00A663AA" w:rsidRPr="00F867D0">
        <w:rPr>
          <w:color w:val="auto"/>
          <w:szCs w:val="22"/>
        </w:rPr>
        <w:t xml:space="preserve">servicing and maintenance </w:t>
      </w:r>
      <w:r w:rsidR="008704C9" w:rsidRPr="00F867D0">
        <w:rPr>
          <w:color w:val="auto"/>
          <w:szCs w:val="22"/>
        </w:rPr>
        <w:t xml:space="preserve">aspect </w:t>
      </w:r>
      <w:r w:rsidR="00A663AA" w:rsidRPr="00F867D0">
        <w:rPr>
          <w:color w:val="auto"/>
          <w:szCs w:val="22"/>
        </w:rPr>
        <w:t xml:space="preserve">and provide features that will help ensure good on-going </w:t>
      </w:r>
      <w:r w:rsidR="00CD37ED" w:rsidRPr="00F867D0">
        <w:rPr>
          <w:color w:val="auto"/>
          <w:szCs w:val="22"/>
        </w:rPr>
        <w:t>EE</w:t>
      </w:r>
      <w:r w:rsidR="00A663AA" w:rsidRPr="00F867D0">
        <w:rPr>
          <w:color w:val="auto"/>
          <w:szCs w:val="22"/>
        </w:rPr>
        <w:t xml:space="preserve"> through</w:t>
      </w:r>
      <w:r w:rsidR="002261E5">
        <w:rPr>
          <w:color w:val="auto"/>
          <w:szCs w:val="22"/>
        </w:rPr>
        <w:t>out</w:t>
      </w:r>
      <w:r w:rsidR="00A663AA" w:rsidRPr="00F867D0">
        <w:rPr>
          <w:color w:val="auto"/>
          <w:szCs w:val="22"/>
        </w:rPr>
        <w:t xml:space="preserve"> the life of the </w:t>
      </w:r>
      <w:r w:rsidR="00090E5B">
        <w:rPr>
          <w:color w:val="auto"/>
          <w:szCs w:val="22"/>
        </w:rPr>
        <w:t>system</w:t>
      </w:r>
      <w:r w:rsidR="00A663AA" w:rsidRPr="00F867D0">
        <w:rPr>
          <w:color w:val="auto"/>
          <w:szCs w:val="22"/>
        </w:rPr>
        <w:t>.</w:t>
      </w:r>
      <w:r w:rsidRPr="00F867D0">
        <w:rPr>
          <w:color w:val="auto"/>
          <w:szCs w:val="22"/>
        </w:rPr>
        <w:t xml:space="preserve"> Proper servicing and maintenance begins with proper install</w:t>
      </w:r>
      <w:r w:rsidR="004C6282">
        <w:rPr>
          <w:color w:val="auto"/>
          <w:szCs w:val="22"/>
        </w:rPr>
        <w:t>ation</w:t>
      </w:r>
      <w:r w:rsidRPr="00F867D0">
        <w:rPr>
          <w:color w:val="auto"/>
          <w:szCs w:val="22"/>
        </w:rPr>
        <w:t xml:space="preserve"> and commissioning of equipment. Poor installation and start-up practices can reduce the </w:t>
      </w:r>
      <w:r w:rsidR="002261E5">
        <w:rPr>
          <w:color w:val="auto"/>
          <w:szCs w:val="22"/>
        </w:rPr>
        <w:t>EE</w:t>
      </w:r>
      <w:r w:rsidRPr="00F867D0">
        <w:rPr>
          <w:color w:val="auto"/>
          <w:szCs w:val="22"/>
        </w:rPr>
        <w:t xml:space="preserve"> of the equipment </w:t>
      </w:r>
      <w:r w:rsidR="004C6282">
        <w:rPr>
          <w:color w:val="auto"/>
          <w:szCs w:val="22"/>
        </w:rPr>
        <w:t>substantially</w:t>
      </w:r>
      <w:r w:rsidRPr="00F867D0">
        <w:rPr>
          <w:color w:val="auto"/>
          <w:szCs w:val="22"/>
        </w:rPr>
        <w:t xml:space="preserve"> and such losses cannot be recovered for the rest of the life of the equipment.</w:t>
      </w:r>
    </w:p>
    <w:p w14:paraId="2765DD95" w14:textId="77777777" w:rsidR="003D2C44" w:rsidRPr="00F867D0" w:rsidRDefault="003D2C44" w:rsidP="00A663AA">
      <w:pPr>
        <w:widowControl w:val="0"/>
        <w:spacing w:after="0"/>
        <w:rPr>
          <w:color w:val="auto"/>
          <w:szCs w:val="22"/>
        </w:rPr>
      </w:pPr>
    </w:p>
    <w:p w14:paraId="67CA7134" w14:textId="1A5D3BBD" w:rsidR="00A663AA" w:rsidRPr="00F867D0" w:rsidRDefault="00A663AA" w:rsidP="00A663AA">
      <w:pPr>
        <w:widowControl w:val="0"/>
        <w:spacing w:after="0"/>
        <w:rPr>
          <w:color w:val="auto"/>
          <w:szCs w:val="22"/>
        </w:rPr>
      </w:pPr>
      <w:r w:rsidRPr="00F867D0">
        <w:rPr>
          <w:color w:val="auto"/>
          <w:szCs w:val="22"/>
        </w:rPr>
        <w:t>An important example</w:t>
      </w:r>
      <w:r w:rsidR="00A254A6">
        <w:rPr>
          <w:color w:val="auto"/>
          <w:szCs w:val="22"/>
        </w:rPr>
        <w:t xml:space="preserve"> in servicing and maintenance</w:t>
      </w:r>
      <w:r w:rsidRPr="00F867D0">
        <w:rPr>
          <w:color w:val="auto"/>
          <w:szCs w:val="22"/>
        </w:rPr>
        <w:t xml:space="preserve"> is </w:t>
      </w:r>
      <w:r w:rsidR="00A254A6">
        <w:rPr>
          <w:color w:val="auto"/>
          <w:szCs w:val="22"/>
        </w:rPr>
        <w:t xml:space="preserve">the need for </w:t>
      </w:r>
      <w:r w:rsidRPr="00F867D0">
        <w:rPr>
          <w:color w:val="auto"/>
          <w:szCs w:val="22"/>
        </w:rPr>
        <w:t>instrumentation such as energy meters or key temperat</w:t>
      </w:r>
      <w:r w:rsidR="008704C9" w:rsidRPr="00F867D0">
        <w:rPr>
          <w:color w:val="auto"/>
          <w:szCs w:val="22"/>
        </w:rPr>
        <w:t xml:space="preserve">ure and pressure measurements. </w:t>
      </w:r>
      <w:r w:rsidRPr="00F867D0">
        <w:rPr>
          <w:color w:val="auto"/>
          <w:szCs w:val="22"/>
        </w:rPr>
        <w:t xml:space="preserve">As discussed in Section 2.5, it is </w:t>
      </w:r>
      <w:r w:rsidR="00090E5B">
        <w:rPr>
          <w:color w:val="auto"/>
          <w:szCs w:val="22"/>
        </w:rPr>
        <w:t>not un</w:t>
      </w:r>
      <w:r w:rsidRPr="00F867D0">
        <w:rPr>
          <w:color w:val="auto"/>
          <w:szCs w:val="22"/>
        </w:rPr>
        <w:t xml:space="preserve">common to find existing </w:t>
      </w:r>
      <w:r w:rsidR="00090E5B">
        <w:rPr>
          <w:color w:val="auto"/>
          <w:szCs w:val="22"/>
        </w:rPr>
        <w:t>system</w:t>
      </w:r>
      <w:r w:rsidRPr="00F867D0">
        <w:rPr>
          <w:color w:val="auto"/>
          <w:szCs w:val="22"/>
        </w:rPr>
        <w:t xml:space="preserve"> operating well below peak efficiency. Good monitoring and control systems can help the plant operator or maintenance technician che</w:t>
      </w:r>
      <w:r w:rsidR="000A31D6">
        <w:rPr>
          <w:color w:val="auto"/>
          <w:szCs w:val="22"/>
        </w:rPr>
        <w:t>ck</w:t>
      </w:r>
      <w:r w:rsidRPr="00F867D0">
        <w:rPr>
          <w:color w:val="auto"/>
          <w:szCs w:val="22"/>
        </w:rPr>
        <w:t xml:space="preserve"> performance and cor</w:t>
      </w:r>
      <w:r w:rsidR="00E5566D" w:rsidRPr="00F867D0">
        <w:rPr>
          <w:color w:val="auto"/>
          <w:szCs w:val="22"/>
        </w:rPr>
        <w:t>rect any energy wasting faults.</w:t>
      </w:r>
      <w:r w:rsidRPr="00F867D0">
        <w:rPr>
          <w:color w:val="auto"/>
          <w:szCs w:val="22"/>
        </w:rPr>
        <w:t xml:space="preserve"> It is always better to include meters and sensors as part of a new </w:t>
      </w:r>
      <w:r w:rsidR="00090E5B">
        <w:rPr>
          <w:color w:val="auto"/>
          <w:szCs w:val="22"/>
        </w:rPr>
        <w:t>system</w:t>
      </w:r>
      <w:r w:rsidRPr="00F867D0">
        <w:rPr>
          <w:color w:val="auto"/>
          <w:szCs w:val="22"/>
        </w:rPr>
        <w:t xml:space="preserve"> than to add them at a later date.</w:t>
      </w:r>
    </w:p>
    <w:bookmarkEnd w:id="51"/>
    <w:p w14:paraId="5C65D817" w14:textId="77777777" w:rsidR="00A663AA" w:rsidRDefault="00A663AA" w:rsidP="00A663AA">
      <w:pPr>
        <w:widowControl w:val="0"/>
        <w:spacing w:after="0"/>
        <w:rPr>
          <w:color w:val="auto"/>
          <w:szCs w:val="22"/>
        </w:rPr>
      </w:pPr>
    </w:p>
    <w:p w14:paraId="03E96500" w14:textId="31C1C658" w:rsidR="00225A6B" w:rsidRPr="000F749F" w:rsidRDefault="00225A6B" w:rsidP="000F749F">
      <w:pPr>
        <w:pStyle w:val="Heading3"/>
        <w:rPr>
          <w:b w:val="0"/>
        </w:rPr>
      </w:pPr>
      <w:bookmarkStart w:id="52" w:name="_Toc515454359"/>
      <w:r w:rsidRPr="000F749F">
        <w:t>2.1.</w:t>
      </w:r>
      <w:r w:rsidR="002F0F6A" w:rsidRPr="000F749F">
        <w:t>8</w:t>
      </w:r>
      <w:r w:rsidRPr="000F749F">
        <w:tab/>
        <w:t xml:space="preserve">Challenges for the uptake of </w:t>
      </w:r>
      <w:r w:rsidR="002261E5" w:rsidRPr="000F749F">
        <w:t xml:space="preserve">energy </w:t>
      </w:r>
      <w:r w:rsidRPr="000F749F">
        <w:t>efficien</w:t>
      </w:r>
      <w:r w:rsidR="002261E5" w:rsidRPr="000F749F">
        <w:t>t</w:t>
      </w:r>
      <w:r w:rsidRPr="000F749F">
        <w:t xml:space="preserve"> technologies</w:t>
      </w:r>
      <w:bookmarkEnd w:id="52"/>
    </w:p>
    <w:p w14:paraId="2BD46321" w14:textId="535F4F24" w:rsidR="00225A6B" w:rsidRPr="00A663AA" w:rsidRDefault="00225A6B" w:rsidP="00225A6B">
      <w:pPr>
        <w:widowControl w:val="0"/>
        <w:spacing w:after="0"/>
        <w:rPr>
          <w:color w:val="auto"/>
          <w:szCs w:val="22"/>
          <w:lang w:val="en-US"/>
        </w:rPr>
      </w:pPr>
      <w:r w:rsidRPr="00A663AA">
        <w:rPr>
          <w:color w:val="auto"/>
          <w:szCs w:val="22"/>
          <w:lang w:val="en-US"/>
        </w:rPr>
        <w:t xml:space="preserve">While the benefits of higher </w:t>
      </w:r>
      <w:r>
        <w:rPr>
          <w:color w:val="auto"/>
          <w:szCs w:val="22"/>
          <w:lang w:val="en-US"/>
        </w:rPr>
        <w:t>EE</w:t>
      </w:r>
      <w:r w:rsidRPr="00A663AA">
        <w:rPr>
          <w:color w:val="auto"/>
          <w:szCs w:val="22"/>
          <w:lang w:val="en-US"/>
        </w:rPr>
        <w:t>, such as savings in energy, running cost, peak</w:t>
      </w:r>
      <w:r>
        <w:rPr>
          <w:color w:val="auto"/>
          <w:szCs w:val="22"/>
          <w:lang w:val="en-US"/>
        </w:rPr>
        <w:t xml:space="preserve"> load and GHG emissions </w:t>
      </w:r>
      <w:r w:rsidRPr="00A663AA">
        <w:rPr>
          <w:color w:val="auto"/>
          <w:szCs w:val="22"/>
          <w:lang w:val="en-US"/>
        </w:rPr>
        <w:t>are widely recogni</w:t>
      </w:r>
      <w:r w:rsidR="000A31D6">
        <w:rPr>
          <w:color w:val="auto"/>
          <w:szCs w:val="22"/>
          <w:lang w:val="en-US"/>
        </w:rPr>
        <w:t>s</w:t>
      </w:r>
      <w:r w:rsidRPr="00A663AA">
        <w:rPr>
          <w:color w:val="auto"/>
          <w:szCs w:val="22"/>
          <w:lang w:val="en-US"/>
        </w:rPr>
        <w:t>ed, many barriers to the uptake of more efficient equipment  persist. There are a number of common challenges that apply to all types of RACHP equipment. There are also certain market</w:t>
      </w:r>
      <w:r w:rsidR="007D246C">
        <w:rPr>
          <w:color w:val="auto"/>
          <w:szCs w:val="22"/>
          <w:lang w:val="en-US"/>
        </w:rPr>
        <w:t>,</w:t>
      </w:r>
      <w:r w:rsidRPr="00A663AA">
        <w:rPr>
          <w:color w:val="auto"/>
          <w:szCs w:val="22"/>
          <w:lang w:val="en-US"/>
        </w:rPr>
        <w:t xml:space="preserve"> sector</w:t>
      </w:r>
      <w:r w:rsidR="007D246C">
        <w:rPr>
          <w:color w:val="auto"/>
          <w:szCs w:val="22"/>
          <w:lang w:val="en-US"/>
        </w:rPr>
        <w:t>-</w:t>
      </w:r>
      <w:r w:rsidRPr="00A663AA">
        <w:rPr>
          <w:color w:val="auto"/>
          <w:szCs w:val="22"/>
          <w:lang w:val="en-US"/>
        </w:rPr>
        <w:t xml:space="preserve">specific issues that are presented in </w:t>
      </w:r>
      <w:r>
        <w:rPr>
          <w:color w:val="auto"/>
          <w:szCs w:val="22"/>
          <w:lang w:val="en-US"/>
        </w:rPr>
        <w:t xml:space="preserve">further detail for informational purposes in </w:t>
      </w:r>
      <w:r w:rsidRPr="00A663AA">
        <w:rPr>
          <w:color w:val="auto"/>
          <w:szCs w:val="22"/>
          <w:lang w:val="en-US"/>
        </w:rPr>
        <w:t>Annex A</w:t>
      </w:r>
      <w:r>
        <w:rPr>
          <w:color w:val="auto"/>
          <w:szCs w:val="22"/>
          <w:lang w:val="en-US"/>
        </w:rPr>
        <w:t xml:space="preserve"> of this report</w:t>
      </w:r>
      <w:r w:rsidRPr="00A663AA">
        <w:rPr>
          <w:color w:val="auto"/>
          <w:szCs w:val="22"/>
          <w:lang w:val="en-US"/>
        </w:rPr>
        <w:t xml:space="preserve">. </w:t>
      </w:r>
    </w:p>
    <w:p w14:paraId="0DEBB053" w14:textId="77777777" w:rsidR="00225A6B" w:rsidRDefault="00225A6B" w:rsidP="00225A6B">
      <w:pPr>
        <w:widowControl w:val="0"/>
        <w:spacing w:after="0"/>
        <w:rPr>
          <w:color w:val="auto"/>
          <w:szCs w:val="22"/>
          <w:lang w:val="en-US"/>
        </w:rPr>
      </w:pPr>
    </w:p>
    <w:p w14:paraId="25D810A2" w14:textId="3518EE4E" w:rsidR="00225A6B" w:rsidRDefault="00225A6B" w:rsidP="00225A6B">
      <w:pPr>
        <w:widowControl w:val="0"/>
        <w:spacing w:after="0"/>
        <w:rPr>
          <w:color w:val="auto"/>
          <w:szCs w:val="22"/>
          <w:lang w:val="en-US"/>
        </w:rPr>
      </w:pPr>
      <w:r w:rsidRPr="00A663AA">
        <w:rPr>
          <w:color w:val="auto"/>
          <w:szCs w:val="22"/>
          <w:lang w:val="en-US"/>
        </w:rPr>
        <w:t>Broadly, these barriers can be classified into the following categories:</w:t>
      </w:r>
    </w:p>
    <w:p w14:paraId="187AE368" w14:textId="77777777" w:rsidR="004F14F0" w:rsidRPr="00A663AA" w:rsidRDefault="004F14F0" w:rsidP="00225A6B">
      <w:pPr>
        <w:widowControl w:val="0"/>
        <w:spacing w:after="0"/>
        <w:rPr>
          <w:color w:val="auto"/>
          <w:szCs w:val="22"/>
          <w:lang w:val="en-US"/>
        </w:rPr>
      </w:pPr>
    </w:p>
    <w:p w14:paraId="6D02DE55" w14:textId="3381F0AF" w:rsidR="00225A6B" w:rsidRPr="004F14F0" w:rsidRDefault="00225A6B" w:rsidP="00736989">
      <w:pPr>
        <w:numPr>
          <w:ilvl w:val="0"/>
          <w:numId w:val="77"/>
        </w:numPr>
        <w:spacing w:after="0"/>
        <w:ind w:left="720"/>
        <w:rPr>
          <w:strike/>
          <w:color w:val="auto"/>
          <w:kern w:val="2"/>
          <w:szCs w:val="22"/>
          <w:lang w:val="en-AU" w:eastAsia="en-US"/>
        </w:rPr>
      </w:pPr>
      <w:r w:rsidRPr="00A663AA">
        <w:rPr>
          <w:i/>
          <w:color w:val="auto"/>
          <w:kern w:val="2"/>
          <w:szCs w:val="22"/>
          <w:u w:val="single"/>
          <w:lang w:val="en-AU" w:eastAsia="en-US"/>
        </w:rPr>
        <w:t>Financial</w:t>
      </w:r>
      <w:r w:rsidRPr="00A663AA">
        <w:rPr>
          <w:color w:val="auto"/>
          <w:kern w:val="2"/>
          <w:szCs w:val="22"/>
          <w:lang w:val="en-AU" w:eastAsia="en-US"/>
        </w:rPr>
        <w:t>: Higher efficiency equipment generally costs more to produce than less efficient equipment. Efficient components are also frequently bundled together with other features and sold at a premium. Therefore, prices for higher efficiency equipment tend to be higher at any point in time.</w:t>
      </w:r>
      <w:r w:rsidRPr="00A663AA">
        <w:rPr>
          <w:color w:val="auto"/>
          <w:kern w:val="2"/>
          <w:szCs w:val="22"/>
          <w:vertAlign w:val="superscript"/>
          <w:lang w:val="en-AU" w:eastAsia="en-US"/>
        </w:rPr>
        <w:footnoteReference w:id="6"/>
      </w:r>
      <w:r w:rsidRPr="00A663AA">
        <w:rPr>
          <w:color w:val="auto"/>
          <w:kern w:val="2"/>
          <w:szCs w:val="22"/>
          <w:lang w:val="en-AU" w:eastAsia="en-US"/>
        </w:rPr>
        <w:t xml:space="preserve"> </w:t>
      </w:r>
      <w:r w:rsidR="004529E6">
        <w:rPr>
          <w:color w:val="auto"/>
          <w:kern w:val="2"/>
          <w:szCs w:val="22"/>
          <w:lang w:val="en-AU" w:eastAsia="en-US"/>
        </w:rPr>
        <w:t xml:space="preserve"> The availability cost of finance also plays a significant role.</w:t>
      </w:r>
    </w:p>
    <w:p w14:paraId="1AFB4836" w14:textId="77777777" w:rsidR="004F14F0" w:rsidRPr="00A663AA" w:rsidRDefault="004F14F0" w:rsidP="004F14F0">
      <w:pPr>
        <w:spacing w:after="0"/>
        <w:ind w:left="720"/>
        <w:rPr>
          <w:strike/>
          <w:color w:val="auto"/>
          <w:kern w:val="2"/>
          <w:szCs w:val="22"/>
          <w:lang w:val="en-AU" w:eastAsia="en-US"/>
        </w:rPr>
      </w:pPr>
    </w:p>
    <w:p w14:paraId="221847A9" w14:textId="0AA8FA8A" w:rsidR="00225A6B" w:rsidRPr="00A663AA" w:rsidRDefault="00225A6B" w:rsidP="00736989">
      <w:pPr>
        <w:numPr>
          <w:ilvl w:val="0"/>
          <w:numId w:val="77"/>
        </w:numPr>
        <w:spacing w:after="0"/>
        <w:ind w:left="720"/>
        <w:rPr>
          <w:color w:val="auto"/>
          <w:kern w:val="2"/>
          <w:szCs w:val="22"/>
          <w:lang w:val="en-AU" w:eastAsia="en-US"/>
        </w:rPr>
      </w:pPr>
      <w:r w:rsidRPr="00A663AA">
        <w:rPr>
          <w:i/>
          <w:color w:val="auto"/>
          <w:kern w:val="2"/>
          <w:szCs w:val="22"/>
          <w:u w:val="single"/>
          <w:lang w:val="en-AU" w:eastAsia="en-US"/>
        </w:rPr>
        <w:t>Market</w:t>
      </w:r>
      <w:r w:rsidRPr="00A663AA">
        <w:rPr>
          <w:color w:val="auto"/>
          <w:kern w:val="2"/>
          <w:szCs w:val="22"/>
          <w:lang w:val="en-AU" w:eastAsia="en-US"/>
        </w:rPr>
        <w:t xml:space="preserve">: Often the purchasers of equipment are different than the users of the equipment, e.g. in rental housing. This can be a barrier to the purchase of the higher efficiency equipment as the incentive to do so is not </w:t>
      </w:r>
      <w:r w:rsidR="004C6282">
        <w:rPr>
          <w:color w:val="auto"/>
          <w:kern w:val="2"/>
          <w:szCs w:val="22"/>
          <w:lang w:val="en-AU" w:eastAsia="en-US"/>
        </w:rPr>
        <w:t xml:space="preserve">directly </w:t>
      </w:r>
      <w:r w:rsidRPr="00A663AA">
        <w:rPr>
          <w:color w:val="auto"/>
          <w:kern w:val="2"/>
          <w:szCs w:val="22"/>
          <w:lang w:val="en-AU" w:eastAsia="en-US"/>
        </w:rPr>
        <w:t xml:space="preserve">available to the purchaser. </w:t>
      </w:r>
    </w:p>
    <w:p w14:paraId="60789A68" w14:textId="77777777" w:rsidR="004F14F0" w:rsidRPr="004F14F0" w:rsidRDefault="004F14F0" w:rsidP="004F14F0">
      <w:pPr>
        <w:spacing w:after="0"/>
        <w:ind w:left="720"/>
        <w:rPr>
          <w:color w:val="auto"/>
          <w:kern w:val="2"/>
          <w:szCs w:val="22"/>
          <w:lang w:val="en-AU" w:eastAsia="en-US"/>
        </w:rPr>
      </w:pPr>
    </w:p>
    <w:p w14:paraId="1881DDB6" w14:textId="5771FD94" w:rsidR="00225A6B" w:rsidRPr="00A663AA" w:rsidRDefault="00225A6B" w:rsidP="00736989">
      <w:pPr>
        <w:numPr>
          <w:ilvl w:val="0"/>
          <w:numId w:val="77"/>
        </w:numPr>
        <w:spacing w:after="0"/>
        <w:ind w:left="720"/>
        <w:rPr>
          <w:color w:val="auto"/>
          <w:kern w:val="2"/>
          <w:szCs w:val="22"/>
          <w:lang w:val="en-AU" w:eastAsia="en-US"/>
        </w:rPr>
      </w:pPr>
      <w:r w:rsidRPr="00A663AA">
        <w:rPr>
          <w:i/>
          <w:color w:val="auto"/>
          <w:kern w:val="2"/>
          <w:szCs w:val="22"/>
          <w:u w:val="single"/>
          <w:lang w:val="en-AU" w:eastAsia="en-US"/>
        </w:rPr>
        <w:t>Information</w:t>
      </w:r>
      <w:r w:rsidRPr="00A663AA">
        <w:rPr>
          <w:color w:val="auto"/>
          <w:kern w:val="2"/>
          <w:szCs w:val="22"/>
          <w:lang w:val="en-AU" w:eastAsia="en-US"/>
        </w:rPr>
        <w:t xml:space="preserve">: Information regarding the availability or benefits of higher efficiency equipment may not be available to the end user. </w:t>
      </w:r>
      <w:r w:rsidR="007D246C">
        <w:rPr>
          <w:color w:val="auto"/>
          <w:kern w:val="2"/>
          <w:szCs w:val="22"/>
          <w:lang w:val="en-AU" w:eastAsia="en-US"/>
        </w:rPr>
        <w:t>EE</w:t>
      </w:r>
      <w:r w:rsidRPr="00A663AA">
        <w:rPr>
          <w:color w:val="auto"/>
          <w:kern w:val="2"/>
          <w:szCs w:val="22"/>
          <w:lang w:val="en-AU" w:eastAsia="en-US"/>
        </w:rPr>
        <w:t xml:space="preserve"> metrics can also be too technical or hard to understand. This type of barrier can be partially addressed through various types of mandatory or voluntary labelling schemes, star ratings, </w:t>
      </w:r>
      <w:r w:rsidR="00C7275E">
        <w:rPr>
          <w:color w:val="auto"/>
          <w:kern w:val="2"/>
          <w:szCs w:val="22"/>
          <w:lang w:val="en-AU" w:eastAsia="en-US"/>
        </w:rPr>
        <w:t xml:space="preserve">MEPS </w:t>
      </w:r>
      <w:r w:rsidRPr="00A663AA">
        <w:rPr>
          <w:color w:val="auto"/>
          <w:kern w:val="2"/>
          <w:szCs w:val="22"/>
          <w:lang w:val="en-AU" w:eastAsia="en-US"/>
        </w:rPr>
        <w:t>or other types of education and awareness programs.</w:t>
      </w:r>
    </w:p>
    <w:p w14:paraId="32E46649" w14:textId="77777777" w:rsidR="004F14F0" w:rsidRPr="004F14F0" w:rsidRDefault="004F14F0" w:rsidP="004F14F0">
      <w:pPr>
        <w:spacing w:after="0"/>
        <w:ind w:left="720"/>
        <w:rPr>
          <w:color w:val="auto"/>
          <w:kern w:val="2"/>
          <w:szCs w:val="22"/>
          <w:lang w:val="en-AU" w:eastAsia="en-US"/>
        </w:rPr>
      </w:pPr>
    </w:p>
    <w:p w14:paraId="49235540" w14:textId="219A2E06" w:rsidR="00225A6B" w:rsidRPr="00A663AA" w:rsidRDefault="00225A6B" w:rsidP="00736989">
      <w:pPr>
        <w:numPr>
          <w:ilvl w:val="0"/>
          <w:numId w:val="77"/>
        </w:numPr>
        <w:spacing w:after="0"/>
        <w:ind w:left="720"/>
        <w:rPr>
          <w:color w:val="auto"/>
          <w:kern w:val="2"/>
          <w:szCs w:val="22"/>
          <w:lang w:val="en-AU" w:eastAsia="en-US"/>
        </w:rPr>
      </w:pPr>
      <w:r w:rsidRPr="00A663AA">
        <w:rPr>
          <w:i/>
          <w:color w:val="auto"/>
          <w:kern w:val="2"/>
          <w:szCs w:val="22"/>
          <w:u w:val="single"/>
          <w:lang w:val="en-AU" w:eastAsia="en-US"/>
        </w:rPr>
        <w:t>Institutional and Regulatory</w:t>
      </w:r>
      <w:r w:rsidRPr="00A663AA">
        <w:rPr>
          <w:color w:val="auto"/>
          <w:kern w:val="2"/>
          <w:szCs w:val="22"/>
          <w:lang w:val="en-AU" w:eastAsia="en-US"/>
        </w:rPr>
        <w:t xml:space="preserve">: There may be a lack of legislation for </w:t>
      </w:r>
      <w:r>
        <w:rPr>
          <w:color w:val="auto"/>
          <w:kern w:val="2"/>
          <w:szCs w:val="22"/>
          <w:lang w:val="en-AU" w:eastAsia="en-US"/>
        </w:rPr>
        <w:t>EE</w:t>
      </w:r>
      <w:r w:rsidRPr="00A663AA">
        <w:rPr>
          <w:color w:val="auto"/>
          <w:kern w:val="2"/>
          <w:szCs w:val="22"/>
          <w:lang w:val="en-AU" w:eastAsia="en-US"/>
        </w:rPr>
        <w:t xml:space="preserve">, a non-existent or weak regulatory framework, weak or unenforceable standards or a lack of technical capacity to enforce </w:t>
      </w:r>
      <w:r>
        <w:rPr>
          <w:color w:val="auto"/>
          <w:kern w:val="2"/>
          <w:szCs w:val="22"/>
          <w:lang w:val="en-AU" w:eastAsia="en-US"/>
        </w:rPr>
        <w:t xml:space="preserve">EE related activities </w:t>
      </w:r>
      <w:r w:rsidRPr="00A663AA">
        <w:rPr>
          <w:color w:val="auto"/>
          <w:kern w:val="2"/>
          <w:szCs w:val="22"/>
          <w:lang w:val="en-AU" w:eastAsia="en-US"/>
        </w:rPr>
        <w:t>such as standards or labelling.</w:t>
      </w:r>
    </w:p>
    <w:p w14:paraId="493CAACD" w14:textId="77777777" w:rsidR="004F14F0" w:rsidRPr="004F14F0" w:rsidRDefault="004F14F0" w:rsidP="004F14F0">
      <w:pPr>
        <w:spacing w:after="0"/>
        <w:ind w:left="720"/>
        <w:rPr>
          <w:color w:val="auto"/>
          <w:kern w:val="2"/>
          <w:szCs w:val="22"/>
          <w:lang w:val="en-AU" w:eastAsia="en-US"/>
        </w:rPr>
      </w:pPr>
    </w:p>
    <w:p w14:paraId="6B8A52B0" w14:textId="32A6EF72" w:rsidR="00225A6B" w:rsidRPr="00A663AA" w:rsidRDefault="00225A6B" w:rsidP="00736989">
      <w:pPr>
        <w:numPr>
          <w:ilvl w:val="0"/>
          <w:numId w:val="77"/>
        </w:numPr>
        <w:spacing w:after="0"/>
        <w:ind w:left="720"/>
        <w:rPr>
          <w:color w:val="auto"/>
          <w:kern w:val="2"/>
          <w:szCs w:val="22"/>
          <w:lang w:val="en-AU" w:eastAsia="en-US"/>
        </w:rPr>
      </w:pPr>
      <w:r w:rsidRPr="00A663AA">
        <w:rPr>
          <w:i/>
          <w:color w:val="auto"/>
          <w:kern w:val="2"/>
          <w:szCs w:val="22"/>
          <w:u w:val="single"/>
          <w:lang w:val="en-AU" w:eastAsia="en-US"/>
        </w:rPr>
        <w:t>Technical</w:t>
      </w:r>
      <w:r w:rsidRPr="00A663AA">
        <w:rPr>
          <w:color w:val="auto"/>
          <w:kern w:val="2"/>
          <w:szCs w:val="22"/>
          <w:lang w:val="en-AU" w:eastAsia="en-US"/>
        </w:rPr>
        <w:t xml:space="preserve">: Testing facilities to evaluate, measure and verify </w:t>
      </w:r>
      <w:r w:rsidR="007D246C">
        <w:rPr>
          <w:color w:val="auto"/>
          <w:kern w:val="2"/>
          <w:szCs w:val="22"/>
          <w:lang w:val="en-AU" w:eastAsia="en-US"/>
        </w:rPr>
        <w:t>EE</w:t>
      </w:r>
      <w:r w:rsidRPr="00A663AA">
        <w:rPr>
          <w:color w:val="auto"/>
          <w:kern w:val="2"/>
          <w:szCs w:val="22"/>
          <w:lang w:val="en-AU" w:eastAsia="en-US"/>
        </w:rPr>
        <w:t xml:space="preserve"> may not be available </w:t>
      </w:r>
      <w:r w:rsidR="007D246C">
        <w:rPr>
          <w:color w:val="auto"/>
          <w:kern w:val="2"/>
          <w:szCs w:val="22"/>
          <w:lang w:val="en-AU" w:eastAsia="en-US"/>
        </w:rPr>
        <w:t xml:space="preserve">at all </w:t>
      </w:r>
      <w:r w:rsidRPr="00A663AA">
        <w:rPr>
          <w:color w:val="auto"/>
          <w:kern w:val="2"/>
          <w:szCs w:val="22"/>
          <w:lang w:val="en-AU" w:eastAsia="en-US"/>
        </w:rPr>
        <w:t xml:space="preserve">or </w:t>
      </w:r>
      <w:r w:rsidR="007D246C">
        <w:rPr>
          <w:color w:val="auto"/>
          <w:kern w:val="2"/>
          <w:szCs w:val="22"/>
          <w:lang w:val="en-AU" w:eastAsia="en-US"/>
        </w:rPr>
        <w:t xml:space="preserve">lack sufficient </w:t>
      </w:r>
      <w:r w:rsidRPr="00A663AA">
        <w:rPr>
          <w:color w:val="auto"/>
          <w:kern w:val="2"/>
          <w:szCs w:val="22"/>
          <w:lang w:val="en-AU" w:eastAsia="en-US"/>
        </w:rPr>
        <w:t>resources or capacity</w:t>
      </w:r>
      <w:r w:rsidR="007D246C">
        <w:rPr>
          <w:color w:val="auto"/>
          <w:kern w:val="2"/>
          <w:szCs w:val="22"/>
          <w:lang w:val="en-AU" w:eastAsia="en-US"/>
        </w:rPr>
        <w:t xml:space="preserve"> to serve the demand</w:t>
      </w:r>
      <w:r w:rsidRPr="00A663AA">
        <w:rPr>
          <w:color w:val="auto"/>
          <w:kern w:val="2"/>
          <w:szCs w:val="22"/>
          <w:lang w:val="en-AU" w:eastAsia="en-US"/>
        </w:rPr>
        <w:t>. Local manufacturers may lack the technical capacity to manufacture high efficiency equipment. Intellectual property may also be a barrier to manufacturing high efficiency components.</w:t>
      </w:r>
    </w:p>
    <w:p w14:paraId="65A125E7" w14:textId="77777777" w:rsidR="004F14F0" w:rsidRPr="004F14F0" w:rsidRDefault="004F14F0" w:rsidP="004F14F0">
      <w:pPr>
        <w:spacing w:after="0"/>
        <w:ind w:left="720"/>
        <w:rPr>
          <w:color w:val="auto"/>
          <w:kern w:val="2"/>
          <w:szCs w:val="22"/>
          <w:lang w:val="en-AU" w:eastAsia="en-US"/>
        </w:rPr>
      </w:pPr>
    </w:p>
    <w:p w14:paraId="34930CFE" w14:textId="722DE46D" w:rsidR="00225A6B" w:rsidRPr="00A663AA" w:rsidRDefault="00225A6B" w:rsidP="00736989">
      <w:pPr>
        <w:numPr>
          <w:ilvl w:val="0"/>
          <w:numId w:val="77"/>
        </w:numPr>
        <w:spacing w:after="0"/>
        <w:ind w:left="720"/>
        <w:rPr>
          <w:color w:val="auto"/>
          <w:kern w:val="2"/>
          <w:szCs w:val="22"/>
          <w:lang w:val="en-AU" w:eastAsia="en-US"/>
        </w:rPr>
      </w:pPr>
      <w:r w:rsidRPr="00A663AA">
        <w:rPr>
          <w:i/>
          <w:color w:val="auto"/>
          <w:kern w:val="2"/>
          <w:szCs w:val="22"/>
          <w:u w:val="single"/>
          <w:lang w:val="en-AU" w:eastAsia="en-US"/>
        </w:rPr>
        <w:t>Other</w:t>
      </w:r>
      <w:r w:rsidRPr="00A663AA">
        <w:rPr>
          <w:color w:val="auto"/>
          <w:kern w:val="2"/>
          <w:szCs w:val="22"/>
          <w:lang w:val="en-AU" w:eastAsia="en-US"/>
        </w:rPr>
        <w:t>: There may be misperceptions about high efficiency products</w:t>
      </w:r>
      <w:r w:rsidR="007D246C">
        <w:rPr>
          <w:color w:val="auto"/>
          <w:kern w:val="2"/>
          <w:szCs w:val="22"/>
          <w:lang w:val="en-AU" w:eastAsia="en-US"/>
        </w:rPr>
        <w:t>,</w:t>
      </w:r>
      <w:r w:rsidRPr="00A663AA">
        <w:rPr>
          <w:color w:val="auto"/>
          <w:kern w:val="2"/>
          <w:szCs w:val="22"/>
          <w:lang w:val="en-AU" w:eastAsia="en-US"/>
        </w:rPr>
        <w:t xml:space="preserve"> </w:t>
      </w:r>
      <w:r w:rsidR="007D246C">
        <w:rPr>
          <w:color w:val="auto"/>
          <w:kern w:val="2"/>
          <w:szCs w:val="22"/>
          <w:lang w:val="en-AU" w:eastAsia="en-US"/>
        </w:rPr>
        <w:t>i.e.,</w:t>
      </w:r>
      <w:r w:rsidRPr="00A663AA">
        <w:rPr>
          <w:color w:val="auto"/>
          <w:kern w:val="2"/>
          <w:szCs w:val="22"/>
          <w:lang w:val="en-AU" w:eastAsia="en-US"/>
        </w:rPr>
        <w:t xml:space="preserve"> that they may suffer in terms of quality and/or maintenance or other performance criteria etc.</w:t>
      </w:r>
    </w:p>
    <w:p w14:paraId="1F6C0E29" w14:textId="77777777" w:rsidR="004F14F0" w:rsidRPr="004F14F0" w:rsidRDefault="004F14F0" w:rsidP="004F14F0">
      <w:pPr>
        <w:spacing w:after="0"/>
        <w:ind w:left="720"/>
        <w:rPr>
          <w:color w:val="auto"/>
          <w:kern w:val="2"/>
          <w:szCs w:val="22"/>
          <w:lang w:val="en-AU" w:eastAsia="en-US"/>
        </w:rPr>
      </w:pPr>
    </w:p>
    <w:p w14:paraId="08664B36" w14:textId="0A6C0C85" w:rsidR="00225A6B" w:rsidRPr="00A663AA" w:rsidRDefault="00225A6B" w:rsidP="00736989">
      <w:pPr>
        <w:numPr>
          <w:ilvl w:val="0"/>
          <w:numId w:val="77"/>
        </w:numPr>
        <w:spacing w:after="0"/>
        <w:ind w:left="720"/>
        <w:rPr>
          <w:color w:val="auto"/>
          <w:kern w:val="2"/>
          <w:szCs w:val="22"/>
          <w:lang w:val="en-AU" w:eastAsia="en-US"/>
        </w:rPr>
      </w:pPr>
      <w:r w:rsidRPr="00A663AA">
        <w:rPr>
          <w:i/>
          <w:color w:val="auto"/>
          <w:kern w:val="2"/>
          <w:szCs w:val="22"/>
          <w:u w:val="single"/>
          <w:lang w:val="en-AU" w:eastAsia="en-US"/>
        </w:rPr>
        <w:t>Service competency:</w:t>
      </w:r>
      <w:r w:rsidRPr="00A663AA">
        <w:rPr>
          <w:color w:val="auto"/>
          <w:kern w:val="2"/>
          <w:szCs w:val="22"/>
          <w:lang w:val="en-AU" w:eastAsia="en-US"/>
        </w:rPr>
        <w:t xml:space="preserve"> High efficiency equipment may require </w:t>
      </w:r>
      <w:r w:rsidR="004C6282">
        <w:rPr>
          <w:color w:val="auto"/>
          <w:kern w:val="2"/>
          <w:szCs w:val="22"/>
          <w:lang w:val="en-AU" w:eastAsia="en-US"/>
        </w:rPr>
        <w:t xml:space="preserve">the </w:t>
      </w:r>
      <w:r w:rsidRPr="00A663AA">
        <w:rPr>
          <w:color w:val="auto"/>
          <w:kern w:val="2"/>
          <w:szCs w:val="22"/>
          <w:lang w:val="en-AU" w:eastAsia="en-US"/>
        </w:rPr>
        <w:t>use of the latest technology that requires new technic</w:t>
      </w:r>
      <w:r w:rsidR="004C6282">
        <w:rPr>
          <w:color w:val="auto"/>
          <w:kern w:val="2"/>
          <w:szCs w:val="22"/>
          <w:lang w:val="en-AU" w:eastAsia="en-US"/>
        </w:rPr>
        <w:t>al</w:t>
      </w:r>
      <w:r w:rsidRPr="00A663AA">
        <w:rPr>
          <w:color w:val="auto"/>
          <w:kern w:val="2"/>
          <w:szCs w:val="22"/>
          <w:lang w:val="en-AU" w:eastAsia="en-US"/>
        </w:rPr>
        <w:t xml:space="preserve"> skills. If there is skill gap between that required for the equipment selected and the competency of the service provider</w:t>
      </w:r>
      <w:r w:rsidR="004C6282">
        <w:rPr>
          <w:color w:val="auto"/>
          <w:kern w:val="2"/>
          <w:szCs w:val="22"/>
          <w:lang w:val="en-AU" w:eastAsia="en-US"/>
        </w:rPr>
        <w:t xml:space="preserve"> and their technicians</w:t>
      </w:r>
      <w:r w:rsidRPr="00A663AA">
        <w:rPr>
          <w:color w:val="auto"/>
          <w:kern w:val="2"/>
          <w:szCs w:val="22"/>
          <w:lang w:val="en-AU" w:eastAsia="en-US"/>
        </w:rPr>
        <w:t>, high efficiency equipment might not be used.</w:t>
      </w:r>
    </w:p>
    <w:p w14:paraId="6132DE98" w14:textId="78DAC70D" w:rsidR="00951D8A" w:rsidRPr="00F867D0" w:rsidRDefault="00951D8A" w:rsidP="00951D8A">
      <w:pPr>
        <w:spacing w:after="0"/>
        <w:rPr>
          <w:bCs/>
          <w:szCs w:val="22"/>
        </w:rPr>
      </w:pPr>
    </w:p>
    <w:p w14:paraId="7AB85C3D" w14:textId="5EF5F833" w:rsidR="00A663AA" w:rsidRPr="000F749F" w:rsidRDefault="00A663AA" w:rsidP="000F749F">
      <w:pPr>
        <w:pStyle w:val="Heading2"/>
        <w:rPr>
          <w:b w:val="0"/>
        </w:rPr>
      </w:pPr>
      <w:bookmarkStart w:id="53" w:name="_Toc515454360"/>
      <w:bookmarkStart w:id="54" w:name="_Hlk514683409"/>
      <w:r w:rsidRPr="000F749F">
        <w:t>2.2</w:t>
      </w:r>
      <w:r w:rsidRPr="000F749F">
        <w:tab/>
        <w:t>Long-term sustainable performance and viability</w:t>
      </w:r>
      <w:bookmarkEnd w:id="53"/>
      <w:r w:rsidRPr="000F749F">
        <w:t xml:space="preserve"> </w:t>
      </w:r>
    </w:p>
    <w:p w14:paraId="391800AF" w14:textId="01FAD22F" w:rsidR="004F14F0" w:rsidRDefault="00610A50" w:rsidP="00610A50">
      <w:pPr>
        <w:spacing w:after="0"/>
        <w:rPr>
          <w:b/>
          <w:sz w:val="24"/>
        </w:rPr>
      </w:pPr>
      <w:bookmarkStart w:id="55" w:name="_Hlk504832953"/>
      <w:bookmarkStart w:id="56" w:name="_Toc509492732"/>
      <w:r w:rsidRPr="00F867D0">
        <w:rPr>
          <w:b/>
          <w:sz w:val="24"/>
        </w:rPr>
        <w:t>Summary</w:t>
      </w:r>
    </w:p>
    <w:p w14:paraId="0E5E1238" w14:textId="77777777" w:rsidR="00AF36BF" w:rsidRDefault="00AF36BF" w:rsidP="00610A50">
      <w:pPr>
        <w:spacing w:after="0"/>
        <w:rPr>
          <w:b/>
          <w:sz w:val="24"/>
        </w:rPr>
      </w:pPr>
    </w:p>
    <w:p w14:paraId="040F1299" w14:textId="77777777" w:rsidR="00FE106C" w:rsidRPr="005A7023" w:rsidRDefault="00FE106C" w:rsidP="00736989">
      <w:pPr>
        <w:pStyle w:val="ListParagraph"/>
        <w:numPr>
          <w:ilvl w:val="0"/>
          <w:numId w:val="90"/>
        </w:numPr>
      </w:pPr>
      <w:bookmarkStart w:id="57" w:name="_Hlk514596494"/>
      <w:r w:rsidRPr="005A7023">
        <w:t xml:space="preserve">In assessing consideration of long-term sustainable performance and viability (of technology options and requirements in the context of maintaining or exceeding energy performance), it was necessary for the Task Force to define the terms and timeframes for this assessment. The Task Force interpreted the term “long-term” for RAHCP technologies to mean for a period of up to 15 years, which is consistent with previous assessments of this term used and reported by the TEAP. </w:t>
      </w:r>
    </w:p>
    <w:p w14:paraId="2BE54C84" w14:textId="77777777" w:rsidR="004F14F0" w:rsidRDefault="004F14F0" w:rsidP="00BF4C57">
      <w:pPr>
        <w:ind w:left="630"/>
      </w:pPr>
    </w:p>
    <w:p w14:paraId="6B2DB101" w14:textId="5EAFE6E4" w:rsidR="00FE106C" w:rsidRDefault="00FE106C" w:rsidP="00736989">
      <w:pPr>
        <w:pStyle w:val="ListParagraph"/>
        <w:numPr>
          <w:ilvl w:val="0"/>
          <w:numId w:val="90"/>
        </w:numPr>
      </w:pPr>
      <w:r w:rsidRPr="005A7023">
        <w:t>For the phrase “ sustainable performance and viability” (over the 15-year “long-term” timeframe), the Task Force looked to assess whether or not the options and requirements for technology that are commercially available today and being commercially developed for the nearer term (which include zero or low-GWP refrigerants - single chemicals and blends, and compatible equipment/hardware), would be anticipated to at least meet EE needs (i.e., would be viable) and whether or not they would remain viable over the next 15 years, including considerations for servicing.</w:t>
      </w:r>
    </w:p>
    <w:p w14:paraId="1D39AA7F" w14:textId="77777777" w:rsidR="004F14F0" w:rsidRDefault="004F14F0" w:rsidP="00BF4C57">
      <w:pPr>
        <w:ind w:left="630"/>
      </w:pPr>
    </w:p>
    <w:p w14:paraId="52EC63FB" w14:textId="77777777" w:rsidR="00FE106C" w:rsidRPr="005A7023" w:rsidRDefault="00FE106C" w:rsidP="00736989">
      <w:pPr>
        <w:pStyle w:val="ListParagraph"/>
        <w:numPr>
          <w:ilvl w:val="0"/>
          <w:numId w:val="90"/>
        </w:numPr>
      </w:pPr>
      <w:r w:rsidRPr="005A7023">
        <w:t xml:space="preserve">Therefore, the relevant aspects that will impact the long-term sustainment of performance are expected to be as follows:  </w:t>
      </w:r>
    </w:p>
    <w:p w14:paraId="51C46E52" w14:textId="77777777" w:rsidR="00FE106C" w:rsidRPr="005A7023" w:rsidRDefault="00FE106C" w:rsidP="00736989">
      <w:pPr>
        <w:widowControl w:val="0"/>
        <w:numPr>
          <w:ilvl w:val="0"/>
          <w:numId w:val="85"/>
        </w:numPr>
        <w:tabs>
          <w:tab w:val="left" w:pos="220"/>
          <w:tab w:val="left" w:pos="270"/>
        </w:tabs>
        <w:autoSpaceDE w:val="0"/>
        <w:autoSpaceDN w:val="0"/>
        <w:adjustRightInd w:val="0"/>
        <w:spacing w:after="0"/>
        <w:contextualSpacing/>
        <w:rPr>
          <w:color w:val="auto"/>
          <w:kern w:val="2"/>
          <w:szCs w:val="22"/>
        </w:rPr>
      </w:pPr>
      <w:r w:rsidRPr="005A7023">
        <w:rPr>
          <w:color w:val="auto"/>
          <w:kern w:val="2"/>
          <w:szCs w:val="22"/>
        </w:rPr>
        <w:t>Technological environment,</w:t>
      </w:r>
    </w:p>
    <w:p w14:paraId="7BDD0525" w14:textId="33A5B606" w:rsidR="00FE106C" w:rsidRDefault="00FE106C" w:rsidP="00736989">
      <w:pPr>
        <w:widowControl w:val="0"/>
        <w:numPr>
          <w:ilvl w:val="0"/>
          <w:numId w:val="85"/>
        </w:numPr>
        <w:tabs>
          <w:tab w:val="left" w:pos="220"/>
          <w:tab w:val="left" w:pos="270"/>
        </w:tabs>
        <w:autoSpaceDE w:val="0"/>
        <w:autoSpaceDN w:val="0"/>
        <w:adjustRightInd w:val="0"/>
        <w:spacing w:after="0"/>
        <w:contextualSpacing/>
        <w:rPr>
          <w:color w:val="auto"/>
          <w:kern w:val="2"/>
          <w:szCs w:val="22"/>
        </w:rPr>
      </w:pPr>
      <w:r w:rsidRPr="005A7023">
        <w:rPr>
          <w:color w:val="auto"/>
          <w:kern w:val="2"/>
          <w:szCs w:val="22"/>
        </w:rPr>
        <w:t>Minimum Energy Performance Standards (MEPS)</w:t>
      </w:r>
      <w:r>
        <w:rPr>
          <w:color w:val="auto"/>
          <w:kern w:val="2"/>
          <w:szCs w:val="22"/>
        </w:rPr>
        <w:t>.</w:t>
      </w:r>
    </w:p>
    <w:p w14:paraId="7744DEC4" w14:textId="77777777" w:rsidR="004F14F0" w:rsidRPr="004F14F0" w:rsidRDefault="004F14F0" w:rsidP="004F14F0">
      <w:pPr>
        <w:widowControl w:val="0"/>
        <w:tabs>
          <w:tab w:val="left" w:pos="220"/>
          <w:tab w:val="left" w:pos="270"/>
        </w:tabs>
        <w:autoSpaceDE w:val="0"/>
        <w:autoSpaceDN w:val="0"/>
        <w:adjustRightInd w:val="0"/>
        <w:spacing w:after="0"/>
        <w:ind w:left="1080"/>
        <w:contextualSpacing/>
        <w:rPr>
          <w:color w:val="auto"/>
          <w:kern w:val="2"/>
          <w:szCs w:val="22"/>
        </w:rPr>
      </w:pPr>
    </w:p>
    <w:p w14:paraId="691B529A" w14:textId="2821901D" w:rsidR="00FE106C" w:rsidRPr="005A7023" w:rsidRDefault="00FE106C" w:rsidP="00736989">
      <w:pPr>
        <w:pStyle w:val="ListParagraph"/>
        <w:numPr>
          <w:ilvl w:val="0"/>
          <w:numId w:val="90"/>
        </w:numPr>
      </w:pPr>
      <w:r>
        <w:t>While</w:t>
      </w:r>
      <w:r w:rsidRPr="005A7023">
        <w:t xml:space="preserve"> the challenge of researching and finding </w:t>
      </w:r>
      <w:r>
        <w:t xml:space="preserve">sound, </w:t>
      </w:r>
      <w:r w:rsidRPr="005A7023">
        <w:t>technical solutions</w:t>
      </w:r>
      <w:r>
        <w:t xml:space="preserve"> is important, in some cases it may be even more important to ensure engagement with </w:t>
      </w:r>
      <w:r w:rsidRPr="005A7023">
        <w:t xml:space="preserve">the customer and the industry </w:t>
      </w:r>
      <w:r>
        <w:t>and consideration of</w:t>
      </w:r>
      <w:r w:rsidRPr="005A7023">
        <w:t xml:space="preserve"> issues of the whole supply chain</w:t>
      </w:r>
      <w:r>
        <w:t xml:space="preserve"> in order to ensure that </w:t>
      </w:r>
      <w:r w:rsidRPr="005A7023">
        <w:t xml:space="preserve">the process of putting those technologies to practical use </w:t>
      </w:r>
      <w:r>
        <w:t>is not</w:t>
      </w:r>
      <w:r w:rsidRPr="005A7023">
        <w:t xml:space="preserve"> jeopardized.</w:t>
      </w:r>
    </w:p>
    <w:bookmarkEnd w:id="57"/>
    <w:p w14:paraId="664812A1" w14:textId="117ED88F" w:rsidR="00A663AA" w:rsidRPr="00F867D0" w:rsidRDefault="00A663AA" w:rsidP="00A663AA">
      <w:pPr>
        <w:spacing w:after="0"/>
        <w:rPr>
          <w:szCs w:val="22"/>
        </w:rPr>
      </w:pPr>
    </w:p>
    <w:p w14:paraId="75FFA033" w14:textId="32E176D0" w:rsidR="00A663AA" w:rsidRPr="000F749F" w:rsidRDefault="00A663AA" w:rsidP="000F749F">
      <w:pPr>
        <w:pStyle w:val="Heading3"/>
        <w:rPr>
          <w:b w:val="0"/>
        </w:rPr>
      </w:pPr>
      <w:bookmarkStart w:id="58" w:name="_Toc515454361"/>
      <w:bookmarkEnd w:id="54"/>
      <w:r w:rsidRPr="000F749F">
        <w:t>2.2.1</w:t>
      </w:r>
      <w:r w:rsidRPr="000F749F">
        <w:tab/>
        <w:t>Technological environment</w:t>
      </w:r>
      <w:bookmarkEnd w:id="58"/>
    </w:p>
    <w:p w14:paraId="6AB1AC13" w14:textId="47A6D1CF" w:rsidR="00A663AA" w:rsidRPr="00F867D0" w:rsidRDefault="00A663AA" w:rsidP="00A663AA">
      <w:pPr>
        <w:spacing w:after="0"/>
        <w:rPr>
          <w:szCs w:val="22"/>
        </w:rPr>
      </w:pPr>
      <w:r w:rsidRPr="00F867D0">
        <w:rPr>
          <w:szCs w:val="22"/>
        </w:rPr>
        <w:t xml:space="preserve">The technological development in building materials, energy sources, controls and communication </w:t>
      </w:r>
      <w:r w:rsidR="00951D8A" w:rsidRPr="00F867D0">
        <w:rPr>
          <w:szCs w:val="22"/>
        </w:rPr>
        <w:t xml:space="preserve">expand </w:t>
      </w:r>
      <w:r w:rsidRPr="00F867D0">
        <w:rPr>
          <w:szCs w:val="22"/>
        </w:rPr>
        <w:t xml:space="preserve">the </w:t>
      </w:r>
      <w:r w:rsidR="00951D8A" w:rsidRPr="00F867D0">
        <w:rPr>
          <w:szCs w:val="22"/>
        </w:rPr>
        <w:t xml:space="preserve">concept of </w:t>
      </w:r>
      <w:r w:rsidRPr="00F867D0">
        <w:rPr>
          <w:szCs w:val="22"/>
        </w:rPr>
        <w:t>sustainability beyond th</w:t>
      </w:r>
      <w:r w:rsidR="00951D8A" w:rsidRPr="00F867D0">
        <w:rPr>
          <w:szCs w:val="22"/>
        </w:rPr>
        <w:t xml:space="preserve">at of only the </w:t>
      </w:r>
      <w:r w:rsidRPr="00F867D0">
        <w:rPr>
          <w:szCs w:val="22"/>
        </w:rPr>
        <w:t xml:space="preserve">equipment. Equipment and systems are smarter and can interact with surrounding environment and </w:t>
      </w:r>
      <w:r w:rsidR="00285C72">
        <w:rPr>
          <w:szCs w:val="22"/>
        </w:rPr>
        <w:t>changing</w:t>
      </w:r>
      <w:r w:rsidR="00285C72" w:rsidRPr="00F867D0">
        <w:rPr>
          <w:szCs w:val="22"/>
        </w:rPr>
        <w:t xml:space="preserve"> </w:t>
      </w:r>
      <w:r w:rsidRPr="00F867D0">
        <w:rPr>
          <w:szCs w:val="22"/>
        </w:rPr>
        <w:t xml:space="preserve">application demands. </w:t>
      </w:r>
    </w:p>
    <w:p w14:paraId="1733F09E" w14:textId="77777777" w:rsidR="00951D8A" w:rsidRPr="00F867D0" w:rsidRDefault="00951D8A" w:rsidP="00A663AA">
      <w:pPr>
        <w:spacing w:after="0"/>
        <w:rPr>
          <w:szCs w:val="22"/>
        </w:rPr>
      </w:pPr>
    </w:p>
    <w:p w14:paraId="0FB2BC6A" w14:textId="1085B8AA" w:rsidR="00A663AA" w:rsidRDefault="00A663AA" w:rsidP="00A663AA">
      <w:pPr>
        <w:spacing w:after="0"/>
        <w:rPr>
          <w:szCs w:val="22"/>
        </w:rPr>
      </w:pPr>
      <w:r w:rsidRPr="00F867D0">
        <w:rPr>
          <w:szCs w:val="22"/>
        </w:rPr>
        <w:t xml:space="preserve">This approach is </w:t>
      </w:r>
      <w:r w:rsidR="00285C72">
        <w:rPr>
          <w:szCs w:val="22"/>
        </w:rPr>
        <w:t xml:space="preserve">evident </w:t>
      </w:r>
      <w:r w:rsidRPr="00F867D0">
        <w:rPr>
          <w:szCs w:val="22"/>
        </w:rPr>
        <w:t>in buildings</w:t>
      </w:r>
      <w:r w:rsidR="00285C72">
        <w:rPr>
          <w:szCs w:val="22"/>
        </w:rPr>
        <w:t xml:space="preserve"> and</w:t>
      </w:r>
      <w:r w:rsidRPr="00F867D0">
        <w:rPr>
          <w:szCs w:val="22"/>
        </w:rPr>
        <w:t xml:space="preserve"> </w:t>
      </w:r>
      <w:r w:rsidR="00A254A6">
        <w:rPr>
          <w:szCs w:val="22"/>
        </w:rPr>
        <w:t xml:space="preserve">the </w:t>
      </w:r>
      <w:r w:rsidRPr="00F867D0">
        <w:rPr>
          <w:szCs w:val="22"/>
        </w:rPr>
        <w:t>sustainable building concept</w:t>
      </w:r>
      <w:r w:rsidR="00A254A6">
        <w:rPr>
          <w:szCs w:val="22"/>
        </w:rPr>
        <w:t>. S</w:t>
      </w:r>
      <w:r w:rsidRPr="00F867D0">
        <w:rPr>
          <w:szCs w:val="22"/>
        </w:rPr>
        <w:t>ustainable building design can lead to great reductions in annualized energy use and</w:t>
      </w:r>
      <w:r w:rsidR="00285C72">
        <w:rPr>
          <w:szCs w:val="22"/>
        </w:rPr>
        <w:t>,</w:t>
      </w:r>
      <w:r w:rsidRPr="00F867D0">
        <w:rPr>
          <w:szCs w:val="22"/>
        </w:rPr>
        <w:t xml:space="preserve"> in some cases, </w:t>
      </w:r>
      <w:r w:rsidR="00285C72">
        <w:rPr>
          <w:szCs w:val="22"/>
        </w:rPr>
        <w:t xml:space="preserve">can </w:t>
      </w:r>
      <w:r w:rsidRPr="00F867D0">
        <w:rPr>
          <w:szCs w:val="22"/>
        </w:rPr>
        <w:t>eliminate the annualized cost of energy (Net-Zero-Energy-Buildings).</w:t>
      </w:r>
      <w:r w:rsidR="00951D8A" w:rsidRPr="00F867D0">
        <w:rPr>
          <w:szCs w:val="22"/>
        </w:rPr>
        <w:t xml:space="preserve"> T</w:t>
      </w:r>
      <w:r w:rsidRPr="00F867D0">
        <w:rPr>
          <w:szCs w:val="22"/>
        </w:rPr>
        <w:t xml:space="preserve">he sustainable building concept </w:t>
      </w:r>
      <w:r w:rsidR="00951D8A" w:rsidRPr="00F867D0">
        <w:rPr>
          <w:szCs w:val="22"/>
        </w:rPr>
        <w:t>looks at the b</w:t>
      </w:r>
      <w:r w:rsidRPr="00F867D0">
        <w:rPr>
          <w:szCs w:val="22"/>
        </w:rPr>
        <w:t xml:space="preserve">uilding </w:t>
      </w:r>
      <w:r w:rsidR="00951D8A" w:rsidRPr="00F867D0">
        <w:rPr>
          <w:szCs w:val="22"/>
        </w:rPr>
        <w:t>l</w:t>
      </w:r>
      <w:r w:rsidRPr="00F867D0">
        <w:rPr>
          <w:szCs w:val="22"/>
        </w:rPr>
        <w:t>ocation, materials, systems, equipment, occupants and controls as an integrated system designed for better environmental benefits. Measures considered to evaluate the sustainability of a building are as follows:</w:t>
      </w:r>
    </w:p>
    <w:p w14:paraId="750A10B2" w14:textId="77777777" w:rsidR="00202E86" w:rsidRPr="00F867D0" w:rsidRDefault="00202E86" w:rsidP="00A663AA">
      <w:pPr>
        <w:spacing w:after="0"/>
        <w:rPr>
          <w:szCs w:val="22"/>
        </w:rPr>
      </w:pPr>
    </w:p>
    <w:p w14:paraId="56F2EC53" w14:textId="15EAA7E3" w:rsidR="00A663AA" w:rsidRPr="00F867D0" w:rsidRDefault="00A663AA" w:rsidP="00736989">
      <w:pPr>
        <w:numPr>
          <w:ilvl w:val="0"/>
          <w:numId w:val="56"/>
        </w:numPr>
        <w:spacing w:after="0"/>
        <w:rPr>
          <w:color w:val="auto"/>
          <w:kern w:val="2"/>
          <w:szCs w:val="22"/>
        </w:rPr>
      </w:pPr>
      <w:r w:rsidRPr="00F867D0">
        <w:rPr>
          <w:color w:val="auto"/>
          <w:kern w:val="2"/>
          <w:szCs w:val="22"/>
        </w:rPr>
        <w:t>lower CO</w:t>
      </w:r>
      <w:r w:rsidRPr="00F867D0">
        <w:rPr>
          <w:color w:val="auto"/>
          <w:kern w:val="2"/>
          <w:szCs w:val="22"/>
          <w:vertAlign w:val="subscript"/>
        </w:rPr>
        <w:t>2</w:t>
      </w:r>
      <w:r w:rsidRPr="00F867D0">
        <w:rPr>
          <w:color w:val="auto"/>
          <w:kern w:val="2"/>
          <w:szCs w:val="22"/>
        </w:rPr>
        <w:t xml:space="preserve"> emissions</w:t>
      </w:r>
      <w:r w:rsidR="00A254A6">
        <w:rPr>
          <w:color w:val="auto"/>
          <w:kern w:val="2"/>
          <w:szCs w:val="22"/>
        </w:rPr>
        <w:t xml:space="preserve"> (direct and indirect RACHP emissions)</w:t>
      </w:r>
      <w:r w:rsidRPr="00F867D0">
        <w:rPr>
          <w:color w:val="auto"/>
          <w:kern w:val="2"/>
          <w:szCs w:val="22"/>
        </w:rPr>
        <w:t>,</w:t>
      </w:r>
    </w:p>
    <w:p w14:paraId="5836B586" w14:textId="77777777" w:rsidR="00202E86" w:rsidRDefault="00202E86" w:rsidP="00202E86">
      <w:pPr>
        <w:spacing w:after="0"/>
        <w:ind w:left="720"/>
        <w:rPr>
          <w:color w:val="auto"/>
          <w:kern w:val="2"/>
          <w:szCs w:val="22"/>
        </w:rPr>
      </w:pPr>
    </w:p>
    <w:p w14:paraId="4061005F" w14:textId="7D559B60" w:rsidR="00A663AA" w:rsidRPr="00F867D0" w:rsidRDefault="00A663AA" w:rsidP="00736989">
      <w:pPr>
        <w:numPr>
          <w:ilvl w:val="0"/>
          <w:numId w:val="56"/>
        </w:numPr>
        <w:spacing w:after="0"/>
        <w:rPr>
          <w:color w:val="auto"/>
          <w:kern w:val="2"/>
          <w:szCs w:val="22"/>
        </w:rPr>
      </w:pPr>
      <w:r w:rsidRPr="00F867D0">
        <w:rPr>
          <w:color w:val="auto"/>
          <w:kern w:val="2"/>
          <w:szCs w:val="22"/>
        </w:rPr>
        <w:t>lower water consumption,</w:t>
      </w:r>
    </w:p>
    <w:p w14:paraId="439FE2BE" w14:textId="77777777" w:rsidR="00202E86" w:rsidRDefault="00202E86" w:rsidP="00202E86">
      <w:pPr>
        <w:spacing w:after="0"/>
        <w:ind w:left="720"/>
        <w:rPr>
          <w:color w:val="auto"/>
          <w:kern w:val="2"/>
          <w:szCs w:val="22"/>
        </w:rPr>
      </w:pPr>
    </w:p>
    <w:p w14:paraId="64581CA5" w14:textId="5547EEC5" w:rsidR="00A663AA" w:rsidRPr="00F867D0" w:rsidRDefault="00A663AA" w:rsidP="00736989">
      <w:pPr>
        <w:numPr>
          <w:ilvl w:val="0"/>
          <w:numId w:val="56"/>
        </w:numPr>
        <w:spacing w:after="0"/>
        <w:rPr>
          <w:color w:val="auto"/>
          <w:kern w:val="2"/>
          <w:szCs w:val="22"/>
        </w:rPr>
      </w:pPr>
      <w:r w:rsidRPr="00F867D0">
        <w:rPr>
          <w:color w:val="auto"/>
          <w:kern w:val="2"/>
          <w:szCs w:val="22"/>
        </w:rPr>
        <w:t>lower waste, more recycling and reusing, and</w:t>
      </w:r>
    </w:p>
    <w:p w14:paraId="558F770D" w14:textId="77777777" w:rsidR="00202E86" w:rsidRDefault="00202E86" w:rsidP="00202E86">
      <w:pPr>
        <w:spacing w:after="0"/>
        <w:ind w:left="720"/>
        <w:rPr>
          <w:color w:val="auto"/>
          <w:kern w:val="2"/>
          <w:szCs w:val="22"/>
        </w:rPr>
      </w:pPr>
    </w:p>
    <w:p w14:paraId="234FC181" w14:textId="02CB8A90" w:rsidR="00A663AA" w:rsidRPr="00F867D0" w:rsidRDefault="00A663AA" w:rsidP="00736989">
      <w:pPr>
        <w:numPr>
          <w:ilvl w:val="0"/>
          <w:numId w:val="56"/>
        </w:numPr>
        <w:spacing w:after="0"/>
        <w:rPr>
          <w:color w:val="auto"/>
          <w:kern w:val="2"/>
          <w:szCs w:val="22"/>
        </w:rPr>
      </w:pPr>
      <w:r w:rsidRPr="00F867D0">
        <w:rPr>
          <w:color w:val="auto"/>
          <w:kern w:val="2"/>
          <w:szCs w:val="22"/>
        </w:rPr>
        <w:t>more environmental quality.</w:t>
      </w:r>
    </w:p>
    <w:p w14:paraId="45BF4A5B" w14:textId="77777777" w:rsidR="00A663AA" w:rsidRPr="00F867D0" w:rsidRDefault="00A663AA" w:rsidP="00A663AA">
      <w:pPr>
        <w:spacing w:after="0"/>
        <w:rPr>
          <w:szCs w:val="22"/>
        </w:rPr>
      </w:pPr>
    </w:p>
    <w:p w14:paraId="56944C64" w14:textId="6E290821" w:rsidR="00A663AA" w:rsidRPr="00F867D0" w:rsidRDefault="00B63881" w:rsidP="00A663AA">
      <w:pPr>
        <w:spacing w:after="0"/>
        <w:rPr>
          <w:szCs w:val="22"/>
        </w:rPr>
      </w:pPr>
      <w:r>
        <w:rPr>
          <w:szCs w:val="22"/>
        </w:rPr>
        <w:t>The</w:t>
      </w:r>
      <w:r w:rsidR="00A254A6">
        <w:rPr>
          <w:szCs w:val="22"/>
        </w:rPr>
        <w:t xml:space="preserve"> implement</w:t>
      </w:r>
      <w:r>
        <w:rPr>
          <w:szCs w:val="22"/>
        </w:rPr>
        <w:t>ation of</w:t>
      </w:r>
      <w:r w:rsidR="00A254A6">
        <w:rPr>
          <w:szCs w:val="22"/>
        </w:rPr>
        <w:t xml:space="preserve"> a d</w:t>
      </w:r>
      <w:r w:rsidR="00A663AA" w:rsidRPr="00F867D0">
        <w:rPr>
          <w:szCs w:val="22"/>
        </w:rPr>
        <w:t>emand</w:t>
      </w:r>
      <w:r w:rsidR="00951D8A" w:rsidRPr="00F867D0">
        <w:rPr>
          <w:szCs w:val="22"/>
        </w:rPr>
        <w:t>-</w:t>
      </w:r>
      <w:r w:rsidR="00A663AA" w:rsidRPr="00F867D0">
        <w:rPr>
          <w:szCs w:val="22"/>
        </w:rPr>
        <w:t xml:space="preserve">based, or application-based concept in building design and development requires a proper framework of building energy models, regulations and codes to implement. A number of national, regional and international codes have been developed </w:t>
      </w:r>
      <w:r w:rsidR="00090E5B" w:rsidRPr="00F867D0">
        <w:rPr>
          <w:szCs w:val="22"/>
        </w:rPr>
        <w:t>and</w:t>
      </w:r>
      <w:r w:rsidR="00090E5B">
        <w:rPr>
          <w:szCs w:val="22"/>
        </w:rPr>
        <w:t xml:space="preserve"> are </w:t>
      </w:r>
      <w:r w:rsidR="004A2B75" w:rsidRPr="00F867D0">
        <w:rPr>
          <w:szCs w:val="22"/>
        </w:rPr>
        <w:t xml:space="preserve">in use </w:t>
      </w:r>
      <w:r w:rsidR="00A663AA" w:rsidRPr="00F867D0">
        <w:rPr>
          <w:szCs w:val="22"/>
        </w:rPr>
        <w:t>globally for new buildings and for retrofitting existing buildings as well</w:t>
      </w:r>
      <w:r w:rsidR="00A254A6">
        <w:rPr>
          <w:szCs w:val="22"/>
        </w:rPr>
        <w:t xml:space="preserve">. Additional </w:t>
      </w:r>
      <w:r w:rsidR="00A663AA" w:rsidRPr="00F867D0">
        <w:rPr>
          <w:szCs w:val="22"/>
        </w:rPr>
        <w:t>work is ongoing to support the growing interest in this concept globally.</w:t>
      </w:r>
    </w:p>
    <w:p w14:paraId="12436F2C" w14:textId="77777777" w:rsidR="00A663AA" w:rsidRPr="00F867D0" w:rsidRDefault="00A663AA" w:rsidP="00A663AA">
      <w:pPr>
        <w:spacing w:after="0"/>
        <w:rPr>
          <w:szCs w:val="22"/>
        </w:rPr>
      </w:pPr>
    </w:p>
    <w:p w14:paraId="400CB277" w14:textId="01E214C7" w:rsidR="00A663AA" w:rsidRPr="00F867D0" w:rsidRDefault="00951D8A" w:rsidP="00A663AA">
      <w:pPr>
        <w:spacing w:after="0"/>
        <w:rPr>
          <w:lang w:eastAsia="en-US"/>
        </w:rPr>
      </w:pPr>
      <w:r w:rsidRPr="00F867D0">
        <w:rPr>
          <w:lang w:eastAsia="en-US"/>
        </w:rPr>
        <w:t>I</w:t>
      </w:r>
      <w:r w:rsidR="00A663AA" w:rsidRPr="00F867D0">
        <w:rPr>
          <w:lang w:eastAsia="en-US"/>
        </w:rPr>
        <w:t>n the long term</w:t>
      </w:r>
      <w:r w:rsidRPr="00F867D0">
        <w:rPr>
          <w:lang w:eastAsia="en-US"/>
        </w:rPr>
        <w:t>,</w:t>
      </w:r>
      <w:r w:rsidR="00A663AA" w:rsidRPr="00F867D0">
        <w:rPr>
          <w:lang w:eastAsia="en-US"/>
        </w:rPr>
        <w:t xml:space="preserve"> the Internet-of-Things (IoT) and </w:t>
      </w:r>
      <w:r w:rsidR="00A254A6">
        <w:rPr>
          <w:lang w:eastAsia="en-US"/>
        </w:rPr>
        <w:t xml:space="preserve">use of </w:t>
      </w:r>
      <w:r w:rsidR="00A663AA" w:rsidRPr="00F867D0">
        <w:rPr>
          <w:lang w:eastAsia="en-US"/>
        </w:rPr>
        <w:t xml:space="preserve">digital controls </w:t>
      </w:r>
      <w:r w:rsidR="004A2B75" w:rsidRPr="00F867D0">
        <w:rPr>
          <w:lang w:eastAsia="en-US"/>
        </w:rPr>
        <w:t xml:space="preserve">may </w:t>
      </w:r>
      <w:r w:rsidR="00A663AA" w:rsidRPr="00F867D0">
        <w:rPr>
          <w:lang w:eastAsia="en-US"/>
        </w:rPr>
        <w:t xml:space="preserve">result in high penetration of inverter compressor technology, electronic expansion valves, and smart thermostats. Furthermore, it is expected that increase market share of inverter compressor technology at the small capacity would continue to put market pressure and drive the cost of larger inverter compressors to a feasible cost premium. As for heat exchanger technologies, it is expected that small diameter tubes, flat tubes and </w:t>
      </w:r>
      <w:r w:rsidR="004A2B75" w:rsidRPr="00F867D0">
        <w:rPr>
          <w:lang w:eastAsia="en-US"/>
        </w:rPr>
        <w:t>micro-channel heat exchangers</w:t>
      </w:r>
      <w:r w:rsidR="00A663AA" w:rsidRPr="00F867D0">
        <w:rPr>
          <w:lang w:eastAsia="en-US"/>
        </w:rPr>
        <w:t xml:space="preserve"> </w:t>
      </w:r>
      <w:r w:rsidR="004A2B75" w:rsidRPr="00F867D0">
        <w:rPr>
          <w:lang w:eastAsia="en-US"/>
        </w:rPr>
        <w:t xml:space="preserve">may </w:t>
      </w:r>
      <w:r w:rsidR="00A663AA" w:rsidRPr="00F867D0">
        <w:rPr>
          <w:lang w:eastAsia="en-US"/>
        </w:rPr>
        <w:t>become mainstream</w:t>
      </w:r>
      <w:r w:rsidR="00285C72">
        <w:rPr>
          <w:lang w:eastAsia="en-US"/>
        </w:rPr>
        <w:t>,</w:t>
      </w:r>
      <w:r w:rsidR="00A663AA" w:rsidRPr="00F867D0">
        <w:rPr>
          <w:lang w:eastAsia="en-US"/>
        </w:rPr>
        <w:t xml:space="preserve"> primarily to minimi</w:t>
      </w:r>
      <w:r w:rsidR="00285C72">
        <w:rPr>
          <w:lang w:eastAsia="en-US"/>
        </w:rPr>
        <w:t>s</w:t>
      </w:r>
      <w:r w:rsidR="00A663AA" w:rsidRPr="00F867D0">
        <w:rPr>
          <w:lang w:eastAsia="en-US"/>
        </w:rPr>
        <w:t>e the refrigerant charge and improve the heat transfer performance. Permanent magnet and high efficiency motors are expected to become the norm.</w:t>
      </w:r>
    </w:p>
    <w:p w14:paraId="42276402" w14:textId="77777777" w:rsidR="00A663AA" w:rsidRPr="00F867D0" w:rsidRDefault="00A663AA" w:rsidP="00A663AA">
      <w:pPr>
        <w:spacing w:after="0"/>
        <w:rPr>
          <w:lang w:eastAsia="en-US"/>
        </w:rPr>
      </w:pPr>
    </w:p>
    <w:p w14:paraId="782C1B6D" w14:textId="3729D492" w:rsidR="00983B82" w:rsidRPr="00F867D0" w:rsidRDefault="00A663AA" w:rsidP="00A663AA">
      <w:pPr>
        <w:spacing w:after="0"/>
        <w:rPr>
          <w:lang w:eastAsia="en-US"/>
        </w:rPr>
      </w:pPr>
      <w:r w:rsidRPr="00F867D0">
        <w:rPr>
          <w:lang w:eastAsia="en-US"/>
        </w:rPr>
        <w:t xml:space="preserve">Eventually, “big data” technologies can help the implementation of new strategies for on-site performance measurement and fault diagnosis that can be used both for improving design and </w:t>
      </w:r>
      <w:r w:rsidR="00A254A6">
        <w:rPr>
          <w:lang w:eastAsia="en-US"/>
        </w:rPr>
        <w:t xml:space="preserve">improving </w:t>
      </w:r>
      <w:r w:rsidRPr="00F867D0">
        <w:rPr>
          <w:lang w:eastAsia="en-US"/>
        </w:rPr>
        <w:t>service and maintenance procedures.</w:t>
      </w:r>
    </w:p>
    <w:p w14:paraId="06122A0C" w14:textId="77777777" w:rsidR="00A663AA" w:rsidRPr="00F867D0" w:rsidRDefault="00A663AA" w:rsidP="00A663AA">
      <w:pPr>
        <w:spacing w:after="0"/>
        <w:rPr>
          <w:lang w:eastAsia="en-US"/>
        </w:rPr>
      </w:pPr>
    </w:p>
    <w:p w14:paraId="01E3C6A2" w14:textId="3A2D4D0B" w:rsidR="00A663AA" w:rsidRPr="000F749F" w:rsidRDefault="00A663AA" w:rsidP="000F749F">
      <w:pPr>
        <w:pStyle w:val="Heading3"/>
        <w:rPr>
          <w:b w:val="0"/>
        </w:rPr>
      </w:pPr>
      <w:bookmarkStart w:id="59" w:name="_Toc515454362"/>
      <w:r w:rsidRPr="000F749F">
        <w:t>2.2.2</w:t>
      </w:r>
      <w:r w:rsidRPr="000F749F">
        <w:tab/>
        <w:t>Strengthening the Minimum Energy Performance Standards (MEPS)</w:t>
      </w:r>
      <w:bookmarkEnd w:id="59"/>
    </w:p>
    <w:p w14:paraId="1A47F824" w14:textId="477C4759" w:rsidR="00A663AA" w:rsidRPr="00F867D0" w:rsidRDefault="00A663AA" w:rsidP="00A663AA">
      <w:pPr>
        <w:spacing w:after="0"/>
        <w:rPr>
          <w:rFonts w:eastAsia="DengXian"/>
          <w:szCs w:val="22"/>
        </w:rPr>
      </w:pPr>
      <w:bookmarkStart w:id="60" w:name="_Toc510377954"/>
      <w:r w:rsidRPr="00F867D0">
        <w:rPr>
          <w:rFonts w:eastAsia="DengXian"/>
          <w:szCs w:val="22"/>
        </w:rPr>
        <w:t xml:space="preserve">It is important for National Ozone Units </w:t>
      </w:r>
      <w:r w:rsidR="004A2B75" w:rsidRPr="00F867D0">
        <w:rPr>
          <w:rFonts w:eastAsia="DengXian"/>
          <w:szCs w:val="22"/>
        </w:rPr>
        <w:t xml:space="preserve">(NOUs) </w:t>
      </w:r>
      <w:r w:rsidRPr="00F867D0">
        <w:rPr>
          <w:rFonts w:eastAsia="DengXian"/>
          <w:szCs w:val="22"/>
        </w:rPr>
        <w:t xml:space="preserve">to be aware of </w:t>
      </w:r>
      <w:r w:rsidR="004A2B75" w:rsidRPr="00F867D0">
        <w:rPr>
          <w:rFonts w:eastAsia="DengXian"/>
          <w:szCs w:val="22"/>
        </w:rPr>
        <w:t>EE</w:t>
      </w:r>
      <w:r w:rsidRPr="00F867D0">
        <w:rPr>
          <w:rFonts w:eastAsia="DengXian"/>
          <w:szCs w:val="22"/>
        </w:rPr>
        <w:t xml:space="preserve"> policies and targets </w:t>
      </w:r>
      <w:r w:rsidR="00B63881">
        <w:rPr>
          <w:rFonts w:eastAsia="DengXian"/>
          <w:szCs w:val="22"/>
        </w:rPr>
        <w:t xml:space="preserve">that may affect RACHP equipment </w:t>
      </w:r>
      <w:r w:rsidRPr="00F867D0">
        <w:rPr>
          <w:rFonts w:eastAsia="DengXian"/>
          <w:szCs w:val="22"/>
        </w:rPr>
        <w:t xml:space="preserve">in their </w:t>
      </w:r>
      <w:r w:rsidR="00B63881">
        <w:rPr>
          <w:rFonts w:eastAsia="DengXian"/>
          <w:szCs w:val="22"/>
        </w:rPr>
        <w:t xml:space="preserve">own </w:t>
      </w:r>
      <w:r w:rsidRPr="00F867D0">
        <w:rPr>
          <w:rFonts w:eastAsia="DengXian"/>
          <w:szCs w:val="22"/>
        </w:rPr>
        <w:t xml:space="preserve">countries and </w:t>
      </w:r>
      <w:r w:rsidR="00A254A6">
        <w:rPr>
          <w:rFonts w:eastAsia="DengXian"/>
          <w:szCs w:val="22"/>
        </w:rPr>
        <w:t xml:space="preserve">in </w:t>
      </w:r>
      <w:r w:rsidRPr="00F867D0">
        <w:rPr>
          <w:rFonts w:eastAsia="DengXian"/>
          <w:szCs w:val="22"/>
        </w:rPr>
        <w:t>key trading partners</w:t>
      </w:r>
      <w:r w:rsidR="00285C72">
        <w:rPr>
          <w:rFonts w:eastAsia="DengXian"/>
          <w:szCs w:val="22"/>
        </w:rPr>
        <w:t>,</w:t>
      </w:r>
      <w:r w:rsidRPr="00F867D0">
        <w:rPr>
          <w:rFonts w:eastAsia="DengXian"/>
          <w:szCs w:val="22"/>
        </w:rPr>
        <w:t xml:space="preserve"> </w:t>
      </w:r>
      <w:r w:rsidR="00090E5B">
        <w:rPr>
          <w:rFonts w:eastAsia="DengXian"/>
          <w:szCs w:val="22"/>
        </w:rPr>
        <w:t>e</w:t>
      </w:r>
      <w:r w:rsidRPr="00F867D0">
        <w:rPr>
          <w:rFonts w:eastAsia="DengXian"/>
          <w:szCs w:val="22"/>
        </w:rPr>
        <w:t xml:space="preserve">specially </w:t>
      </w:r>
      <w:r w:rsidR="00B63881">
        <w:rPr>
          <w:rFonts w:eastAsia="DengXian"/>
          <w:szCs w:val="22"/>
        </w:rPr>
        <w:t>those</w:t>
      </w:r>
      <w:r w:rsidRPr="00F867D0">
        <w:rPr>
          <w:rFonts w:eastAsia="DengXian"/>
          <w:szCs w:val="22"/>
        </w:rPr>
        <w:t xml:space="preserve"> countries that manufacture equipment</w:t>
      </w:r>
      <w:r w:rsidR="00090E5B">
        <w:rPr>
          <w:rFonts w:eastAsia="DengXian"/>
          <w:szCs w:val="22"/>
        </w:rPr>
        <w:t xml:space="preserve"> or components</w:t>
      </w:r>
      <w:r w:rsidR="00B81ECB" w:rsidRPr="00F867D0">
        <w:rPr>
          <w:rFonts w:eastAsia="DengXian"/>
          <w:szCs w:val="22"/>
        </w:rPr>
        <w:t>. C</w:t>
      </w:r>
      <w:r w:rsidRPr="00F867D0">
        <w:rPr>
          <w:rFonts w:eastAsia="DengXian"/>
          <w:szCs w:val="22"/>
        </w:rPr>
        <w:t xml:space="preserve">ooperation among Ozone Officers and the authorities responsible for </w:t>
      </w:r>
      <w:r w:rsidR="004A2B75" w:rsidRPr="00F867D0">
        <w:rPr>
          <w:rFonts w:eastAsia="DengXian"/>
          <w:szCs w:val="22"/>
        </w:rPr>
        <w:t>EE</w:t>
      </w:r>
      <w:r w:rsidRPr="00F867D0">
        <w:rPr>
          <w:rFonts w:eastAsia="DengXian"/>
          <w:szCs w:val="22"/>
        </w:rPr>
        <w:t xml:space="preserve"> </w:t>
      </w:r>
      <w:r w:rsidR="009E581D">
        <w:rPr>
          <w:rFonts w:eastAsia="DengXian"/>
          <w:szCs w:val="22"/>
        </w:rPr>
        <w:t>might result in</w:t>
      </w:r>
      <w:r w:rsidRPr="00F867D0">
        <w:rPr>
          <w:rFonts w:eastAsia="DengXian"/>
          <w:szCs w:val="22"/>
        </w:rPr>
        <w:t xml:space="preserve"> reduce</w:t>
      </w:r>
      <w:r w:rsidR="009E581D">
        <w:rPr>
          <w:rFonts w:eastAsia="DengXian"/>
          <w:szCs w:val="22"/>
        </w:rPr>
        <w:t>d</w:t>
      </w:r>
      <w:r w:rsidRPr="00F867D0">
        <w:rPr>
          <w:rFonts w:eastAsia="DengXian"/>
          <w:szCs w:val="22"/>
        </w:rPr>
        <w:t xml:space="preserve"> costs to manufacturers and </w:t>
      </w:r>
      <w:r w:rsidR="009E581D">
        <w:rPr>
          <w:rFonts w:eastAsia="DengXian"/>
          <w:szCs w:val="22"/>
        </w:rPr>
        <w:t xml:space="preserve">might offer </w:t>
      </w:r>
      <w:r w:rsidRPr="00F867D0">
        <w:rPr>
          <w:rFonts w:eastAsia="DengXian"/>
          <w:szCs w:val="22"/>
        </w:rPr>
        <w:t xml:space="preserve">coordinated policy direction to meet national targets, such as Nationally Determined Contributions. Over 75 countries, regions, or territories have adopted MEPS and/or labelling programs for RACHP since 1977, when the US </w:t>
      </w:r>
      <w:r w:rsidR="009E581D">
        <w:rPr>
          <w:rFonts w:eastAsia="DengXian"/>
          <w:szCs w:val="22"/>
        </w:rPr>
        <w:t>S</w:t>
      </w:r>
      <w:r w:rsidRPr="00F867D0">
        <w:rPr>
          <w:rFonts w:eastAsia="DengXian"/>
          <w:szCs w:val="22"/>
        </w:rPr>
        <w:t>tate of California adopted the first MEPS for refrigerators and air conditioners. As of 2015</w:t>
      </w:r>
      <w:r w:rsidR="00285C72">
        <w:rPr>
          <w:rFonts w:eastAsia="DengXian"/>
          <w:szCs w:val="22"/>
        </w:rPr>
        <w:t>,</w:t>
      </w:r>
      <w:r w:rsidRPr="00F867D0">
        <w:rPr>
          <w:rFonts w:eastAsia="DengXian"/>
          <w:szCs w:val="22"/>
        </w:rPr>
        <w:t xml:space="preserve"> these programs include at least 67 MEPS, 84 comparative labels, and 25 endorsement labels for various types of refrigerators and air conditioners</w:t>
      </w:r>
      <w:r w:rsidRPr="00F867D0">
        <w:rPr>
          <w:rFonts w:eastAsia="DengXian"/>
          <w:szCs w:val="22"/>
          <w:vertAlign w:val="superscript"/>
        </w:rPr>
        <w:footnoteReference w:id="7"/>
      </w:r>
      <w:r w:rsidRPr="00F867D0">
        <w:rPr>
          <w:rFonts w:eastAsia="DengXian"/>
          <w:szCs w:val="22"/>
        </w:rPr>
        <w:t>. As discussed in Section 2.</w:t>
      </w:r>
      <w:r w:rsidR="004A2B75" w:rsidRPr="00F867D0">
        <w:rPr>
          <w:rFonts w:eastAsia="DengXian"/>
          <w:szCs w:val="22"/>
        </w:rPr>
        <w:t>6</w:t>
      </w:r>
      <w:r w:rsidRPr="00F867D0">
        <w:rPr>
          <w:rFonts w:eastAsia="DengXian"/>
          <w:szCs w:val="22"/>
        </w:rPr>
        <w:t xml:space="preserve"> on </w:t>
      </w:r>
      <w:r w:rsidR="004A2B75" w:rsidRPr="00F867D0">
        <w:rPr>
          <w:rFonts w:eastAsia="DengXian"/>
          <w:szCs w:val="22"/>
        </w:rPr>
        <w:t>c</w:t>
      </w:r>
      <w:r w:rsidRPr="00F867D0">
        <w:rPr>
          <w:rFonts w:eastAsia="DengXian"/>
          <w:szCs w:val="22"/>
        </w:rPr>
        <w:t xml:space="preserve">apacity building, coordination among ozone and energy policy authorities in the development of national strategies can help identify opportunities to integrate </w:t>
      </w:r>
      <w:r w:rsidR="004326DD">
        <w:rPr>
          <w:rFonts w:eastAsia="DengXian"/>
          <w:szCs w:val="22"/>
        </w:rPr>
        <w:t>EE</w:t>
      </w:r>
      <w:r w:rsidRPr="00F867D0">
        <w:rPr>
          <w:rFonts w:eastAsia="DengXian"/>
          <w:szCs w:val="22"/>
        </w:rPr>
        <w:t xml:space="preserve"> into refrigerant phase-down planning and use additional policy mechanisms to advance national environmental and development targets. </w:t>
      </w:r>
      <w:r w:rsidR="004326DD">
        <w:rPr>
          <w:rFonts w:eastAsia="DengXian"/>
          <w:szCs w:val="22"/>
        </w:rPr>
        <w:t xml:space="preserve">As an example, </w:t>
      </w:r>
      <w:r w:rsidR="004A2B75" w:rsidRPr="00F867D0">
        <w:rPr>
          <w:rFonts w:eastAsia="DengXian"/>
          <w:szCs w:val="22"/>
        </w:rPr>
        <w:t>OzonAction is conducting voluntary trainings for National Ozone Officers and National Energy Policymakers as part of a two-year “twinning” project to exchange experiences, develop skills, and share knowledge and ideas on the energy efficient refrigerant transition in support of the Kigali Amendment</w:t>
      </w:r>
      <w:r w:rsidR="004A2B75" w:rsidRPr="00F867D0">
        <w:rPr>
          <w:rFonts w:eastAsia="DengXian"/>
          <w:szCs w:val="22"/>
          <w:vertAlign w:val="superscript"/>
        </w:rPr>
        <w:footnoteReference w:id="8"/>
      </w:r>
      <w:r w:rsidR="004A2B75" w:rsidRPr="00F867D0">
        <w:rPr>
          <w:rFonts w:eastAsia="DengXian"/>
          <w:szCs w:val="22"/>
        </w:rPr>
        <w:t>.</w:t>
      </w:r>
    </w:p>
    <w:p w14:paraId="050590DC" w14:textId="77777777" w:rsidR="004A2B75" w:rsidRPr="00F867D0" w:rsidRDefault="004A2B75" w:rsidP="00A663AA">
      <w:pPr>
        <w:spacing w:after="0"/>
        <w:rPr>
          <w:rFonts w:eastAsia="DengXian"/>
          <w:szCs w:val="22"/>
        </w:rPr>
      </w:pPr>
    </w:p>
    <w:p w14:paraId="560734E7" w14:textId="3BA65B03" w:rsidR="00A663AA" w:rsidRDefault="00A663AA" w:rsidP="00A663AA">
      <w:pPr>
        <w:spacing w:after="0"/>
        <w:rPr>
          <w:rFonts w:eastAsia="DengXian"/>
          <w:szCs w:val="22"/>
        </w:rPr>
      </w:pPr>
      <w:r w:rsidRPr="00F867D0">
        <w:rPr>
          <w:rFonts w:eastAsia="DengXian"/>
          <w:szCs w:val="22"/>
        </w:rPr>
        <w:t>Key elements of designing and implementing successful MEPS and labelling programs are described below to enhance awareness among ozone stakeholders and help identify areas for potential coordination</w:t>
      </w:r>
      <w:r w:rsidR="004326DD">
        <w:rPr>
          <w:rFonts w:eastAsia="DengXian"/>
          <w:szCs w:val="22"/>
        </w:rPr>
        <w:t>:</w:t>
      </w:r>
    </w:p>
    <w:p w14:paraId="77FE55B5" w14:textId="77777777" w:rsidR="00202E86" w:rsidRPr="00F867D0" w:rsidRDefault="00202E86" w:rsidP="00A663AA">
      <w:pPr>
        <w:spacing w:after="0"/>
        <w:rPr>
          <w:rFonts w:eastAsia="DengXian"/>
          <w:szCs w:val="22"/>
        </w:rPr>
      </w:pPr>
    </w:p>
    <w:p w14:paraId="6D8558C2" w14:textId="59AB0E50" w:rsidR="00A663AA" w:rsidRPr="00F867D0" w:rsidRDefault="004A2B75" w:rsidP="00736989">
      <w:pPr>
        <w:widowControl w:val="0"/>
        <w:numPr>
          <w:ilvl w:val="0"/>
          <w:numId w:val="68"/>
        </w:numPr>
        <w:tabs>
          <w:tab w:val="left" w:pos="220"/>
          <w:tab w:val="left" w:pos="270"/>
        </w:tabs>
        <w:autoSpaceDE w:val="0"/>
        <w:autoSpaceDN w:val="0"/>
        <w:adjustRightInd w:val="0"/>
        <w:spacing w:after="0"/>
        <w:contextualSpacing/>
        <w:rPr>
          <w:rFonts w:eastAsia="DengXian"/>
          <w:color w:val="auto"/>
          <w:kern w:val="2"/>
          <w:szCs w:val="22"/>
        </w:rPr>
      </w:pPr>
      <w:r w:rsidRPr="00F867D0">
        <w:rPr>
          <w:rFonts w:eastAsia="DengXian"/>
          <w:color w:val="auto"/>
          <w:kern w:val="2"/>
          <w:szCs w:val="22"/>
        </w:rPr>
        <w:t xml:space="preserve">MEPS </w:t>
      </w:r>
      <w:r w:rsidR="009E581D">
        <w:rPr>
          <w:rFonts w:eastAsia="DengXian"/>
          <w:color w:val="auto"/>
          <w:kern w:val="2"/>
          <w:szCs w:val="22"/>
        </w:rPr>
        <w:t>can be</w:t>
      </w:r>
      <w:r w:rsidRPr="00F867D0">
        <w:rPr>
          <w:rFonts w:eastAsia="DengXian"/>
          <w:color w:val="auto"/>
          <w:kern w:val="2"/>
          <w:szCs w:val="22"/>
        </w:rPr>
        <w:t xml:space="preserve"> powerful and cost-</w:t>
      </w:r>
      <w:r w:rsidR="00A663AA" w:rsidRPr="00F867D0">
        <w:rPr>
          <w:rFonts w:eastAsia="DengXian"/>
          <w:color w:val="auto"/>
          <w:kern w:val="2"/>
          <w:szCs w:val="22"/>
        </w:rPr>
        <w:t>effective instruments for pushing the market towards higher-efficiency products by removing inefficient equipment from commerce (see Figure 2.1)</w:t>
      </w:r>
      <w:r w:rsidRPr="00F867D0">
        <w:rPr>
          <w:rFonts w:eastAsia="DengXian"/>
          <w:color w:val="auto"/>
          <w:kern w:val="2"/>
          <w:szCs w:val="22"/>
        </w:rPr>
        <w:t>;</w:t>
      </w:r>
      <w:r w:rsidR="00A663AA" w:rsidRPr="00F867D0">
        <w:rPr>
          <w:rFonts w:eastAsia="DengXian"/>
          <w:color w:val="auto"/>
          <w:kern w:val="2"/>
          <w:szCs w:val="22"/>
        </w:rPr>
        <w:t xml:space="preserve"> </w:t>
      </w:r>
    </w:p>
    <w:p w14:paraId="390878A8" w14:textId="77777777" w:rsidR="00202E86" w:rsidRDefault="00202E86" w:rsidP="00202E86">
      <w:pPr>
        <w:widowControl w:val="0"/>
        <w:tabs>
          <w:tab w:val="left" w:pos="220"/>
          <w:tab w:val="left" w:pos="270"/>
        </w:tabs>
        <w:autoSpaceDE w:val="0"/>
        <w:autoSpaceDN w:val="0"/>
        <w:adjustRightInd w:val="0"/>
        <w:spacing w:after="0"/>
        <w:ind w:left="720"/>
        <w:contextualSpacing/>
        <w:rPr>
          <w:rFonts w:eastAsia="DengXian"/>
          <w:color w:val="auto"/>
          <w:kern w:val="2"/>
          <w:szCs w:val="22"/>
        </w:rPr>
      </w:pPr>
    </w:p>
    <w:p w14:paraId="2FAAF853" w14:textId="2ECE3D0A" w:rsidR="00A663AA" w:rsidRPr="00F867D0" w:rsidRDefault="00A663AA" w:rsidP="00736989">
      <w:pPr>
        <w:widowControl w:val="0"/>
        <w:numPr>
          <w:ilvl w:val="0"/>
          <w:numId w:val="68"/>
        </w:numPr>
        <w:tabs>
          <w:tab w:val="left" w:pos="220"/>
          <w:tab w:val="left" w:pos="270"/>
        </w:tabs>
        <w:autoSpaceDE w:val="0"/>
        <w:autoSpaceDN w:val="0"/>
        <w:adjustRightInd w:val="0"/>
        <w:spacing w:after="0"/>
        <w:contextualSpacing/>
        <w:rPr>
          <w:rFonts w:eastAsia="DengXian"/>
          <w:color w:val="auto"/>
          <w:kern w:val="2"/>
          <w:szCs w:val="22"/>
        </w:rPr>
      </w:pPr>
      <w:r w:rsidRPr="00F867D0">
        <w:rPr>
          <w:rFonts w:eastAsia="DengXian"/>
          <w:color w:val="auto"/>
          <w:kern w:val="2"/>
          <w:szCs w:val="22"/>
        </w:rPr>
        <w:t xml:space="preserve">MEPS </w:t>
      </w:r>
      <w:r w:rsidR="009E581D">
        <w:rPr>
          <w:rFonts w:eastAsia="DengXian"/>
          <w:color w:val="auto"/>
          <w:kern w:val="2"/>
          <w:szCs w:val="22"/>
        </w:rPr>
        <w:t xml:space="preserve">can </w:t>
      </w:r>
      <w:r w:rsidRPr="00F867D0">
        <w:rPr>
          <w:rFonts w:eastAsia="DengXian"/>
          <w:color w:val="auto"/>
          <w:kern w:val="2"/>
          <w:szCs w:val="22"/>
        </w:rPr>
        <w:t>work together with labels and other incentive programs, such as rebates, to “pull” the market towar</w:t>
      </w:r>
      <w:r w:rsidR="004A2B75" w:rsidRPr="00F867D0">
        <w:rPr>
          <w:rFonts w:eastAsia="DengXian"/>
          <w:color w:val="auto"/>
          <w:kern w:val="2"/>
          <w:szCs w:val="22"/>
        </w:rPr>
        <w:t>ds more efficient technologies;</w:t>
      </w:r>
    </w:p>
    <w:p w14:paraId="5AA52658" w14:textId="77777777" w:rsidR="00202E86" w:rsidRDefault="00202E86" w:rsidP="00202E86">
      <w:pPr>
        <w:widowControl w:val="0"/>
        <w:tabs>
          <w:tab w:val="left" w:pos="220"/>
          <w:tab w:val="left" w:pos="270"/>
        </w:tabs>
        <w:autoSpaceDE w:val="0"/>
        <w:autoSpaceDN w:val="0"/>
        <w:adjustRightInd w:val="0"/>
        <w:spacing w:after="0"/>
        <w:ind w:left="720"/>
        <w:contextualSpacing/>
        <w:rPr>
          <w:rFonts w:eastAsia="DengXian"/>
          <w:color w:val="auto"/>
          <w:kern w:val="2"/>
          <w:szCs w:val="22"/>
        </w:rPr>
      </w:pPr>
    </w:p>
    <w:p w14:paraId="4D0546B8" w14:textId="5A571A9F" w:rsidR="00A663AA" w:rsidRPr="00F867D0" w:rsidRDefault="00A663AA" w:rsidP="00736989">
      <w:pPr>
        <w:widowControl w:val="0"/>
        <w:numPr>
          <w:ilvl w:val="0"/>
          <w:numId w:val="68"/>
        </w:numPr>
        <w:tabs>
          <w:tab w:val="left" w:pos="220"/>
          <w:tab w:val="left" w:pos="270"/>
        </w:tabs>
        <w:autoSpaceDE w:val="0"/>
        <w:autoSpaceDN w:val="0"/>
        <w:adjustRightInd w:val="0"/>
        <w:spacing w:after="0"/>
        <w:contextualSpacing/>
        <w:rPr>
          <w:rFonts w:eastAsia="DengXian"/>
          <w:color w:val="auto"/>
          <w:kern w:val="2"/>
          <w:szCs w:val="22"/>
        </w:rPr>
      </w:pPr>
      <w:r w:rsidRPr="00F867D0">
        <w:rPr>
          <w:rFonts w:eastAsia="DengXian"/>
          <w:color w:val="auto"/>
          <w:kern w:val="2"/>
          <w:szCs w:val="22"/>
        </w:rPr>
        <w:t xml:space="preserve">MEPS </w:t>
      </w:r>
      <w:r w:rsidR="009E581D">
        <w:rPr>
          <w:rFonts w:eastAsia="DengXian"/>
          <w:color w:val="auto"/>
          <w:kern w:val="2"/>
          <w:szCs w:val="22"/>
        </w:rPr>
        <w:t xml:space="preserve">can </w:t>
      </w:r>
      <w:r w:rsidRPr="00F867D0">
        <w:rPr>
          <w:rFonts w:eastAsia="DengXian"/>
          <w:color w:val="auto"/>
          <w:kern w:val="2"/>
          <w:szCs w:val="22"/>
        </w:rPr>
        <w:t xml:space="preserve">encourage manufacturers to improve the efficiency of their products, especially their lower-priced (lower profit margin) products sooner than they would </w:t>
      </w:r>
      <w:r w:rsidR="002830D2" w:rsidRPr="00F867D0">
        <w:rPr>
          <w:rFonts w:eastAsia="DengXian"/>
          <w:color w:val="auto"/>
          <w:kern w:val="2"/>
          <w:szCs w:val="22"/>
        </w:rPr>
        <w:t xml:space="preserve">without </w:t>
      </w:r>
      <w:r w:rsidRPr="00F867D0">
        <w:rPr>
          <w:rFonts w:eastAsia="DengXian"/>
          <w:color w:val="auto"/>
          <w:kern w:val="2"/>
          <w:szCs w:val="22"/>
        </w:rPr>
        <w:t>performance standards</w:t>
      </w:r>
      <w:r w:rsidRPr="00F867D0">
        <w:rPr>
          <w:rFonts w:eastAsia="DengXian"/>
          <w:color w:val="auto"/>
          <w:kern w:val="2"/>
          <w:szCs w:val="22"/>
          <w:vertAlign w:val="superscript"/>
        </w:rPr>
        <w:footnoteReference w:id="9"/>
      </w:r>
      <w:r w:rsidRPr="00F867D0">
        <w:rPr>
          <w:rFonts w:eastAsia="DengXian"/>
          <w:color w:val="auto"/>
          <w:kern w:val="2"/>
          <w:szCs w:val="22"/>
        </w:rPr>
        <w:t>.</w:t>
      </w:r>
    </w:p>
    <w:p w14:paraId="5E76CE05" w14:textId="77777777" w:rsidR="00A663AA" w:rsidRPr="00F867D0" w:rsidRDefault="00A663AA" w:rsidP="00A663AA">
      <w:pPr>
        <w:spacing w:after="0"/>
        <w:rPr>
          <w:rFonts w:eastAsia="DengXian"/>
          <w:szCs w:val="22"/>
        </w:rPr>
      </w:pPr>
    </w:p>
    <w:p w14:paraId="0ECA731B" w14:textId="77777777" w:rsidR="00A663AA" w:rsidRPr="00F867D0" w:rsidRDefault="00A663AA" w:rsidP="00A663AA">
      <w:pPr>
        <w:spacing w:after="0"/>
        <w:jc w:val="center"/>
        <w:rPr>
          <w:rFonts w:eastAsia="DengXian"/>
          <w:szCs w:val="22"/>
        </w:rPr>
      </w:pPr>
      <w:r w:rsidRPr="00F867D0">
        <w:rPr>
          <w:noProof/>
          <w:sz w:val="20"/>
          <w:lang w:val="en-US" w:eastAsia="en-US"/>
        </w:rPr>
        <w:drawing>
          <wp:inline distT="0" distB="0" distL="0" distR="0" wp14:anchorId="713B22FF" wp14:editId="213164D7">
            <wp:extent cx="3291004" cy="252845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3304293" cy="2538664"/>
                    </a:xfrm>
                    <a:prstGeom prst="rect">
                      <a:avLst/>
                    </a:prstGeom>
                  </pic:spPr>
                </pic:pic>
              </a:graphicData>
            </a:graphic>
          </wp:inline>
        </w:drawing>
      </w:r>
    </w:p>
    <w:p w14:paraId="07AE8BC2" w14:textId="552F122E" w:rsidR="00A663AA" w:rsidRPr="003D5FEE" w:rsidRDefault="00A663AA" w:rsidP="00A663AA">
      <w:pPr>
        <w:spacing w:after="0"/>
        <w:jc w:val="center"/>
        <w:rPr>
          <w:rFonts w:eastAsia="DengXian"/>
          <w:b/>
          <w:i/>
          <w:szCs w:val="22"/>
        </w:rPr>
      </w:pPr>
      <w:r w:rsidRPr="003D5FEE">
        <w:rPr>
          <w:rFonts w:eastAsia="DengXian"/>
          <w:b/>
          <w:i/>
          <w:szCs w:val="22"/>
        </w:rPr>
        <w:t xml:space="preserve">Figure 2.1: Representation of the </w:t>
      </w:r>
      <w:r w:rsidR="00B81ECB" w:rsidRPr="003D5FEE">
        <w:rPr>
          <w:rFonts w:eastAsia="DengXian"/>
          <w:b/>
          <w:i/>
          <w:szCs w:val="22"/>
        </w:rPr>
        <w:t xml:space="preserve">combined </w:t>
      </w:r>
      <w:r w:rsidR="004326DD" w:rsidRPr="003D5FEE">
        <w:rPr>
          <w:rFonts w:eastAsia="DengXian"/>
          <w:b/>
          <w:i/>
          <w:szCs w:val="22"/>
        </w:rPr>
        <w:t>“</w:t>
      </w:r>
      <w:r w:rsidRPr="003D5FEE">
        <w:rPr>
          <w:rFonts w:eastAsia="DengXian"/>
          <w:b/>
          <w:i/>
          <w:szCs w:val="22"/>
        </w:rPr>
        <w:t>push</w:t>
      </w:r>
      <w:r w:rsidR="004326DD" w:rsidRPr="003D5FEE">
        <w:rPr>
          <w:rFonts w:eastAsia="DengXian"/>
          <w:b/>
          <w:i/>
          <w:szCs w:val="22"/>
        </w:rPr>
        <w:t>-</w:t>
      </w:r>
      <w:r w:rsidRPr="003D5FEE">
        <w:rPr>
          <w:rFonts w:eastAsia="DengXian"/>
          <w:b/>
          <w:i/>
          <w:szCs w:val="22"/>
        </w:rPr>
        <w:t>and</w:t>
      </w:r>
      <w:r w:rsidR="004326DD" w:rsidRPr="003D5FEE">
        <w:rPr>
          <w:rFonts w:eastAsia="DengXian"/>
          <w:b/>
          <w:i/>
          <w:szCs w:val="22"/>
        </w:rPr>
        <w:t>-</w:t>
      </w:r>
      <w:r w:rsidRPr="003D5FEE">
        <w:rPr>
          <w:rFonts w:eastAsia="DengXian"/>
          <w:b/>
          <w:i/>
          <w:szCs w:val="22"/>
        </w:rPr>
        <w:t>pull</w:t>
      </w:r>
      <w:r w:rsidR="004326DD" w:rsidRPr="003D5FEE">
        <w:rPr>
          <w:rFonts w:eastAsia="DengXian"/>
          <w:b/>
          <w:i/>
          <w:szCs w:val="22"/>
        </w:rPr>
        <w:t>”</w:t>
      </w:r>
      <w:r w:rsidRPr="003D5FEE">
        <w:rPr>
          <w:rFonts w:eastAsia="DengXian"/>
          <w:b/>
          <w:i/>
          <w:szCs w:val="22"/>
        </w:rPr>
        <w:t xml:space="preserve"> effect of MEPS, labels and other incentive programs. </w:t>
      </w:r>
      <w:r w:rsidR="00FA7362" w:rsidRPr="003D5FEE">
        <w:rPr>
          <w:rFonts w:eastAsia="DengXian"/>
          <w:b/>
          <w:i/>
          <w:szCs w:val="22"/>
        </w:rPr>
        <w:t>(adapted from [Wiel and McMahon, 2005])</w:t>
      </w:r>
    </w:p>
    <w:p w14:paraId="468B1335" w14:textId="77777777" w:rsidR="00A663AA" w:rsidRPr="00F867D0" w:rsidRDefault="00A663AA" w:rsidP="00A663AA">
      <w:pPr>
        <w:spacing w:after="0"/>
        <w:rPr>
          <w:rFonts w:eastAsia="DengXian"/>
          <w:szCs w:val="22"/>
        </w:rPr>
      </w:pPr>
    </w:p>
    <w:p w14:paraId="606CC1D4" w14:textId="4D922CE3" w:rsidR="00A663AA" w:rsidRPr="00F867D0" w:rsidRDefault="00A663AA" w:rsidP="00A663AA">
      <w:pPr>
        <w:spacing w:after="0"/>
        <w:rPr>
          <w:rFonts w:eastAsia="DengXian"/>
          <w:szCs w:val="22"/>
        </w:rPr>
      </w:pPr>
      <w:r w:rsidRPr="00F867D0">
        <w:rPr>
          <w:rFonts w:eastAsia="DengXian"/>
          <w:szCs w:val="22"/>
        </w:rPr>
        <w:t xml:space="preserve">The energy saving potential from properly implemented MEPS is </w:t>
      </w:r>
      <w:r w:rsidR="009E581D">
        <w:rPr>
          <w:rFonts w:eastAsia="DengXian"/>
          <w:szCs w:val="22"/>
        </w:rPr>
        <w:t xml:space="preserve">known to be </w:t>
      </w:r>
      <w:r w:rsidRPr="00F867D0">
        <w:rPr>
          <w:rFonts w:eastAsia="DengXian"/>
          <w:szCs w:val="22"/>
        </w:rPr>
        <w:t>substantial: in the European Union</w:t>
      </w:r>
      <w:r w:rsidR="009E581D">
        <w:rPr>
          <w:rFonts w:eastAsia="DengXian"/>
          <w:szCs w:val="22"/>
        </w:rPr>
        <w:t>,</w:t>
      </w:r>
      <w:r w:rsidRPr="00F867D0">
        <w:rPr>
          <w:rFonts w:eastAsia="DengXian"/>
          <w:szCs w:val="22"/>
        </w:rPr>
        <w:t xml:space="preserve"> for example</w:t>
      </w:r>
      <w:r w:rsidR="009E581D">
        <w:rPr>
          <w:rFonts w:eastAsia="DengXian"/>
          <w:szCs w:val="22"/>
        </w:rPr>
        <w:t>,</w:t>
      </w:r>
      <w:r w:rsidRPr="00F867D0">
        <w:rPr>
          <w:rFonts w:eastAsia="DengXian"/>
          <w:szCs w:val="22"/>
        </w:rPr>
        <w:t xml:space="preserve"> the combination of the MEPS (Ecodesign regulation) and the energy label is expected to save </w:t>
      </w:r>
      <w:r w:rsidR="009E581D">
        <w:rPr>
          <w:rFonts w:eastAsia="DengXian"/>
          <w:szCs w:val="22"/>
        </w:rPr>
        <w:t>about</w:t>
      </w:r>
      <w:r w:rsidR="009E581D" w:rsidRPr="00F867D0">
        <w:rPr>
          <w:rFonts w:eastAsia="DengXian"/>
          <w:szCs w:val="22"/>
        </w:rPr>
        <w:t xml:space="preserve"> </w:t>
      </w:r>
      <w:r w:rsidRPr="00F867D0">
        <w:rPr>
          <w:rFonts w:eastAsia="DengXian"/>
          <w:szCs w:val="22"/>
        </w:rPr>
        <w:t xml:space="preserve">175 </w:t>
      </w:r>
      <w:r w:rsidR="009E581D" w:rsidRPr="00F867D0">
        <w:rPr>
          <w:rFonts w:eastAsia="DengXian"/>
          <w:szCs w:val="22"/>
        </w:rPr>
        <w:t>million tonnes of oil equivalent</w:t>
      </w:r>
      <w:r w:rsidR="00670E75">
        <w:rPr>
          <w:rFonts w:eastAsia="DengXian"/>
          <w:szCs w:val="22"/>
        </w:rPr>
        <w:t xml:space="preserve"> </w:t>
      </w:r>
      <w:r w:rsidR="009E581D">
        <w:rPr>
          <w:rFonts w:eastAsia="DengXian"/>
          <w:szCs w:val="22"/>
        </w:rPr>
        <w:t>(</w:t>
      </w:r>
      <w:r w:rsidRPr="00F867D0">
        <w:rPr>
          <w:rFonts w:eastAsia="DengXian"/>
          <w:szCs w:val="22"/>
        </w:rPr>
        <w:t>Mtoe</w:t>
      </w:r>
      <w:r w:rsidR="009E581D">
        <w:rPr>
          <w:rFonts w:eastAsia="DengXian"/>
          <w:szCs w:val="22"/>
        </w:rPr>
        <w:t>)</w:t>
      </w:r>
      <w:r w:rsidRPr="00F867D0">
        <w:rPr>
          <w:rFonts w:eastAsia="DengXian"/>
          <w:szCs w:val="22"/>
        </w:rPr>
        <w:t xml:space="preserve"> by 2020, roughly the annual primary energy consumption of Italy. The measures also benefit consumer with an estimated saving of 456 € on their yearly household energy bill. </w:t>
      </w:r>
      <w:r w:rsidRPr="00F867D0">
        <w:rPr>
          <w:rFonts w:eastAsia="DengXian"/>
          <w:szCs w:val="22"/>
          <w:vertAlign w:val="superscript"/>
        </w:rPr>
        <w:footnoteReference w:id="10"/>
      </w:r>
    </w:p>
    <w:p w14:paraId="4754B93B" w14:textId="2D6E16AA" w:rsidR="00A663AA" w:rsidRPr="00F867D0" w:rsidRDefault="00A663AA" w:rsidP="00A663AA">
      <w:pPr>
        <w:spacing w:after="0"/>
        <w:rPr>
          <w:rFonts w:eastAsia="DengXian"/>
          <w:szCs w:val="22"/>
        </w:rPr>
      </w:pPr>
    </w:p>
    <w:p w14:paraId="41D140A6" w14:textId="78F24963" w:rsidR="00A663AA" w:rsidRPr="00F867D0" w:rsidRDefault="00A663AA" w:rsidP="00A663AA">
      <w:pPr>
        <w:spacing w:after="0"/>
        <w:rPr>
          <w:rFonts w:eastAsia="DengXian"/>
          <w:szCs w:val="22"/>
        </w:rPr>
      </w:pPr>
      <w:r w:rsidRPr="00F867D0">
        <w:rPr>
          <w:rFonts w:eastAsia="DengXian"/>
          <w:szCs w:val="22"/>
        </w:rPr>
        <w:t xml:space="preserve">In </w:t>
      </w:r>
      <w:r w:rsidR="00090E5B">
        <w:rPr>
          <w:rFonts w:eastAsia="DengXian"/>
          <w:szCs w:val="22"/>
        </w:rPr>
        <w:t>MEPS</w:t>
      </w:r>
      <w:r w:rsidR="000459FF">
        <w:rPr>
          <w:rFonts w:eastAsia="DengXian"/>
          <w:szCs w:val="22"/>
        </w:rPr>
        <w:t xml:space="preserve"> </w:t>
      </w:r>
      <w:r w:rsidRPr="00F867D0">
        <w:rPr>
          <w:rFonts w:eastAsia="DengXian"/>
          <w:szCs w:val="22"/>
        </w:rPr>
        <w:t xml:space="preserve">making processes, </w:t>
      </w:r>
      <w:r w:rsidR="004A2B75" w:rsidRPr="00F867D0">
        <w:rPr>
          <w:rFonts w:eastAsia="DengXian"/>
          <w:szCs w:val="22"/>
        </w:rPr>
        <w:t>EE</w:t>
      </w:r>
      <w:r w:rsidRPr="00F867D0">
        <w:rPr>
          <w:rFonts w:eastAsia="DengXian"/>
          <w:szCs w:val="22"/>
        </w:rPr>
        <w:t xml:space="preserve"> policymakers compare the increase in purchase price for higher efficiency equipment (see Section 2.7</w:t>
      </w:r>
      <w:r w:rsidR="004A2B75" w:rsidRPr="00F867D0">
        <w:rPr>
          <w:rFonts w:eastAsia="DengXian"/>
          <w:szCs w:val="22"/>
        </w:rPr>
        <w:t xml:space="preserve"> related to capital and operating costs</w:t>
      </w:r>
      <w:r w:rsidRPr="00F867D0">
        <w:rPr>
          <w:rFonts w:eastAsia="DengXian"/>
          <w:szCs w:val="22"/>
        </w:rPr>
        <w:t>) against the energy savings to the consumer. They then set the MEPS level to “pay-back” the average consumer within a specified time period. In Europe, this approach calculates the least life cycle cost (LLCC) of the product, which represent</w:t>
      </w:r>
      <w:r w:rsidR="002830D2" w:rsidRPr="00F867D0">
        <w:rPr>
          <w:rFonts w:eastAsia="DengXian"/>
          <w:szCs w:val="22"/>
        </w:rPr>
        <w:t>s</w:t>
      </w:r>
      <w:r w:rsidRPr="00F867D0">
        <w:rPr>
          <w:rFonts w:eastAsia="DengXian"/>
          <w:szCs w:val="22"/>
        </w:rPr>
        <w:t xml:space="preserve"> a combination of all costs to the consumer (initial purchase price</w:t>
      </w:r>
      <w:r w:rsidR="00090E5B">
        <w:rPr>
          <w:rFonts w:eastAsia="DengXian"/>
          <w:szCs w:val="22"/>
        </w:rPr>
        <w:t>, installation,</w:t>
      </w:r>
      <w:r w:rsidRPr="00F867D0">
        <w:rPr>
          <w:rFonts w:eastAsia="DengXian"/>
          <w:szCs w:val="22"/>
        </w:rPr>
        <w:t xml:space="preserve"> and operating expenses) throughout the life of the product to ensure that products fulfilling the MEPS are the most economical over the lifetime of the product. A crucial aspect in the calculation of the LLCC is the assumed lifetime of the equipment. </w:t>
      </w:r>
    </w:p>
    <w:p w14:paraId="711AAAB5" w14:textId="77777777" w:rsidR="004A2B75" w:rsidRPr="00F867D0" w:rsidRDefault="004A2B75" w:rsidP="00A663AA">
      <w:pPr>
        <w:spacing w:after="0"/>
        <w:rPr>
          <w:rFonts w:eastAsia="DengXian"/>
          <w:szCs w:val="22"/>
        </w:rPr>
      </w:pPr>
    </w:p>
    <w:p w14:paraId="08F6794E" w14:textId="7D95DACE" w:rsidR="00090E5B" w:rsidRPr="00A663AA" w:rsidRDefault="00090E5B" w:rsidP="00090E5B">
      <w:pPr>
        <w:spacing w:after="0"/>
        <w:rPr>
          <w:rFonts w:eastAsia="DengXian"/>
          <w:szCs w:val="22"/>
          <w:lang w:val="en-US"/>
        </w:rPr>
      </w:pPr>
      <w:r>
        <w:rPr>
          <w:rFonts w:eastAsia="DengXian"/>
          <w:szCs w:val="22"/>
          <w:lang w:val="en-US"/>
        </w:rPr>
        <w:t>Different countries will have different climatic, economic and energy cost conditions that will affect the most economical MEPS level, or have other policy priorities that affect the choice of MEPS level. I</w:t>
      </w:r>
      <w:r w:rsidRPr="00A663AA">
        <w:rPr>
          <w:rFonts w:eastAsia="DengXian"/>
          <w:szCs w:val="22"/>
          <w:lang w:val="en-US"/>
        </w:rPr>
        <w:t>n a country where energy costs are low</w:t>
      </w:r>
      <w:r>
        <w:rPr>
          <w:rFonts w:eastAsia="DengXian"/>
          <w:szCs w:val="22"/>
          <w:lang w:val="en-US"/>
        </w:rPr>
        <w:t xml:space="preserve"> (for example, due to subsidies)</w:t>
      </w:r>
      <w:r w:rsidRPr="00A663AA">
        <w:rPr>
          <w:rFonts w:eastAsia="DengXian"/>
          <w:szCs w:val="22"/>
          <w:lang w:val="en-US"/>
        </w:rPr>
        <w:t xml:space="preserve">, the monetary savings on energy bills from energy efficient equipment alone is often not sufficient to promote their wide-spread adoption. In these cases, only standards and labels will achieve the </w:t>
      </w:r>
      <w:r w:rsidR="004326DD">
        <w:rPr>
          <w:rFonts w:eastAsia="DengXian"/>
          <w:szCs w:val="22"/>
          <w:lang w:val="en-US"/>
        </w:rPr>
        <w:t>“</w:t>
      </w:r>
      <w:r w:rsidRPr="00A663AA">
        <w:rPr>
          <w:rFonts w:eastAsia="DengXian"/>
          <w:szCs w:val="22"/>
          <w:lang w:val="en-US"/>
        </w:rPr>
        <w:t>push</w:t>
      </w:r>
      <w:r w:rsidR="004326DD">
        <w:rPr>
          <w:rFonts w:eastAsia="DengXian"/>
          <w:szCs w:val="22"/>
          <w:lang w:val="en-US"/>
        </w:rPr>
        <w:t>”</w:t>
      </w:r>
      <w:r w:rsidRPr="00A663AA">
        <w:rPr>
          <w:rFonts w:eastAsia="DengXian"/>
          <w:szCs w:val="22"/>
          <w:lang w:val="en-US"/>
        </w:rPr>
        <w:t xml:space="preserve"> needed that will transform the market. Historically, MEPS solely focused on the reduction of energy consumption. However, MEPS </w:t>
      </w:r>
      <w:r>
        <w:rPr>
          <w:rFonts w:eastAsia="DengXian"/>
          <w:szCs w:val="22"/>
          <w:lang w:val="en-US"/>
        </w:rPr>
        <w:t xml:space="preserve">can </w:t>
      </w:r>
      <w:r w:rsidRPr="00A663AA">
        <w:rPr>
          <w:rFonts w:eastAsia="DengXian"/>
          <w:szCs w:val="22"/>
          <w:lang w:val="en-US"/>
        </w:rPr>
        <w:t xml:space="preserve">also include other design requirements that address other quality aspects of the regulated products. </w:t>
      </w:r>
    </w:p>
    <w:p w14:paraId="4F0096C4" w14:textId="5B0CFBA8" w:rsidR="00090E5B" w:rsidRDefault="00090E5B" w:rsidP="00A663AA">
      <w:pPr>
        <w:spacing w:after="0"/>
        <w:rPr>
          <w:rFonts w:eastAsia="DengXian"/>
          <w:szCs w:val="22"/>
        </w:rPr>
      </w:pPr>
    </w:p>
    <w:p w14:paraId="7CF95793" w14:textId="1B382961" w:rsidR="00A663AA" w:rsidRPr="00F867D0" w:rsidRDefault="009E581D" w:rsidP="00A663AA">
      <w:pPr>
        <w:spacing w:after="0"/>
        <w:rPr>
          <w:rFonts w:eastAsia="DengXian"/>
          <w:szCs w:val="22"/>
        </w:rPr>
      </w:pPr>
      <w:r>
        <w:rPr>
          <w:rFonts w:eastAsia="DengXian"/>
          <w:szCs w:val="22"/>
        </w:rPr>
        <w:t>I</w:t>
      </w:r>
      <w:r w:rsidR="00A663AA" w:rsidRPr="00F867D0">
        <w:rPr>
          <w:rFonts w:eastAsia="DengXian"/>
          <w:szCs w:val="22"/>
        </w:rPr>
        <w:t xml:space="preserve">t is </w:t>
      </w:r>
      <w:r>
        <w:rPr>
          <w:rFonts w:eastAsia="DengXian"/>
          <w:szCs w:val="22"/>
        </w:rPr>
        <w:t xml:space="preserve">typical that future levels of </w:t>
      </w:r>
      <w:r w:rsidR="00A663AA" w:rsidRPr="00F867D0">
        <w:rPr>
          <w:rFonts w:eastAsia="DengXian"/>
          <w:szCs w:val="22"/>
        </w:rPr>
        <w:t>MEPS are strengthened over the years in accordance to the assessed rate of technological innovation for a given product. Knowledge of the</w:t>
      </w:r>
      <w:r>
        <w:rPr>
          <w:rFonts w:eastAsia="DengXian"/>
          <w:szCs w:val="22"/>
        </w:rPr>
        <w:t>se</w:t>
      </w:r>
      <w:r w:rsidR="00A663AA" w:rsidRPr="00F867D0">
        <w:rPr>
          <w:rFonts w:eastAsia="DengXian"/>
          <w:szCs w:val="22"/>
        </w:rPr>
        <w:t xml:space="preserve"> future</w:t>
      </w:r>
      <w:r>
        <w:rPr>
          <w:rFonts w:eastAsia="DengXian"/>
          <w:szCs w:val="22"/>
        </w:rPr>
        <w:t>, strengthened</w:t>
      </w:r>
      <w:r w:rsidR="00A663AA" w:rsidRPr="00F867D0">
        <w:rPr>
          <w:rFonts w:eastAsia="DengXian"/>
          <w:szCs w:val="22"/>
        </w:rPr>
        <w:t xml:space="preserve"> MEPS </w:t>
      </w:r>
      <w:r>
        <w:rPr>
          <w:rFonts w:eastAsia="DengXian"/>
          <w:szCs w:val="22"/>
        </w:rPr>
        <w:t xml:space="preserve">can </w:t>
      </w:r>
      <w:r w:rsidR="00A663AA" w:rsidRPr="00F867D0">
        <w:rPr>
          <w:rFonts w:eastAsia="DengXian"/>
          <w:szCs w:val="22"/>
        </w:rPr>
        <w:t xml:space="preserve">provide manufacturers with the security that </w:t>
      </w:r>
      <w:r>
        <w:rPr>
          <w:rFonts w:eastAsia="DengXian"/>
          <w:szCs w:val="22"/>
        </w:rPr>
        <w:t xml:space="preserve">there will be a return on </w:t>
      </w:r>
      <w:r w:rsidR="00A663AA" w:rsidRPr="00F867D0">
        <w:rPr>
          <w:rFonts w:eastAsia="DengXian"/>
          <w:szCs w:val="22"/>
        </w:rPr>
        <w:t>their investments in R&amp;D.</w:t>
      </w:r>
      <w:r w:rsidR="004A2B75" w:rsidRPr="00F867D0">
        <w:rPr>
          <w:rFonts w:eastAsia="DengXian"/>
          <w:szCs w:val="22"/>
        </w:rPr>
        <w:t xml:space="preserve"> </w:t>
      </w:r>
      <w:r w:rsidR="00A663AA" w:rsidRPr="00F867D0">
        <w:rPr>
          <w:rFonts w:eastAsia="DengXian"/>
          <w:szCs w:val="22"/>
        </w:rPr>
        <w:t xml:space="preserve">MEPS </w:t>
      </w:r>
      <w:r>
        <w:rPr>
          <w:rFonts w:eastAsia="DengXian"/>
          <w:szCs w:val="22"/>
        </w:rPr>
        <w:t xml:space="preserve">that are </w:t>
      </w:r>
      <w:r w:rsidR="00A663AA" w:rsidRPr="00F867D0">
        <w:rPr>
          <w:rFonts w:eastAsia="DengXian"/>
          <w:szCs w:val="22"/>
        </w:rPr>
        <w:t xml:space="preserve">technology neutral and apply similarly to all products in the same product category </w:t>
      </w:r>
      <w:r>
        <w:rPr>
          <w:rFonts w:eastAsia="DengXian"/>
          <w:szCs w:val="22"/>
        </w:rPr>
        <w:t xml:space="preserve">can </w:t>
      </w:r>
      <w:r w:rsidR="00A663AA" w:rsidRPr="00F867D0">
        <w:rPr>
          <w:rFonts w:eastAsia="DengXian"/>
          <w:szCs w:val="22"/>
        </w:rPr>
        <w:t xml:space="preserve">achieve a level </w:t>
      </w:r>
      <w:r w:rsidR="004326DD">
        <w:rPr>
          <w:rFonts w:eastAsia="DengXian"/>
          <w:szCs w:val="22"/>
        </w:rPr>
        <w:t>“</w:t>
      </w:r>
      <w:r w:rsidR="00A663AA" w:rsidRPr="00F867D0">
        <w:rPr>
          <w:rFonts w:eastAsia="DengXian"/>
          <w:szCs w:val="22"/>
        </w:rPr>
        <w:t>playing field</w:t>
      </w:r>
      <w:r w:rsidR="004326DD">
        <w:rPr>
          <w:rFonts w:eastAsia="DengXian"/>
          <w:szCs w:val="22"/>
        </w:rPr>
        <w:t>”</w:t>
      </w:r>
      <w:r w:rsidR="00A663AA" w:rsidRPr="00F867D0">
        <w:rPr>
          <w:rFonts w:eastAsia="DengXian"/>
          <w:szCs w:val="22"/>
        </w:rPr>
        <w:t xml:space="preserve"> for efficient equipment. Technology-specific MEPS or exemptions </w:t>
      </w:r>
      <w:r>
        <w:rPr>
          <w:rFonts w:eastAsia="DengXian"/>
          <w:szCs w:val="22"/>
        </w:rPr>
        <w:t>might</w:t>
      </w:r>
      <w:r w:rsidR="00A663AA" w:rsidRPr="00F867D0">
        <w:rPr>
          <w:rFonts w:eastAsia="DengXian"/>
          <w:szCs w:val="22"/>
        </w:rPr>
        <w:t xml:space="preserve"> favo</w:t>
      </w:r>
      <w:r w:rsidR="005E3209">
        <w:rPr>
          <w:rFonts w:eastAsia="DengXian"/>
          <w:szCs w:val="22"/>
        </w:rPr>
        <w:t>u</w:t>
      </w:r>
      <w:r w:rsidR="00A663AA" w:rsidRPr="00F867D0">
        <w:rPr>
          <w:rFonts w:eastAsia="DengXian"/>
          <w:szCs w:val="22"/>
        </w:rPr>
        <w:t xml:space="preserve">r inefficient technologies and increase the difficulty of new technologies to </w:t>
      </w:r>
      <w:r w:rsidR="004326DD">
        <w:rPr>
          <w:rFonts w:eastAsia="DengXian"/>
          <w:szCs w:val="22"/>
        </w:rPr>
        <w:t>enter the market</w:t>
      </w:r>
      <w:r w:rsidR="00A663AA" w:rsidRPr="00F867D0">
        <w:rPr>
          <w:rFonts w:eastAsia="DengXian"/>
          <w:szCs w:val="22"/>
        </w:rPr>
        <w:t xml:space="preserve">. </w:t>
      </w:r>
    </w:p>
    <w:p w14:paraId="227E72E5" w14:textId="77777777" w:rsidR="004A2B75" w:rsidRPr="00F867D0" w:rsidRDefault="004A2B75" w:rsidP="00A663AA">
      <w:pPr>
        <w:spacing w:after="0"/>
        <w:rPr>
          <w:rFonts w:eastAsia="DengXian"/>
          <w:szCs w:val="22"/>
        </w:rPr>
      </w:pPr>
    </w:p>
    <w:p w14:paraId="44AC0B4D" w14:textId="54984095" w:rsidR="00A663AA" w:rsidRDefault="00A663AA" w:rsidP="00A663AA">
      <w:pPr>
        <w:spacing w:after="0"/>
        <w:rPr>
          <w:rFonts w:eastAsia="DengXian"/>
          <w:szCs w:val="22"/>
          <w:lang w:val="en-US"/>
        </w:rPr>
      </w:pPr>
      <w:r w:rsidRPr="00F867D0">
        <w:rPr>
          <w:rFonts w:eastAsia="DengXian"/>
          <w:szCs w:val="22"/>
        </w:rPr>
        <w:t xml:space="preserve">The measurement of energy performance of refrigeration equipment constitutes the base for the </w:t>
      </w:r>
      <w:r w:rsidR="004326DD">
        <w:rPr>
          <w:rFonts w:eastAsia="DengXian"/>
          <w:szCs w:val="22"/>
        </w:rPr>
        <w:t>EE</w:t>
      </w:r>
      <w:r w:rsidRPr="00F867D0">
        <w:rPr>
          <w:rFonts w:eastAsia="DengXian"/>
          <w:szCs w:val="22"/>
        </w:rPr>
        <w:t xml:space="preserve"> rating. Measurement methods need to be replicable, repeatable and reliable without being too costly for the verification and compliance authorities. They can be adapted to better reflect local climates and user behavio</w:t>
      </w:r>
      <w:r w:rsidR="00B81ECB" w:rsidRPr="00F867D0">
        <w:rPr>
          <w:rFonts w:eastAsia="DengXian"/>
          <w:szCs w:val="22"/>
        </w:rPr>
        <w:t>u</w:t>
      </w:r>
      <w:r w:rsidRPr="00F867D0">
        <w:rPr>
          <w:rFonts w:eastAsia="DengXian"/>
          <w:szCs w:val="22"/>
        </w:rPr>
        <w:t>r. However, the downside of modifying test methods too significantly is that the comparability of the equipment amongst regions is limited.</w:t>
      </w:r>
      <w:r w:rsidR="00090E5B">
        <w:rPr>
          <w:rFonts w:eastAsia="DengXian"/>
          <w:szCs w:val="22"/>
        </w:rPr>
        <w:t xml:space="preserve"> </w:t>
      </w:r>
      <w:r w:rsidR="00090E5B" w:rsidRPr="00A663AA">
        <w:rPr>
          <w:rFonts w:eastAsia="DengXian"/>
          <w:szCs w:val="22"/>
          <w:lang w:val="en-US"/>
        </w:rPr>
        <w:t>In countries that do not have the appropriate infrastructure for product testing to verify product compliance, they can make use of existing accredited regional testing facilities.</w:t>
      </w:r>
    </w:p>
    <w:p w14:paraId="0CD594E3" w14:textId="4392509C" w:rsidR="00090E5B" w:rsidRDefault="00090E5B" w:rsidP="00A663AA">
      <w:pPr>
        <w:spacing w:after="0"/>
        <w:rPr>
          <w:rFonts w:eastAsia="DengXian"/>
          <w:szCs w:val="22"/>
          <w:lang w:val="en-US"/>
        </w:rPr>
      </w:pPr>
    </w:p>
    <w:p w14:paraId="0FA8658F" w14:textId="134DC86E" w:rsidR="00770FBC" w:rsidRPr="00770FBC" w:rsidRDefault="00770FBC" w:rsidP="00770FBC">
      <w:pPr>
        <w:spacing w:after="0"/>
        <w:rPr>
          <w:szCs w:val="22"/>
        </w:rPr>
      </w:pPr>
      <w:r w:rsidRPr="00770FBC">
        <w:rPr>
          <w:szCs w:val="22"/>
        </w:rPr>
        <w:t xml:space="preserve">For the purposes of this report, efficiency improvements are characterized in terms of percentages to be independent of the metric used. Converting across different </w:t>
      </w:r>
      <w:r w:rsidR="00B63881">
        <w:rPr>
          <w:szCs w:val="22"/>
        </w:rPr>
        <w:t>Seasonal Energy Efficiency Ratio (</w:t>
      </w:r>
      <w:r w:rsidRPr="00770FBC">
        <w:rPr>
          <w:szCs w:val="22"/>
        </w:rPr>
        <w:t>SEER</w:t>
      </w:r>
      <w:r w:rsidR="00B63881">
        <w:rPr>
          <w:szCs w:val="22"/>
        </w:rPr>
        <w:t>)</w:t>
      </w:r>
      <w:r w:rsidRPr="00770FBC">
        <w:rPr>
          <w:szCs w:val="22"/>
        </w:rPr>
        <w:t xml:space="preserve"> metrics is not straightforward because different metrics use different testing standards and different weightings for part-load performance (see</w:t>
      </w:r>
      <w:r w:rsidR="00355A2F">
        <w:rPr>
          <w:szCs w:val="22"/>
        </w:rPr>
        <w:t xml:space="preserve"> </w:t>
      </w:r>
      <w:r w:rsidR="00670E75">
        <w:rPr>
          <w:szCs w:val="22"/>
        </w:rPr>
        <w:t xml:space="preserve">Table </w:t>
      </w:r>
      <w:r w:rsidR="00943511">
        <w:rPr>
          <w:szCs w:val="22"/>
        </w:rPr>
        <w:t>A</w:t>
      </w:r>
      <w:r w:rsidR="00670E75">
        <w:rPr>
          <w:szCs w:val="22"/>
        </w:rPr>
        <w:t>.1 in Annex</w:t>
      </w:r>
      <w:r w:rsidR="00943511">
        <w:rPr>
          <w:szCs w:val="22"/>
        </w:rPr>
        <w:t xml:space="preserve"> </w:t>
      </w:r>
      <w:r w:rsidR="00670E75">
        <w:rPr>
          <w:szCs w:val="22"/>
        </w:rPr>
        <w:t>A</w:t>
      </w:r>
      <w:r w:rsidRPr="00770FBC">
        <w:rPr>
          <w:szCs w:val="22"/>
        </w:rPr>
        <w:t xml:space="preserve">). Consider as an analogy different drive cycles for vehicle fuel efficiency ratings. Drive cycles with more highway driving will tend to give better fuel efficiency ratings than drive cycles with more city driving. The case is similar with SEER metrics: some give more weight to part-load operation, which is similar to more highway driving, and these will tend to result in a higher range for SEER ratings. </w:t>
      </w:r>
    </w:p>
    <w:p w14:paraId="51010296" w14:textId="77777777" w:rsidR="004A2B75" w:rsidRPr="00F867D0" w:rsidRDefault="004A2B75" w:rsidP="00A663AA">
      <w:pPr>
        <w:spacing w:after="0"/>
        <w:rPr>
          <w:rFonts w:eastAsia="DengXian"/>
          <w:szCs w:val="22"/>
        </w:rPr>
      </w:pPr>
    </w:p>
    <w:p w14:paraId="1367C81F" w14:textId="0EF20460" w:rsidR="00A663AA" w:rsidRPr="00F867D0" w:rsidRDefault="009E581D" w:rsidP="00A663AA">
      <w:pPr>
        <w:spacing w:after="0"/>
        <w:rPr>
          <w:rFonts w:eastAsia="DengXian"/>
          <w:szCs w:val="22"/>
        </w:rPr>
      </w:pPr>
      <w:r>
        <w:rPr>
          <w:rFonts w:eastAsia="DengXian"/>
          <w:szCs w:val="22"/>
        </w:rPr>
        <w:t xml:space="preserve">Harmonising </w:t>
      </w:r>
      <w:r w:rsidR="00A663AA" w:rsidRPr="00F867D0">
        <w:rPr>
          <w:rFonts w:eastAsia="DengXian"/>
          <w:szCs w:val="22"/>
        </w:rPr>
        <w:t xml:space="preserve">MEPS among </w:t>
      </w:r>
      <w:r w:rsidR="00355A2F">
        <w:rPr>
          <w:rFonts w:eastAsia="DengXian"/>
          <w:szCs w:val="22"/>
        </w:rPr>
        <w:t>countries</w:t>
      </w:r>
      <w:r w:rsidR="00355A2F" w:rsidRPr="00F867D0">
        <w:rPr>
          <w:rFonts w:eastAsia="DengXian"/>
          <w:szCs w:val="22"/>
        </w:rPr>
        <w:t xml:space="preserve"> </w:t>
      </w:r>
      <w:r w:rsidR="00A663AA" w:rsidRPr="00F867D0">
        <w:rPr>
          <w:rFonts w:eastAsia="DengXian"/>
          <w:szCs w:val="22"/>
        </w:rPr>
        <w:t>with similar usage and energy cost conditions across the same product categories</w:t>
      </w:r>
      <w:r>
        <w:rPr>
          <w:rFonts w:eastAsia="DengXian"/>
          <w:szCs w:val="22"/>
        </w:rPr>
        <w:t xml:space="preserve"> can help with verification and compliance. For e</w:t>
      </w:r>
      <w:r w:rsidR="00770FBC">
        <w:rPr>
          <w:rFonts w:eastAsia="DengXian"/>
          <w:szCs w:val="22"/>
          <w:lang w:val="en-US"/>
        </w:rPr>
        <w:t>xample, the</w:t>
      </w:r>
      <w:r w:rsidR="00770FBC" w:rsidRPr="00063415">
        <w:rPr>
          <w:rFonts w:eastAsia="DengXian"/>
          <w:szCs w:val="22"/>
          <w:lang w:val="en-US"/>
        </w:rPr>
        <w:t xml:space="preserve"> ASEAN countries—including Indonesia, Malaysia, Philippines, Singapore, Thailand, and Vietnam—have agreed to use a test method based on ISO 5151: 2010 and </w:t>
      </w:r>
      <w:r w:rsidR="00770FBC">
        <w:rPr>
          <w:rFonts w:eastAsia="DengXian"/>
          <w:szCs w:val="22"/>
          <w:lang w:val="en-US"/>
        </w:rPr>
        <w:t xml:space="preserve">the seasonal </w:t>
      </w:r>
      <w:r w:rsidR="003C37C3">
        <w:rPr>
          <w:rFonts w:eastAsia="DengXian"/>
          <w:szCs w:val="22"/>
          <w:lang w:val="en-US"/>
        </w:rPr>
        <w:t>EE</w:t>
      </w:r>
      <w:r w:rsidR="00770FBC">
        <w:rPr>
          <w:rFonts w:eastAsia="DengXian"/>
          <w:szCs w:val="22"/>
          <w:lang w:val="en-US"/>
        </w:rPr>
        <w:t xml:space="preserve"> metric defined in ISO 16358-1: 2013 [</w:t>
      </w:r>
      <w:r w:rsidR="00770FBC" w:rsidRPr="00063415">
        <w:rPr>
          <w:rFonts w:eastAsia="DengXian"/>
          <w:szCs w:val="22"/>
          <w:lang w:val="en-US"/>
        </w:rPr>
        <w:t>ASEAN SHINE, 2017</w:t>
      </w:r>
      <w:r w:rsidR="00770FBC">
        <w:rPr>
          <w:rFonts w:eastAsia="DengXian"/>
          <w:szCs w:val="22"/>
          <w:lang w:val="en-US"/>
        </w:rPr>
        <w:t>]</w:t>
      </w:r>
      <w:r w:rsidR="00770FBC" w:rsidRPr="00A663AA">
        <w:rPr>
          <w:rFonts w:eastAsia="DengXian"/>
          <w:szCs w:val="22"/>
          <w:lang w:val="en-US"/>
        </w:rPr>
        <w:t>.</w:t>
      </w:r>
      <w:r w:rsidR="00770FBC">
        <w:rPr>
          <w:rFonts w:eastAsia="DengXian"/>
          <w:szCs w:val="22"/>
          <w:lang w:val="en-US"/>
        </w:rPr>
        <w:t xml:space="preserve"> </w:t>
      </w:r>
      <w:r>
        <w:rPr>
          <w:rFonts w:eastAsia="DengXian"/>
          <w:szCs w:val="22"/>
        </w:rPr>
        <w:t>H</w:t>
      </w:r>
      <w:r w:rsidR="00A663AA" w:rsidRPr="00F867D0">
        <w:rPr>
          <w:rFonts w:eastAsia="DengXian"/>
          <w:szCs w:val="22"/>
        </w:rPr>
        <w:t xml:space="preserve">armonized measurement standards facilitate the work of market surveillance authorities because only one test is required and used across different markets, hence avoiding test duplication. Harmonization also relieves nations from the burden of developing new standards and allows them to leverage existing resources from other nations. Ultimately, it increases the comparability of products among regions and the transparency of the market. </w:t>
      </w:r>
    </w:p>
    <w:p w14:paraId="0F750264" w14:textId="77777777" w:rsidR="00A663AA" w:rsidRPr="00F867D0" w:rsidRDefault="00A663AA" w:rsidP="00A663AA">
      <w:pPr>
        <w:keepNext/>
        <w:widowControl w:val="0"/>
        <w:tabs>
          <w:tab w:val="left" w:pos="0"/>
        </w:tabs>
        <w:spacing w:after="0" w:line="276" w:lineRule="auto"/>
        <w:ind w:left="851" w:hanging="851"/>
        <w:outlineLvl w:val="3"/>
        <w:rPr>
          <w:lang w:eastAsia="en-US"/>
        </w:rPr>
      </w:pPr>
    </w:p>
    <w:p w14:paraId="16E9617D" w14:textId="3B31A6C4" w:rsidR="00A663AA" w:rsidRPr="000F749F" w:rsidRDefault="00A663AA" w:rsidP="000F749F">
      <w:pPr>
        <w:pStyle w:val="Heading3"/>
        <w:rPr>
          <w:b w:val="0"/>
        </w:rPr>
      </w:pPr>
      <w:bookmarkStart w:id="61" w:name="_Toc515454363"/>
      <w:r w:rsidRPr="000F749F">
        <w:t>2.2.3</w:t>
      </w:r>
      <w:r w:rsidRPr="000F749F">
        <w:tab/>
        <w:t xml:space="preserve">Not-In-Kind and </w:t>
      </w:r>
      <w:r w:rsidR="00355A2F" w:rsidRPr="000F749F">
        <w:t>d</w:t>
      </w:r>
      <w:r w:rsidRPr="000F749F">
        <w:t xml:space="preserve">istrict </w:t>
      </w:r>
      <w:r w:rsidR="00355A2F" w:rsidRPr="000F749F">
        <w:t>c</w:t>
      </w:r>
      <w:r w:rsidRPr="000F749F">
        <w:t xml:space="preserve">ooling contribution to </w:t>
      </w:r>
      <w:r w:rsidR="00355A2F" w:rsidRPr="000F749F">
        <w:t>e</w:t>
      </w:r>
      <w:r w:rsidRPr="000F749F">
        <w:t xml:space="preserve">nergy </w:t>
      </w:r>
      <w:r w:rsidR="00355A2F" w:rsidRPr="000F749F">
        <w:t>e</w:t>
      </w:r>
      <w:r w:rsidRPr="000F749F">
        <w:t>fficiency</w:t>
      </w:r>
      <w:bookmarkEnd w:id="61"/>
    </w:p>
    <w:bookmarkEnd w:id="60"/>
    <w:p w14:paraId="124DC3DE" w14:textId="35E768CF" w:rsidR="00A663AA" w:rsidRPr="00F867D0" w:rsidRDefault="00AB6DDB" w:rsidP="00A663AA">
      <w:pPr>
        <w:spacing w:after="0"/>
        <w:rPr>
          <w:szCs w:val="22"/>
        </w:rPr>
      </w:pPr>
      <w:r w:rsidRPr="00F867D0">
        <w:rPr>
          <w:szCs w:val="22"/>
        </w:rPr>
        <w:t xml:space="preserve">Not-In-Kind (NIK) technologies </w:t>
      </w:r>
      <w:r>
        <w:rPr>
          <w:szCs w:val="22"/>
        </w:rPr>
        <w:t xml:space="preserve">are unlikely to provide a significant contribution to </w:t>
      </w:r>
      <w:r w:rsidR="00355A2F">
        <w:rPr>
          <w:szCs w:val="22"/>
        </w:rPr>
        <w:t>EE</w:t>
      </w:r>
      <w:r>
        <w:rPr>
          <w:szCs w:val="22"/>
        </w:rPr>
        <w:t xml:space="preserve"> in the </w:t>
      </w:r>
      <w:r w:rsidR="00355A2F">
        <w:rPr>
          <w:szCs w:val="22"/>
        </w:rPr>
        <w:t>near</w:t>
      </w:r>
      <w:r>
        <w:rPr>
          <w:szCs w:val="22"/>
        </w:rPr>
        <w:t xml:space="preserve"> future, as already discussed in t</w:t>
      </w:r>
      <w:r w:rsidR="00A663AA" w:rsidRPr="00F867D0">
        <w:rPr>
          <w:szCs w:val="22"/>
        </w:rPr>
        <w:t xml:space="preserve">he </w:t>
      </w:r>
      <w:r w:rsidR="00284308" w:rsidRPr="00F867D0">
        <w:rPr>
          <w:szCs w:val="22"/>
        </w:rPr>
        <w:t xml:space="preserve">previous TEAP Decision XXVIII/5 Working Group Report </w:t>
      </w:r>
      <w:r w:rsidR="00D07E69" w:rsidRPr="00F867D0">
        <w:rPr>
          <w:szCs w:val="22"/>
        </w:rPr>
        <w:t>[</w:t>
      </w:r>
      <w:r w:rsidR="00A663AA" w:rsidRPr="00F867D0">
        <w:rPr>
          <w:szCs w:val="22"/>
        </w:rPr>
        <w:t>UNEP, 2017</w:t>
      </w:r>
      <w:r w:rsidR="001662D1" w:rsidRPr="00F867D0">
        <w:rPr>
          <w:szCs w:val="22"/>
        </w:rPr>
        <w:t>a</w:t>
      </w:r>
      <w:r w:rsidR="00D07E69" w:rsidRPr="00F867D0">
        <w:rPr>
          <w:szCs w:val="22"/>
        </w:rPr>
        <w:t>]</w:t>
      </w:r>
      <w:r>
        <w:rPr>
          <w:szCs w:val="22"/>
        </w:rPr>
        <w:t>.</w:t>
      </w:r>
      <w:r w:rsidR="00A663AA" w:rsidRPr="00F867D0">
        <w:rPr>
          <w:szCs w:val="22"/>
        </w:rPr>
        <w:t xml:space="preserve"> </w:t>
      </w:r>
      <w:r>
        <w:rPr>
          <w:szCs w:val="22"/>
        </w:rPr>
        <w:t xml:space="preserve">Nevertheless, there is one technology that is </w:t>
      </w:r>
      <w:r w:rsidR="00A663AA" w:rsidRPr="00F867D0">
        <w:rPr>
          <w:szCs w:val="22"/>
        </w:rPr>
        <w:t>gaining more attention</w:t>
      </w:r>
      <w:r w:rsidR="00355A2F">
        <w:rPr>
          <w:szCs w:val="22"/>
        </w:rPr>
        <w:t xml:space="preserve"> related to reduced energy use</w:t>
      </w:r>
      <w:r w:rsidR="00A663AA" w:rsidRPr="00F867D0">
        <w:rPr>
          <w:szCs w:val="22"/>
        </w:rPr>
        <w:t xml:space="preserve">, especially for air conditioning applications </w:t>
      </w:r>
      <w:r w:rsidR="00355A2F">
        <w:rPr>
          <w:szCs w:val="22"/>
        </w:rPr>
        <w:t>under HAT conditions</w:t>
      </w:r>
      <w:r w:rsidR="00A663AA" w:rsidRPr="00F867D0">
        <w:rPr>
          <w:szCs w:val="22"/>
        </w:rPr>
        <w:t>.</w:t>
      </w:r>
      <w:r>
        <w:rPr>
          <w:szCs w:val="22"/>
        </w:rPr>
        <w:t xml:space="preserve"> This technology is known as Separate Sensible and Latent Cooling (SSLC).</w:t>
      </w:r>
    </w:p>
    <w:p w14:paraId="4C5FCBC1" w14:textId="77777777" w:rsidR="00A663AA" w:rsidRPr="00F867D0" w:rsidRDefault="00A663AA" w:rsidP="00A663AA">
      <w:pPr>
        <w:spacing w:after="0"/>
        <w:rPr>
          <w:szCs w:val="22"/>
        </w:rPr>
      </w:pPr>
    </w:p>
    <w:p w14:paraId="509C6C38" w14:textId="451EEEF1" w:rsidR="00A663AA" w:rsidRPr="00F867D0" w:rsidRDefault="00B81ECB" w:rsidP="00031D16">
      <w:pPr>
        <w:spacing w:after="0"/>
      </w:pPr>
      <w:r w:rsidRPr="00F867D0">
        <w:rPr>
          <w:szCs w:val="22"/>
        </w:rPr>
        <w:t xml:space="preserve">In </w:t>
      </w:r>
      <w:r w:rsidR="00A663AA" w:rsidRPr="00F867D0">
        <w:rPr>
          <w:szCs w:val="22"/>
        </w:rPr>
        <w:t>SSLC</w:t>
      </w:r>
      <w:r w:rsidRPr="00F867D0">
        <w:rPr>
          <w:szCs w:val="22"/>
        </w:rPr>
        <w:t xml:space="preserve"> </w:t>
      </w:r>
      <w:r w:rsidR="00A663AA" w:rsidRPr="00F867D0">
        <w:rPr>
          <w:szCs w:val="22"/>
        </w:rPr>
        <w:t>devices</w:t>
      </w:r>
      <w:r w:rsidR="00355A2F">
        <w:rPr>
          <w:szCs w:val="22"/>
        </w:rPr>
        <w:t>,</w:t>
      </w:r>
      <w:r w:rsidR="00A663AA" w:rsidRPr="00F867D0">
        <w:rPr>
          <w:szCs w:val="22"/>
        </w:rPr>
        <w:t xml:space="preserve"> the </w:t>
      </w:r>
      <w:r w:rsidR="00355A2F">
        <w:rPr>
          <w:szCs w:val="22"/>
        </w:rPr>
        <w:t xml:space="preserve">hot </w:t>
      </w:r>
      <w:r w:rsidR="00A663AA" w:rsidRPr="00F867D0">
        <w:rPr>
          <w:szCs w:val="22"/>
        </w:rPr>
        <w:t>air undergoes, in series, the following two processes:</w:t>
      </w:r>
      <w:r w:rsidR="00001BFC">
        <w:rPr>
          <w:szCs w:val="22"/>
        </w:rPr>
        <w:t xml:space="preserve"> 1) </w:t>
      </w:r>
      <w:r w:rsidR="00A663AA" w:rsidRPr="00F867D0">
        <w:rPr>
          <w:color w:val="auto"/>
          <w:kern w:val="2"/>
          <w:szCs w:val="22"/>
        </w:rPr>
        <w:t>dehumidifi</w:t>
      </w:r>
      <w:r w:rsidR="00831BE0" w:rsidRPr="00F867D0">
        <w:rPr>
          <w:color w:val="auto"/>
          <w:kern w:val="2"/>
          <w:szCs w:val="22"/>
        </w:rPr>
        <w:t>cation</w:t>
      </w:r>
      <w:r w:rsidR="00A663AA" w:rsidRPr="00F867D0">
        <w:rPr>
          <w:color w:val="auto"/>
          <w:kern w:val="2"/>
          <w:szCs w:val="22"/>
        </w:rPr>
        <w:t xml:space="preserve"> using appropriate desiccant technologies (liquid absorbent or solid adsorbent), and </w:t>
      </w:r>
      <w:r w:rsidR="00831BE0" w:rsidRPr="00F867D0">
        <w:rPr>
          <w:color w:val="auto"/>
          <w:kern w:val="2"/>
          <w:szCs w:val="22"/>
        </w:rPr>
        <w:t>then</w:t>
      </w:r>
      <w:r w:rsidR="00001BFC">
        <w:rPr>
          <w:color w:val="auto"/>
          <w:kern w:val="2"/>
          <w:szCs w:val="22"/>
        </w:rPr>
        <w:t xml:space="preserve"> 2) </w:t>
      </w:r>
      <w:r w:rsidR="00A663AA" w:rsidRPr="00F867D0">
        <w:rPr>
          <w:color w:val="auto"/>
          <w:kern w:val="2"/>
          <w:szCs w:val="22"/>
        </w:rPr>
        <w:t xml:space="preserve">cooling by mechanical refrigeration or even evaporative cooling. </w:t>
      </w:r>
      <w:r w:rsidR="00A663AA" w:rsidRPr="00F867D0">
        <w:t>SSLC can have many impacts on energy consumption and re</w:t>
      </w:r>
      <w:r w:rsidR="00202E86">
        <w:t>frigerant usage:</w:t>
      </w:r>
    </w:p>
    <w:p w14:paraId="6B4D027C" w14:textId="77777777" w:rsidR="00202E86" w:rsidRDefault="00202E86" w:rsidP="00202E86">
      <w:pPr>
        <w:widowControl w:val="0"/>
        <w:tabs>
          <w:tab w:val="left" w:pos="220"/>
          <w:tab w:val="left" w:pos="270"/>
        </w:tabs>
        <w:autoSpaceDE w:val="0"/>
        <w:autoSpaceDN w:val="0"/>
        <w:adjustRightInd w:val="0"/>
        <w:spacing w:after="0"/>
        <w:ind w:left="720"/>
        <w:contextualSpacing/>
        <w:rPr>
          <w:color w:val="auto"/>
          <w:kern w:val="2"/>
          <w:szCs w:val="22"/>
        </w:rPr>
      </w:pPr>
    </w:p>
    <w:p w14:paraId="1BF072D8" w14:textId="65403563" w:rsidR="00A663AA" w:rsidRPr="00F867D0" w:rsidRDefault="00A663AA" w:rsidP="00736989">
      <w:pPr>
        <w:widowControl w:val="0"/>
        <w:numPr>
          <w:ilvl w:val="0"/>
          <w:numId w:val="78"/>
        </w:numPr>
        <w:tabs>
          <w:tab w:val="left" w:pos="220"/>
          <w:tab w:val="left" w:pos="270"/>
        </w:tabs>
        <w:autoSpaceDE w:val="0"/>
        <w:autoSpaceDN w:val="0"/>
        <w:adjustRightInd w:val="0"/>
        <w:spacing w:after="0"/>
        <w:contextualSpacing/>
        <w:rPr>
          <w:color w:val="auto"/>
          <w:kern w:val="2"/>
          <w:szCs w:val="22"/>
        </w:rPr>
      </w:pPr>
      <w:r w:rsidRPr="00F867D0">
        <w:rPr>
          <w:color w:val="auto"/>
          <w:kern w:val="2"/>
          <w:szCs w:val="22"/>
        </w:rPr>
        <w:t>if evaporative cooling can be used, no mechanical refrigeration is needed and therefore no refrigerant is used</w:t>
      </w:r>
      <w:r w:rsidR="005237AA">
        <w:rPr>
          <w:color w:val="auto"/>
          <w:kern w:val="2"/>
          <w:szCs w:val="22"/>
        </w:rPr>
        <w:t xml:space="preserve"> and, most of all, there isn’t any compressor and no energy is consumed</w:t>
      </w:r>
      <w:r w:rsidRPr="00F867D0">
        <w:rPr>
          <w:color w:val="auto"/>
          <w:kern w:val="2"/>
          <w:szCs w:val="22"/>
        </w:rPr>
        <w:t>,</w:t>
      </w:r>
    </w:p>
    <w:p w14:paraId="7057F719" w14:textId="77777777" w:rsidR="00202E86" w:rsidRDefault="00202E86" w:rsidP="00202E86">
      <w:pPr>
        <w:widowControl w:val="0"/>
        <w:tabs>
          <w:tab w:val="left" w:pos="220"/>
          <w:tab w:val="left" w:pos="270"/>
        </w:tabs>
        <w:autoSpaceDE w:val="0"/>
        <w:autoSpaceDN w:val="0"/>
        <w:adjustRightInd w:val="0"/>
        <w:spacing w:after="0"/>
        <w:ind w:left="720"/>
        <w:contextualSpacing/>
        <w:rPr>
          <w:color w:val="auto"/>
          <w:kern w:val="2"/>
          <w:szCs w:val="22"/>
        </w:rPr>
      </w:pPr>
    </w:p>
    <w:p w14:paraId="72727B6B" w14:textId="56D84556" w:rsidR="00A663AA" w:rsidRPr="00F867D0" w:rsidRDefault="00A663AA" w:rsidP="00736989">
      <w:pPr>
        <w:widowControl w:val="0"/>
        <w:numPr>
          <w:ilvl w:val="0"/>
          <w:numId w:val="78"/>
        </w:numPr>
        <w:tabs>
          <w:tab w:val="left" w:pos="220"/>
          <w:tab w:val="left" w:pos="270"/>
        </w:tabs>
        <w:autoSpaceDE w:val="0"/>
        <w:autoSpaceDN w:val="0"/>
        <w:adjustRightInd w:val="0"/>
        <w:spacing w:after="0"/>
        <w:contextualSpacing/>
        <w:rPr>
          <w:color w:val="auto"/>
          <w:kern w:val="2"/>
          <w:szCs w:val="22"/>
        </w:rPr>
      </w:pPr>
      <w:r w:rsidRPr="00F867D0">
        <w:rPr>
          <w:color w:val="auto"/>
          <w:kern w:val="2"/>
          <w:szCs w:val="22"/>
        </w:rPr>
        <w:t xml:space="preserve">if, evaporative cooling cannot be used, then vapour compression is used to only </w:t>
      </w:r>
      <w:r w:rsidR="005237AA">
        <w:rPr>
          <w:color w:val="auto"/>
          <w:kern w:val="2"/>
          <w:szCs w:val="22"/>
        </w:rPr>
        <w:t xml:space="preserve">reduce the temperature. No dehumidification is needed and that </w:t>
      </w:r>
      <w:r w:rsidRPr="00F867D0">
        <w:rPr>
          <w:color w:val="auto"/>
          <w:kern w:val="2"/>
          <w:szCs w:val="22"/>
        </w:rPr>
        <w:t>means that smaller capacity and higher evaporating temperature are needed, resulting in higher system efficiency,</w:t>
      </w:r>
    </w:p>
    <w:p w14:paraId="09841765" w14:textId="77777777" w:rsidR="00202E86" w:rsidRDefault="00202E86" w:rsidP="00202E86">
      <w:pPr>
        <w:widowControl w:val="0"/>
        <w:tabs>
          <w:tab w:val="left" w:pos="220"/>
          <w:tab w:val="left" w:pos="270"/>
        </w:tabs>
        <w:autoSpaceDE w:val="0"/>
        <w:autoSpaceDN w:val="0"/>
        <w:adjustRightInd w:val="0"/>
        <w:spacing w:after="0"/>
        <w:ind w:left="720"/>
        <w:contextualSpacing/>
        <w:rPr>
          <w:color w:val="auto"/>
          <w:kern w:val="2"/>
          <w:szCs w:val="22"/>
        </w:rPr>
      </w:pPr>
    </w:p>
    <w:p w14:paraId="2CF5A57E" w14:textId="1CE8D9C6" w:rsidR="00A663AA" w:rsidRPr="00F867D0" w:rsidRDefault="00A663AA" w:rsidP="00736989">
      <w:pPr>
        <w:widowControl w:val="0"/>
        <w:numPr>
          <w:ilvl w:val="0"/>
          <w:numId w:val="78"/>
        </w:numPr>
        <w:tabs>
          <w:tab w:val="left" w:pos="220"/>
          <w:tab w:val="left" w:pos="270"/>
        </w:tabs>
        <w:autoSpaceDE w:val="0"/>
        <w:autoSpaceDN w:val="0"/>
        <w:adjustRightInd w:val="0"/>
        <w:spacing w:after="0"/>
        <w:contextualSpacing/>
        <w:rPr>
          <w:color w:val="auto"/>
          <w:kern w:val="2"/>
          <w:szCs w:val="22"/>
        </w:rPr>
      </w:pPr>
      <w:r w:rsidRPr="00F867D0">
        <w:rPr>
          <w:color w:val="auto"/>
          <w:kern w:val="2"/>
          <w:szCs w:val="22"/>
        </w:rPr>
        <w:t xml:space="preserve">re-generation of the desiccant </w:t>
      </w:r>
      <w:r w:rsidR="00B63881">
        <w:rPr>
          <w:color w:val="auto"/>
          <w:kern w:val="2"/>
          <w:szCs w:val="22"/>
        </w:rPr>
        <w:t>material</w:t>
      </w:r>
      <w:r w:rsidRPr="00F867D0">
        <w:rPr>
          <w:color w:val="auto"/>
          <w:kern w:val="2"/>
          <w:szCs w:val="22"/>
        </w:rPr>
        <w:t xml:space="preserve"> requires only low-grade heat that can usually be waste heat or renewable heat, resulting in additional energy savings.</w:t>
      </w:r>
    </w:p>
    <w:p w14:paraId="3BA51E53" w14:textId="77777777" w:rsidR="00202E86" w:rsidRDefault="00202E86" w:rsidP="00A663AA">
      <w:pPr>
        <w:spacing w:after="0"/>
        <w:rPr>
          <w:szCs w:val="22"/>
        </w:rPr>
      </w:pPr>
    </w:p>
    <w:p w14:paraId="66DAA2B8" w14:textId="2BF751DB" w:rsidR="00A663AA" w:rsidRPr="00F867D0" w:rsidRDefault="005237AA" w:rsidP="00A663AA">
      <w:pPr>
        <w:spacing w:after="0"/>
        <w:rPr>
          <w:szCs w:val="22"/>
        </w:rPr>
      </w:pPr>
      <w:r>
        <w:rPr>
          <w:szCs w:val="22"/>
        </w:rPr>
        <w:t>In summary, the same amount of refrigeration can be obtained with a substantial reduction of energy input in comparison with vapor compression.</w:t>
      </w:r>
      <w:r w:rsidR="00355A2F">
        <w:rPr>
          <w:szCs w:val="22"/>
        </w:rPr>
        <w:t xml:space="preserve"> </w:t>
      </w:r>
      <w:r w:rsidR="00A663AA" w:rsidRPr="00F867D0">
        <w:rPr>
          <w:szCs w:val="22"/>
        </w:rPr>
        <w:t xml:space="preserve">The technology is consolidated for medium to large size applications, but </w:t>
      </w:r>
      <w:r w:rsidR="00B63881">
        <w:rPr>
          <w:szCs w:val="22"/>
        </w:rPr>
        <w:t>yet</w:t>
      </w:r>
      <w:r w:rsidR="00A663AA" w:rsidRPr="00F867D0">
        <w:rPr>
          <w:szCs w:val="22"/>
        </w:rPr>
        <w:t xml:space="preserve"> its impact in the overall energy scenario remains quite marginal. On the other hand, it </w:t>
      </w:r>
      <w:r w:rsidR="00B63881">
        <w:rPr>
          <w:szCs w:val="22"/>
        </w:rPr>
        <w:t xml:space="preserve">still </w:t>
      </w:r>
      <w:r w:rsidR="00A663AA" w:rsidRPr="00F867D0">
        <w:rPr>
          <w:szCs w:val="22"/>
        </w:rPr>
        <w:t xml:space="preserve">has to be completely developed and industrialized for small size applications, where </w:t>
      </w:r>
      <w:r w:rsidR="00355A2F">
        <w:rPr>
          <w:szCs w:val="22"/>
        </w:rPr>
        <w:t>it may have the largest potential impact on energy use</w:t>
      </w:r>
      <w:r w:rsidR="00A663AA" w:rsidRPr="00F867D0">
        <w:rPr>
          <w:szCs w:val="22"/>
        </w:rPr>
        <w:t xml:space="preserve">. </w:t>
      </w:r>
    </w:p>
    <w:p w14:paraId="6CA165C7" w14:textId="77777777" w:rsidR="00A663AA" w:rsidRPr="00F867D0" w:rsidRDefault="00A663AA" w:rsidP="00A663AA">
      <w:pPr>
        <w:spacing w:after="0"/>
        <w:rPr>
          <w:szCs w:val="22"/>
        </w:rPr>
      </w:pPr>
    </w:p>
    <w:p w14:paraId="1D5AE7FB" w14:textId="76283F62" w:rsidR="00A663AA" w:rsidRPr="00F867D0" w:rsidRDefault="00A663AA" w:rsidP="00A663AA">
      <w:pPr>
        <w:spacing w:after="0"/>
        <w:rPr>
          <w:szCs w:val="22"/>
        </w:rPr>
      </w:pPr>
      <w:r w:rsidRPr="00F867D0">
        <w:rPr>
          <w:szCs w:val="22"/>
        </w:rPr>
        <w:t xml:space="preserve">Recently, </w:t>
      </w:r>
      <w:r w:rsidR="00831BE0" w:rsidRPr="00F867D0">
        <w:rPr>
          <w:szCs w:val="22"/>
        </w:rPr>
        <w:t xml:space="preserve">the </w:t>
      </w:r>
      <w:r w:rsidRPr="00F867D0">
        <w:rPr>
          <w:szCs w:val="22"/>
        </w:rPr>
        <w:t>Middle East has seen a significant increase in the use of district cooling which</w:t>
      </w:r>
      <w:r w:rsidR="00A228BF">
        <w:rPr>
          <w:szCs w:val="22"/>
        </w:rPr>
        <w:t xml:space="preserve"> also</w:t>
      </w:r>
      <w:r w:rsidRPr="00F867D0">
        <w:rPr>
          <w:szCs w:val="22"/>
        </w:rPr>
        <w:t xml:space="preserve"> has a significant potential for </w:t>
      </w:r>
      <w:r w:rsidR="00001BFC">
        <w:rPr>
          <w:szCs w:val="22"/>
        </w:rPr>
        <w:t>EE</w:t>
      </w:r>
      <w:r w:rsidRPr="00F867D0">
        <w:rPr>
          <w:szCs w:val="22"/>
        </w:rPr>
        <w:t xml:space="preserve"> gain</w:t>
      </w:r>
      <w:r w:rsidR="00001BFC">
        <w:rPr>
          <w:szCs w:val="22"/>
        </w:rPr>
        <w:t>s</w:t>
      </w:r>
      <w:r w:rsidRPr="00F867D0">
        <w:rPr>
          <w:szCs w:val="22"/>
        </w:rPr>
        <w:t xml:space="preserve"> and reduced refrigerant charge </w:t>
      </w:r>
      <w:r w:rsidR="00831BE0" w:rsidRPr="00F867D0">
        <w:rPr>
          <w:szCs w:val="22"/>
        </w:rPr>
        <w:t xml:space="preserve">for a given </w:t>
      </w:r>
      <w:r w:rsidRPr="00F867D0">
        <w:rPr>
          <w:szCs w:val="22"/>
        </w:rPr>
        <w:t xml:space="preserve">cooling capacity.  Furthermore, these </w:t>
      </w:r>
      <w:r w:rsidR="00831BE0" w:rsidRPr="00F867D0">
        <w:rPr>
          <w:szCs w:val="22"/>
        </w:rPr>
        <w:t xml:space="preserve">very large </w:t>
      </w:r>
      <w:r w:rsidRPr="00F867D0">
        <w:rPr>
          <w:szCs w:val="22"/>
        </w:rPr>
        <w:t>district cooling plants are usually water coole</w:t>
      </w:r>
      <w:r w:rsidR="00831BE0" w:rsidRPr="00F867D0">
        <w:rPr>
          <w:szCs w:val="22"/>
        </w:rPr>
        <w:t>d</w:t>
      </w:r>
      <w:r w:rsidRPr="00F867D0">
        <w:rPr>
          <w:szCs w:val="22"/>
        </w:rPr>
        <w:t xml:space="preserve"> with sea-water that would further contribute to </w:t>
      </w:r>
      <w:r w:rsidR="003C37C3">
        <w:rPr>
          <w:szCs w:val="22"/>
        </w:rPr>
        <w:t>EE</w:t>
      </w:r>
      <w:r w:rsidRPr="00F867D0">
        <w:rPr>
          <w:szCs w:val="22"/>
        </w:rPr>
        <w:t xml:space="preserve">. However, water consumption in </w:t>
      </w:r>
      <w:r w:rsidR="00831BE0" w:rsidRPr="00F867D0">
        <w:rPr>
          <w:szCs w:val="22"/>
        </w:rPr>
        <w:t>a</w:t>
      </w:r>
      <w:r w:rsidRPr="00F867D0">
        <w:rPr>
          <w:szCs w:val="22"/>
        </w:rPr>
        <w:t xml:space="preserve"> conventional water</w:t>
      </w:r>
      <w:r w:rsidR="00831BE0" w:rsidRPr="00F867D0">
        <w:rPr>
          <w:szCs w:val="22"/>
        </w:rPr>
        <w:t>-</w:t>
      </w:r>
      <w:r w:rsidRPr="00F867D0">
        <w:rPr>
          <w:szCs w:val="22"/>
        </w:rPr>
        <w:t>cooled chilled water system remains a challenge in many HAT regions due to water shortage.</w:t>
      </w:r>
    </w:p>
    <w:p w14:paraId="43823909" w14:textId="77777777" w:rsidR="00A663AA" w:rsidRPr="00F867D0" w:rsidRDefault="00A663AA" w:rsidP="00A663AA">
      <w:pPr>
        <w:spacing w:after="0"/>
        <w:rPr>
          <w:szCs w:val="22"/>
        </w:rPr>
      </w:pPr>
    </w:p>
    <w:p w14:paraId="094CB17D" w14:textId="39F638A2" w:rsidR="00097B52" w:rsidRPr="00235F95" w:rsidRDefault="00A663AA" w:rsidP="000F749F">
      <w:pPr>
        <w:pStyle w:val="Heading3"/>
      </w:pPr>
      <w:bookmarkStart w:id="62" w:name="_Toc515454364"/>
      <w:r w:rsidRPr="000F749F">
        <w:t>2.2.4</w:t>
      </w:r>
      <w:r w:rsidRPr="000F749F">
        <w:tab/>
      </w:r>
      <w:r w:rsidR="00097B52" w:rsidRPr="000F749F">
        <w:t>Importance of customer engagement to improving energy efficiency</w:t>
      </w:r>
      <w:bookmarkEnd w:id="62"/>
    </w:p>
    <w:p w14:paraId="3997AF65" w14:textId="62B6A411" w:rsidR="00A663AA" w:rsidRPr="00F867D0" w:rsidRDefault="00A663AA" w:rsidP="00A663AA">
      <w:pPr>
        <w:spacing w:after="0"/>
        <w:rPr>
          <w:szCs w:val="22"/>
        </w:rPr>
      </w:pPr>
      <w:r w:rsidRPr="00F867D0">
        <w:rPr>
          <w:szCs w:val="22"/>
        </w:rPr>
        <w:t>In certain countries</w:t>
      </w:r>
      <w:r w:rsidR="00284308" w:rsidRPr="00F867D0">
        <w:rPr>
          <w:szCs w:val="22"/>
        </w:rPr>
        <w:t>,</w:t>
      </w:r>
      <w:r w:rsidRPr="00F867D0">
        <w:rPr>
          <w:szCs w:val="22"/>
        </w:rPr>
        <w:t xml:space="preserve"> air conditioning consumes up to 70% of the generated electric power due to the excessive use of cooling almost all year round and for long hours </w:t>
      </w:r>
      <w:r w:rsidR="001662D1" w:rsidRPr="00F867D0">
        <w:rPr>
          <w:szCs w:val="22"/>
        </w:rPr>
        <w:t>[</w:t>
      </w:r>
      <w:r w:rsidR="00DE31FC" w:rsidRPr="00F867D0">
        <w:rPr>
          <w:szCs w:val="22"/>
        </w:rPr>
        <w:t>Kuwait</w:t>
      </w:r>
      <w:r w:rsidR="001662D1" w:rsidRPr="00F867D0">
        <w:rPr>
          <w:szCs w:val="22"/>
        </w:rPr>
        <w:t xml:space="preserve"> Times</w:t>
      </w:r>
      <w:r w:rsidR="00DE31FC" w:rsidRPr="00F867D0">
        <w:rPr>
          <w:szCs w:val="22"/>
        </w:rPr>
        <w:t>, 2018</w:t>
      </w:r>
      <w:r w:rsidR="001662D1" w:rsidRPr="00F867D0">
        <w:rPr>
          <w:szCs w:val="22"/>
        </w:rPr>
        <w:t>]</w:t>
      </w:r>
      <w:r w:rsidRPr="00F867D0">
        <w:rPr>
          <w:szCs w:val="22"/>
        </w:rPr>
        <w:t xml:space="preserve">. The public is aware of the burden that air conditioning adds to their financial situation and hence </w:t>
      </w:r>
      <w:r w:rsidR="00CA0BFE">
        <w:rPr>
          <w:szCs w:val="22"/>
        </w:rPr>
        <w:t>c</w:t>
      </w:r>
      <w:r w:rsidR="00831BE0" w:rsidRPr="00F867D0">
        <w:rPr>
          <w:szCs w:val="22"/>
        </w:rPr>
        <w:t xml:space="preserve">ould be </w:t>
      </w:r>
      <w:r w:rsidR="00CA0BFE">
        <w:rPr>
          <w:szCs w:val="22"/>
        </w:rPr>
        <w:t xml:space="preserve">more willing </w:t>
      </w:r>
      <w:r w:rsidR="00831BE0" w:rsidRPr="00F867D0">
        <w:rPr>
          <w:szCs w:val="22"/>
        </w:rPr>
        <w:t xml:space="preserve">to </w:t>
      </w:r>
      <w:r w:rsidRPr="00F867D0">
        <w:rPr>
          <w:szCs w:val="22"/>
        </w:rPr>
        <w:t>welcome regulat</w:t>
      </w:r>
      <w:r w:rsidR="00831BE0" w:rsidRPr="00F867D0">
        <w:rPr>
          <w:szCs w:val="22"/>
        </w:rPr>
        <w:t>ory</w:t>
      </w:r>
      <w:r w:rsidRPr="00F867D0">
        <w:rPr>
          <w:szCs w:val="22"/>
        </w:rPr>
        <w:t xml:space="preserve"> and other measures to lessen that burden through the use of energy efficient systems which consume less power. This is unfortuna</w:t>
      </w:r>
      <w:r w:rsidR="00284308" w:rsidRPr="00F867D0">
        <w:rPr>
          <w:szCs w:val="22"/>
        </w:rPr>
        <w:t xml:space="preserve">tely not true </w:t>
      </w:r>
      <w:r w:rsidRPr="00F867D0">
        <w:rPr>
          <w:szCs w:val="22"/>
        </w:rPr>
        <w:t>where utilities are subsidized</w:t>
      </w:r>
      <w:r w:rsidR="00831BE0" w:rsidRPr="00F867D0">
        <w:rPr>
          <w:szCs w:val="22"/>
        </w:rPr>
        <w:t>, so that</w:t>
      </w:r>
      <w:r w:rsidRPr="00F867D0">
        <w:rPr>
          <w:szCs w:val="22"/>
        </w:rPr>
        <w:t xml:space="preserve"> the cost of energy to the consumer is low</w:t>
      </w:r>
      <w:r w:rsidR="00831BE0" w:rsidRPr="00F867D0">
        <w:rPr>
          <w:szCs w:val="22"/>
        </w:rPr>
        <w:t>, which removes any incentives for improving or installing new energy efficient</w:t>
      </w:r>
      <w:r w:rsidRPr="00F867D0">
        <w:rPr>
          <w:szCs w:val="22"/>
        </w:rPr>
        <w:t xml:space="preserve"> systems.</w:t>
      </w:r>
    </w:p>
    <w:p w14:paraId="0B3076F5" w14:textId="77777777" w:rsidR="00A663AA" w:rsidRPr="00F867D0" w:rsidRDefault="00A663AA" w:rsidP="00A663AA">
      <w:pPr>
        <w:spacing w:after="0"/>
        <w:rPr>
          <w:szCs w:val="22"/>
        </w:rPr>
      </w:pPr>
    </w:p>
    <w:p w14:paraId="6D2CFA84" w14:textId="4A0BF8A1" w:rsidR="00A663AA" w:rsidRPr="00F867D0" w:rsidRDefault="00A663AA" w:rsidP="00A663AA">
      <w:pPr>
        <w:spacing w:after="0"/>
        <w:rPr>
          <w:szCs w:val="22"/>
        </w:rPr>
      </w:pPr>
      <w:r w:rsidRPr="00F867D0">
        <w:rPr>
          <w:szCs w:val="22"/>
        </w:rPr>
        <w:t xml:space="preserve">Another challenge is the billing scheme that utilities use for their residential, commercial, and industrial clients. Some countries use one billing rate across the hours of the day but increase the rate according to the consumption bracket. While this scheme can work </w:t>
      </w:r>
      <w:r w:rsidR="00831BE0" w:rsidRPr="00F867D0">
        <w:rPr>
          <w:szCs w:val="22"/>
        </w:rPr>
        <w:t>reasonably</w:t>
      </w:r>
      <w:r w:rsidRPr="00F867D0">
        <w:rPr>
          <w:szCs w:val="22"/>
        </w:rPr>
        <w:t xml:space="preserve"> well for residential customers, it unfairly penalizes large commercial/industrial customers operating larger, more efficient plants like district cooling if these plants are not t</w:t>
      </w:r>
      <w:r w:rsidR="00284308" w:rsidRPr="00F867D0">
        <w:rPr>
          <w:szCs w:val="22"/>
        </w:rPr>
        <w:t xml:space="preserve">aken in consideration. </w:t>
      </w:r>
      <w:r w:rsidRPr="00F867D0">
        <w:rPr>
          <w:szCs w:val="22"/>
        </w:rPr>
        <w:t xml:space="preserve">A recent example </w:t>
      </w:r>
      <w:r w:rsidR="00284308" w:rsidRPr="00F867D0">
        <w:rPr>
          <w:szCs w:val="22"/>
        </w:rPr>
        <w:t>is</w:t>
      </w:r>
      <w:r w:rsidRPr="00F867D0">
        <w:rPr>
          <w:szCs w:val="22"/>
        </w:rPr>
        <w:t xml:space="preserve"> one country with large district cooling plants</w:t>
      </w:r>
      <w:r w:rsidR="00831BE0" w:rsidRPr="00F867D0">
        <w:rPr>
          <w:szCs w:val="22"/>
        </w:rPr>
        <w:t>, which</w:t>
      </w:r>
      <w:r w:rsidRPr="00F867D0">
        <w:rPr>
          <w:szCs w:val="22"/>
        </w:rPr>
        <w:t xml:space="preserve"> needed a strong industry lobby to create government awareness about the </w:t>
      </w:r>
      <w:r w:rsidR="00B63881">
        <w:rPr>
          <w:szCs w:val="22"/>
        </w:rPr>
        <w:t>issue</w:t>
      </w:r>
      <w:r w:rsidRPr="00F867D0">
        <w:rPr>
          <w:szCs w:val="22"/>
        </w:rPr>
        <w:t xml:space="preserve"> </w:t>
      </w:r>
      <w:r w:rsidR="001662D1" w:rsidRPr="00F867D0">
        <w:rPr>
          <w:szCs w:val="22"/>
        </w:rPr>
        <w:t>[</w:t>
      </w:r>
      <w:r w:rsidR="00DE31FC" w:rsidRPr="00F867D0">
        <w:rPr>
          <w:szCs w:val="22"/>
        </w:rPr>
        <w:t>Gulf News, 2011</w:t>
      </w:r>
      <w:r w:rsidR="001662D1" w:rsidRPr="00F867D0">
        <w:rPr>
          <w:szCs w:val="22"/>
        </w:rPr>
        <w:t>]</w:t>
      </w:r>
      <w:r w:rsidR="00284308" w:rsidRPr="00F867D0">
        <w:rPr>
          <w:szCs w:val="22"/>
        </w:rPr>
        <w:t xml:space="preserve">. </w:t>
      </w:r>
      <w:r w:rsidRPr="00F867D0">
        <w:rPr>
          <w:szCs w:val="22"/>
        </w:rPr>
        <w:t xml:space="preserve">Hours-of-day differentiated billing that is used in many non-article 5 </w:t>
      </w:r>
      <w:r w:rsidR="00001BFC">
        <w:rPr>
          <w:szCs w:val="22"/>
        </w:rPr>
        <w:t>parties</w:t>
      </w:r>
      <w:r w:rsidR="00001BFC" w:rsidRPr="00F867D0">
        <w:rPr>
          <w:szCs w:val="22"/>
        </w:rPr>
        <w:t xml:space="preserve"> </w:t>
      </w:r>
      <w:r w:rsidRPr="00F867D0">
        <w:rPr>
          <w:szCs w:val="22"/>
        </w:rPr>
        <w:t xml:space="preserve">for residential customers creates a good incentive for consumers to control the timing and operation of their AC systems through simple or smart programming. </w:t>
      </w:r>
    </w:p>
    <w:p w14:paraId="719386BF" w14:textId="77777777" w:rsidR="00A663AA" w:rsidRPr="00F867D0" w:rsidRDefault="00A663AA" w:rsidP="00A663AA">
      <w:pPr>
        <w:spacing w:after="0"/>
        <w:rPr>
          <w:szCs w:val="22"/>
        </w:rPr>
      </w:pPr>
    </w:p>
    <w:p w14:paraId="515A2C51" w14:textId="07417A25" w:rsidR="003E4638" w:rsidRPr="00F867D0" w:rsidRDefault="00A663AA" w:rsidP="00A663AA">
      <w:pPr>
        <w:spacing w:after="0"/>
        <w:rPr>
          <w:szCs w:val="22"/>
        </w:rPr>
      </w:pPr>
      <w:r w:rsidRPr="00F867D0">
        <w:rPr>
          <w:szCs w:val="22"/>
        </w:rPr>
        <w:t>Energy labelling of units and energy programs are a step in the right direction. Most countries have energy labelling scheme</w:t>
      </w:r>
      <w:r w:rsidR="00001BFC">
        <w:rPr>
          <w:szCs w:val="22"/>
        </w:rPr>
        <w:t>s</w:t>
      </w:r>
      <w:r w:rsidRPr="00F867D0">
        <w:rPr>
          <w:szCs w:val="22"/>
        </w:rPr>
        <w:t xml:space="preserve"> for domestic air conditioning and refrigeration units. One of the challenges of energy labelling and meeting energy standards in general is the testing and verification process to ensure that the stated levels are true and have been verified. </w:t>
      </w:r>
    </w:p>
    <w:p w14:paraId="1B3DAB8C" w14:textId="541B4804" w:rsidR="00A663AA" w:rsidRPr="000F749F" w:rsidRDefault="00A663AA" w:rsidP="000F749F">
      <w:pPr>
        <w:pStyle w:val="Heading2"/>
        <w:rPr>
          <w:b w:val="0"/>
        </w:rPr>
      </w:pPr>
      <w:bookmarkStart w:id="63" w:name="_Toc515454365"/>
      <w:bookmarkStart w:id="64" w:name="_Hlk514683457"/>
      <w:r w:rsidRPr="000F749F">
        <w:t>2.3</w:t>
      </w:r>
      <w:r w:rsidRPr="000F749F">
        <w:tab/>
        <w:t xml:space="preserve">High </w:t>
      </w:r>
      <w:r w:rsidR="007772DE" w:rsidRPr="000F749F">
        <w:t>a</w:t>
      </w:r>
      <w:r w:rsidRPr="000F749F">
        <w:t xml:space="preserve">mbient </w:t>
      </w:r>
      <w:r w:rsidR="007772DE" w:rsidRPr="000F749F">
        <w:t>t</w:t>
      </w:r>
      <w:r w:rsidRPr="000F749F">
        <w:t>emperature (HAT) considerations</w:t>
      </w:r>
      <w:bookmarkEnd w:id="63"/>
    </w:p>
    <w:p w14:paraId="7EFE043A" w14:textId="0EFE1301" w:rsidR="00610A50" w:rsidRPr="00F867D0" w:rsidRDefault="00610A50" w:rsidP="000F749F">
      <w:pPr>
        <w:keepNext/>
        <w:spacing w:after="0"/>
        <w:rPr>
          <w:b/>
          <w:sz w:val="24"/>
          <w:szCs w:val="22"/>
        </w:rPr>
      </w:pPr>
      <w:r w:rsidRPr="00F867D0">
        <w:rPr>
          <w:b/>
          <w:sz w:val="24"/>
          <w:szCs w:val="22"/>
        </w:rPr>
        <w:t>Summary</w:t>
      </w:r>
    </w:p>
    <w:bookmarkEnd w:id="64"/>
    <w:p w14:paraId="40F0A80E" w14:textId="77777777" w:rsidR="00202E86" w:rsidRPr="00202E86" w:rsidRDefault="00202E86" w:rsidP="000F749F">
      <w:pPr>
        <w:keepNext/>
        <w:spacing w:after="0"/>
        <w:ind w:left="630"/>
      </w:pPr>
    </w:p>
    <w:p w14:paraId="77479372" w14:textId="46F85C10" w:rsidR="00FE106C" w:rsidRPr="00FE106C" w:rsidRDefault="00FE106C" w:rsidP="004F2620">
      <w:pPr>
        <w:pStyle w:val="ListParagraph"/>
        <w:numPr>
          <w:ilvl w:val="0"/>
          <w:numId w:val="90"/>
        </w:numPr>
        <w:rPr>
          <w:b/>
        </w:rPr>
      </w:pPr>
      <w:r w:rsidRPr="005A7023">
        <w:t xml:space="preserve">A HAT environment imposes an additional set of challenges on the selection of refrigerants, system design, and potential EE enhancement opportunities. </w:t>
      </w:r>
    </w:p>
    <w:p w14:paraId="42F701CE" w14:textId="77777777" w:rsidR="00202E86" w:rsidRDefault="00202E86" w:rsidP="000F749F">
      <w:pPr>
        <w:spacing w:after="0"/>
        <w:ind w:left="630"/>
      </w:pPr>
    </w:p>
    <w:p w14:paraId="0FF0641E" w14:textId="5E6EA31A" w:rsidR="00FE106C" w:rsidRPr="005A7023" w:rsidRDefault="00B63881" w:rsidP="004F2620">
      <w:pPr>
        <w:pStyle w:val="ListParagraph"/>
        <w:numPr>
          <w:ilvl w:val="0"/>
          <w:numId w:val="90"/>
        </w:numPr>
      </w:pPr>
      <w:r>
        <w:t xml:space="preserve">In </w:t>
      </w:r>
      <w:r w:rsidR="00FE106C" w:rsidRPr="005A7023">
        <w:t>HAT conditions</w:t>
      </w:r>
      <w:r>
        <w:t>, any</w:t>
      </w:r>
      <w:r w:rsidR="00FE106C" w:rsidRPr="005A7023">
        <w:t xml:space="preserve"> refrigerant </w:t>
      </w:r>
      <w:r>
        <w:t>must</w:t>
      </w:r>
      <w:r w:rsidR="00FE106C" w:rsidRPr="005A7023">
        <w:t xml:space="preserve"> continue to sustain acceptable efficiency at elevated ambient temperatures, and </w:t>
      </w:r>
      <w:r>
        <w:t>must not</w:t>
      </w:r>
      <w:r w:rsidR="00FE106C" w:rsidRPr="005A7023">
        <w:t xml:space="preserve"> break</w:t>
      </w:r>
      <w:r>
        <w:t xml:space="preserve"> </w:t>
      </w:r>
      <w:r w:rsidR="00FE106C" w:rsidRPr="005A7023">
        <w:t>down or react with system components at high temperature.</w:t>
      </w:r>
    </w:p>
    <w:p w14:paraId="796EE466" w14:textId="77777777" w:rsidR="00A663AA" w:rsidRPr="00F867D0" w:rsidRDefault="00A663AA" w:rsidP="00A663AA">
      <w:pPr>
        <w:spacing w:after="0"/>
        <w:rPr>
          <w:szCs w:val="22"/>
        </w:rPr>
      </w:pPr>
    </w:p>
    <w:p w14:paraId="2E3D0A4D" w14:textId="08935511" w:rsidR="00A663AA" w:rsidRPr="000F749F" w:rsidRDefault="00A663AA" w:rsidP="000F749F">
      <w:pPr>
        <w:pStyle w:val="Heading3"/>
        <w:rPr>
          <w:b w:val="0"/>
        </w:rPr>
      </w:pPr>
      <w:bookmarkStart w:id="65" w:name="_Toc515454366"/>
      <w:r w:rsidRPr="000F749F">
        <w:t>2.3.1</w:t>
      </w:r>
      <w:r w:rsidR="001D19E9" w:rsidRPr="000F749F">
        <w:tab/>
      </w:r>
      <w:r w:rsidRPr="000F749F">
        <w:t xml:space="preserve">Refrigerant </w:t>
      </w:r>
      <w:r w:rsidR="007772DE" w:rsidRPr="000F749F">
        <w:t>s</w:t>
      </w:r>
      <w:r w:rsidRPr="000F749F">
        <w:t xml:space="preserve">election </w:t>
      </w:r>
      <w:r w:rsidR="007772DE" w:rsidRPr="000F749F">
        <w:t>c</w:t>
      </w:r>
      <w:r w:rsidRPr="000F749F">
        <w:t>onsiderations</w:t>
      </w:r>
      <w:bookmarkEnd w:id="65"/>
    </w:p>
    <w:p w14:paraId="76C0FF84" w14:textId="675E848F" w:rsidR="00A663AA" w:rsidRPr="00F867D0" w:rsidRDefault="00A663AA" w:rsidP="00A663AA">
      <w:pPr>
        <w:spacing w:after="0"/>
        <w:rPr>
          <w:bCs/>
          <w:szCs w:val="22"/>
        </w:rPr>
      </w:pPr>
      <w:r w:rsidRPr="00F867D0">
        <w:rPr>
          <w:bCs/>
          <w:szCs w:val="22"/>
        </w:rPr>
        <w:t xml:space="preserve">It has already been mentioned that refrigerant selection is an act of trade-off between environmental benefits, safety, </w:t>
      </w:r>
      <w:r w:rsidR="003C37C3">
        <w:rPr>
          <w:bCs/>
          <w:szCs w:val="22"/>
        </w:rPr>
        <w:t>EE</w:t>
      </w:r>
      <w:r w:rsidRPr="00F867D0">
        <w:rPr>
          <w:bCs/>
          <w:szCs w:val="22"/>
        </w:rPr>
        <w:t>, system design and reliability, and cost. HAT conditions impose additional requirements such as ensuring the refrigerant can continue to deliver high capacity and sustain acceptable efficiency at elevated ambient temperatures, and that the refrigerant doesn’t breakdown or react with system components (</w:t>
      </w:r>
      <w:r w:rsidR="00B5050B" w:rsidRPr="00F867D0">
        <w:rPr>
          <w:bCs/>
          <w:szCs w:val="22"/>
        </w:rPr>
        <w:t>lubricant</w:t>
      </w:r>
      <w:r w:rsidRPr="00F867D0">
        <w:rPr>
          <w:bCs/>
          <w:szCs w:val="22"/>
        </w:rPr>
        <w:t xml:space="preserve">, seals, valves, etc.) at high temperatures – especially those associated with the compressor discharge temperature. </w:t>
      </w:r>
    </w:p>
    <w:p w14:paraId="4E802E99" w14:textId="77777777" w:rsidR="00284308" w:rsidRPr="00F867D0" w:rsidRDefault="00284308" w:rsidP="00A663AA">
      <w:pPr>
        <w:spacing w:after="0"/>
        <w:rPr>
          <w:bCs/>
          <w:szCs w:val="22"/>
        </w:rPr>
      </w:pPr>
    </w:p>
    <w:p w14:paraId="65175919" w14:textId="173320E1" w:rsidR="00A663AA" w:rsidRPr="00F867D0" w:rsidRDefault="00A663AA" w:rsidP="00A663AA">
      <w:pPr>
        <w:spacing w:after="0"/>
      </w:pPr>
      <w:r w:rsidRPr="00F867D0">
        <w:rPr>
          <w:bCs/>
          <w:szCs w:val="22"/>
        </w:rPr>
        <w:t xml:space="preserve">Critical temperature and molar heat capacity are the key thermodynamic parameters affecting refrigerant performance at HAT </w:t>
      </w:r>
      <w:r w:rsidR="00FF246E" w:rsidRPr="00F867D0">
        <w:rPr>
          <w:bCs/>
          <w:szCs w:val="22"/>
        </w:rPr>
        <w:t>[</w:t>
      </w:r>
      <w:r w:rsidRPr="00F867D0">
        <w:rPr>
          <w:bCs/>
          <w:szCs w:val="22"/>
        </w:rPr>
        <w:t xml:space="preserve">Domanski </w:t>
      </w:r>
      <w:r w:rsidR="00FF246E" w:rsidRPr="00F867D0">
        <w:rPr>
          <w:bCs/>
          <w:szCs w:val="22"/>
        </w:rPr>
        <w:t>and Yana Motta,</w:t>
      </w:r>
      <w:r w:rsidRPr="00F867D0">
        <w:rPr>
          <w:bCs/>
          <w:szCs w:val="22"/>
        </w:rPr>
        <w:t xml:space="preserve"> 2000</w:t>
      </w:r>
      <w:r w:rsidR="00FF246E" w:rsidRPr="00F867D0">
        <w:rPr>
          <w:bCs/>
          <w:szCs w:val="22"/>
        </w:rPr>
        <w:t>]</w:t>
      </w:r>
      <w:r w:rsidRPr="00F867D0">
        <w:rPr>
          <w:bCs/>
          <w:szCs w:val="22"/>
        </w:rPr>
        <w:t xml:space="preserve">. </w:t>
      </w:r>
      <w:r w:rsidRPr="00F867D0">
        <w:rPr>
          <w:szCs w:val="22"/>
        </w:rPr>
        <w:t>For HAT conditions, alternative refrigerants should have equal or higher critical temperature than the baseline-refrigerant. Furthermore, other thermodynamic and transport parameters are important to ensure lower compressor discharge temperature, higher efficiency, and equal or higher capacity. As such, the alternative refrigerants should be expected to operate at equivalent pressures to the baseline refrigerant(s) and adequate measures should be taken to account for refrigerant flammability when flammable refrigerants are used.</w:t>
      </w:r>
    </w:p>
    <w:p w14:paraId="4BC1EE85" w14:textId="77777777" w:rsidR="00A663AA" w:rsidRPr="00F867D0" w:rsidRDefault="00A663AA" w:rsidP="00A663AA">
      <w:pPr>
        <w:spacing w:after="0"/>
        <w:rPr>
          <w:bCs/>
          <w:szCs w:val="22"/>
        </w:rPr>
      </w:pPr>
    </w:p>
    <w:p w14:paraId="69E8475F" w14:textId="03394779" w:rsidR="00A663AA" w:rsidRPr="000F749F" w:rsidRDefault="00A663AA" w:rsidP="000F749F">
      <w:pPr>
        <w:pStyle w:val="Heading3"/>
        <w:rPr>
          <w:b w:val="0"/>
        </w:rPr>
      </w:pPr>
      <w:bookmarkStart w:id="66" w:name="_Toc515454367"/>
      <w:r w:rsidRPr="000F749F">
        <w:t>2.3.2</w:t>
      </w:r>
      <w:r w:rsidR="001D19E9" w:rsidRPr="000F749F">
        <w:tab/>
      </w:r>
      <w:r w:rsidRPr="000F749F">
        <w:t xml:space="preserve">System </w:t>
      </w:r>
      <w:r w:rsidR="007772DE" w:rsidRPr="000F749F">
        <w:t>d</w:t>
      </w:r>
      <w:r w:rsidRPr="000F749F">
        <w:t xml:space="preserve">esign </w:t>
      </w:r>
      <w:r w:rsidR="007772DE" w:rsidRPr="000F749F">
        <w:t>c</w:t>
      </w:r>
      <w:r w:rsidRPr="000F749F">
        <w:t>onsiderations</w:t>
      </w:r>
      <w:bookmarkEnd w:id="66"/>
    </w:p>
    <w:p w14:paraId="0F06E64D" w14:textId="4777AE25" w:rsidR="00A663AA" w:rsidRPr="00F867D0" w:rsidRDefault="00A663AA" w:rsidP="00A663AA">
      <w:pPr>
        <w:spacing w:after="0"/>
        <w:rPr>
          <w:szCs w:val="22"/>
        </w:rPr>
      </w:pPr>
      <w:r w:rsidRPr="00F867D0">
        <w:rPr>
          <w:szCs w:val="22"/>
        </w:rPr>
        <w:t xml:space="preserve">Design covers both the aspects of designing RACHP systems and that of the </w:t>
      </w:r>
      <w:r w:rsidR="006E5FE3" w:rsidRPr="00F867D0">
        <w:rPr>
          <w:szCs w:val="22"/>
        </w:rPr>
        <w:t xml:space="preserve">components </w:t>
      </w:r>
      <w:r w:rsidRPr="00F867D0">
        <w:rPr>
          <w:szCs w:val="22"/>
        </w:rPr>
        <w:t xml:space="preserve">that go in them.  The challenges in the application of technology for the system design are not different </w:t>
      </w:r>
      <w:r w:rsidR="00AB23FC">
        <w:rPr>
          <w:szCs w:val="22"/>
        </w:rPr>
        <w:t>under HAT conditions</w:t>
      </w:r>
      <w:r w:rsidRPr="00F867D0">
        <w:rPr>
          <w:szCs w:val="22"/>
        </w:rPr>
        <w:t xml:space="preserve"> even if the technology itself can be different.  On the other hand, there are additional challenges in the design of units to meet HAT conditions with the new alternative refrigerants.</w:t>
      </w:r>
    </w:p>
    <w:p w14:paraId="0210DDF8" w14:textId="77777777" w:rsidR="00284308" w:rsidRPr="00F867D0" w:rsidRDefault="00284308" w:rsidP="00A663AA">
      <w:pPr>
        <w:spacing w:after="0"/>
        <w:rPr>
          <w:szCs w:val="22"/>
        </w:rPr>
      </w:pPr>
    </w:p>
    <w:p w14:paraId="16BDC2D6" w14:textId="3046B412" w:rsidR="00A663AA" w:rsidRPr="00F867D0" w:rsidRDefault="00A663AA" w:rsidP="00A663AA">
      <w:pPr>
        <w:spacing w:after="0"/>
        <w:rPr>
          <w:szCs w:val="22"/>
        </w:rPr>
      </w:pPr>
      <w:r w:rsidRPr="00F867D0">
        <w:rPr>
          <w:szCs w:val="22"/>
        </w:rPr>
        <w:t>In HAT</w:t>
      </w:r>
      <w:r w:rsidR="00AB23FC">
        <w:rPr>
          <w:szCs w:val="22"/>
        </w:rPr>
        <w:t xml:space="preserve"> conditions</w:t>
      </w:r>
      <w:r w:rsidRPr="00F867D0">
        <w:rPr>
          <w:szCs w:val="22"/>
        </w:rPr>
        <w:t xml:space="preserve">, the </w:t>
      </w:r>
      <w:r w:rsidR="00831BE0" w:rsidRPr="00F867D0">
        <w:rPr>
          <w:szCs w:val="22"/>
        </w:rPr>
        <w:t xml:space="preserve">increased </w:t>
      </w:r>
      <w:r w:rsidRPr="00F867D0">
        <w:rPr>
          <w:szCs w:val="22"/>
        </w:rPr>
        <w:t xml:space="preserve">cooling load </w:t>
      </w:r>
      <w:r w:rsidR="00831BE0" w:rsidRPr="00F867D0">
        <w:rPr>
          <w:szCs w:val="22"/>
        </w:rPr>
        <w:t xml:space="preserve">requires larger system capacity, which </w:t>
      </w:r>
      <w:r w:rsidRPr="00F867D0">
        <w:rPr>
          <w:szCs w:val="22"/>
        </w:rPr>
        <w:t>exacerbate</w:t>
      </w:r>
      <w:r w:rsidR="00831BE0" w:rsidRPr="00F867D0">
        <w:rPr>
          <w:szCs w:val="22"/>
        </w:rPr>
        <w:t>s</w:t>
      </w:r>
      <w:r w:rsidRPr="00F867D0">
        <w:rPr>
          <w:szCs w:val="22"/>
        </w:rPr>
        <w:t xml:space="preserve"> the flammability risk </w:t>
      </w:r>
      <w:r w:rsidR="00831BE0" w:rsidRPr="00F867D0">
        <w:rPr>
          <w:szCs w:val="22"/>
        </w:rPr>
        <w:t xml:space="preserve">with </w:t>
      </w:r>
      <w:r w:rsidR="00B63881">
        <w:rPr>
          <w:szCs w:val="22"/>
        </w:rPr>
        <w:t>a</w:t>
      </w:r>
      <w:r w:rsidRPr="00F867D0">
        <w:rPr>
          <w:szCs w:val="22"/>
        </w:rPr>
        <w:t xml:space="preserve"> larger </w:t>
      </w:r>
      <w:r w:rsidR="00AB23FC">
        <w:rPr>
          <w:szCs w:val="22"/>
        </w:rPr>
        <w:t xml:space="preserve">flammable </w:t>
      </w:r>
      <w:r w:rsidRPr="00F867D0">
        <w:rPr>
          <w:szCs w:val="22"/>
        </w:rPr>
        <w:t xml:space="preserve">refrigerant charge. </w:t>
      </w:r>
      <w:r w:rsidR="00831BE0" w:rsidRPr="00F867D0">
        <w:rPr>
          <w:szCs w:val="22"/>
        </w:rPr>
        <w:t>I</w:t>
      </w:r>
      <w:r w:rsidRPr="00F867D0">
        <w:rPr>
          <w:szCs w:val="22"/>
        </w:rPr>
        <w:t xml:space="preserve">t is </w:t>
      </w:r>
      <w:r w:rsidR="00831BE0" w:rsidRPr="00F867D0">
        <w:rPr>
          <w:szCs w:val="22"/>
        </w:rPr>
        <w:t xml:space="preserve">therefore </w:t>
      </w:r>
      <w:r w:rsidRPr="00F867D0">
        <w:rPr>
          <w:szCs w:val="22"/>
        </w:rPr>
        <w:t xml:space="preserve">important </w:t>
      </w:r>
      <w:r w:rsidR="00B63881">
        <w:rPr>
          <w:szCs w:val="22"/>
        </w:rPr>
        <w:t>to</w:t>
      </w:r>
      <w:r w:rsidRPr="00F867D0">
        <w:rPr>
          <w:szCs w:val="22"/>
        </w:rPr>
        <w:t xml:space="preserve"> </w:t>
      </w:r>
      <w:r w:rsidR="00831BE0" w:rsidRPr="00F867D0">
        <w:rPr>
          <w:szCs w:val="22"/>
        </w:rPr>
        <w:t xml:space="preserve">use advanced technologies </w:t>
      </w:r>
      <w:r w:rsidR="00B63881">
        <w:rPr>
          <w:szCs w:val="22"/>
        </w:rPr>
        <w:t>to minimise the</w:t>
      </w:r>
      <w:r w:rsidR="00831BE0" w:rsidRPr="00F867D0">
        <w:rPr>
          <w:szCs w:val="22"/>
        </w:rPr>
        <w:t xml:space="preserve"> refrigerant charge (</w:t>
      </w:r>
      <w:r w:rsidR="00B63881">
        <w:rPr>
          <w:szCs w:val="22"/>
        </w:rPr>
        <w:t>e.g.</w:t>
      </w:r>
      <w:r w:rsidR="00831BE0" w:rsidRPr="00F867D0">
        <w:rPr>
          <w:szCs w:val="22"/>
        </w:rPr>
        <w:t xml:space="preserve">, smaller diameter tubes for evaporators and microchannel heat exchangers for condensers) as well as selecting </w:t>
      </w:r>
      <w:r w:rsidR="00B63881">
        <w:rPr>
          <w:szCs w:val="22"/>
        </w:rPr>
        <w:t xml:space="preserve">the </w:t>
      </w:r>
      <w:r w:rsidR="00831BE0" w:rsidRPr="00F867D0">
        <w:rPr>
          <w:szCs w:val="22"/>
        </w:rPr>
        <w:t xml:space="preserve">appropriate </w:t>
      </w:r>
      <w:r w:rsidRPr="00F867D0">
        <w:rPr>
          <w:szCs w:val="22"/>
        </w:rPr>
        <w:t>refrigerant</w:t>
      </w:r>
      <w:r w:rsidR="00B63881">
        <w:rPr>
          <w:szCs w:val="22"/>
        </w:rPr>
        <w:t xml:space="preserve"> for a specific application</w:t>
      </w:r>
      <w:r w:rsidRPr="00F867D0">
        <w:rPr>
          <w:szCs w:val="22"/>
        </w:rPr>
        <w:t>.</w:t>
      </w:r>
    </w:p>
    <w:p w14:paraId="04B08572" w14:textId="77777777" w:rsidR="00284308" w:rsidRPr="00F867D0" w:rsidRDefault="00284308" w:rsidP="00A663AA">
      <w:pPr>
        <w:spacing w:after="0"/>
        <w:rPr>
          <w:bCs/>
          <w:szCs w:val="22"/>
        </w:rPr>
      </w:pPr>
    </w:p>
    <w:p w14:paraId="08E83B53" w14:textId="636C1299" w:rsidR="00A663AA" w:rsidRPr="00F867D0" w:rsidRDefault="00A663AA" w:rsidP="00A663AA">
      <w:pPr>
        <w:spacing w:after="0"/>
        <w:rPr>
          <w:bCs/>
          <w:szCs w:val="22"/>
        </w:rPr>
      </w:pPr>
      <w:r w:rsidRPr="00F867D0">
        <w:rPr>
          <w:bCs/>
          <w:szCs w:val="22"/>
        </w:rPr>
        <w:t xml:space="preserve">As described earlier, HAT conditions </w:t>
      </w:r>
      <w:r w:rsidR="00B63881">
        <w:rPr>
          <w:bCs/>
          <w:szCs w:val="22"/>
        </w:rPr>
        <w:t xml:space="preserve">can </w:t>
      </w:r>
      <w:r w:rsidRPr="00F867D0">
        <w:rPr>
          <w:bCs/>
          <w:szCs w:val="22"/>
        </w:rPr>
        <w:t xml:space="preserve">result in </w:t>
      </w:r>
      <w:r w:rsidR="00B63881">
        <w:rPr>
          <w:bCs/>
          <w:szCs w:val="22"/>
        </w:rPr>
        <w:t xml:space="preserve">degradation of </w:t>
      </w:r>
      <w:r w:rsidRPr="00F867D0">
        <w:rPr>
          <w:bCs/>
          <w:szCs w:val="22"/>
        </w:rPr>
        <w:t xml:space="preserve">thermodynamic performance </w:t>
      </w:r>
      <w:r w:rsidR="00B63881">
        <w:rPr>
          <w:bCs/>
          <w:szCs w:val="22"/>
        </w:rPr>
        <w:t xml:space="preserve">especially in extreme conditions, </w:t>
      </w:r>
      <w:r w:rsidRPr="00F867D0">
        <w:rPr>
          <w:bCs/>
          <w:szCs w:val="22"/>
        </w:rPr>
        <w:t xml:space="preserve">and </w:t>
      </w:r>
      <w:r w:rsidR="00B63881">
        <w:rPr>
          <w:bCs/>
          <w:szCs w:val="22"/>
        </w:rPr>
        <w:t xml:space="preserve">require </w:t>
      </w:r>
      <w:r w:rsidRPr="00F867D0">
        <w:rPr>
          <w:bCs/>
          <w:szCs w:val="22"/>
        </w:rPr>
        <w:t xml:space="preserve">larger refrigerant charge. Furthermore, larger condensers and compressors are used to mitigate the compressor discharge temperature rise and keep them within allowable limits. Another state-of-the-art technology is compressor injection technology, </w:t>
      </w:r>
      <w:r w:rsidR="002E0E53" w:rsidRPr="00F867D0">
        <w:rPr>
          <w:bCs/>
          <w:szCs w:val="22"/>
        </w:rPr>
        <w:t xml:space="preserve">which </w:t>
      </w:r>
      <w:r w:rsidR="00B63881">
        <w:rPr>
          <w:bCs/>
          <w:szCs w:val="22"/>
        </w:rPr>
        <w:t xml:space="preserve">requires </w:t>
      </w:r>
      <w:r w:rsidRPr="00F867D0">
        <w:rPr>
          <w:bCs/>
          <w:szCs w:val="22"/>
        </w:rPr>
        <w:t xml:space="preserve">additional system components and larger system charge. While previous generation refrigerants worked equally well in different climates, the expectation is that RACHP systems designed for HAT </w:t>
      </w:r>
      <w:r w:rsidR="00AB23FC">
        <w:rPr>
          <w:bCs/>
          <w:szCs w:val="22"/>
        </w:rPr>
        <w:t xml:space="preserve">conditions </w:t>
      </w:r>
      <w:r w:rsidRPr="00F867D0">
        <w:rPr>
          <w:bCs/>
          <w:szCs w:val="22"/>
        </w:rPr>
        <w:t>will employ specific alternative refrigerants optimi</w:t>
      </w:r>
      <w:r w:rsidR="007772DE">
        <w:rPr>
          <w:bCs/>
          <w:szCs w:val="22"/>
        </w:rPr>
        <w:t>s</w:t>
      </w:r>
      <w:r w:rsidRPr="00F867D0">
        <w:rPr>
          <w:bCs/>
          <w:szCs w:val="22"/>
        </w:rPr>
        <w:t xml:space="preserve">ed for their conditions. However, smaller expected unit sales </w:t>
      </w:r>
      <w:r w:rsidR="002E0E53" w:rsidRPr="00F867D0">
        <w:rPr>
          <w:bCs/>
          <w:szCs w:val="22"/>
        </w:rPr>
        <w:t>in some parts of the world could</w:t>
      </w:r>
      <w:r w:rsidR="00B5050B" w:rsidRPr="00F867D0">
        <w:rPr>
          <w:bCs/>
          <w:szCs w:val="22"/>
        </w:rPr>
        <w:t xml:space="preserve"> </w:t>
      </w:r>
      <w:r w:rsidRPr="00F867D0">
        <w:rPr>
          <w:bCs/>
          <w:szCs w:val="22"/>
        </w:rPr>
        <w:t xml:space="preserve">result in </w:t>
      </w:r>
      <w:r w:rsidR="002E0E53" w:rsidRPr="00F867D0">
        <w:rPr>
          <w:bCs/>
          <w:szCs w:val="22"/>
        </w:rPr>
        <w:t xml:space="preserve">a disproportionate cost </w:t>
      </w:r>
      <w:r w:rsidR="00B63881">
        <w:rPr>
          <w:bCs/>
          <w:szCs w:val="22"/>
        </w:rPr>
        <w:t xml:space="preserve">to the consumer </w:t>
      </w:r>
      <w:r w:rsidR="002E0E53" w:rsidRPr="00F867D0">
        <w:rPr>
          <w:bCs/>
          <w:szCs w:val="22"/>
        </w:rPr>
        <w:t xml:space="preserve">in </w:t>
      </w:r>
      <w:r w:rsidRPr="00F867D0">
        <w:rPr>
          <w:bCs/>
          <w:szCs w:val="22"/>
        </w:rPr>
        <w:t>introducing new products.</w:t>
      </w:r>
    </w:p>
    <w:p w14:paraId="38998D77" w14:textId="77777777" w:rsidR="00284308" w:rsidRPr="00F867D0" w:rsidRDefault="00284308" w:rsidP="00A663AA">
      <w:pPr>
        <w:spacing w:after="0"/>
        <w:rPr>
          <w:bCs/>
          <w:szCs w:val="22"/>
        </w:rPr>
      </w:pPr>
    </w:p>
    <w:p w14:paraId="50389FBD" w14:textId="44126B45" w:rsidR="00A663AA" w:rsidRDefault="00A663AA" w:rsidP="00A663AA">
      <w:pPr>
        <w:spacing w:after="0"/>
        <w:rPr>
          <w:bCs/>
          <w:szCs w:val="22"/>
        </w:rPr>
      </w:pPr>
      <w:r w:rsidRPr="00F867D0">
        <w:rPr>
          <w:bCs/>
          <w:szCs w:val="22"/>
        </w:rPr>
        <w:t xml:space="preserve">The higher pressure </w:t>
      </w:r>
      <w:r w:rsidR="002E0E53" w:rsidRPr="00F867D0">
        <w:rPr>
          <w:bCs/>
          <w:szCs w:val="22"/>
        </w:rPr>
        <w:t>will likely</w:t>
      </w:r>
      <w:r w:rsidRPr="00F867D0">
        <w:rPr>
          <w:bCs/>
          <w:szCs w:val="22"/>
        </w:rPr>
        <w:t xml:space="preserve"> </w:t>
      </w:r>
      <w:r w:rsidR="00B63881">
        <w:rPr>
          <w:bCs/>
          <w:szCs w:val="22"/>
        </w:rPr>
        <w:t xml:space="preserve">require </w:t>
      </w:r>
      <w:r w:rsidR="002E0E53" w:rsidRPr="00F867D0">
        <w:rPr>
          <w:bCs/>
          <w:szCs w:val="22"/>
        </w:rPr>
        <w:t xml:space="preserve">either </w:t>
      </w:r>
      <w:r w:rsidRPr="00F867D0">
        <w:rPr>
          <w:bCs/>
          <w:szCs w:val="22"/>
        </w:rPr>
        <w:t xml:space="preserve">higher wall thickness </w:t>
      </w:r>
      <w:r w:rsidR="002E0E53" w:rsidRPr="00F867D0">
        <w:rPr>
          <w:bCs/>
          <w:szCs w:val="22"/>
        </w:rPr>
        <w:t xml:space="preserve">(with reduced thermal performance or heat exchangers), </w:t>
      </w:r>
      <w:r w:rsidRPr="00F867D0">
        <w:rPr>
          <w:bCs/>
          <w:szCs w:val="22"/>
        </w:rPr>
        <w:t>or the adoption of novel heat exchanger</w:t>
      </w:r>
      <w:r w:rsidR="002E0E53" w:rsidRPr="00F867D0">
        <w:rPr>
          <w:bCs/>
          <w:szCs w:val="22"/>
        </w:rPr>
        <w:t>s</w:t>
      </w:r>
      <w:r w:rsidRPr="00F867D0">
        <w:rPr>
          <w:bCs/>
          <w:szCs w:val="22"/>
        </w:rPr>
        <w:t xml:space="preserve"> such as MCHX and small diameter tubes</w:t>
      </w:r>
      <w:r w:rsidR="002E0E53" w:rsidRPr="00F867D0">
        <w:rPr>
          <w:bCs/>
          <w:szCs w:val="22"/>
        </w:rPr>
        <w:t xml:space="preserve"> (which could improve thermal performance)</w:t>
      </w:r>
      <w:r w:rsidRPr="00F867D0">
        <w:rPr>
          <w:bCs/>
          <w:szCs w:val="22"/>
        </w:rPr>
        <w:t xml:space="preserve">. However, both thick-walled tubes and advanced heat exchanger concepts would result in additional cost. When flammable refrigerants are used, </w:t>
      </w:r>
      <w:r w:rsidR="00B63881">
        <w:rPr>
          <w:bCs/>
          <w:szCs w:val="22"/>
        </w:rPr>
        <w:t>original equipment manufacturers (</w:t>
      </w:r>
      <w:r w:rsidRPr="00F867D0">
        <w:rPr>
          <w:bCs/>
          <w:szCs w:val="22"/>
        </w:rPr>
        <w:t>OEMs</w:t>
      </w:r>
      <w:r w:rsidR="00B63881">
        <w:rPr>
          <w:bCs/>
          <w:szCs w:val="22"/>
        </w:rPr>
        <w:t>)</w:t>
      </w:r>
      <w:r w:rsidRPr="00F867D0">
        <w:rPr>
          <w:bCs/>
          <w:szCs w:val="22"/>
        </w:rPr>
        <w:t xml:space="preserve"> would have to comply with different maximum charge requirement based on the safety controls provided. A trade-off between suboptimal refrigerant charge (and accordingly lower </w:t>
      </w:r>
      <w:r w:rsidR="00CA0BFE">
        <w:rPr>
          <w:bCs/>
          <w:szCs w:val="22"/>
        </w:rPr>
        <w:t>EE</w:t>
      </w:r>
      <w:r w:rsidRPr="00F867D0">
        <w:rPr>
          <w:bCs/>
          <w:szCs w:val="22"/>
        </w:rPr>
        <w:t>) and cost will have to be considered during the product development stages. New system designs and alternative configurations need to be investigated to:</w:t>
      </w:r>
    </w:p>
    <w:p w14:paraId="3720C297" w14:textId="77777777" w:rsidR="00202E86" w:rsidRPr="00F867D0" w:rsidRDefault="00202E86" w:rsidP="00A663AA">
      <w:pPr>
        <w:spacing w:after="0"/>
        <w:rPr>
          <w:bCs/>
          <w:szCs w:val="22"/>
        </w:rPr>
      </w:pPr>
    </w:p>
    <w:p w14:paraId="27550588" w14:textId="77777777" w:rsidR="00A663AA" w:rsidRPr="00F867D0" w:rsidRDefault="00A663AA" w:rsidP="00736989">
      <w:pPr>
        <w:numPr>
          <w:ilvl w:val="0"/>
          <w:numId w:val="55"/>
        </w:numPr>
        <w:spacing w:after="0"/>
        <w:rPr>
          <w:bCs/>
          <w:color w:val="auto"/>
          <w:kern w:val="2"/>
          <w:szCs w:val="22"/>
        </w:rPr>
      </w:pPr>
      <w:r w:rsidRPr="00F867D0">
        <w:rPr>
          <w:bCs/>
          <w:color w:val="auto"/>
          <w:kern w:val="2"/>
          <w:szCs w:val="22"/>
        </w:rPr>
        <w:t>reduce the refrigerant charge,</w:t>
      </w:r>
    </w:p>
    <w:p w14:paraId="4AB18B50" w14:textId="77777777" w:rsidR="00202E86" w:rsidRDefault="00202E86" w:rsidP="00202E86">
      <w:pPr>
        <w:spacing w:after="0"/>
        <w:ind w:left="720"/>
        <w:rPr>
          <w:bCs/>
          <w:color w:val="auto"/>
          <w:kern w:val="2"/>
          <w:szCs w:val="22"/>
        </w:rPr>
      </w:pPr>
    </w:p>
    <w:p w14:paraId="03C1ED27" w14:textId="1DCC8907" w:rsidR="00A663AA" w:rsidRPr="00F867D0" w:rsidRDefault="00A663AA" w:rsidP="00736989">
      <w:pPr>
        <w:numPr>
          <w:ilvl w:val="0"/>
          <w:numId w:val="55"/>
        </w:numPr>
        <w:spacing w:after="0"/>
        <w:rPr>
          <w:bCs/>
          <w:color w:val="auto"/>
          <w:kern w:val="2"/>
          <w:szCs w:val="22"/>
        </w:rPr>
      </w:pPr>
      <w:r w:rsidRPr="00F867D0">
        <w:rPr>
          <w:bCs/>
          <w:color w:val="auto"/>
          <w:kern w:val="2"/>
          <w:szCs w:val="22"/>
        </w:rPr>
        <w:t>reduce the operating pressure, and</w:t>
      </w:r>
    </w:p>
    <w:p w14:paraId="65EAB55F" w14:textId="77777777" w:rsidR="00202E86" w:rsidRDefault="00202E86" w:rsidP="00202E86">
      <w:pPr>
        <w:spacing w:after="0"/>
        <w:ind w:left="720"/>
        <w:rPr>
          <w:bCs/>
          <w:color w:val="auto"/>
          <w:kern w:val="2"/>
          <w:szCs w:val="22"/>
        </w:rPr>
      </w:pPr>
    </w:p>
    <w:p w14:paraId="41B3B43B" w14:textId="4CCED865" w:rsidR="00A663AA" w:rsidRDefault="007772DE" w:rsidP="00736989">
      <w:pPr>
        <w:numPr>
          <w:ilvl w:val="0"/>
          <w:numId w:val="55"/>
        </w:numPr>
        <w:spacing w:after="0"/>
        <w:rPr>
          <w:bCs/>
          <w:color w:val="auto"/>
          <w:kern w:val="2"/>
          <w:szCs w:val="22"/>
        </w:rPr>
      </w:pPr>
      <w:r>
        <w:rPr>
          <w:bCs/>
          <w:color w:val="auto"/>
          <w:kern w:val="2"/>
          <w:szCs w:val="22"/>
        </w:rPr>
        <w:t>m</w:t>
      </w:r>
      <w:r w:rsidRPr="00F867D0">
        <w:rPr>
          <w:bCs/>
          <w:color w:val="auto"/>
          <w:kern w:val="2"/>
          <w:szCs w:val="22"/>
        </w:rPr>
        <w:t>inimi</w:t>
      </w:r>
      <w:r w:rsidR="00A33EB1">
        <w:rPr>
          <w:bCs/>
          <w:color w:val="auto"/>
          <w:kern w:val="2"/>
          <w:szCs w:val="22"/>
        </w:rPr>
        <w:t>s</w:t>
      </w:r>
      <w:r w:rsidRPr="00F867D0">
        <w:rPr>
          <w:bCs/>
          <w:color w:val="auto"/>
          <w:kern w:val="2"/>
          <w:szCs w:val="22"/>
        </w:rPr>
        <w:t xml:space="preserve">e </w:t>
      </w:r>
      <w:r w:rsidR="00A663AA" w:rsidRPr="00F867D0">
        <w:rPr>
          <w:bCs/>
          <w:color w:val="auto"/>
          <w:kern w:val="2"/>
          <w:szCs w:val="22"/>
        </w:rPr>
        <w:t xml:space="preserve">the compressor discharge temperature. </w:t>
      </w:r>
    </w:p>
    <w:p w14:paraId="36508637" w14:textId="77777777" w:rsidR="00202E86" w:rsidRPr="00F867D0" w:rsidRDefault="00202E86" w:rsidP="00202E86">
      <w:pPr>
        <w:spacing w:after="0"/>
        <w:ind w:left="720"/>
        <w:rPr>
          <w:bCs/>
          <w:color w:val="auto"/>
          <w:kern w:val="2"/>
          <w:szCs w:val="22"/>
        </w:rPr>
      </w:pPr>
    </w:p>
    <w:p w14:paraId="261604B7" w14:textId="77777777" w:rsidR="00A663AA" w:rsidRPr="00F867D0" w:rsidRDefault="00A663AA" w:rsidP="00A663AA">
      <w:pPr>
        <w:spacing w:after="0"/>
        <w:rPr>
          <w:bCs/>
          <w:color w:val="auto"/>
          <w:kern w:val="2"/>
          <w:szCs w:val="22"/>
        </w:rPr>
      </w:pPr>
    </w:p>
    <w:p w14:paraId="35BFACAF" w14:textId="5102C1B6" w:rsidR="00A663AA" w:rsidRPr="000F749F" w:rsidRDefault="00A663AA" w:rsidP="000F749F">
      <w:pPr>
        <w:pStyle w:val="Heading3"/>
        <w:rPr>
          <w:b w:val="0"/>
        </w:rPr>
      </w:pPr>
      <w:bookmarkStart w:id="67" w:name="_Toc515454368"/>
      <w:r w:rsidRPr="000F749F">
        <w:t>2.3.3</w:t>
      </w:r>
      <w:r w:rsidR="001D19E9" w:rsidRPr="000F749F">
        <w:tab/>
      </w:r>
      <w:r w:rsidRPr="000F749F">
        <w:t xml:space="preserve">Manufacturing </w:t>
      </w:r>
      <w:r w:rsidR="007772DE" w:rsidRPr="000F749F">
        <w:t>s</w:t>
      </w:r>
      <w:r w:rsidRPr="000F749F">
        <w:t xml:space="preserve">ustainability </w:t>
      </w:r>
      <w:r w:rsidR="007772DE" w:rsidRPr="000F749F">
        <w:t>c</w:t>
      </w:r>
      <w:r w:rsidRPr="000F749F">
        <w:t>onsiderations</w:t>
      </w:r>
      <w:bookmarkEnd w:id="67"/>
    </w:p>
    <w:p w14:paraId="15508500" w14:textId="3B45A64C" w:rsidR="00A663AA" w:rsidRPr="00F867D0" w:rsidRDefault="00B63881" w:rsidP="00A663AA">
      <w:pPr>
        <w:spacing w:after="0"/>
        <w:rPr>
          <w:szCs w:val="22"/>
        </w:rPr>
      </w:pPr>
      <w:r>
        <w:rPr>
          <w:szCs w:val="22"/>
        </w:rPr>
        <w:t>Under HAT conditions, some countries</w:t>
      </w:r>
      <w:r w:rsidR="0053319E">
        <w:rPr>
          <w:szCs w:val="22"/>
        </w:rPr>
        <w:t xml:space="preserve"> are experiencing a slow transition to energy efficient equipment. This is either because energy is inexpensive or because of low per capita income, both of which lead to persistence of old inefficient equipment.</w:t>
      </w:r>
      <w:r w:rsidR="00A663AA" w:rsidRPr="00F867D0">
        <w:rPr>
          <w:szCs w:val="22"/>
        </w:rPr>
        <w:t xml:space="preserve"> </w:t>
      </w:r>
      <w:r w:rsidR="00BD461C" w:rsidRPr="00F867D0">
        <w:rPr>
          <w:szCs w:val="22"/>
        </w:rPr>
        <w:t>C</w:t>
      </w:r>
      <w:r w:rsidR="00A663AA" w:rsidRPr="00F867D0">
        <w:rPr>
          <w:szCs w:val="22"/>
        </w:rPr>
        <w:t>onsequently</w:t>
      </w:r>
      <w:r w:rsidR="00BD461C" w:rsidRPr="00F867D0">
        <w:rPr>
          <w:szCs w:val="22"/>
        </w:rPr>
        <w:t>,</w:t>
      </w:r>
      <w:r w:rsidR="00A663AA" w:rsidRPr="00F867D0">
        <w:rPr>
          <w:szCs w:val="22"/>
        </w:rPr>
        <w:t xml:space="preserve"> it </w:t>
      </w:r>
      <w:r w:rsidR="00BD461C" w:rsidRPr="00F867D0">
        <w:rPr>
          <w:szCs w:val="22"/>
        </w:rPr>
        <w:t>has</w:t>
      </w:r>
      <w:r w:rsidR="00A663AA" w:rsidRPr="00F867D0">
        <w:rPr>
          <w:szCs w:val="22"/>
        </w:rPr>
        <w:t xml:space="preserve"> not </w:t>
      </w:r>
      <w:r w:rsidR="00BD461C" w:rsidRPr="00F867D0">
        <w:rPr>
          <w:szCs w:val="22"/>
        </w:rPr>
        <w:t xml:space="preserve">been </w:t>
      </w:r>
      <w:r w:rsidR="00A663AA" w:rsidRPr="00F867D0">
        <w:rPr>
          <w:szCs w:val="22"/>
        </w:rPr>
        <w:t xml:space="preserve">a top priority for global manufacturers to design special energy-efficient units for HAT conditions. </w:t>
      </w:r>
      <w:r w:rsidR="00BD461C" w:rsidRPr="00F867D0">
        <w:rPr>
          <w:szCs w:val="22"/>
        </w:rPr>
        <w:t xml:space="preserve">In addition, </w:t>
      </w:r>
      <w:r w:rsidR="00A663AA" w:rsidRPr="00F867D0">
        <w:rPr>
          <w:szCs w:val="22"/>
        </w:rPr>
        <w:t xml:space="preserve">not all the design temperatures adopted by different </w:t>
      </w:r>
      <w:r w:rsidR="00CA0BFE">
        <w:rPr>
          <w:szCs w:val="22"/>
        </w:rPr>
        <w:t>countries</w:t>
      </w:r>
      <w:r w:rsidR="00A663AA" w:rsidRPr="00F867D0">
        <w:rPr>
          <w:szCs w:val="22"/>
        </w:rPr>
        <w:t xml:space="preserve"> are the same, even though </w:t>
      </w:r>
      <w:r w:rsidR="00BD461C" w:rsidRPr="00F867D0">
        <w:rPr>
          <w:szCs w:val="22"/>
        </w:rPr>
        <w:t xml:space="preserve">the </w:t>
      </w:r>
      <w:r w:rsidR="00A663AA" w:rsidRPr="00F867D0">
        <w:rPr>
          <w:szCs w:val="22"/>
        </w:rPr>
        <w:t>T3 condition</w:t>
      </w:r>
      <w:r w:rsidR="00BD461C" w:rsidRPr="00F867D0">
        <w:rPr>
          <w:szCs w:val="22"/>
        </w:rPr>
        <w:t>s</w:t>
      </w:r>
      <w:r w:rsidR="00A663AA" w:rsidRPr="00F867D0">
        <w:rPr>
          <w:szCs w:val="22"/>
        </w:rPr>
        <w:t xml:space="preserve"> as specified by ISO </w:t>
      </w:r>
      <w:r w:rsidR="00A30DBA" w:rsidRPr="00F867D0">
        <w:rPr>
          <w:szCs w:val="22"/>
        </w:rPr>
        <w:t>[</w:t>
      </w:r>
      <w:r w:rsidR="00A663AA" w:rsidRPr="00F867D0">
        <w:rPr>
          <w:szCs w:val="22"/>
        </w:rPr>
        <w:t>ISO, 2017</w:t>
      </w:r>
      <w:r w:rsidR="00A30DBA" w:rsidRPr="00F867D0">
        <w:rPr>
          <w:szCs w:val="22"/>
        </w:rPr>
        <w:t>]</w:t>
      </w:r>
      <w:r w:rsidR="00A663AA" w:rsidRPr="00F867D0">
        <w:rPr>
          <w:szCs w:val="22"/>
        </w:rPr>
        <w:t xml:space="preserve"> </w:t>
      </w:r>
      <w:r w:rsidR="0053319E">
        <w:rPr>
          <w:szCs w:val="22"/>
        </w:rPr>
        <w:t>are</w:t>
      </w:r>
      <w:r w:rsidR="00A663AA" w:rsidRPr="00F867D0">
        <w:rPr>
          <w:szCs w:val="22"/>
        </w:rPr>
        <w:t xml:space="preserve"> mostly used</w:t>
      </w:r>
      <w:r w:rsidR="00BD461C" w:rsidRPr="00F867D0">
        <w:rPr>
          <w:szCs w:val="22"/>
        </w:rPr>
        <w:t xml:space="preserve">. Also, </w:t>
      </w:r>
      <w:r w:rsidR="00A663AA" w:rsidRPr="00F867D0">
        <w:rPr>
          <w:szCs w:val="22"/>
        </w:rPr>
        <w:t xml:space="preserve">MEPS </w:t>
      </w:r>
      <w:r w:rsidR="00BD461C" w:rsidRPr="00F867D0">
        <w:rPr>
          <w:szCs w:val="22"/>
        </w:rPr>
        <w:t xml:space="preserve">differ between </w:t>
      </w:r>
      <w:r w:rsidR="00AB23FC">
        <w:rPr>
          <w:szCs w:val="22"/>
        </w:rPr>
        <w:t>countries</w:t>
      </w:r>
      <w:r w:rsidR="00A663AA" w:rsidRPr="00F867D0">
        <w:rPr>
          <w:szCs w:val="22"/>
        </w:rPr>
        <w:t xml:space="preserve">. The difference in design requirements </w:t>
      </w:r>
      <w:r w:rsidR="0053319E">
        <w:rPr>
          <w:szCs w:val="22"/>
        </w:rPr>
        <w:t xml:space="preserve">in different markets </w:t>
      </w:r>
      <w:r w:rsidR="00A663AA" w:rsidRPr="00F867D0">
        <w:rPr>
          <w:szCs w:val="22"/>
        </w:rPr>
        <w:t>means either designing special units or testing them at additional conditions for each specific model</w:t>
      </w:r>
      <w:r w:rsidR="0053319E">
        <w:rPr>
          <w:szCs w:val="22"/>
        </w:rPr>
        <w:t>. This is</w:t>
      </w:r>
      <w:r w:rsidR="00A663AA" w:rsidRPr="00F867D0">
        <w:rPr>
          <w:szCs w:val="22"/>
        </w:rPr>
        <w:t xml:space="preserve"> an added burden on manufacturers for a relatively small number of units</w:t>
      </w:r>
      <w:r w:rsidR="0053319E">
        <w:rPr>
          <w:szCs w:val="22"/>
        </w:rPr>
        <w:t>, which raises the cost</w:t>
      </w:r>
      <w:r w:rsidR="00A663AA" w:rsidRPr="00F867D0">
        <w:rPr>
          <w:szCs w:val="22"/>
        </w:rPr>
        <w:t>.</w:t>
      </w:r>
    </w:p>
    <w:p w14:paraId="726935D3" w14:textId="77777777" w:rsidR="00284308" w:rsidRPr="00F867D0" w:rsidRDefault="00284308" w:rsidP="00A663AA">
      <w:pPr>
        <w:spacing w:after="0"/>
        <w:rPr>
          <w:szCs w:val="22"/>
        </w:rPr>
      </w:pPr>
    </w:p>
    <w:p w14:paraId="4D0B1928" w14:textId="00DA5CA2" w:rsidR="00A663AA" w:rsidRPr="00F867D0" w:rsidRDefault="00A663AA" w:rsidP="00A663AA">
      <w:pPr>
        <w:spacing w:after="0"/>
        <w:rPr>
          <w:szCs w:val="22"/>
        </w:rPr>
      </w:pPr>
      <w:r w:rsidRPr="00F867D0">
        <w:rPr>
          <w:szCs w:val="22"/>
        </w:rPr>
        <w:t xml:space="preserve">For local OEMs, designing for </w:t>
      </w:r>
      <w:r w:rsidR="0053319E">
        <w:rPr>
          <w:szCs w:val="22"/>
        </w:rPr>
        <w:t>local</w:t>
      </w:r>
      <w:r w:rsidRPr="00F867D0">
        <w:rPr>
          <w:szCs w:val="22"/>
        </w:rPr>
        <w:t xml:space="preserve"> conditions is </w:t>
      </w:r>
      <w:r w:rsidR="001D147C">
        <w:rPr>
          <w:szCs w:val="22"/>
        </w:rPr>
        <w:t>important</w:t>
      </w:r>
      <w:r w:rsidRPr="00F867D0">
        <w:rPr>
          <w:szCs w:val="22"/>
        </w:rPr>
        <w:t xml:space="preserve">. Some OEMs have design capability while others depend on imported technology. The OEMs who depend on imported technology for their designs face the problem as stated above. OEMs with their own design capabilities have been gaining strength in </w:t>
      </w:r>
      <w:r w:rsidR="00AB23FC">
        <w:rPr>
          <w:szCs w:val="22"/>
        </w:rPr>
        <w:t>R&amp;D</w:t>
      </w:r>
      <w:r w:rsidRPr="00F867D0">
        <w:rPr>
          <w:szCs w:val="22"/>
        </w:rPr>
        <w:t xml:space="preserve"> and are committed to their markets</w:t>
      </w:r>
      <w:r w:rsidR="0053319E">
        <w:rPr>
          <w:szCs w:val="22"/>
        </w:rPr>
        <w:t>. H</w:t>
      </w:r>
      <w:r w:rsidRPr="00F867D0">
        <w:rPr>
          <w:szCs w:val="22"/>
        </w:rPr>
        <w:t>owever, they could face Intellectual Property Rights (IPR) challenges related to the use of certain refrigerants, the application of those refrigerants in the units, or improved design configurations to accommodate new alternative refrigerants.</w:t>
      </w:r>
    </w:p>
    <w:p w14:paraId="3DD0EA4C" w14:textId="77777777" w:rsidR="00A663AA" w:rsidRPr="00F867D0" w:rsidRDefault="00A663AA" w:rsidP="00A663AA">
      <w:pPr>
        <w:spacing w:after="0"/>
        <w:rPr>
          <w:b/>
          <w:szCs w:val="22"/>
        </w:rPr>
      </w:pPr>
    </w:p>
    <w:p w14:paraId="12B94C7D" w14:textId="3D640706" w:rsidR="00A663AA" w:rsidRPr="000F749F" w:rsidRDefault="00A663AA" w:rsidP="000F749F">
      <w:pPr>
        <w:pStyle w:val="Heading3"/>
        <w:rPr>
          <w:b w:val="0"/>
        </w:rPr>
      </w:pPr>
      <w:bookmarkStart w:id="68" w:name="_Toc515454369"/>
      <w:r w:rsidRPr="000F749F">
        <w:t>2.3.4</w:t>
      </w:r>
      <w:r w:rsidR="001D19E9" w:rsidRPr="000F749F">
        <w:tab/>
      </w:r>
      <w:r w:rsidRPr="000F749F">
        <w:t xml:space="preserve">Installation, </w:t>
      </w:r>
      <w:r w:rsidR="007772DE" w:rsidRPr="000F749F">
        <w:t>s</w:t>
      </w:r>
      <w:r w:rsidRPr="000F749F">
        <w:t xml:space="preserve">ervice and </w:t>
      </w:r>
      <w:r w:rsidR="007772DE" w:rsidRPr="000F749F">
        <w:t>s</w:t>
      </w:r>
      <w:r w:rsidRPr="000F749F">
        <w:t xml:space="preserve">afety </w:t>
      </w:r>
      <w:r w:rsidR="007772DE" w:rsidRPr="000F749F">
        <w:t>c</w:t>
      </w:r>
      <w:r w:rsidRPr="000F749F">
        <w:t>onsiderations</w:t>
      </w:r>
      <w:bookmarkEnd w:id="68"/>
    </w:p>
    <w:p w14:paraId="69B819F2" w14:textId="199A3647" w:rsidR="00A663AA" w:rsidRPr="00F867D0" w:rsidRDefault="00A663AA" w:rsidP="00A663AA">
      <w:pPr>
        <w:spacing w:after="0"/>
        <w:rPr>
          <w:szCs w:val="22"/>
        </w:rPr>
      </w:pPr>
      <w:r w:rsidRPr="00F867D0">
        <w:rPr>
          <w:szCs w:val="22"/>
        </w:rPr>
        <w:t xml:space="preserve">The challenges in the application of energy-efficient systems and units in the installation phase </w:t>
      </w:r>
      <w:r w:rsidR="00AB23FC">
        <w:rPr>
          <w:szCs w:val="22"/>
        </w:rPr>
        <w:t xml:space="preserve">under </w:t>
      </w:r>
      <w:r w:rsidRPr="00F867D0">
        <w:rPr>
          <w:szCs w:val="22"/>
        </w:rPr>
        <w:t xml:space="preserve">HAT </w:t>
      </w:r>
      <w:r w:rsidR="00AB23FC">
        <w:rPr>
          <w:szCs w:val="22"/>
        </w:rPr>
        <w:t>conditions</w:t>
      </w:r>
      <w:r w:rsidRPr="00F867D0">
        <w:rPr>
          <w:szCs w:val="22"/>
        </w:rPr>
        <w:t xml:space="preserve"> are related to the increased charge amounts of the larger units and the effect of the application of safety codes for the new flammable alternatives. </w:t>
      </w:r>
      <w:r w:rsidR="00AB23FC">
        <w:rPr>
          <w:szCs w:val="22"/>
        </w:rPr>
        <w:t>T</w:t>
      </w:r>
      <w:r w:rsidRPr="00F867D0">
        <w:rPr>
          <w:szCs w:val="22"/>
        </w:rPr>
        <w:t>he higher pressure of the more efficient low-GWP alternatives</w:t>
      </w:r>
      <w:r w:rsidR="00AB23FC">
        <w:rPr>
          <w:szCs w:val="22"/>
        </w:rPr>
        <w:t>,</w:t>
      </w:r>
      <w:r w:rsidRPr="00F867D0">
        <w:rPr>
          <w:szCs w:val="22"/>
        </w:rPr>
        <w:t xml:space="preserve"> with the exception of HC-290</w:t>
      </w:r>
      <w:r w:rsidR="00AB23FC">
        <w:rPr>
          <w:szCs w:val="22"/>
        </w:rPr>
        <w:t>, has been a challenge that has been addressed with previous refrigerant transitions</w:t>
      </w:r>
      <w:r w:rsidRPr="00F867D0">
        <w:rPr>
          <w:szCs w:val="22"/>
        </w:rPr>
        <w:t xml:space="preserve">. </w:t>
      </w:r>
    </w:p>
    <w:p w14:paraId="6C3CD7CD" w14:textId="77777777" w:rsidR="00284308" w:rsidRPr="00F867D0" w:rsidRDefault="00284308" w:rsidP="00A663AA">
      <w:pPr>
        <w:spacing w:after="0"/>
        <w:rPr>
          <w:bCs/>
          <w:szCs w:val="22"/>
        </w:rPr>
      </w:pPr>
    </w:p>
    <w:p w14:paraId="56C83E24" w14:textId="7348ADC6" w:rsidR="00A663AA" w:rsidRPr="00F867D0" w:rsidRDefault="00A663AA" w:rsidP="00A663AA">
      <w:pPr>
        <w:spacing w:after="0"/>
        <w:rPr>
          <w:szCs w:val="22"/>
        </w:rPr>
      </w:pPr>
      <w:r w:rsidRPr="00F867D0">
        <w:rPr>
          <w:bCs/>
          <w:szCs w:val="22"/>
        </w:rPr>
        <w:t>Previous research has shown that at HAT</w:t>
      </w:r>
      <w:r w:rsidR="00AB23FC">
        <w:rPr>
          <w:bCs/>
          <w:szCs w:val="22"/>
        </w:rPr>
        <w:t xml:space="preserve"> conditions</w:t>
      </w:r>
      <w:r w:rsidRPr="00F867D0">
        <w:rPr>
          <w:bCs/>
          <w:szCs w:val="22"/>
        </w:rPr>
        <w:t xml:space="preserve">, the condensing temperature increase is associated with </w:t>
      </w:r>
      <w:r w:rsidR="00BD461C" w:rsidRPr="00F867D0">
        <w:rPr>
          <w:bCs/>
          <w:szCs w:val="22"/>
        </w:rPr>
        <w:t xml:space="preserve">an increase in refrigerant discharge from </w:t>
      </w:r>
      <w:r w:rsidRPr="00F867D0">
        <w:rPr>
          <w:bCs/>
          <w:szCs w:val="22"/>
        </w:rPr>
        <w:t>compressor</w:t>
      </w:r>
      <w:r w:rsidR="00BD461C" w:rsidRPr="00F867D0">
        <w:rPr>
          <w:bCs/>
          <w:szCs w:val="22"/>
        </w:rPr>
        <w:t xml:space="preserve">s, </w:t>
      </w:r>
      <w:r w:rsidRPr="00F867D0">
        <w:rPr>
          <w:bCs/>
          <w:szCs w:val="22"/>
        </w:rPr>
        <w:t xml:space="preserve">resulting in </w:t>
      </w:r>
      <w:r w:rsidR="00BD461C" w:rsidRPr="00F867D0">
        <w:rPr>
          <w:bCs/>
          <w:szCs w:val="22"/>
        </w:rPr>
        <w:t xml:space="preserve">a </w:t>
      </w:r>
      <w:r w:rsidRPr="00F867D0">
        <w:rPr>
          <w:bCs/>
          <w:szCs w:val="22"/>
        </w:rPr>
        <w:t>risk of system failure</w:t>
      </w:r>
      <w:r w:rsidR="00BD461C" w:rsidRPr="00F867D0">
        <w:rPr>
          <w:bCs/>
          <w:szCs w:val="22"/>
        </w:rPr>
        <w:t>,</w:t>
      </w:r>
      <w:r w:rsidRPr="00F867D0">
        <w:rPr>
          <w:bCs/>
          <w:szCs w:val="22"/>
        </w:rPr>
        <w:t xml:space="preserve"> and loss in efficiency </w:t>
      </w:r>
      <w:r w:rsidR="00A30DBA" w:rsidRPr="00F867D0">
        <w:rPr>
          <w:bCs/>
          <w:szCs w:val="22"/>
        </w:rPr>
        <w:t>[</w:t>
      </w:r>
      <w:r w:rsidRPr="00F867D0">
        <w:rPr>
          <w:bCs/>
          <w:szCs w:val="22"/>
        </w:rPr>
        <w:t>Li, 2014</w:t>
      </w:r>
      <w:r w:rsidR="00A30DBA" w:rsidRPr="00F867D0">
        <w:rPr>
          <w:bCs/>
          <w:szCs w:val="22"/>
        </w:rPr>
        <w:t>]</w:t>
      </w:r>
      <w:r w:rsidRPr="00F867D0">
        <w:rPr>
          <w:bCs/>
          <w:szCs w:val="22"/>
        </w:rPr>
        <w:t xml:space="preserve">.  </w:t>
      </w:r>
      <w:r w:rsidRPr="00F867D0">
        <w:rPr>
          <w:szCs w:val="22"/>
        </w:rPr>
        <w:t>One particular challenge for the GCC countries is the fact that a lot of the service work is done by expat</w:t>
      </w:r>
      <w:r w:rsidR="00BD461C" w:rsidRPr="00F867D0">
        <w:rPr>
          <w:szCs w:val="22"/>
        </w:rPr>
        <w:t>riate</w:t>
      </w:r>
      <w:r w:rsidRPr="00F867D0">
        <w:rPr>
          <w:szCs w:val="22"/>
        </w:rPr>
        <w:t xml:space="preserve"> labo</w:t>
      </w:r>
      <w:r w:rsidR="00B5050B" w:rsidRPr="00F867D0">
        <w:rPr>
          <w:szCs w:val="22"/>
        </w:rPr>
        <w:t>u</w:t>
      </w:r>
      <w:r w:rsidRPr="00F867D0">
        <w:rPr>
          <w:szCs w:val="22"/>
        </w:rPr>
        <w:t>r which is constantly changing and hence the need for continuous training and awareness.</w:t>
      </w:r>
    </w:p>
    <w:p w14:paraId="19B2599A" w14:textId="77777777" w:rsidR="00284308" w:rsidRPr="00F867D0" w:rsidRDefault="00284308" w:rsidP="00A663AA">
      <w:pPr>
        <w:spacing w:after="0"/>
        <w:rPr>
          <w:szCs w:val="22"/>
        </w:rPr>
      </w:pPr>
    </w:p>
    <w:p w14:paraId="5B04D420" w14:textId="28489FE9" w:rsidR="00A663AA" w:rsidRPr="00F867D0" w:rsidRDefault="00A663AA" w:rsidP="00A663AA">
      <w:pPr>
        <w:spacing w:after="0"/>
        <w:rPr>
          <w:szCs w:val="22"/>
        </w:rPr>
      </w:pPr>
      <w:r w:rsidRPr="00F867D0">
        <w:rPr>
          <w:szCs w:val="22"/>
        </w:rPr>
        <w:t>Risk assessment for the alternative refrigerants is normally done on a country or regional basis since it depends on the installation and servicing practices as well as the number of units</w:t>
      </w:r>
      <w:r w:rsidR="005C3547">
        <w:rPr>
          <w:szCs w:val="22"/>
        </w:rPr>
        <w:t xml:space="preserve"> sold</w:t>
      </w:r>
      <w:r w:rsidRPr="00F867D0">
        <w:rPr>
          <w:szCs w:val="22"/>
        </w:rPr>
        <w:t xml:space="preserve">. Risk assessment </w:t>
      </w:r>
      <w:r w:rsidR="001D19E9">
        <w:rPr>
          <w:szCs w:val="22"/>
        </w:rPr>
        <w:t xml:space="preserve">under </w:t>
      </w:r>
      <w:r w:rsidRPr="00F867D0">
        <w:rPr>
          <w:szCs w:val="22"/>
        </w:rPr>
        <w:t>HAT</w:t>
      </w:r>
      <w:r w:rsidR="001D19E9">
        <w:rPr>
          <w:szCs w:val="22"/>
        </w:rPr>
        <w:t xml:space="preserve"> conditions</w:t>
      </w:r>
      <w:r w:rsidRPr="00F867D0">
        <w:rPr>
          <w:szCs w:val="22"/>
        </w:rPr>
        <w:t xml:space="preserve"> is part of the PRAHA-II </w:t>
      </w:r>
      <w:r w:rsidR="006A16FF" w:rsidRPr="00F867D0">
        <w:rPr>
          <w:szCs w:val="22"/>
        </w:rPr>
        <w:t>[</w:t>
      </w:r>
      <w:r w:rsidR="007979AE">
        <w:rPr>
          <w:szCs w:val="22"/>
        </w:rPr>
        <w:t>PRAHA2, 2017</w:t>
      </w:r>
      <w:r w:rsidR="006A16FF" w:rsidRPr="00F867D0">
        <w:rPr>
          <w:szCs w:val="22"/>
        </w:rPr>
        <w:t xml:space="preserve">] </w:t>
      </w:r>
      <w:r w:rsidRPr="00F867D0">
        <w:rPr>
          <w:szCs w:val="22"/>
        </w:rPr>
        <w:t>project where a model for local conditions done by local researchers is in process in 2018.</w:t>
      </w:r>
    </w:p>
    <w:p w14:paraId="62D94386" w14:textId="77777777" w:rsidR="00284308" w:rsidRPr="00F867D0" w:rsidRDefault="00284308" w:rsidP="00A663AA">
      <w:pPr>
        <w:spacing w:after="0"/>
        <w:rPr>
          <w:szCs w:val="22"/>
        </w:rPr>
      </w:pPr>
    </w:p>
    <w:p w14:paraId="634AC2CA" w14:textId="443F8ED9" w:rsidR="00A663AA" w:rsidRPr="00F867D0" w:rsidRDefault="00A663AA" w:rsidP="00A663AA">
      <w:pPr>
        <w:spacing w:after="0"/>
        <w:rPr>
          <w:szCs w:val="22"/>
        </w:rPr>
      </w:pPr>
      <w:r w:rsidRPr="00F867D0">
        <w:rPr>
          <w:szCs w:val="22"/>
        </w:rPr>
        <w:t xml:space="preserve">The biggest challenge for the service sector is that in a lot of cases the driver for owners to change to more efficient units is the advice they receive from a service technician providing personal expertise on the advantages and value of </w:t>
      </w:r>
      <w:r w:rsidR="001D19E9">
        <w:rPr>
          <w:szCs w:val="22"/>
        </w:rPr>
        <w:t>EE</w:t>
      </w:r>
      <w:r w:rsidRPr="00F867D0">
        <w:rPr>
          <w:szCs w:val="22"/>
        </w:rPr>
        <w:t xml:space="preserve">. For this, service technicians need to be trained on </w:t>
      </w:r>
      <w:r w:rsidR="006E5FE3" w:rsidRPr="00F867D0">
        <w:rPr>
          <w:szCs w:val="22"/>
        </w:rPr>
        <w:t>relevant new</w:t>
      </w:r>
      <w:r w:rsidRPr="00F867D0">
        <w:rPr>
          <w:szCs w:val="22"/>
        </w:rPr>
        <w:t xml:space="preserve"> skills in order to have the competency to promote </w:t>
      </w:r>
      <w:r w:rsidR="001D19E9">
        <w:rPr>
          <w:szCs w:val="22"/>
        </w:rPr>
        <w:t>EE</w:t>
      </w:r>
      <w:r w:rsidRPr="00F867D0">
        <w:rPr>
          <w:szCs w:val="22"/>
        </w:rPr>
        <w:t xml:space="preserve">. </w:t>
      </w:r>
    </w:p>
    <w:p w14:paraId="461FA031" w14:textId="77777777" w:rsidR="00A663AA" w:rsidRPr="00F867D0" w:rsidRDefault="00A663AA" w:rsidP="00A663AA">
      <w:pPr>
        <w:spacing w:after="0"/>
        <w:rPr>
          <w:color w:val="auto"/>
          <w:kern w:val="2"/>
          <w:szCs w:val="22"/>
        </w:rPr>
      </w:pPr>
    </w:p>
    <w:p w14:paraId="4651455A" w14:textId="5557F798" w:rsidR="00A663AA" w:rsidRPr="000F749F" w:rsidRDefault="00A663AA" w:rsidP="000F749F">
      <w:pPr>
        <w:pStyle w:val="Heading3"/>
        <w:rPr>
          <w:b w:val="0"/>
        </w:rPr>
      </w:pPr>
      <w:bookmarkStart w:id="69" w:name="_Toc515454370"/>
      <w:r w:rsidRPr="000F749F">
        <w:t>2.3.5</w:t>
      </w:r>
      <w:r w:rsidR="001D19E9" w:rsidRPr="000F749F">
        <w:tab/>
      </w:r>
      <w:r w:rsidRPr="000F749F">
        <w:t>Summary of HAT considerations</w:t>
      </w:r>
      <w:bookmarkEnd w:id="69"/>
    </w:p>
    <w:p w14:paraId="0D33E493" w14:textId="7C94C5A7" w:rsidR="00A663AA" w:rsidRPr="00F867D0" w:rsidRDefault="00D52639" w:rsidP="00284308">
      <w:pPr>
        <w:spacing w:after="0"/>
        <w:rPr>
          <w:color w:val="auto"/>
          <w:kern w:val="2"/>
          <w:szCs w:val="22"/>
        </w:rPr>
      </w:pPr>
      <w:r>
        <w:rPr>
          <w:bCs/>
          <w:szCs w:val="22"/>
        </w:rPr>
        <w:t xml:space="preserve">One of the most effective means to improve EE under HAT conditions is to increase the condenser size. However, this results in increased refrigerant charge and system cost. </w:t>
      </w:r>
      <w:r w:rsidR="00A663AA" w:rsidRPr="00F867D0">
        <w:rPr>
          <w:bCs/>
          <w:szCs w:val="22"/>
        </w:rPr>
        <w:t xml:space="preserve">The transition to lower GWP alternative refrigerants must not undermine product safety. There is a need to examine the transition impact on flammability, toxicity, and operating pressures. </w:t>
      </w:r>
      <w:r w:rsidR="00BD461C" w:rsidRPr="00F867D0">
        <w:rPr>
          <w:bCs/>
          <w:szCs w:val="22"/>
        </w:rPr>
        <w:t>S</w:t>
      </w:r>
      <w:r w:rsidR="00A663AA" w:rsidRPr="00F867D0">
        <w:rPr>
          <w:bCs/>
          <w:szCs w:val="22"/>
        </w:rPr>
        <w:t xml:space="preserve">tandards and codes development bodies are working on </w:t>
      </w:r>
      <w:r w:rsidR="00BD461C" w:rsidRPr="00F867D0">
        <w:rPr>
          <w:bCs/>
          <w:szCs w:val="22"/>
        </w:rPr>
        <w:t xml:space="preserve">improved </w:t>
      </w:r>
      <w:r w:rsidR="00A663AA" w:rsidRPr="00F867D0">
        <w:rPr>
          <w:bCs/>
          <w:szCs w:val="22"/>
        </w:rPr>
        <w:t xml:space="preserve">adoption of the new generation of alternative lower GWP refrigerants. The recent Task Force report under Decision XXVIII/4 “Safety Standards for Flammable Low global warming potential (GWP) Refrigerants” </w:t>
      </w:r>
      <w:r w:rsidR="0006543B" w:rsidRPr="00F867D0">
        <w:rPr>
          <w:bCs/>
          <w:szCs w:val="22"/>
        </w:rPr>
        <w:t>[</w:t>
      </w:r>
      <w:r w:rsidR="00A663AA" w:rsidRPr="00F867D0">
        <w:rPr>
          <w:bCs/>
          <w:szCs w:val="22"/>
        </w:rPr>
        <w:t>UNEP, 2017</w:t>
      </w:r>
      <w:r w:rsidR="00B5050B" w:rsidRPr="00F867D0">
        <w:rPr>
          <w:bCs/>
          <w:szCs w:val="22"/>
        </w:rPr>
        <w:t>b</w:t>
      </w:r>
      <w:r w:rsidR="0006543B" w:rsidRPr="00F867D0">
        <w:rPr>
          <w:bCs/>
          <w:szCs w:val="22"/>
        </w:rPr>
        <w:t>]</w:t>
      </w:r>
      <w:r w:rsidR="00A663AA" w:rsidRPr="00F867D0">
        <w:rPr>
          <w:bCs/>
          <w:szCs w:val="22"/>
        </w:rPr>
        <w:t xml:space="preserve"> provides a detailed overview of available safety standards including scope and content as well as relationship with legislation.</w:t>
      </w:r>
      <w:r w:rsidR="00284308" w:rsidRPr="00F867D0">
        <w:rPr>
          <w:bCs/>
          <w:szCs w:val="22"/>
        </w:rPr>
        <w:t xml:space="preserve"> </w:t>
      </w:r>
      <w:r w:rsidR="00A663AA" w:rsidRPr="00F867D0">
        <w:rPr>
          <w:color w:val="auto"/>
          <w:kern w:val="2"/>
          <w:szCs w:val="22"/>
        </w:rPr>
        <w:t xml:space="preserve">Table 2.3 below summarizes the various considerations on the effect that HAT has on </w:t>
      </w:r>
      <w:r w:rsidR="00284308" w:rsidRPr="00F867D0">
        <w:rPr>
          <w:color w:val="auto"/>
          <w:kern w:val="2"/>
          <w:szCs w:val="22"/>
        </w:rPr>
        <w:t>EE</w:t>
      </w:r>
      <w:r w:rsidR="00A663AA" w:rsidRPr="00F867D0">
        <w:rPr>
          <w:color w:val="auto"/>
          <w:kern w:val="2"/>
          <w:szCs w:val="22"/>
        </w:rPr>
        <w:t>.</w:t>
      </w:r>
    </w:p>
    <w:p w14:paraId="1AD4928D" w14:textId="77777777" w:rsidR="00A663AA" w:rsidRPr="00F867D0" w:rsidRDefault="00A663AA" w:rsidP="00A663AA">
      <w:pPr>
        <w:spacing w:after="0"/>
        <w:rPr>
          <w:b/>
          <w:color w:val="auto"/>
          <w:kern w:val="2"/>
          <w:szCs w:val="22"/>
        </w:rPr>
      </w:pPr>
    </w:p>
    <w:p w14:paraId="5477349B" w14:textId="77777777" w:rsidR="00AF36BF" w:rsidRPr="000F749F" w:rsidRDefault="00AF36BF" w:rsidP="00A663AA">
      <w:pPr>
        <w:spacing w:after="0"/>
        <w:jc w:val="center"/>
        <w:rPr>
          <w:b/>
          <w:color w:val="auto"/>
          <w:kern w:val="2"/>
          <w:sz w:val="14"/>
          <w:szCs w:val="22"/>
        </w:rPr>
      </w:pPr>
    </w:p>
    <w:p w14:paraId="6806F912" w14:textId="5F86E11E" w:rsidR="00A663AA" w:rsidRPr="003D5FEE" w:rsidRDefault="00A663AA" w:rsidP="00A663AA">
      <w:pPr>
        <w:spacing w:after="0"/>
        <w:jc w:val="center"/>
        <w:rPr>
          <w:b/>
          <w:i/>
          <w:color w:val="auto"/>
          <w:kern w:val="2"/>
          <w:szCs w:val="22"/>
        </w:rPr>
      </w:pPr>
      <w:r w:rsidRPr="003D5FEE">
        <w:rPr>
          <w:b/>
          <w:i/>
          <w:color w:val="auto"/>
          <w:kern w:val="2"/>
          <w:szCs w:val="22"/>
        </w:rPr>
        <w:t>Table 2.3 Various considerations on the effect that HAT has on energy efficiency</w:t>
      </w:r>
    </w:p>
    <w:p w14:paraId="60A02EE2" w14:textId="77777777" w:rsidR="00AF36BF" w:rsidRPr="000F749F" w:rsidRDefault="00AF36BF" w:rsidP="00A663AA">
      <w:pPr>
        <w:spacing w:after="0"/>
        <w:jc w:val="center"/>
        <w:rPr>
          <w:color w:val="auto"/>
          <w:kern w:val="2"/>
          <w:sz w:val="12"/>
          <w:szCs w:val="22"/>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67"/>
        <w:gridCol w:w="2281"/>
        <w:gridCol w:w="2835"/>
        <w:gridCol w:w="2323"/>
      </w:tblGrid>
      <w:tr w:rsidR="00A663AA" w:rsidRPr="00F867D0" w14:paraId="02CFFDAE" w14:textId="77777777" w:rsidTr="00453103">
        <w:trPr>
          <w:jc w:val="center"/>
        </w:trPr>
        <w:tc>
          <w:tcPr>
            <w:tcW w:w="1569" w:type="dxa"/>
            <w:shd w:val="clear" w:color="auto" w:fill="auto"/>
          </w:tcPr>
          <w:p w14:paraId="4C6111CD" w14:textId="77777777" w:rsidR="00A663AA" w:rsidRDefault="00A663AA" w:rsidP="00AF36BF">
            <w:pPr>
              <w:spacing w:after="0"/>
              <w:jc w:val="center"/>
              <w:rPr>
                <w:b/>
                <w:bCs/>
                <w:color w:val="auto"/>
                <w:kern w:val="2"/>
              </w:rPr>
            </w:pPr>
            <w:r w:rsidRPr="00F867D0">
              <w:rPr>
                <w:b/>
                <w:bCs/>
                <w:color w:val="auto"/>
                <w:kern w:val="2"/>
              </w:rPr>
              <w:t>Consideration</w:t>
            </w:r>
          </w:p>
          <w:p w14:paraId="6E8E1D2D" w14:textId="2CA8375F" w:rsidR="00AF36BF" w:rsidRPr="00F867D0" w:rsidRDefault="00AF36BF" w:rsidP="00AF36BF">
            <w:pPr>
              <w:spacing w:after="0"/>
              <w:jc w:val="center"/>
              <w:rPr>
                <w:b/>
                <w:bCs/>
                <w:color w:val="auto"/>
                <w:kern w:val="2"/>
              </w:rPr>
            </w:pPr>
          </w:p>
        </w:tc>
        <w:tc>
          <w:tcPr>
            <w:tcW w:w="2358" w:type="dxa"/>
            <w:shd w:val="clear" w:color="auto" w:fill="auto"/>
          </w:tcPr>
          <w:p w14:paraId="5D0227EE" w14:textId="77777777" w:rsidR="00A663AA" w:rsidRPr="00F867D0" w:rsidRDefault="00A663AA" w:rsidP="00AF36BF">
            <w:pPr>
              <w:spacing w:after="0"/>
              <w:jc w:val="center"/>
              <w:rPr>
                <w:b/>
                <w:bCs/>
                <w:color w:val="auto"/>
                <w:kern w:val="2"/>
              </w:rPr>
            </w:pPr>
            <w:r w:rsidRPr="00F867D0">
              <w:rPr>
                <w:b/>
                <w:bCs/>
                <w:color w:val="auto"/>
                <w:kern w:val="2"/>
              </w:rPr>
              <w:t>Description</w:t>
            </w:r>
          </w:p>
        </w:tc>
        <w:tc>
          <w:tcPr>
            <w:tcW w:w="2997" w:type="dxa"/>
            <w:shd w:val="clear" w:color="auto" w:fill="auto"/>
          </w:tcPr>
          <w:p w14:paraId="36C2B48C" w14:textId="77777777" w:rsidR="00A663AA" w:rsidRPr="00F867D0" w:rsidRDefault="00A663AA" w:rsidP="00AF36BF">
            <w:pPr>
              <w:spacing w:after="0"/>
              <w:jc w:val="center"/>
              <w:rPr>
                <w:b/>
                <w:bCs/>
                <w:color w:val="auto"/>
                <w:kern w:val="2"/>
              </w:rPr>
            </w:pPr>
            <w:r w:rsidRPr="00F867D0">
              <w:rPr>
                <w:b/>
                <w:bCs/>
                <w:color w:val="auto"/>
                <w:kern w:val="2"/>
              </w:rPr>
              <w:t>Effect of HAT</w:t>
            </w:r>
          </w:p>
        </w:tc>
        <w:tc>
          <w:tcPr>
            <w:tcW w:w="2426" w:type="dxa"/>
            <w:shd w:val="clear" w:color="auto" w:fill="auto"/>
          </w:tcPr>
          <w:p w14:paraId="66952597" w14:textId="77777777" w:rsidR="00A663AA" w:rsidRPr="00F867D0" w:rsidRDefault="00A663AA" w:rsidP="00AF36BF">
            <w:pPr>
              <w:spacing w:after="0"/>
              <w:jc w:val="center"/>
              <w:rPr>
                <w:b/>
                <w:bCs/>
                <w:color w:val="auto"/>
                <w:kern w:val="2"/>
              </w:rPr>
            </w:pPr>
            <w:r w:rsidRPr="00F867D0">
              <w:rPr>
                <w:b/>
                <w:bCs/>
                <w:color w:val="auto"/>
                <w:kern w:val="2"/>
              </w:rPr>
              <w:t>Special Measures</w:t>
            </w:r>
          </w:p>
        </w:tc>
      </w:tr>
      <w:tr w:rsidR="00A663AA" w:rsidRPr="00F867D0" w14:paraId="7E9075A7" w14:textId="77777777" w:rsidTr="00453103">
        <w:trPr>
          <w:jc w:val="center"/>
        </w:trPr>
        <w:tc>
          <w:tcPr>
            <w:tcW w:w="1569" w:type="dxa"/>
          </w:tcPr>
          <w:p w14:paraId="0043BE4D" w14:textId="77777777" w:rsidR="00A663AA" w:rsidRPr="00F867D0" w:rsidRDefault="00A663AA" w:rsidP="00A663AA">
            <w:pPr>
              <w:spacing w:after="0"/>
              <w:rPr>
                <w:color w:val="auto"/>
                <w:kern w:val="2"/>
              </w:rPr>
            </w:pPr>
            <w:r w:rsidRPr="00F867D0">
              <w:rPr>
                <w:color w:val="auto"/>
                <w:kern w:val="2"/>
              </w:rPr>
              <w:t>Refrigerant selection</w:t>
            </w:r>
          </w:p>
        </w:tc>
        <w:tc>
          <w:tcPr>
            <w:tcW w:w="2358" w:type="dxa"/>
          </w:tcPr>
          <w:p w14:paraId="41E84B65" w14:textId="7596142C" w:rsidR="00A663AA" w:rsidRPr="00F867D0" w:rsidRDefault="00A663AA" w:rsidP="00A663AA">
            <w:pPr>
              <w:spacing w:after="0"/>
              <w:rPr>
                <w:color w:val="auto"/>
                <w:kern w:val="2"/>
              </w:rPr>
            </w:pPr>
            <w:r w:rsidRPr="00F867D0">
              <w:rPr>
                <w:color w:val="auto"/>
                <w:kern w:val="2"/>
              </w:rPr>
              <w:t>Thermodynamic properties</w:t>
            </w:r>
            <w:r w:rsidR="006E5FE3" w:rsidRPr="00F867D0">
              <w:rPr>
                <w:color w:val="auto"/>
                <w:kern w:val="2"/>
              </w:rPr>
              <w:t xml:space="preserve"> and flammability characteristics</w:t>
            </w:r>
          </w:p>
        </w:tc>
        <w:tc>
          <w:tcPr>
            <w:tcW w:w="2997" w:type="dxa"/>
          </w:tcPr>
          <w:p w14:paraId="07A12DBE" w14:textId="3BFDB4B3" w:rsidR="00A663AA" w:rsidRPr="00F867D0" w:rsidRDefault="00A663AA" w:rsidP="00736989">
            <w:pPr>
              <w:numPr>
                <w:ilvl w:val="0"/>
                <w:numId w:val="67"/>
              </w:numPr>
              <w:spacing w:after="0"/>
              <w:ind w:left="190" w:hanging="180"/>
              <w:rPr>
                <w:color w:val="auto"/>
                <w:kern w:val="2"/>
              </w:rPr>
            </w:pPr>
            <w:r w:rsidRPr="00F867D0">
              <w:rPr>
                <w:color w:val="auto"/>
                <w:kern w:val="2"/>
              </w:rPr>
              <w:t>Closeness to critical temperature reduces efficiency</w:t>
            </w:r>
          </w:p>
          <w:p w14:paraId="2D1C4CAB" w14:textId="77777777" w:rsidR="00A663AA" w:rsidRDefault="003741DF" w:rsidP="00736989">
            <w:pPr>
              <w:numPr>
                <w:ilvl w:val="0"/>
                <w:numId w:val="67"/>
              </w:numPr>
              <w:spacing w:after="0"/>
              <w:ind w:left="190" w:hanging="180"/>
              <w:rPr>
                <w:color w:val="auto"/>
                <w:kern w:val="2"/>
              </w:rPr>
            </w:pPr>
            <w:r w:rsidRPr="00F867D0">
              <w:rPr>
                <w:color w:val="auto"/>
                <w:kern w:val="2"/>
              </w:rPr>
              <w:t>L</w:t>
            </w:r>
            <w:r w:rsidR="00A663AA" w:rsidRPr="00F867D0">
              <w:rPr>
                <w:color w:val="auto"/>
                <w:kern w:val="2"/>
              </w:rPr>
              <w:t xml:space="preserve">imitation of large amount of refrigerant charge </w:t>
            </w:r>
          </w:p>
          <w:p w14:paraId="4D648340" w14:textId="7B209C62" w:rsidR="00AF36BF" w:rsidRPr="00F867D0" w:rsidRDefault="00AF36BF" w:rsidP="00736989">
            <w:pPr>
              <w:numPr>
                <w:ilvl w:val="0"/>
                <w:numId w:val="67"/>
              </w:numPr>
              <w:spacing w:after="0"/>
              <w:ind w:left="190" w:hanging="180"/>
              <w:rPr>
                <w:color w:val="auto"/>
                <w:kern w:val="2"/>
              </w:rPr>
            </w:pPr>
          </w:p>
        </w:tc>
        <w:tc>
          <w:tcPr>
            <w:tcW w:w="2426" w:type="dxa"/>
          </w:tcPr>
          <w:p w14:paraId="240C150E" w14:textId="77777777" w:rsidR="00A663AA" w:rsidRPr="00F867D0" w:rsidRDefault="00A663AA" w:rsidP="00A663AA">
            <w:pPr>
              <w:spacing w:after="0"/>
              <w:rPr>
                <w:color w:val="auto"/>
                <w:kern w:val="2"/>
              </w:rPr>
            </w:pPr>
            <w:r w:rsidRPr="00F867D0">
              <w:rPr>
                <w:color w:val="auto"/>
                <w:kern w:val="2"/>
              </w:rPr>
              <w:t>Choice of refrigerant</w:t>
            </w:r>
          </w:p>
        </w:tc>
      </w:tr>
      <w:tr w:rsidR="00A663AA" w:rsidRPr="00F867D0" w14:paraId="06C57ABB" w14:textId="77777777" w:rsidTr="00453103">
        <w:trPr>
          <w:jc w:val="center"/>
        </w:trPr>
        <w:tc>
          <w:tcPr>
            <w:tcW w:w="1569" w:type="dxa"/>
          </w:tcPr>
          <w:p w14:paraId="06FE7105" w14:textId="77777777" w:rsidR="00A663AA" w:rsidRPr="00F867D0" w:rsidRDefault="00A663AA" w:rsidP="00A663AA">
            <w:pPr>
              <w:spacing w:after="0"/>
              <w:rPr>
                <w:color w:val="auto"/>
                <w:kern w:val="2"/>
              </w:rPr>
            </w:pPr>
            <w:r w:rsidRPr="00F867D0">
              <w:rPr>
                <w:color w:val="auto"/>
                <w:kern w:val="2"/>
              </w:rPr>
              <w:t>System Design</w:t>
            </w:r>
          </w:p>
        </w:tc>
        <w:tc>
          <w:tcPr>
            <w:tcW w:w="2358" w:type="dxa"/>
          </w:tcPr>
          <w:p w14:paraId="6A428F47" w14:textId="77777777" w:rsidR="00A663AA" w:rsidRPr="00F867D0" w:rsidRDefault="00A663AA" w:rsidP="00A663AA">
            <w:pPr>
              <w:spacing w:after="0"/>
              <w:rPr>
                <w:color w:val="auto"/>
                <w:kern w:val="2"/>
              </w:rPr>
            </w:pPr>
            <w:r w:rsidRPr="00F867D0">
              <w:rPr>
                <w:color w:val="auto"/>
                <w:kern w:val="2"/>
              </w:rPr>
              <w:t>Cooling loads, condensing temperatures and pressures</w:t>
            </w:r>
          </w:p>
        </w:tc>
        <w:tc>
          <w:tcPr>
            <w:tcW w:w="2997" w:type="dxa"/>
          </w:tcPr>
          <w:p w14:paraId="167F750E" w14:textId="77777777" w:rsidR="00A663AA" w:rsidRPr="00F867D0" w:rsidRDefault="00A663AA" w:rsidP="00736989">
            <w:pPr>
              <w:numPr>
                <w:ilvl w:val="0"/>
                <w:numId w:val="67"/>
              </w:numPr>
              <w:spacing w:after="0"/>
              <w:ind w:left="190" w:hanging="180"/>
              <w:rPr>
                <w:color w:val="auto"/>
                <w:kern w:val="2"/>
              </w:rPr>
            </w:pPr>
            <w:r w:rsidRPr="00F867D0">
              <w:rPr>
                <w:color w:val="auto"/>
                <w:kern w:val="2"/>
              </w:rPr>
              <w:t xml:space="preserve">Larger cooling loads lead to larger equipment, </w:t>
            </w:r>
          </w:p>
          <w:p w14:paraId="32BA60E5" w14:textId="2C01B248" w:rsidR="00A663AA" w:rsidRPr="00F867D0" w:rsidRDefault="003741DF" w:rsidP="00736989">
            <w:pPr>
              <w:numPr>
                <w:ilvl w:val="0"/>
                <w:numId w:val="67"/>
              </w:numPr>
              <w:spacing w:after="0"/>
              <w:ind w:left="190" w:hanging="180"/>
              <w:rPr>
                <w:color w:val="auto"/>
                <w:kern w:val="2"/>
              </w:rPr>
            </w:pPr>
            <w:r w:rsidRPr="00F867D0">
              <w:rPr>
                <w:color w:val="auto"/>
                <w:kern w:val="2"/>
              </w:rPr>
              <w:t>H</w:t>
            </w:r>
            <w:r w:rsidR="00A663AA" w:rsidRPr="00F867D0">
              <w:rPr>
                <w:color w:val="auto"/>
                <w:kern w:val="2"/>
              </w:rPr>
              <w:t>igher condensing temperatures and pressures</w:t>
            </w:r>
          </w:p>
        </w:tc>
        <w:tc>
          <w:tcPr>
            <w:tcW w:w="2426" w:type="dxa"/>
          </w:tcPr>
          <w:p w14:paraId="1D874AA0" w14:textId="77777777" w:rsidR="00A663AA" w:rsidRDefault="00A663AA" w:rsidP="00A663AA">
            <w:pPr>
              <w:spacing w:after="0"/>
              <w:rPr>
                <w:color w:val="auto"/>
                <w:kern w:val="2"/>
              </w:rPr>
            </w:pPr>
            <w:r w:rsidRPr="00F867D0">
              <w:rPr>
                <w:color w:val="auto"/>
                <w:kern w:val="2"/>
              </w:rPr>
              <w:t>Testing the system (burst pressure, tightness, functional) to account for higher operating pressure, while maintaining efficiency</w:t>
            </w:r>
          </w:p>
          <w:p w14:paraId="3323FD9F" w14:textId="708E48AF" w:rsidR="00AF36BF" w:rsidRPr="00F867D0" w:rsidRDefault="00AF36BF" w:rsidP="00A663AA">
            <w:pPr>
              <w:spacing w:after="0"/>
              <w:rPr>
                <w:color w:val="auto"/>
                <w:kern w:val="2"/>
              </w:rPr>
            </w:pPr>
          </w:p>
        </w:tc>
      </w:tr>
      <w:tr w:rsidR="00A663AA" w:rsidRPr="00F867D0" w14:paraId="7EF44060" w14:textId="77777777" w:rsidTr="00453103">
        <w:trPr>
          <w:jc w:val="center"/>
        </w:trPr>
        <w:tc>
          <w:tcPr>
            <w:tcW w:w="1569" w:type="dxa"/>
          </w:tcPr>
          <w:p w14:paraId="610213BA" w14:textId="77777777" w:rsidR="00A663AA" w:rsidRPr="00F867D0" w:rsidRDefault="00A663AA" w:rsidP="00A663AA">
            <w:pPr>
              <w:spacing w:after="0"/>
              <w:rPr>
                <w:color w:val="auto"/>
                <w:kern w:val="2"/>
              </w:rPr>
            </w:pPr>
            <w:r w:rsidRPr="00F867D0">
              <w:rPr>
                <w:color w:val="auto"/>
                <w:kern w:val="2"/>
              </w:rPr>
              <w:t>Manufacturing</w:t>
            </w:r>
          </w:p>
        </w:tc>
        <w:tc>
          <w:tcPr>
            <w:tcW w:w="2358" w:type="dxa"/>
          </w:tcPr>
          <w:p w14:paraId="27BB9E77" w14:textId="77777777" w:rsidR="00A663AA" w:rsidRPr="00F867D0" w:rsidRDefault="00A663AA" w:rsidP="00A663AA">
            <w:pPr>
              <w:spacing w:after="0"/>
              <w:rPr>
                <w:rFonts w:asciiTheme="majorBidi" w:hAnsiTheme="majorBidi" w:cstheme="majorBidi"/>
                <w:color w:val="auto"/>
                <w:kern w:val="2"/>
              </w:rPr>
            </w:pPr>
            <w:r w:rsidRPr="00F867D0">
              <w:rPr>
                <w:rFonts w:asciiTheme="majorBidi" w:hAnsiTheme="majorBidi" w:cstheme="majorBidi"/>
                <w:color w:val="auto"/>
                <w:kern w:val="2"/>
                <w:lang w:eastAsia="en-US"/>
              </w:rPr>
              <w:t>Design and construction need to account for higher pressure</w:t>
            </w:r>
          </w:p>
        </w:tc>
        <w:tc>
          <w:tcPr>
            <w:tcW w:w="2997" w:type="dxa"/>
          </w:tcPr>
          <w:p w14:paraId="63BAF12D" w14:textId="30105245" w:rsidR="00A663AA" w:rsidRPr="00F867D0" w:rsidRDefault="00A663AA" w:rsidP="00736989">
            <w:pPr>
              <w:numPr>
                <w:ilvl w:val="0"/>
                <w:numId w:val="67"/>
              </w:numPr>
              <w:spacing w:after="0"/>
              <w:ind w:left="190" w:hanging="180"/>
              <w:rPr>
                <w:color w:val="auto"/>
                <w:kern w:val="2"/>
              </w:rPr>
            </w:pPr>
            <w:r w:rsidRPr="00F867D0">
              <w:rPr>
                <w:color w:val="auto"/>
                <w:kern w:val="2"/>
              </w:rPr>
              <w:t xml:space="preserve">Need for a special design and special components to meet </w:t>
            </w:r>
            <w:r w:rsidR="003C37C3">
              <w:rPr>
                <w:color w:val="auto"/>
                <w:kern w:val="2"/>
              </w:rPr>
              <w:t>EE</w:t>
            </w:r>
            <w:r w:rsidRPr="00F867D0">
              <w:rPr>
                <w:color w:val="auto"/>
                <w:kern w:val="2"/>
              </w:rPr>
              <w:t xml:space="preserve"> standards at HAT conditions</w:t>
            </w:r>
          </w:p>
        </w:tc>
        <w:tc>
          <w:tcPr>
            <w:tcW w:w="2426" w:type="dxa"/>
          </w:tcPr>
          <w:p w14:paraId="6E6E331A" w14:textId="77777777" w:rsidR="00A663AA" w:rsidRDefault="00A663AA" w:rsidP="00A663AA">
            <w:pPr>
              <w:spacing w:after="0"/>
              <w:rPr>
                <w:color w:val="auto"/>
                <w:kern w:val="2"/>
              </w:rPr>
            </w:pPr>
            <w:r w:rsidRPr="00F867D0">
              <w:rPr>
                <w:color w:val="auto"/>
                <w:kern w:val="2"/>
              </w:rPr>
              <w:t>Local manufacturers to continuously improve design and manufacturing capabilities</w:t>
            </w:r>
          </w:p>
          <w:p w14:paraId="15C34329" w14:textId="465CBA91" w:rsidR="00AF36BF" w:rsidRPr="00F867D0" w:rsidRDefault="00AF36BF" w:rsidP="00A663AA">
            <w:pPr>
              <w:spacing w:after="0"/>
              <w:rPr>
                <w:color w:val="auto"/>
                <w:kern w:val="2"/>
              </w:rPr>
            </w:pPr>
          </w:p>
        </w:tc>
      </w:tr>
      <w:tr w:rsidR="00A663AA" w:rsidRPr="00F867D0" w14:paraId="2E07A1D0" w14:textId="77777777" w:rsidTr="00453103">
        <w:trPr>
          <w:jc w:val="center"/>
        </w:trPr>
        <w:tc>
          <w:tcPr>
            <w:tcW w:w="1569" w:type="dxa"/>
          </w:tcPr>
          <w:p w14:paraId="7B56A3D3" w14:textId="77777777" w:rsidR="00A663AA" w:rsidRPr="00F867D0" w:rsidRDefault="00A663AA" w:rsidP="00A663AA">
            <w:pPr>
              <w:spacing w:after="0"/>
              <w:rPr>
                <w:color w:val="auto"/>
                <w:kern w:val="2"/>
              </w:rPr>
            </w:pPr>
            <w:r w:rsidRPr="00F867D0">
              <w:rPr>
                <w:color w:val="auto"/>
                <w:kern w:val="2"/>
              </w:rPr>
              <w:t>Service</w:t>
            </w:r>
          </w:p>
        </w:tc>
        <w:tc>
          <w:tcPr>
            <w:tcW w:w="2358" w:type="dxa"/>
          </w:tcPr>
          <w:p w14:paraId="1F5E84BC" w14:textId="77777777" w:rsidR="00A663AA" w:rsidRDefault="00A663AA" w:rsidP="00A663AA">
            <w:pPr>
              <w:spacing w:after="0"/>
              <w:rPr>
                <w:color w:val="auto"/>
                <w:kern w:val="2"/>
              </w:rPr>
            </w:pPr>
            <w:r w:rsidRPr="00F867D0">
              <w:rPr>
                <w:color w:val="auto"/>
                <w:kern w:val="2"/>
              </w:rPr>
              <w:t>Service practices at higher temperatures and pressures</w:t>
            </w:r>
          </w:p>
          <w:p w14:paraId="45D7C6B8" w14:textId="0E5CF638" w:rsidR="00AF36BF" w:rsidRPr="00F867D0" w:rsidRDefault="00AF36BF" w:rsidP="00A663AA">
            <w:pPr>
              <w:spacing w:after="0"/>
              <w:rPr>
                <w:color w:val="auto"/>
                <w:kern w:val="2"/>
              </w:rPr>
            </w:pPr>
          </w:p>
        </w:tc>
        <w:tc>
          <w:tcPr>
            <w:tcW w:w="2997" w:type="dxa"/>
          </w:tcPr>
          <w:p w14:paraId="01EF5E6F" w14:textId="77777777" w:rsidR="00A663AA" w:rsidRPr="00F867D0" w:rsidRDefault="00A663AA" w:rsidP="00736989">
            <w:pPr>
              <w:numPr>
                <w:ilvl w:val="0"/>
                <w:numId w:val="67"/>
              </w:numPr>
              <w:spacing w:after="0"/>
              <w:ind w:left="190" w:hanging="180"/>
              <w:rPr>
                <w:color w:val="auto"/>
                <w:kern w:val="2"/>
              </w:rPr>
            </w:pPr>
            <w:r w:rsidRPr="00F867D0">
              <w:rPr>
                <w:color w:val="auto"/>
                <w:kern w:val="2"/>
              </w:rPr>
              <w:t>Risk of system failure and loss in efficiency</w:t>
            </w:r>
          </w:p>
        </w:tc>
        <w:tc>
          <w:tcPr>
            <w:tcW w:w="2426" w:type="dxa"/>
          </w:tcPr>
          <w:p w14:paraId="570676C7" w14:textId="77777777" w:rsidR="00A663AA" w:rsidRPr="00F867D0" w:rsidRDefault="00A663AA" w:rsidP="00A663AA">
            <w:pPr>
              <w:spacing w:after="0"/>
              <w:rPr>
                <w:color w:val="auto"/>
                <w:kern w:val="2"/>
              </w:rPr>
            </w:pPr>
            <w:r w:rsidRPr="00F867D0">
              <w:rPr>
                <w:color w:val="auto"/>
                <w:kern w:val="2"/>
              </w:rPr>
              <w:t>Technician training</w:t>
            </w:r>
          </w:p>
        </w:tc>
      </w:tr>
      <w:tr w:rsidR="00A663AA" w:rsidRPr="00F867D0" w14:paraId="66B492A6" w14:textId="77777777" w:rsidTr="00453103">
        <w:trPr>
          <w:jc w:val="center"/>
        </w:trPr>
        <w:tc>
          <w:tcPr>
            <w:tcW w:w="1569" w:type="dxa"/>
          </w:tcPr>
          <w:p w14:paraId="75D77A28" w14:textId="77777777" w:rsidR="00A663AA" w:rsidRPr="00F867D0" w:rsidRDefault="00A663AA" w:rsidP="00A663AA">
            <w:pPr>
              <w:spacing w:after="0"/>
              <w:rPr>
                <w:color w:val="auto"/>
                <w:kern w:val="2"/>
              </w:rPr>
            </w:pPr>
            <w:r w:rsidRPr="00F867D0">
              <w:rPr>
                <w:color w:val="auto"/>
                <w:kern w:val="2"/>
              </w:rPr>
              <w:t>Safety</w:t>
            </w:r>
          </w:p>
        </w:tc>
        <w:tc>
          <w:tcPr>
            <w:tcW w:w="2358" w:type="dxa"/>
          </w:tcPr>
          <w:p w14:paraId="66764950" w14:textId="77777777" w:rsidR="00A663AA" w:rsidRPr="00F867D0" w:rsidRDefault="00A663AA" w:rsidP="00A663AA">
            <w:pPr>
              <w:spacing w:after="0"/>
              <w:rPr>
                <w:color w:val="auto"/>
                <w:kern w:val="2"/>
              </w:rPr>
            </w:pPr>
            <w:r w:rsidRPr="00F867D0">
              <w:rPr>
                <w:color w:val="auto"/>
                <w:kern w:val="2"/>
              </w:rPr>
              <w:t xml:space="preserve">Codes </w:t>
            </w:r>
          </w:p>
        </w:tc>
        <w:tc>
          <w:tcPr>
            <w:tcW w:w="2997" w:type="dxa"/>
          </w:tcPr>
          <w:p w14:paraId="62E77AC5" w14:textId="66262C76" w:rsidR="00A663AA" w:rsidRPr="00F867D0" w:rsidRDefault="003741DF" w:rsidP="00736989">
            <w:pPr>
              <w:numPr>
                <w:ilvl w:val="0"/>
                <w:numId w:val="67"/>
              </w:numPr>
              <w:spacing w:after="0"/>
              <w:ind w:left="190" w:hanging="180"/>
              <w:rPr>
                <w:color w:val="auto"/>
                <w:kern w:val="2"/>
              </w:rPr>
            </w:pPr>
            <w:r w:rsidRPr="00F867D0">
              <w:rPr>
                <w:color w:val="auto"/>
                <w:kern w:val="2"/>
              </w:rPr>
              <w:t>Q</w:t>
            </w:r>
            <w:r w:rsidR="00A663AA" w:rsidRPr="00F867D0">
              <w:rPr>
                <w:color w:val="auto"/>
                <w:kern w:val="2"/>
              </w:rPr>
              <w:t>uantities of refrigerants per occupied space due to the higher heat loads</w:t>
            </w:r>
          </w:p>
          <w:p w14:paraId="655DC94E" w14:textId="54205F6F" w:rsidR="00AF36BF" w:rsidRPr="00F867D0" w:rsidRDefault="00A663AA" w:rsidP="000F749F">
            <w:pPr>
              <w:numPr>
                <w:ilvl w:val="0"/>
                <w:numId w:val="67"/>
              </w:numPr>
              <w:spacing w:after="0"/>
              <w:ind w:left="190" w:hanging="180"/>
              <w:rPr>
                <w:color w:val="auto"/>
                <w:kern w:val="2"/>
              </w:rPr>
            </w:pPr>
            <w:r w:rsidRPr="00F867D0">
              <w:rPr>
                <w:color w:val="auto"/>
                <w:kern w:val="2"/>
              </w:rPr>
              <w:t>Limitation due to increased charge</w:t>
            </w:r>
          </w:p>
        </w:tc>
        <w:tc>
          <w:tcPr>
            <w:tcW w:w="2426" w:type="dxa"/>
          </w:tcPr>
          <w:p w14:paraId="5A00AB32" w14:textId="77777777" w:rsidR="00A663AA" w:rsidRPr="00F867D0" w:rsidRDefault="00A663AA" w:rsidP="00A663AA">
            <w:pPr>
              <w:spacing w:after="0"/>
              <w:rPr>
                <w:color w:val="auto"/>
                <w:kern w:val="2"/>
              </w:rPr>
            </w:pPr>
            <w:r w:rsidRPr="00F867D0">
              <w:rPr>
                <w:color w:val="auto"/>
                <w:kern w:val="2"/>
              </w:rPr>
              <w:t>Risk assessment</w:t>
            </w:r>
          </w:p>
        </w:tc>
      </w:tr>
    </w:tbl>
    <w:p w14:paraId="1C014CC0" w14:textId="6593EE59" w:rsidR="00A663AA" w:rsidRPr="000F749F" w:rsidRDefault="00A663AA" w:rsidP="000F749F">
      <w:pPr>
        <w:pStyle w:val="Heading2"/>
        <w:rPr>
          <w:b w:val="0"/>
        </w:rPr>
      </w:pPr>
      <w:bookmarkStart w:id="70" w:name="_Toc515454371"/>
      <w:bookmarkStart w:id="71" w:name="_Hlk514683487"/>
      <w:bookmarkEnd w:id="55"/>
      <w:bookmarkEnd w:id="56"/>
      <w:r w:rsidRPr="000F749F">
        <w:t>2.4</w:t>
      </w:r>
      <w:r w:rsidRPr="000F749F">
        <w:tab/>
        <w:t>Environmental benefits in terms of CO2eq</w:t>
      </w:r>
      <w:bookmarkEnd w:id="70"/>
    </w:p>
    <w:p w14:paraId="382F87C8" w14:textId="371A2FE1" w:rsidR="004F2481" w:rsidRPr="00F867D0" w:rsidRDefault="004F2481" w:rsidP="00A663AA">
      <w:pPr>
        <w:keepNext/>
        <w:widowControl w:val="0"/>
        <w:tabs>
          <w:tab w:val="left" w:pos="720"/>
        </w:tabs>
        <w:autoSpaceDE w:val="0"/>
        <w:autoSpaceDN w:val="0"/>
        <w:adjustRightInd w:val="0"/>
        <w:spacing w:before="240"/>
        <w:ind w:left="720" w:right="28" w:hanging="720"/>
        <w:outlineLvl w:val="1"/>
        <w:rPr>
          <w:rFonts w:eastAsia="MS Mincho"/>
          <w:b/>
          <w:snapToGrid w:val="0"/>
          <w:color w:val="auto"/>
          <w:sz w:val="24"/>
          <w:szCs w:val="22"/>
          <w:lang w:eastAsia="en-US"/>
        </w:rPr>
      </w:pPr>
      <w:r w:rsidRPr="00F867D0">
        <w:rPr>
          <w:rFonts w:eastAsia="MS Mincho"/>
          <w:b/>
          <w:snapToGrid w:val="0"/>
          <w:color w:val="auto"/>
          <w:sz w:val="24"/>
          <w:szCs w:val="22"/>
          <w:lang w:eastAsia="en-US"/>
        </w:rPr>
        <w:t>Summary</w:t>
      </w:r>
    </w:p>
    <w:p w14:paraId="5BE9AA0F" w14:textId="34E1ECB5" w:rsidR="00AB0702" w:rsidRDefault="00AB0702" w:rsidP="00BF4C57">
      <w:pPr>
        <w:pStyle w:val="ListParagraph"/>
      </w:pPr>
      <w:r w:rsidRPr="008B6A48">
        <w:t>Over 80% of the global warming impact of RACHP systems is associated with the indirect emissions generated during the production of the electricity used to operate the equipment (indirect), with a lower proportion coming from the use/release (direct emissions) of GHG refrigerants where used</w:t>
      </w:r>
      <w:r w:rsidRPr="00770FBC">
        <w:t>.</w:t>
      </w:r>
    </w:p>
    <w:p w14:paraId="4CEA8478" w14:textId="77777777" w:rsidR="003D5FEE" w:rsidRDefault="003D5FEE" w:rsidP="003D5FEE">
      <w:pPr>
        <w:pStyle w:val="ListParagraph"/>
        <w:numPr>
          <w:ilvl w:val="0"/>
          <w:numId w:val="0"/>
        </w:numPr>
        <w:ind w:left="720"/>
        <w:rPr>
          <w:lang w:val="en-US"/>
        </w:rPr>
      </w:pPr>
    </w:p>
    <w:p w14:paraId="5F67ED73" w14:textId="77777777" w:rsidR="003D5FEE" w:rsidRDefault="00770FBC" w:rsidP="003D5FEE">
      <w:pPr>
        <w:pStyle w:val="ListParagraph"/>
        <w:rPr>
          <w:lang w:val="en-US"/>
        </w:rPr>
      </w:pPr>
      <w:r w:rsidRPr="003378F8">
        <w:rPr>
          <w:lang w:val="en-US"/>
        </w:rPr>
        <w:t>The environmental impact of improving system efficiency is a factor of the type of equipment, how many hours and when it is used (influenced by ambient temperature and humidity conditions), and the emissions associated with generatin</w:t>
      </w:r>
      <w:r w:rsidR="00202E86">
        <w:rPr>
          <w:lang w:val="en-US"/>
        </w:rPr>
        <w:t>g power, which vary by country.</w:t>
      </w:r>
    </w:p>
    <w:p w14:paraId="0260A9FB" w14:textId="77777777" w:rsidR="003D5FEE" w:rsidRDefault="003D5FEE" w:rsidP="003D5FEE">
      <w:pPr>
        <w:pStyle w:val="ListParagraph"/>
        <w:numPr>
          <w:ilvl w:val="0"/>
          <w:numId w:val="0"/>
        </w:numPr>
        <w:ind w:left="720"/>
        <w:rPr>
          <w:lang w:val="en-US"/>
        </w:rPr>
      </w:pPr>
    </w:p>
    <w:p w14:paraId="6912F51A" w14:textId="554C0F87" w:rsidR="00770FBC" w:rsidRDefault="00770FBC" w:rsidP="003D5FEE">
      <w:pPr>
        <w:pStyle w:val="ListParagraph"/>
        <w:rPr>
          <w:lang w:val="en-US"/>
        </w:rPr>
      </w:pPr>
      <w:r w:rsidRPr="003D5FEE">
        <w:rPr>
          <w:lang w:val="en-US"/>
        </w:rPr>
        <w:t xml:space="preserve">Climate and development goals are driving governments to adopt policies to improve the </w:t>
      </w:r>
      <w:r w:rsidR="003C37C3" w:rsidRPr="003D5FEE">
        <w:rPr>
          <w:lang w:val="en-US"/>
        </w:rPr>
        <w:t>EE</w:t>
      </w:r>
      <w:r w:rsidRPr="003D5FEE">
        <w:rPr>
          <w:lang w:val="en-US"/>
        </w:rPr>
        <w:t xml:space="preserve"> of equipment. In the RACHP sector, a holistic approach is important for reducing equipment energy consumption. </w:t>
      </w:r>
      <w:r w:rsidRPr="003378F8">
        <w:t>Re</w:t>
      </w:r>
      <w:r w:rsidRPr="003D5FEE">
        <w:rPr>
          <w:lang w:val="en-US"/>
        </w:rPr>
        <w:t>ducing cooling/heating loads present the best opportunity to reduce both indirect emission through lower consumption of electricity and direct emissions through the reduction of the refrigerant charge associated with the load.</w:t>
      </w:r>
    </w:p>
    <w:p w14:paraId="7288B63A" w14:textId="77777777" w:rsidR="00C7275E" w:rsidRDefault="00C7275E" w:rsidP="000F749F">
      <w:pPr>
        <w:pStyle w:val="ListParagraph"/>
        <w:numPr>
          <w:ilvl w:val="0"/>
          <w:numId w:val="0"/>
        </w:numPr>
        <w:ind w:left="720"/>
        <w:rPr>
          <w:lang w:val="en-US"/>
        </w:rPr>
      </w:pPr>
    </w:p>
    <w:p w14:paraId="619BF749" w14:textId="18398AA6" w:rsidR="00C7275E" w:rsidRPr="00C7275E" w:rsidRDefault="00C7275E" w:rsidP="00C7275E">
      <w:pPr>
        <w:pStyle w:val="ListParagraph"/>
        <w:rPr>
          <w:lang w:val="en-US"/>
        </w:rPr>
      </w:pPr>
      <w:r w:rsidRPr="00C7275E">
        <w:rPr>
          <w:lang w:val="en-US"/>
        </w:rPr>
        <w:t>For the purposes of this report, the approach and examples presented below consider only the indirect CO2eq environmental benefit from energy efficient technologies in the RACHP applications related to a single unit of equipment.</w:t>
      </w:r>
    </w:p>
    <w:p w14:paraId="61FC882E" w14:textId="77777777" w:rsidR="00C7275E" w:rsidRPr="003D5FEE" w:rsidRDefault="00C7275E" w:rsidP="000F749F">
      <w:pPr>
        <w:pStyle w:val="ListParagraph"/>
        <w:numPr>
          <w:ilvl w:val="0"/>
          <w:numId w:val="0"/>
        </w:numPr>
        <w:ind w:left="720"/>
        <w:rPr>
          <w:lang w:val="en-US"/>
        </w:rPr>
      </w:pPr>
    </w:p>
    <w:p w14:paraId="28BB14C0" w14:textId="1CEB510D" w:rsidR="004F2481" w:rsidRPr="000F749F" w:rsidRDefault="002F0F6A" w:rsidP="000F749F">
      <w:pPr>
        <w:pStyle w:val="Heading3"/>
        <w:rPr>
          <w:b w:val="0"/>
        </w:rPr>
      </w:pPr>
      <w:bookmarkStart w:id="72" w:name="_Toc515454372"/>
      <w:bookmarkEnd w:id="71"/>
      <w:r w:rsidRPr="000F749F">
        <w:t>2.4.1</w:t>
      </w:r>
      <w:r w:rsidRPr="000F749F">
        <w:tab/>
      </w:r>
      <w:r w:rsidR="004F2481" w:rsidRPr="000F749F">
        <w:t>Background</w:t>
      </w:r>
      <w:bookmarkEnd w:id="72"/>
    </w:p>
    <w:p w14:paraId="78EA2D46" w14:textId="12203374" w:rsidR="00A663AA" w:rsidRPr="00F867D0" w:rsidRDefault="00A663AA" w:rsidP="00A663AA">
      <w:pPr>
        <w:spacing w:after="0"/>
        <w:rPr>
          <w:szCs w:val="22"/>
        </w:rPr>
      </w:pPr>
      <w:r w:rsidRPr="00F867D0">
        <w:rPr>
          <w:szCs w:val="22"/>
        </w:rPr>
        <w:t>Demand for comfort, refrigeration, and refrigerated transport is growing rapidly as a result of increasing urbanization</w:t>
      </w:r>
      <w:r w:rsidR="00CA0BFE">
        <w:rPr>
          <w:szCs w:val="22"/>
        </w:rPr>
        <w:t xml:space="preserve"> and</w:t>
      </w:r>
      <w:r w:rsidRPr="00F867D0">
        <w:rPr>
          <w:szCs w:val="22"/>
        </w:rPr>
        <w:t xml:space="preserve"> growing incomes. The International Energy Agency (IEA) finds that space cooling is one of the fastest-growing uses of energy in buildings, with global final energy use for air conditioning in residential and commercial buildings tripling between 1990 and 2016 to </w:t>
      </w:r>
      <w:r w:rsidR="00436890" w:rsidRPr="00F867D0">
        <w:rPr>
          <w:szCs w:val="22"/>
        </w:rPr>
        <w:t>over 2,000</w:t>
      </w:r>
      <w:r w:rsidRPr="00F867D0">
        <w:rPr>
          <w:szCs w:val="22"/>
        </w:rPr>
        <w:t xml:space="preserve"> TWh </w:t>
      </w:r>
      <w:r w:rsidR="00436890" w:rsidRPr="00F867D0">
        <w:rPr>
          <w:szCs w:val="22"/>
        </w:rPr>
        <w:t xml:space="preserve">of electricity every year </w:t>
      </w:r>
      <w:r w:rsidR="00A30DBA" w:rsidRPr="00F867D0">
        <w:rPr>
          <w:szCs w:val="22"/>
        </w:rPr>
        <w:t>[</w:t>
      </w:r>
      <w:r w:rsidR="007979AE">
        <w:rPr>
          <w:szCs w:val="22"/>
        </w:rPr>
        <w:t xml:space="preserve">IEA, </w:t>
      </w:r>
      <w:r w:rsidRPr="00F867D0">
        <w:rPr>
          <w:szCs w:val="22"/>
        </w:rPr>
        <w:t>2018</w:t>
      </w:r>
      <w:r w:rsidR="00A30DBA" w:rsidRPr="00F867D0">
        <w:rPr>
          <w:szCs w:val="22"/>
        </w:rPr>
        <w:t>]</w:t>
      </w:r>
      <w:r w:rsidRPr="00F867D0">
        <w:rPr>
          <w:szCs w:val="22"/>
        </w:rPr>
        <w:t>. Net reduction in CO</w:t>
      </w:r>
      <w:r w:rsidRPr="00F867D0">
        <w:rPr>
          <w:szCs w:val="22"/>
          <w:vertAlign w:val="subscript"/>
        </w:rPr>
        <w:t>2</w:t>
      </w:r>
      <w:r w:rsidRPr="00F867D0">
        <w:rPr>
          <w:szCs w:val="22"/>
        </w:rPr>
        <w:t>eq emissions under growing demand is not expected for the RACHP sector. Given uncertainties in future demand projections, and building on previous sections, we describe here how environmental benefits in terms of CO</w:t>
      </w:r>
      <w:r w:rsidRPr="00F867D0">
        <w:rPr>
          <w:szCs w:val="22"/>
          <w:vertAlign w:val="subscript"/>
        </w:rPr>
        <w:t>2</w:t>
      </w:r>
      <w:r w:rsidRPr="00F867D0">
        <w:rPr>
          <w:szCs w:val="22"/>
        </w:rPr>
        <w:t xml:space="preserve">eq can be calculated for technology options that enhance </w:t>
      </w:r>
      <w:r w:rsidR="003C37C3">
        <w:rPr>
          <w:szCs w:val="22"/>
        </w:rPr>
        <w:t>EE</w:t>
      </w:r>
      <w:r w:rsidRPr="00F867D0">
        <w:rPr>
          <w:szCs w:val="22"/>
        </w:rPr>
        <w:t xml:space="preserve"> for a given product at the unit level. This allows a calculation of the environmental benefits against a business as usual baseline efficiency for new equipment purchases.</w:t>
      </w:r>
    </w:p>
    <w:p w14:paraId="4AD7DA3A" w14:textId="77777777" w:rsidR="00A663AA" w:rsidRPr="00F867D0" w:rsidRDefault="00A663AA" w:rsidP="00A663AA">
      <w:pPr>
        <w:spacing w:after="0"/>
        <w:rPr>
          <w:szCs w:val="22"/>
        </w:rPr>
      </w:pPr>
    </w:p>
    <w:p w14:paraId="55DBD064" w14:textId="2C7F3ECF" w:rsidR="00A663AA" w:rsidRPr="00F867D0" w:rsidRDefault="00BD461C" w:rsidP="00A663AA">
      <w:pPr>
        <w:spacing w:after="0"/>
        <w:rPr>
          <w:szCs w:val="22"/>
        </w:rPr>
      </w:pPr>
      <w:r w:rsidRPr="00F867D0">
        <w:rPr>
          <w:szCs w:val="22"/>
        </w:rPr>
        <w:t xml:space="preserve">The environmental benefits of </w:t>
      </w:r>
      <w:r w:rsidR="00A663AA" w:rsidRPr="00F867D0">
        <w:rPr>
          <w:szCs w:val="22"/>
        </w:rPr>
        <w:t xml:space="preserve">RACHP technologies in terms of </w:t>
      </w:r>
      <w:r w:rsidRPr="00F867D0">
        <w:rPr>
          <w:szCs w:val="22"/>
        </w:rPr>
        <w:t xml:space="preserve">the mitigation of </w:t>
      </w:r>
      <w:r w:rsidR="00A663AA" w:rsidRPr="00F867D0">
        <w:rPr>
          <w:szCs w:val="22"/>
        </w:rPr>
        <w:t xml:space="preserve">global warming can be assessed </w:t>
      </w:r>
      <w:r w:rsidRPr="00F867D0">
        <w:rPr>
          <w:szCs w:val="22"/>
        </w:rPr>
        <w:t xml:space="preserve">by </w:t>
      </w:r>
      <w:r w:rsidR="00A663AA" w:rsidRPr="00F867D0">
        <w:rPr>
          <w:szCs w:val="22"/>
        </w:rPr>
        <w:t>GHG emission reduction in terms of CO</w:t>
      </w:r>
      <w:r w:rsidR="00A663AA" w:rsidRPr="00F867D0">
        <w:rPr>
          <w:szCs w:val="22"/>
          <w:vertAlign w:val="subscript"/>
        </w:rPr>
        <w:t>2</w:t>
      </w:r>
      <w:r w:rsidR="00A663AA" w:rsidRPr="00F867D0">
        <w:rPr>
          <w:szCs w:val="22"/>
        </w:rPr>
        <w:t xml:space="preserve">eq. GHG emission consists of direct and indirect contributions. The direct contribution is due to the emission of refrigerants into the atmosphere. </w:t>
      </w:r>
      <w:r w:rsidR="003741DF" w:rsidRPr="00F867D0">
        <w:rPr>
          <w:szCs w:val="22"/>
        </w:rPr>
        <w:t>The level of direct emissions</w:t>
      </w:r>
      <w:r w:rsidR="00A663AA" w:rsidRPr="00F867D0">
        <w:rPr>
          <w:szCs w:val="22"/>
        </w:rPr>
        <w:t xml:space="preserve"> is a function of a refrigerant’s GWP, charge amount and leakage rates (annual, catastrophic, and during servicing and decommissioning) from the air-conditioning and refrigeration (RACHP) equipment. The relative importance of the direct and indirect contributions will depend on the type of system, the refrigerant used, the general leakage rate, and to RACHP equipment electricity consumption, which is a function of its efficiency, operating characteristics, and the “carbon intensity” of the electricity matrix or the emissions factor of the local electricity production (</w:t>
      </w:r>
      <w:r w:rsidR="0006543B" w:rsidRPr="00F867D0">
        <w:rPr>
          <w:szCs w:val="22"/>
        </w:rPr>
        <w:t xml:space="preserve">see </w:t>
      </w:r>
      <w:r w:rsidR="00A663AA" w:rsidRPr="00F867D0">
        <w:rPr>
          <w:szCs w:val="22"/>
        </w:rPr>
        <w:t xml:space="preserve">Table C in </w:t>
      </w:r>
      <w:r w:rsidR="0006543B" w:rsidRPr="00F867D0">
        <w:rPr>
          <w:szCs w:val="22"/>
        </w:rPr>
        <w:t>[</w:t>
      </w:r>
      <w:r w:rsidR="00A663AA" w:rsidRPr="00F867D0">
        <w:rPr>
          <w:szCs w:val="22"/>
        </w:rPr>
        <w:t>de</w:t>
      </w:r>
      <w:r w:rsidR="00833078" w:rsidRPr="00F867D0">
        <w:rPr>
          <w:szCs w:val="22"/>
        </w:rPr>
        <w:t xml:space="preserve"> </w:t>
      </w:r>
      <w:r w:rsidR="00A663AA" w:rsidRPr="00F867D0">
        <w:rPr>
          <w:szCs w:val="22"/>
        </w:rPr>
        <w:t>la</w:t>
      </w:r>
      <w:r w:rsidR="00833078" w:rsidRPr="00F867D0">
        <w:rPr>
          <w:szCs w:val="22"/>
        </w:rPr>
        <w:t xml:space="preserve"> </w:t>
      </w:r>
      <w:r w:rsidR="00A663AA" w:rsidRPr="00F867D0">
        <w:rPr>
          <w:szCs w:val="22"/>
        </w:rPr>
        <w:t>Rue</w:t>
      </w:r>
      <w:r w:rsidR="0006543B" w:rsidRPr="00F867D0">
        <w:rPr>
          <w:szCs w:val="22"/>
        </w:rPr>
        <w:t xml:space="preserve"> </w:t>
      </w:r>
      <w:r w:rsidR="00833078" w:rsidRPr="00F867D0">
        <w:rPr>
          <w:szCs w:val="22"/>
        </w:rPr>
        <w:t xml:space="preserve">du Can </w:t>
      </w:r>
      <w:r w:rsidR="0006543B" w:rsidRPr="00F867D0">
        <w:rPr>
          <w:szCs w:val="22"/>
        </w:rPr>
        <w:t>et al.</w:t>
      </w:r>
      <w:r w:rsidR="00A663AA" w:rsidRPr="00F867D0">
        <w:rPr>
          <w:szCs w:val="22"/>
        </w:rPr>
        <w:t>, 2015</w:t>
      </w:r>
      <w:r w:rsidR="0006543B" w:rsidRPr="00F867D0">
        <w:rPr>
          <w:szCs w:val="22"/>
        </w:rPr>
        <w:t>]</w:t>
      </w:r>
      <w:r w:rsidR="00A663AA" w:rsidRPr="00F867D0">
        <w:rPr>
          <w:szCs w:val="22"/>
        </w:rPr>
        <w:t xml:space="preserve">). </w:t>
      </w:r>
    </w:p>
    <w:p w14:paraId="6CD666B0" w14:textId="77777777" w:rsidR="00A663AA" w:rsidRPr="00F867D0" w:rsidRDefault="00A663AA" w:rsidP="00A663AA">
      <w:pPr>
        <w:spacing w:after="0"/>
        <w:rPr>
          <w:szCs w:val="22"/>
        </w:rPr>
      </w:pPr>
    </w:p>
    <w:p w14:paraId="782E7062" w14:textId="12F9B45D" w:rsidR="00A663AA" w:rsidRPr="00F867D0" w:rsidRDefault="00A663AA" w:rsidP="00A663AA">
      <w:pPr>
        <w:spacing w:after="0"/>
        <w:rPr>
          <w:szCs w:val="22"/>
        </w:rPr>
      </w:pPr>
      <w:r w:rsidRPr="00F867D0">
        <w:rPr>
          <w:szCs w:val="22"/>
        </w:rPr>
        <w:t>Systems that are “more leaky”, e.g., automotive vehicle air conditioning, typically have larger relative contributions from direct impact than would “tighter systems”, e.g., hermetically sealed</w:t>
      </w:r>
      <w:r w:rsidR="00407D27">
        <w:rPr>
          <w:szCs w:val="22"/>
        </w:rPr>
        <w:t xml:space="preserve"> </w:t>
      </w:r>
      <w:r w:rsidRPr="00F867D0">
        <w:rPr>
          <w:szCs w:val="22"/>
        </w:rPr>
        <w:t>chiller systems, although this can be offset for systems that have much shorter operating periods or where power is supplied from a source with low carbon content.</w:t>
      </w:r>
    </w:p>
    <w:p w14:paraId="289A68F2" w14:textId="77777777" w:rsidR="00A663AA" w:rsidRPr="00F867D0" w:rsidRDefault="00A663AA" w:rsidP="00A663AA">
      <w:pPr>
        <w:spacing w:after="0"/>
        <w:rPr>
          <w:szCs w:val="22"/>
        </w:rPr>
      </w:pPr>
      <w:r w:rsidRPr="00F867D0">
        <w:rPr>
          <w:szCs w:val="22"/>
        </w:rPr>
        <w:t xml:space="preserve"> </w:t>
      </w:r>
    </w:p>
    <w:p w14:paraId="40D7B0CA" w14:textId="368643E1" w:rsidR="004F2481" w:rsidRPr="000F749F" w:rsidRDefault="002F0F6A" w:rsidP="000F749F">
      <w:pPr>
        <w:pStyle w:val="Heading3"/>
        <w:rPr>
          <w:b w:val="0"/>
        </w:rPr>
      </w:pPr>
      <w:bookmarkStart w:id="73" w:name="_Toc515454373"/>
      <w:r w:rsidRPr="000F749F">
        <w:t>2.4.2</w:t>
      </w:r>
      <w:r w:rsidRPr="000F749F">
        <w:tab/>
      </w:r>
      <w:r w:rsidR="004F2481" w:rsidRPr="000F749F">
        <w:t>Methodologies</w:t>
      </w:r>
      <w:bookmarkEnd w:id="73"/>
    </w:p>
    <w:p w14:paraId="46B8E3CE" w14:textId="1B7E947A" w:rsidR="00A663AA" w:rsidRPr="00F867D0" w:rsidRDefault="00A663AA" w:rsidP="00A663AA">
      <w:pPr>
        <w:spacing w:after="0"/>
        <w:rPr>
          <w:szCs w:val="22"/>
        </w:rPr>
      </w:pPr>
      <w:r w:rsidRPr="00F867D0">
        <w:rPr>
          <w:szCs w:val="22"/>
        </w:rPr>
        <w:t xml:space="preserve">There are several methodologies that estimate the total emissions from a system. Most common are Total Equivalent Warming Impact (TEWI) and Life Cycle Climate Performance (LCCP) which attempts to quantify the total global warming impact by evaluating the RACHP systems during their lifetime from “cradle to grave” </w:t>
      </w:r>
      <w:r w:rsidR="0006543B" w:rsidRPr="00F867D0">
        <w:rPr>
          <w:szCs w:val="22"/>
        </w:rPr>
        <w:t>[</w:t>
      </w:r>
      <w:r w:rsidRPr="00F867D0">
        <w:rPr>
          <w:szCs w:val="22"/>
        </w:rPr>
        <w:t>IIR, 2016</w:t>
      </w:r>
      <w:r w:rsidR="0006543B" w:rsidRPr="00F867D0">
        <w:rPr>
          <w:szCs w:val="22"/>
        </w:rPr>
        <w:t>]</w:t>
      </w:r>
      <w:r w:rsidRPr="00F867D0">
        <w:rPr>
          <w:szCs w:val="22"/>
        </w:rPr>
        <w:t>. Sometimes, a TEWI calculation may be simplified by neglecting broader effects including manufacture of the refrigerant and equipment, and disposal of the refrigerant and equipment after decommissioning. More in-depth analyses not usually performed also look at the emissions associated with the production and disposal of the equipment, e.g., including the mining and recycling of the metal used to manufacture compressors, heat exchangers, and other components.</w:t>
      </w:r>
    </w:p>
    <w:p w14:paraId="3E083226" w14:textId="77777777" w:rsidR="00A663AA" w:rsidRPr="00F867D0" w:rsidRDefault="00A663AA" w:rsidP="00A663AA">
      <w:pPr>
        <w:spacing w:after="0"/>
        <w:rPr>
          <w:szCs w:val="22"/>
        </w:rPr>
      </w:pPr>
    </w:p>
    <w:p w14:paraId="5B78AD40" w14:textId="7862A72E" w:rsidR="00A663AA" w:rsidRPr="00F867D0" w:rsidRDefault="00A663AA" w:rsidP="00A663AA">
      <w:pPr>
        <w:spacing w:after="0"/>
        <w:rPr>
          <w:szCs w:val="22"/>
        </w:rPr>
      </w:pPr>
      <w:r w:rsidRPr="00F867D0">
        <w:rPr>
          <w:szCs w:val="22"/>
        </w:rPr>
        <w:t>As discussed in preceding sections, over 80% of the global warming impact of RACHP systems is associated with the indirect emissions generated during the production of the electricity used to operate the equipment (indirect), with a low</w:t>
      </w:r>
      <w:r w:rsidRPr="00E13AFF">
        <w:rPr>
          <w:szCs w:val="22"/>
        </w:rPr>
        <w:t xml:space="preserve">er proportion coming from the use/release (direct emissions) of GHG refrigerants where used </w:t>
      </w:r>
      <w:r w:rsidR="00833078" w:rsidRPr="00E13AFF">
        <w:rPr>
          <w:szCs w:val="22"/>
        </w:rPr>
        <w:t>[</w:t>
      </w:r>
      <w:r w:rsidRPr="00E13AFF">
        <w:rPr>
          <w:szCs w:val="22"/>
        </w:rPr>
        <w:t>TEAP</w:t>
      </w:r>
      <w:r w:rsidR="00D07E69" w:rsidRPr="00E13AFF">
        <w:rPr>
          <w:szCs w:val="22"/>
        </w:rPr>
        <w:t>,</w:t>
      </w:r>
      <w:r w:rsidRPr="00E13AFF">
        <w:rPr>
          <w:szCs w:val="22"/>
        </w:rPr>
        <w:t xml:space="preserve"> 2017</w:t>
      </w:r>
      <w:r w:rsidR="00833078" w:rsidRPr="00E13AFF">
        <w:rPr>
          <w:szCs w:val="22"/>
        </w:rPr>
        <w:t>a]</w:t>
      </w:r>
      <w:r w:rsidRPr="00E13AFF">
        <w:rPr>
          <w:szCs w:val="22"/>
        </w:rPr>
        <w:t xml:space="preserve">. Also, as discussed in Section 2.1, the largest potential for </w:t>
      </w:r>
      <w:r w:rsidR="00643537">
        <w:rPr>
          <w:szCs w:val="22"/>
        </w:rPr>
        <w:t>EE</w:t>
      </w:r>
      <w:r w:rsidRPr="00E13AFF">
        <w:rPr>
          <w:szCs w:val="22"/>
        </w:rPr>
        <w:t xml:space="preserve"> improvement comes from improvements i</w:t>
      </w:r>
      <w:r w:rsidRPr="00F867D0">
        <w:rPr>
          <w:szCs w:val="22"/>
        </w:rPr>
        <w:t>n design and components, which can yield efficiency improvements</w:t>
      </w:r>
      <w:r w:rsidR="00DB641A" w:rsidRPr="00F867D0">
        <w:rPr>
          <w:color w:val="auto"/>
          <w:szCs w:val="22"/>
          <w:vertAlign w:val="superscript"/>
        </w:rPr>
        <w:footnoteReference w:id="11"/>
      </w:r>
      <w:r w:rsidRPr="00F867D0">
        <w:rPr>
          <w:szCs w:val="22"/>
        </w:rPr>
        <w:t xml:space="preserve"> of 10 to 70% compared with 5-10% for the refrigerant in most cases. </w:t>
      </w:r>
    </w:p>
    <w:p w14:paraId="13760BB6" w14:textId="77777777" w:rsidR="004F2481" w:rsidRPr="00F867D0" w:rsidRDefault="004F2481" w:rsidP="00A663AA">
      <w:pPr>
        <w:spacing w:after="0"/>
        <w:rPr>
          <w:szCs w:val="22"/>
        </w:rPr>
      </w:pPr>
    </w:p>
    <w:p w14:paraId="2621DB42" w14:textId="33A5D354" w:rsidR="004F2481" w:rsidRPr="000F749F" w:rsidRDefault="002F0F6A" w:rsidP="000F749F">
      <w:pPr>
        <w:pStyle w:val="Heading3"/>
        <w:rPr>
          <w:b w:val="0"/>
        </w:rPr>
      </w:pPr>
      <w:bookmarkStart w:id="74" w:name="_Toc515454374"/>
      <w:r w:rsidRPr="000F749F">
        <w:t>2.4.3</w:t>
      </w:r>
      <w:r w:rsidRPr="000F749F">
        <w:tab/>
      </w:r>
      <w:r w:rsidR="004F2481" w:rsidRPr="000F749F">
        <w:t>Calculating environmental benefits</w:t>
      </w:r>
      <w:bookmarkEnd w:id="74"/>
    </w:p>
    <w:p w14:paraId="3F9B5B19" w14:textId="7BB478D5" w:rsidR="00A663AA" w:rsidRPr="00F867D0" w:rsidRDefault="00A663AA" w:rsidP="00A663AA">
      <w:pPr>
        <w:spacing w:after="0"/>
        <w:rPr>
          <w:szCs w:val="22"/>
        </w:rPr>
      </w:pPr>
      <w:r w:rsidRPr="00F867D0">
        <w:rPr>
          <w:szCs w:val="22"/>
        </w:rPr>
        <w:t>For the purposes of this report, the approach and examples presented below consider only the indirect CO</w:t>
      </w:r>
      <w:r w:rsidRPr="00F867D0">
        <w:rPr>
          <w:szCs w:val="22"/>
          <w:vertAlign w:val="subscript"/>
        </w:rPr>
        <w:t>2</w:t>
      </w:r>
      <w:r w:rsidRPr="00F867D0">
        <w:rPr>
          <w:szCs w:val="22"/>
        </w:rPr>
        <w:t xml:space="preserve">eq environmental benefit from energy efficient technologies in the RACHP applications. The results highlight the importance of local context, specifically hours of use and emissions factor for electricity generation, when converting a given </w:t>
      </w:r>
      <w:r w:rsidR="003C37C3">
        <w:rPr>
          <w:szCs w:val="22"/>
        </w:rPr>
        <w:t>EE</w:t>
      </w:r>
      <w:r w:rsidRPr="00F867D0">
        <w:rPr>
          <w:szCs w:val="22"/>
        </w:rPr>
        <w:t xml:space="preserve"> enhancement into CO</w:t>
      </w:r>
      <w:r w:rsidRPr="00F867D0">
        <w:rPr>
          <w:szCs w:val="22"/>
          <w:vertAlign w:val="subscript"/>
        </w:rPr>
        <w:t>2</w:t>
      </w:r>
      <w:r w:rsidRPr="00F867D0">
        <w:rPr>
          <w:szCs w:val="22"/>
        </w:rPr>
        <w:t xml:space="preserve">eq. </w:t>
      </w:r>
    </w:p>
    <w:p w14:paraId="4602A8AC" w14:textId="77777777" w:rsidR="00A663AA" w:rsidRPr="00F867D0" w:rsidRDefault="00A663AA" w:rsidP="00A663AA">
      <w:pPr>
        <w:spacing w:after="0"/>
        <w:rPr>
          <w:szCs w:val="22"/>
        </w:rPr>
      </w:pPr>
      <w:r w:rsidRPr="00F867D0">
        <w:rPr>
          <w:szCs w:val="22"/>
        </w:rPr>
        <w:t xml:space="preserve"> </w:t>
      </w:r>
    </w:p>
    <w:p w14:paraId="6F0D991C" w14:textId="558C7D96" w:rsidR="00A663AA" w:rsidRPr="00F867D0" w:rsidRDefault="00A663AA" w:rsidP="00A663AA">
      <w:pPr>
        <w:spacing w:after="0"/>
        <w:rPr>
          <w:szCs w:val="22"/>
        </w:rPr>
      </w:pPr>
      <w:r w:rsidRPr="00F867D0">
        <w:rPr>
          <w:szCs w:val="22"/>
        </w:rPr>
        <w:t xml:space="preserve">Calculating the environmental benefits of </w:t>
      </w:r>
      <w:r w:rsidR="003C37C3">
        <w:rPr>
          <w:szCs w:val="22"/>
        </w:rPr>
        <w:t>EE</w:t>
      </w:r>
      <w:r w:rsidRPr="00F867D0">
        <w:rPr>
          <w:szCs w:val="22"/>
        </w:rPr>
        <w:t xml:space="preserve"> in RACHP equipment in CO</w:t>
      </w:r>
      <w:r w:rsidRPr="00F867D0">
        <w:rPr>
          <w:szCs w:val="22"/>
          <w:vertAlign w:val="subscript"/>
        </w:rPr>
        <w:t>2</w:t>
      </w:r>
      <w:r w:rsidRPr="00F867D0">
        <w:rPr>
          <w:szCs w:val="22"/>
        </w:rPr>
        <w:t>eq terms involves three steps:</w:t>
      </w:r>
    </w:p>
    <w:p w14:paraId="77B7C413" w14:textId="04BF1058" w:rsidR="00A663AA" w:rsidRPr="00F867D0" w:rsidRDefault="00202E86" w:rsidP="00202E86">
      <w:pPr>
        <w:spacing w:after="0"/>
        <w:ind w:left="720" w:hanging="360"/>
        <w:rPr>
          <w:szCs w:val="22"/>
        </w:rPr>
      </w:pPr>
      <w:r w:rsidRPr="00202E86">
        <w:rPr>
          <w:i/>
          <w:szCs w:val="22"/>
          <w:u w:val="single"/>
        </w:rPr>
        <w:t>Step 1</w:t>
      </w:r>
      <w:r>
        <w:rPr>
          <w:szCs w:val="22"/>
        </w:rPr>
        <w:t xml:space="preserve">: </w:t>
      </w:r>
      <w:r w:rsidR="00A663AA" w:rsidRPr="00F867D0">
        <w:rPr>
          <w:szCs w:val="22"/>
        </w:rPr>
        <w:t xml:space="preserve">Determine the type of equipment (e.g., ductless split air conditioner, 3.5 kW cooling capacity), identify the baseline model unit energy consumption as a function of the current market in the country or territory, or the units manufactured by a given facility. The examples shown are selected from country assessments (United 4 Efficiency) and product registries (TopTen, India’s Bureau of Energy Efficiency). In the case of TopTen, the units were tested to validate stated energy performance. Then determine the </w:t>
      </w:r>
      <w:r w:rsidR="003C37C3">
        <w:rPr>
          <w:szCs w:val="22"/>
        </w:rPr>
        <w:t>EE</w:t>
      </w:r>
      <w:r w:rsidR="00A663AA" w:rsidRPr="00F867D0">
        <w:rPr>
          <w:szCs w:val="22"/>
        </w:rPr>
        <w:t xml:space="preserve"> improvement to be evaluated. Examples below were informed by actual models available on the market in countries with characteristics of each case.</w:t>
      </w:r>
    </w:p>
    <w:p w14:paraId="7F672C3A" w14:textId="77777777" w:rsidR="00284308" w:rsidRPr="00F867D0" w:rsidRDefault="00284308" w:rsidP="00202E86">
      <w:pPr>
        <w:spacing w:after="0"/>
        <w:ind w:left="720" w:hanging="360"/>
        <w:rPr>
          <w:szCs w:val="22"/>
        </w:rPr>
      </w:pPr>
    </w:p>
    <w:p w14:paraId="5FEA054F" w14:textId="1C87E62B" w:rsidR="00A663AA" w:rsidRPr="00F867D0" w:rsidRDefault="00A663AA" w:rsidP="00202E86">
      <w:pPr>
        <w:spacing w:after="0"/>
        <w:ind w:left="720" w:hanging="360"/>
        <w:rPr>
          <w:szCs w:val="22"/>
        </w:rPr>
      </w:pPr>
      <w:r w:rsidRPr="00202E86">
        <w:rPr>
          <w:i/>
          <w:szCs w:val="22"/>
          <w:u w:val="single"/>
        </w:rPr>
        <w:t>Step 2</w:t>
      </w:r>
      <w:r w:rsidRPr="00F867D0">
        <w:rPr>
          <w:szCs w:val="22"/>
        </w:rPr>
        <w:t>: Calculate the energy savings for the</w:t>
      </w:r>
      <w:r w:rsidR="003741DF" w:rsidRPr="00F867D0">
        <w:rPr>
          <w:szCs w:val="22"/>
        </w:rPr>
        <w:t xml:space="preserve"> higher</w:t>
      </w:r>
      <w:r w:rsidRPr="00F867D0">
        <w:rPr>
          <w:szCs w:val="22"/>
        </w:rPr>
        <w:t xml:space="preserve"> efficiency model as a function of baseline unit energy consumption and hours of use. Hours of use vary significantly by country and climate and application. In some cases, national standards define the hours of use as part of the </w:t>
      </w:r>
      <w:r w:rsidR="003C37C3">
        <w:rPr>
          <w:szCs w:val="22"/>
        </w:rPr>
        <w:t>EE</w:t>
      </w:r>
      <w:r w:rsidRPr="00F867D0">
        <w:rPr>
          <w:szCs w:val="22"/>
        </w:rPr>
        <w:t xml:space="preserve"> metric (for example, the India Seasonal Energy Efficiency Ratio is defined using 1600 hours of use annually). It is important to note that actual energy performance of installed equipment may be lower than the designed efficiency due to poor installation or maintenance. Since the efficiency improvement is compared to a baseline unit, this approach assumes that performance degradation due to poor installation or maintenance or high temperatures would have a comparable effect on the baseline unit, so the relative energy savings are maintained. If hours of use increase in the case of the higher efficiency unit due to lower electricity bill costs, a form of rebound behaviour, the energy savings would be reduced (see </w:t>
      </w:r>
      <w:r w:rsidR="00C7275E">
        <w:rPr>
          <w:szCs w:val="22"/>
        </w:rPr>
        <w:t>[</w:t>
      </w:r>
      <w:r w:rsidRPr="00F867D0">
        <w:rPr>
          <w:szCs w:val="22"/>
        </w:rPr>
        <w:t>TEAP 2017</w:t>
      </w:r>
      <w:r w:rsidR="00C7275E">
        <w:rPr>
          <w:szCs w:val="22"/>
        </w:rPr>
        <w:t>a]</w:t>
      </w:r>
      <w:r w:rsidRPr="00F867D0">
        <w:rPr>
          <w:szCs w:val="22"/>
        </w:rPr>
        <w:t xml:space="preserve"> for a discussion of rebound).</w:t>
      </w:r>
    </w:p>
    <w:p w14:paraId="5727362C" w14:textId="77777777" w:rsidR="00284308" w:rsidRPr="00F867D0" w:rsidRDefault="00284308" w:rsidP="00202E86">
      <w:pPr>
        <w:spacing w:after="0"/>
        <w:ind w:left="720" w:hanging="360"/>
        <w:rPr>
          <w:szCs w:val="22"/>
        </w:rPr>
      </w:pPr>
    </w:p>
    <w:p w14:paraId="2FDAA402" w14:textId="52EB27EB" w:rsidR="00A663AA" w:rsidRPr="00F867D0" w:rsidRDefault="00202E86" w:rsidP="00202E86">
      <w:pPr>
        <w:spacing w:after="0"/>
        <w:ind w:left="720" w:hanging="360"/>
        <w:rPr>
          <w:szCs w:val="22"/>
        </w:rPr>
      </w:pPr>
      <w:r w:rsidRPr="00202E86">
        <w:rPr>
          <w:i/>
          <w:szCs w:val="22"/>
          <w:u w:val="single"/>
        </w:rPr>
        <w:t>Step 3</w:t>
      </w:r>
      <w:r>
        <w:rPr>
          <w:szCs w:val="22"/>
        </w:rPr>
        <w:t xml:space="preserve">: </w:t>
      </w:r>
      <w:r w:rsidR="00A663AA" w:rsidRPr="00F867D0">
        <w:rPr>
          <w:szCs w:val="22"/>
        </w:rPr>
        <w:t>Convert energy savings to CO</w:t>
      </w:r>
      <w:r w:rsidR="00A663AA" w:rsidRPr="00F867D0">
        <w:rPr>
          <w:szCs w:val="22"/>
          <w:vertAlign w:val="subscript"/>
        </w:rPr>
        <w:t>2</w:t>
      </w:r>
      <w:r w:rsidR="00A663AA" w:rsidRPr="00F867D0">
        <w:rPr>
          <w:szCs w:val="22"/>
        </w:rPr>
        <w:t xml:space="preserve">eq by multiplying by the end-use emission factor for electricity generation. The examples shown here use the end-use emission factors calculated by </w:t>
      </w:r>
      <w:r w:rsidR="00833078" w:rsidRPr="00F867D0">
        <w:rPr>
          <w:szCs w:val="22"/>
        </w:rPr>
        <w:t>[</w:t>
      </w:r>
      <w:r w:rsidR="00A663AA" w:rsidRPr="00F867D0">
        <w:rPr>
          <w:szCs w:val="22"/>
        </w:rPr>
        <w:t>de la Rue du Can et al.</w:t>
      </w:r>
      <w:r w:rsidR="00833078" w:rsidRPr="00F867D0">
        <w:rPr>
          <w:szCs w:val="22"/>
        </w:rPr>
        <w:t xml:space="preserve">, </w:t>
      </w:r>
      <w:r w:rsidR="00A663AA" w:rsidRPr="00F867D0">
        <w:rPr>
          <w:szCs w:val="22"/>
        </w:rPr>
        <w:t>2015</w:t>
      </w:r>
      <w:r w:rsidR="00833078" w:rsidRPr="00F867D0">
        <w:rPr>
          <w:szCs w:val="22"/>
        </w:rPr>
        <w:t>]</w:t>
      </w:r>
      <w:r w:rsidR="00A663AA" w:rsidRPr="00F867D0">
        <w:rPr>
          <w:szCs w:val="22"/>
        </w:rPr>
        <w:t xml:space="preserve">, which are based on default fuel emission factors from the IPCC inventory guidelines and generation mix and transmission and distribution loss data from the IEA. The emission factors used here are annual averages, which is appropriate for refrigerators, which generally run 24-hours. Air conditioners tend to run during the hottest times of day, and tend to coincide with peak electricity demand. For this reason, use of “marginal emission” factors, </w:t>
      </w:r>
      <w:r w:rsidR="00EF0025">
        <w:rPr>
          <w:szCs w:val="22"/>
        </w:rPr>
        <w:t xml:space="preserve">which represent </w:t>
      </w:r>
      <w:r w:rsidR="00A663AA" w:rsidRPr="00F867D0">
        <w:rPr>
          <w:szCs w:val="22"/>
        </w:rPr>
        <w:t>the carbon intensity of the generators that produce power to meet peak demand, may be more accurate. Whether the carbon intensity of marginal generation is higher or lower than the annual emission factor depends on the grid composition of the country. However, as more renewable capacity is added, the trend is towards lower marginal emissions factors.</w:t>
      </w:r>
    </w:p>
    <w:p w14:paraId="68651AC5" w14:textId="77777777" w:rsidR="003741DF" w:rsidRPr="00F867D0" w:rsidRDefault="003741DF" w:rsidP="00202E86">
      <w:pPr>
        <w:spacing w:after="0"/>
        <w:ind w:left="720" w:hanging="360"/>
      </w:pPr>
    </w:p>
    <w:p w14:paraId="71D2A150" w14:textId="0A70EFB3" w:rsidR="00A663AA" w:rsidRPr="00F867D0" w:rsidRDefault="00A663AA" w:rsidP="00202E86">
      <w:pPr>
        <w:spacing w:after="0"/>
        <w:ind w:left="720"/>
        <w:rPr>
          <w:szCs w:val="22"/>
        </w:rPr>
      </w:pPr>
      <w:r w:rsidRPr="00F867D0">
        <w:t>In addition to the CO</w:t>
      </w:r>
      <w:r w:rsidRPr="00F867D0">
        <w:rPr>
          <w:vertAlign w:val="subscript"/>
        </w:rPr>
        <w:t>2</w:t>
      </w:r>
      <w:r w:rsidRPr="00F867D0">
        <w:t xml:space="preserve"> emitted by power plants, the power sector is a major source of </w:t>
      </w:r>
      <w:r w:rsidR="00EF0025">
        <w:t xml:space="preserve">other </w:t>
      </w:r>
      <w:r w:rsidRPr="00F867D0">
        <w:t xml:space="preserve">air pollution, including short-lived climate pollutants. According to the IEA, electricity generation linked to air conditioning was responsible for </w:t>
      </w:r>
      <w:r w:rsidR="00436890" w:rsidRPr="00F867D0">
        <w:t>9</w:t>
      </w:r>
      <w:r w:rsidRPr="00F867D0">
        <w:t xml:space="preserve">% of global </w:t>
      </w:r>
      <w:r w:rsidR="00436890" w:rsidRPr="00F867D0">
        <w:t>emissions</w:t>
      </w:r>
      <w:r w:rsidR="002124E7">
        <w:t xml:space="preserve"> of</w:t>
      </w:r>
      <w:r w:rsidR="00436890" w:rsidRPr="00F867D0">
        <w:t xml:space="preserve"> </w:t>
      </w:r>
      <w:r w:rsidRPr="00F867D0">
        <w:t>SO</w:t>
      </w:r>
      <w:r w:rsidRPr="00F867D0">
        <w:rPr>
          <w:vertAlign w:val="subscript"/>
        </w:rPr>
        <w:t>2</w:t>
      </w:r>
      <w:r w:rsidRPr="00F867D0">
        <w:t xml:space="preserve"> </w:t>
      </w:r>
      <w:r w:rsidR="005074E8" w:rsidRPr="00F867D0">
        <w:t xml:space="preserve">from the power sector </w:t>
      </w:r>
      <w:r w:rsidRPr="00F867D0">
        <w:t xml:space="preserve">and </w:t>
      </w:r>
      <w:r w:rsidR="005074E8" w:rsidRPr="00F867D0">
        <w:t xml:space="preserve">8% of </w:t>
      </w:r>
      <w:r w:rsidRPr="00F867D0">
        <w:t>NOx and PM</w:t>
      </w:r>
      <w:r w:rsidRPr="00F867D0">
        <w:rPr>
          <w:vertAlign w:val="subscript"/>
        </w:rPr>
        <w:t>2.5</w:t>
      </w:r>
      <w:r w:rsidR="009A28B4" w:rsidRPr="00F867D0">
        <w:t>[</w:t>
      </w:r>
      <w:r w:rsidR="00C7275E">
        <w:t>IEA</w:t>
      </w:r>
      <w:r w:rsidR="005074E8" w:rsidRPr="00F867D0">
        <w:t>, 2018</w:t>
      </w:r>
      <w:r w:rsidR="009A28B4" w:rsidRPr="00F867D0">
        <w:t>]</w:t>
      </w:r>
      <w:r w:rsidRPr="00F867D0">
        <w:t>. By considering the share of fossil fuels in the electricity generation mix and their short-lived climate pollutant emissions per kWh generated, the environmental benefits in terms of CO</w:t>
      </w:r>
      <w:r w:rsidRPr="00F867D0">
        <w:rPr>
          <w:vertAlign w:val="subscript"/>
        </w:rPr>
        <w:t>2</w:t>
      </w:r>
      <w:r w:rsidRPr="00F867D0">
        <w:t xml:space="preserve">eq related to </w:t>
      </w:r>
      <w:r w:rsidR="003C37C3">
        <w:t>EE</w:t>
      </w:r>
      <w:r w:rsidRPr="00F867D0">
        <w:t xml:space="preserve"> improvements would be further enhanced than considered here. Reducing emissions of these air pollutants would also yield co-benefits related to health</w:t>
      </w:r>
      <w:r w:rsidR="00BE6B42" w:rsidRPr="00F867D0">
        <w:t xml:space="preserve"> [Climate and Clean A</w:t>
      </w:r>
      <w:r w:rsidR="00D07E69" w:rsidRPr="00F867D0">
        <w:t>ir</w:t>
      </w:r>
      <w:r w:rsidR="00BE6B42" w:rsidRPr="00F867D0">
        <w:t xml:space="preserve"> Coalition, 2017]</w:t>
      </w:r>
      <w:r w:rsidRPr="00F867D0">
        <w:t>.</w:t>
      </w:r>
    </w:p>
    <w:p w14:paraId="388369EE" w14:textId="77777777" w:rsidR="00A663AA" w:rsidRPr="00F867D0" w:rsidRDefault="00A663AA" w:rsidP="00A663AA">
      <w:pPr>
        <w:spacing w:after="0"/>
        <w:rPr>
          <w:szCs w:val="22"/>
        </w:rPr>
      </w:pPr>
    </w:p>
    <w:p w14:paraId="2483B0A5" w14:textId="03AE2E33" w:rsidR="00A663AA" w:rsidRPr="00F867D0" w:rsidRDefault="00A663AA" w:rsidP="00A663AA">
      <w:pPr>
        <w:spacing w:after="0"/>
        <w:rPr>
          <w:szCs w:val="22"/>
        </w:rPr>
      </w:pPr>
      <w:r w:rsidRPr="00F867D0">
        <w:rPr>
          <w:szCs w:val="22"/>
        </w:rPr>
        <w:t xml:space="preserve">For each equipment type, three to five </w:t>
      </w:r>
      <w:r w:rsidR="005074E8" w:rsidRPr="00F867D0">
        <w:rPr>
          <w:szCs w:val="22"/>
        </w:rPr>
        <w:t>scenarios</w:t>
      </w:r>
      <w:r w:rsidRPr="00F867D0">
        <w:rPr>
          <w:szCs w:val="22"/>
        </w:rPr>
        <w:t xml:space="preserve"> </w:t>
      </w:r>
      <w:r w:rsidR="00202E86">
        <w:rPr>
          <w:szCs w:val="22"/>
        </w:rPr>
        <w:t xml:space="preserve">are presented, </w:t>
      </w:r>
      <w:r w:rsidRPr="00F867D0">
        <w:rPr>
          <w:szCs w:val="22"/>
        </w:rPr>
        <w:t>covering a range of hours of use (with highest hours of use generally associated with high ambient temperature conditions) and emission factors, and consider</w:t>
      </w:r>
      <w:r w:rsidR="00202E86">
        <w:rPr>
          <w:szCs w:val="22"/>
        </w:rPr>
        <w:t>ing</w:t>
      </w:r>
      <w:r w:rsidRPr="00F867D0">
        <w:rPr>
          <w:szCs w:val="22"/>
        </w:rPr>
        <w:t xml:space="preserve"> three levels of efficiency: baseline, higher </w:t>
      </w:r>
      <w:r w:rsidR="003C37C3">
        <w:rPr>
          <w:szCs w:val="22"/>
        </w:rPr>
        <w:t>EE</w:t>
      </w:r>
      <w:r w:rsidRPr="00F867D0">
        <w:rPr>
          <w:szCs w:val="22"/>
        </w:rPr>
        <w:t xml:space="preserve"> (generally market average or better), and highest efficiency (best available on a representative market).</w:t>
      </w:r>
      <w:r w:rsidR="005074E8" w:rsidRPr="00F867D0">
        <w:rPr>
          <w:szCs w:val="22"/>
        </w:rPr>
        <w:t xml:space="preserve"> </w:t>
      </w:r>
      <w:r w:rsidR="00202E86">
        <w:rPr>
          <w:szCs w:val="22"/>
        </w:rPr>
        <w:t>The</w:t>
      </w:r>
      <w:r w:rsidR="005074E8" w:rsidRPr="00F867D0">
        <w:rPr>
          <w:szCs w:val="22"/>
        </w:rPr>
        <w:t xml:space="preserve"> </w:t>
      </w:r>
      <w:r w:rsidR="003C37C3">
        <w:rPr>
          <w:szCs w:val="22"/>
        </w:rPr>
        <w:t>EE</w:t>
      </w:r>
      <w:r w:rsidR="005074E8" w:rsidRPr="00F867D0">
        <w:rPr>
          <w:szCs w:val="22"/>
        </w:rPr>
        <w:t xml:space="preserve"> improvement </w:t>
      </w:r>
      <w:r w:rsidR="00202E86">
        <w:rPr>
          <w:szCs w:val="22"/>
        </w:rPr>
        <w:t xml:space="preserve">is characterized </w:t>
      </w:r>
      <w:r w:rsidR="005074E8" w:rsidRPr="00F867D0">
        <w:rPr>
          <w:szCs w:val="22"/>
        </w:rPr>
        <w:t>in terms of percent improvement in unit energy consumption, where the percent improvement is derived from commercially available models in markets consistent with the scenarios presented.</w:t>
      </w:r>
    </w:p>
    <w:p w14:paraId="79531D5C" w14:textId="77777777" w:rsidR="00BD461C" w:rsidRPr="00F867D0" w:rsidRDefault="00BD461C" w:rsidP="00A663AA">
      <w:pPr>
        <w:spacing w:after="0"/>
        <w:rPr>
          <w:szCs w:val="22"/>
        </w:rPr>
      </w:pPr>
    </w:p>
    <w:p w14:paraId="3D99DC9E" w14:textId="54043CD4" w:rsidR="001D19E9" w:rsidRDefault="00A663AA" w:rsidP="00A663AA">
      <w:pPr>
        <w:spacing w:after="0"/>
        <w:rPr>
          <w:szCs w:val="22"/>
        </w:rPr>
      </w:pPr>
      <w:r w:rsidRPr="00F867D0">
        <w:rPr>
          <w:szCs w:val="22"/>
        </w:rPr>
        <w:t xml:space="preserve">In Table 2.4 the calculations for a </w:t>
      </w:r>
      <w:r w:rsidR="001D19E9">
        <w:rPr>
          <w:szCs w:val="22"/>
        </w:rPr>
        <w:t>r</w:t>
      </w:r>
      <w:r w:rsidRPr="00F867D0">
        <w:rPr>
          <w:szCs w:val="22"/>
        </w:rPr>
        <w:t xml:space="preserve">oom </w:t>
      </w:r>
      <w:r w:rsidR="001D19E9">
        <w:rPr>
          <w:szCs w:val="22"/>
        </w:rPr>
        <w:t>AC</w:t>
      </w:r>
      <w:r w:rsidRPr="00F867D0">
        <w:rPr>
          <w:szCs w:val="22"/>
        </w:rPr>
        <w:t xml:space="preserve"> unit are reported for 5 </w:t>
      </w:r>
      <w:r w:rsidR="00BD461C" w:rsidRPr="00F867D0">
        <w:rPr>
          <w:szCs w:val="22"/>
        </w:rPr>
        <w:t>scenarios</w:t>
      </w:r>
      <w:r w:rsidRPr="00F867D0">
        <w:rPr>
          <w:szCs w:val="22"/>
        </w:rPr>
        <w:t xml:space="preserve"> (very low, low, high</w:t>
      </w:r>
      <w:r w:rsidR="005074E8" w:rsidRPr="00F867D0">
        <w:rPr>
          <w:szCs w:val="22"/>
        </w:rPr>
        <w:t xml:space="preserve"> hours of use</w:t>
      </w:r>
      <w:r w:rsidRPr="00F867D0">
        <w:rPr>
          <w:szCs w:val="22"/>
        </w:rPr>
        <w:t>, high</w:t>
      </w:r>
      <w:r w:rsidR="005074E8" w:rsidRPr="00F867D0">
        <w:rPr>
          <w:szCs w:val="22"/>
        </w:rPr>
        <w:t xml:space="preserve"> emissions factor</w:t>
      </w:r>
      <w:r w:rsidRPr="00F867D0">
        <w:rPr>
          <w:szCs w:val="22"/>
        </w:rPr>
        <w:t>, high</w:t>
      </w:r>
      <w:r w:rsidR="005074E8" w:rsidRPr="00F867D0">
        <w:rPr>
          <w:szCs w:val="22"/>
        </w:rPr>
        <w:t>est with high hours of use and high emission factor</w:t>
      </w:r>
      <w:r w:rsidRPr="00F867D0">
        <w:rPr>
          <w:szCs w:val="22"/>
        </w:rPr>
        <w:t>) representing most of the situations that can be found in the actual scenario of climate zones and emission factors throughout the world.</w:t>
      </w:r>
      <w:r w:rsidR="00284308" w:rsidRPr="00F867D0">
        <w:rPr>
          <w:szCs w:val="22"/>
        </w:rPr>
        <w:t xml:space="preserve"> </w:t>
      </w:r>
      <w:r w:rsidRPr="00F867D0">
        <w:rPr>
          <w:szCs w:val="22"/>
        </w:rPr>
        <w:t>We follow the three steps to present the ranges of CO</w:t>
      </w:r>
      <w:r w:rsidRPr="00F867D0">
        <w:rPr>
          <w:szCs w:val="22"/>
          <w:vertAlign w:val="subscript"/>
        </w:rPr>
        <w:t>2</w:t>
      </w:r>
      <w:r w:rsidRPr="00F867D0">
        <w:rPr>
          <w:szCs w:val="22"/>
        </w:rPr>
        <w:t>eq benefits for two levels of efficiency improvement across the 5 cases to illustrate the effects of hours of use and electricity emission factors.</w:t>
      </w:r>
    </w:p>
    <w:p w14:paraId="14F624A0" w14:textId="77777777" w:rsidR="00C15055" w:rsidRDefault="00C15055">
      <w:pPr>
        <w:spacing w:after="0"/>
        <w:rPr>
          <w:szCs w:val="22"/>
        </w:rPr>
      </w:pPr>
    </w:p>
    <w:p w14:paraId="778B326A" w14:textId="77777777" w:rsidR="00C15055" w:rsidRPr="00F867D0" w:rsidRDefault="00C15055" w:rsidP="00C15055">
      <w:pPr>
        <w:spacing w:after="0"/>
        <w:rPr>
          <w:szCs w:val="22"/>
        </w:rPr>
      </w:pPr>
      <w:r w:rsidRPr="00F867D0">
        <w:rPr>
          <w:szCs w:val="22"/>
        </w:rPr>
        <w:t>In the following</w:t>
      </w:r>
      <w:r>
        <w:rPr>
          <w:szCs w:val="22"/>
        </w:rPr>
        <w:t>,</w:t>
      </w:r>
      <w:r w:rsidRPr="00F867D0">
        <w:rPr>
          <w:szCs w:val="22"/>
        </w:rPr>
        <w:t xml:space="preserve"> the same calculations are presented, in graphical form, for equipment unit in different sectors of RACHP.</w:t>
      </w:r>
    </w:p>
    <w:p w14:paraId="321A0299" w14:textId="77777777" w:rsidR="00C15055" w:rsidRPr="00291A58" w:rsidRDefault="00C15055" w:rsidP="00C15055">
      <w:pPr>
        <w:spacing w:after="0"/>
        <w:rPr>
          <w:i/>
          <w:szCs w:val="22"/>
        </w:rPr>
      </w:pPr>
    </w:p>
    <w:p w14:paraId="2AE26540" w14:textId="77777777" w:rsidR="00C15055" w:rsidRPr="00291A58" w:rsidRDefault="00C15055" w:rsidP="00C15055">
      <w:pPr>
        <w:spacing w:after="0"/>
        <w:rPr>
          <w:b/>
          <w:i/>
          <w:szCs w:val="22"/>
        </w:rPr>
      </w:pPr>
      <w:r w:rsidRPr="00291A58">
        <w:rPr>
          <w:b/>
          <w:i/>
          <w:szCs w:val="22"/>
        </w:rPr>
        <w:t>Room Air Conditioning</w:t>
      </w:r>
    </w:p>
    <w:p w14:paraId="3F0A8403" w14:textId="77777777" w:rsidR="00157B98" w:rsidRDefault="00157B98" w:rsidP="00C15055">
      <w:pPr>
        <w:keepNext/>
        <w:keepLines/>
        <w:widowControl w:val="0"/>
        <w:tabs>
          <w:tab w:val="left" w:pos="0"/>
        </w:tabs>
        <w:autoSpaceDE w:val="0"/>
        <w:autoSpaceDN w:val="0"/>
        <w:adjustRightInd w:val="0"/>
        <w:spacing w:after="0"/>
        <w:ind w:right="29"/>
        <w:outlineLvl w:val="2"/>
        <w:rPr>
          <w:rFonts w:eastAsia="MS Mincho"/>
          <w:snapToGrid w:val="0"/>
          <w:color w:val="auto"/>
          <w:szCs w:val="22"/>
          <w:lang w:eastAsia="en-US"/>
        </w:rPr>
      </w:pPr>
      <w:bookmarkStart w:id="75" w:name="_lfv7b5krnw9k" w:colFirst="0" w:colLast="0"/>
      <w:bookmarkEnd w:id="75"/>
    </w:p>
    <w:p w14:paraId="4A530E88" w14:textId="302CBAE4" w:rsidR="00C15055" w:rsidRPr="00F867D0" w:rsidRDefault="00C15055" w:rsidP="00C15055">
      <w:pPr>
        <w:keepNext/>
        <w:keepLines/>
        <w:widowControl w:val="0"/>
        <w:tabs>
          <w:tab w:val="left" w:pos="0"/>
        </w:tabs>
        <w:autoSpaceDE w:val="0"/>
        <w:autoSpaceDN w:val="0"/>
        <w:adjustRightInd w:val="0"/>
        <w:spacing w:after="0"/>
        <w:ind w:right="29"/>
        <w:outlineLvl w:val="2"/>
        <w:rPr>
          <w:rFonts w:eastAsia="MS Mincho"/>
          <w:snapToGrid w:val="0"/>
          <w:color w:val="auto"/>
          <w:szCs w:val="22"/>
          <w:lang w:eastAsia="en-US"/>
        </w:rPr>
      </w:pPr>
      <w:r w:rsidRPr="00F867D0">
        <w:rPr>
          <w:rFonts w:eastAsia="MS Mincho"/>
          <w:snapToGrid w:val="0"/>
          <w:color w:val="auto"/>
          <w:szCs w:val="22"/>
          <w:lang w:eastAsia="en-US"/>
        </w:rPr>
        <w:t xml:space="preserve">In the case of room air conditioning, hours of use range in our cases from very low (350 hours per year) to high hours of use (2880 hours per year). </w:t>
      </w:r>
      <w:r>
        <w:rPr>
          <w:rFonts w:eastAsia="MS Mincho"/>
          <w:snapToGrid w:val="0"/>
          <w:color w:val="auto"/>
          <w:szCs w:val="22"/>
          <w:lang w:eastAsia="en-US"/>
        </w:rPr>
        <w:t xml:space="preserve">Figure 2.2 </w:t>
      </w:r>
      <w:r w:rsidRPr="00F867D0">
        <w:rPr>
          <w:rFonts w:eastAsia="MS Mincho"/>
          <w:snapToGrid w:val="0"/>
          <w:color w:val="auto"/>
          <w:szCs w:val="22"/>
          <w:lang w:eastAsia="en-US"/>
        </w:rPr>
        <w:t>shows the annual environmental benefits per unit across five scenarios for higher efficiency of 10-20% and highest efficiency of 40-50%.</w:t>
      </w:r>
    </w:p>
    <w:p w14:paraId="6F615FC7" w14:textId="77777777" w:rsidR="00C15055" w:rsidRPr="00F867D0" w:rsidRDefault="00C15055" w:rsidP="00C15055">
      <w:pPr>
        <w:rPr>
          <w:lang w:eastAsia="en-US"/>
        </w:rPr>
      </w:pPr>
    </w:p>
    <w:p w14:paraId="05A45679" w14:textId="77777777" w:rsidR="00C15055" w:rsidRPr="00F867D0" w:rsidRDefault="00C15055" w:rsidP="00AF36BF">
      <w:pPr>
        <w:keepNext/>
        <w:keepLines/>
        <w:widowControl w:val="0"/>
        <w:tabs>
          <w:tab w:val="left" w:pos="0"/>
        </w:tabs>
        <w:autoSpaceDE w:val="0"/>
        <w:autoSpaceDN w:val="0"/>
        <w:adjustRightInd w:val="0"/>
        <w:spacing w:after="0"/>
        <w:ind w:right="29"/>
        <w:jc w:val="center"/>
        <w:outlineLvl w:val="2"/>
        <w:rPr>
          <w:rFonts w:eastAsia="MS Mincho"/>
          <w:snapToGrid w:val="0"/>
          <w:color w:val="auto"/>
          <w:szCs w:val="22"/>
          <w:lang w:eastAsia="en-US"/>
        </w:rPr>
      </w:pPr>
      <w:r w:rsidRPr="00F867D0">
        <w:rPr>
          <w:rFonts w:eastAsia="MS Mincho"/>
          <w:noProof/>
          <w:snapToGrid w:val="0"/>
          <w:color w:val="auto"/>
          <w:szCs w:val="22"/>
          <w:lang w:val="en-US" w:eastAsia="en-US"/>
        </w:rPr>
        <w:drawing>
          <wp:inline distT="0" distB="0" distL="0" distR="0" wp14:anchorId="4DCEA54F" wp14:editId="0BA89D6C">
            <wp:extent cx="5285724" cy="2838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285320" cy="2838233"/>
                    </a:xfrm>
                    <a:prstGeom prst="rect">
                      <a:avLst/>
                    </a:prstGeom>
                  </pic:spPr>
                </pic:pic>
              </a:graphicData>
            </a:graphic>
          </wp:inline>
        </w:drawing>
      </w:r>
    </w:p>
    <w:p w14:paraId="7DA97148" w14:textId="77777777" w:rsidR="00AF36BF" w:rsidRDefault="00AF36BF" w:rsidP="00C15055">
      <w:pPr>
        <w:spacing w:after="0"/>
        <w:jc w:val="center"/>
        <w:rPr>
          <w:b/>
          <w:lang w:eastAsia="en-US"/>
        </w:rPr>
      </w:pPr>
    </w:p>
    <w:p w14:paraId="0C961921" w14:textId="6FFAA56E" w:rsidR="00C15055" w:rsidRPr="003D5FEE" w:rsidRDefault="00C15055" w:rsidP="00C15055">
      <w:pPr>
        <w:spacing w:after="0"/>
        <w:jc w:val="center"/>
        <w:rPr>
          <w:b/>
          <w:i/>
          <w:lang w:eastAsia="en-US"/>
        </w:rPr>
      </w:pPr>
      <w:r w:rsidRPr="003D5FEE">
        <w:rPr>
          <w:b/>
          <w:i/>
          <w:lang w:eastAsia="en-US"/>
        </w:rPr>
        <w:t>Figure 2.2: Annual emissions for a rom AC unit in the 5 cases represented in Table 2.4</w:t>
      </w:r>
    </w:p>
    <w:p w14:paraId="754ED12A" w14:textId="77777777" w:rsidR="00C15055" w:rsidRPr="00F867D0" w:rsidRDefault="00C15055" w:rsidP="00C15055">
      <w:pPr>
        <w:keepNext/>
        <w:keepLines/>
        <w:widowControl w:val="0"/>
        <w:tabs>
          <w:tab w:val="left" w:pos="0"/>
        </w:tabs>
        <w:autoSpaceDE w:val="0"/>
        <w:autoSpaceDN w:val="0"/>
        <w:adjustRightInd w:val="0"/>
        <w:spacing w:after="0"/>
        <w:ind w:right="29"/>
        <w:outlineLvl w:val="2"/>
        <w:rPr>
          <w:rFonts w:eastAsia="MS Mincho"/>
          <w:snapToGrid w:val="0"/>
          <w:color w:val="auto"/>
          <w:szCs w:val="22"/>
          <w:lang w:eastAsia="en-US"/>
        </w:rPr>
      </w:pPr>
    </w:p>
    <w:p w14:paraId="6BBB31B7" w14:textId="77777777" w:rsidR="00C15055" w:rsidRPr="00291A58" w:rsidRDefault="00C15055" w:rsidP="00C15055">
      <w:pPr>
        <w:keepNext/>
        <w:keepLines/>
        <w:widowControl w:val="0"/>
        <w:tabs>
          <w:tab w:val="left" w:pos="0"/>
        </w:tabs>
        <w:autoSpaceDE w:val="0"/>
        <w:autoSpaceDN w:val="0"/>
        <w:adjustRightInd w:val="0"/>
        <w:spacing w:after="0"/>
        <w:ind w:right="29"/>
        <w:outlineLvl w:val="2"/>
        <w:rPr>
          <w:rFonts w:eastAsia="MS Mincho"/>
          <w:b/>
          <w:i/>
          <w:snapToGrid w:val="0"/>
          <w:color w:val="auto"/>
          <w:szCs w:val="22"/>
          <w:lang w:eastAsia="en-US"/>
        </w:rPr>
      </w:pPr>
      <w:r w:rsidRPr="00291A58">
        <w:rPr>
          <w:rFonts w:eastAsia="MS Mincho"/>
          <w:b/>
          <w:i/>
          <w:snapToGrid w:val="0"/>
          <w:color w:val="auto"/>
          <w:szCs w:val="22"/>
          <w:lang w:eastAsia="en-US"/>
        </w:rPr>
        <w:t>Domestic Refrigeration</w:t>
      </w:r>
    </w:p>
    <w:p w14:paraId="014B442E" w14:textId="77777777" w:rsidR="00157B98" w:rsidRDefault="00157B98" w:rsidP="00C15055">
      <w:pPr>
        <w:spacing w:after="0"/>
        <w:rPr>
          <w:szCs w:val="22"/>
        </w:rPr>
      </w:pPr>
    </w:p>
    <w:p w14:paraId="22A3E772" w14:textId="29A8560F" w:rsidR="00F6554D" w:rsidRDefault="00C15055" w:rsidP="00C15055">
      <w:pPr>
        <w:spacing w:after="0"/>
        <w:rPr>
          <w:szCs w:val="22"/>
        </w:rPr>
      </w:pPr>
      <w:r w:rsidRPr="00F867D0">
        <w:rPr>
          <w:szCs w:val="22"/>
        </w:rPr>
        <w:t>In the domestic refrigeration sector, savings due to energy efficient appliances range from 55% to nearly 70% with technologies that are presently available</w:t>
      </w:r>
      <w:r>
        <w:rPr>
          <w:szCs w:val="22"/>
        </w:rPr>
        <w:t xml:space="preserve"> (see Figure. 2.3)</w:t>
      </w:r>
      <w:r w:rsidRPr="00F867D0">
        <w:rPr>
          <w:szCs w:val="22"/>
        </w:rPr>
        <w:t xml:space="preserve">. It is assumed in this case that refrigerators operate 24 hours per day and that </w:t>
      </w:r>
      <w:r>
        <w:rPr>
          <w:szCs w:val="22"/>
        </w:rPr>
        <w:t>HAT</w:t>
      </w:r>
      <w:r w:rsidRPr="00F867D0">
        <w:rPr>
          <w:szCs w:val="22"/>
        </w:rPr>
        <w:t xml:space="preserve"> do not impact the performance of the devices, as they are placed indoor in environments with controlled temperature. </w:t>
      </w:r>
    </w:p>
    <w:p w14:paraId="04F2D04B" w14:textId="77777777" w:rsidR="00F6554D" w:rsidRPr="00F867D0" w:rsidRDefault="00F6554D" w:rsidP="00C15055">
      <w:pPr>
        <w:spacing w:after="0"/>
        <w:rPr>
          <w:szCs w:val="22"/>
        </w:rPr>
      </w:pPr>
    </w:p>
    <w:p w14:paraId="50CE9C33" w14:textId="77777777" w:rsidR="00983B82" w:rsidRDefault="00983B82">
      <w:pPr>
        <w:spacing w:after="0"/>
        <w:rPr>
          <w:szCs w:val="22"/>
        </w:rPr>
      </w:pPr>
      <w:r>
        <w:rPr>
          <w:szCs w:val="22"/>
        </w:rPr>
        <w:br w:type="page"/>
      </w:r>
    </w:p>
    <w:p w14:paraId="3586FDF2" w14:textId="654E18C7" w:rsidR="00A663AA" w:rsidRPr="003D5FEE" w:rsidRDefault="00A663AA" w:rsidP="00A663AA">
      <w:pPr>
        <w:spacing w:after="0"/>
        <w:jc w:val="center"/>
        <w:rPr>
          <w:b/>
          <w:i/>
          <w:szCs w:val="22"/>
        </w:rPr>
      </w:pPr>
      <w:r w:rsidRPr="003D5FEE">
        <w:rPr>
          <w:b/>
          <w:i/>
          <w:lang w:eastAsia="it-IT"/>
        </w:rPr>
        <w:t>Table 2.4: Energy savings in term of CO</w:t>
      </w:r>
      <w:r w:rsidRPr="003D5FEE">
        <w:rPr>
          <w:b/>
          <w:i/>
          <w:vertAlign w:val="subscript"/>
          <w:lang w:eastAsia="it-IT"/>
        </w:rPr>
        <w:t>2</w:t>
      </w:r>
      <w:r w:rsidRPr="003D5FEE">
        <w:rPr>
          <w:b/>
          <w:i/>
          <w:lang w:eastAsia="it-IT"/>
        </w:rPr>
        <w:t xml:space="preserve">eq reduction for a </w:t>
      </w:r>
      <w:r w:rsidR="001D19E9" w:rsidRPr="003D5FEE">
        <w:rPr>
          <w:b/>
          <w:i/>
          <w:lang w:eastAsia="it-IT"/>
        </w:rPr>
        <w:t>r</w:t>
      </w:r>
      <w:r w:rsidRPr="003D5FEE">
        <w:rPr>
          <w:b/>
          <w:i/>
          <w:lang w:eastAsia="it-IT"/>
        </w:rPr>
        <w:t xml:space="preserve">oom </w:t>
      </w:r>
      <w:r w:rsidR="001D19E9" w:rsidRPr="003D5FEE">
        <w:rPr>
          <w:b/>
          <w:i/>
          <w:lang w:eastAsia="it-IT"/>
        </w:rPr>
        <w:t>AC</w:t>
      </w:r>
      <w:r w:rsidRPr="003D5FEE">
        <w:rPr>
          <w:b/>
          <w:i/>
          <w:lang w:eastAsia="it-IT"/>
        </w:rPr>
        <w:t xml:space="preserve"> unit in 5 cases representing the situations </w:t>
      </w:r>
      <w:r w:rsidRPr="003D5FEE">
        <w:rPr>
          <w:b/>
          <w:i/>
          <w:szCs w:val="22"/>
        </w:rPr>
        <w:t>that can be found in the actual scenario of climate zones and emission factors throughout the world</w:t>
      </w:r>
    </w:p>
    <w:p w14:paraId="00196EA0" w14:textId="77777777" w:rsidR="00AF36BF" w:rsidRPr="00F867D0" w:rsidRDefault="00AF36BF" w:rsidP="00A663AA">
      <w:pPr>
        <w:spacing w:after="0"/>
        <w:jc w:val="center"/>
        <w:rPr>
          <w:lang w:eastAsia="it-IT"/>
        </w:rPr>
      </w:pPr>
    </w:p>
    <w:tbl>
      <w:tblPr>
        <w:tblStyle w:val="TableGrid"/>
        <w:tblW w:w="0" w:type="auto"/>
        <w:tblLook w:val="04A0" w:firstRow="1" w:lastRow="0" w:firstColumn="1" w:lastColumn="0" w:noHBand="0" w:noVBand="1"/>
      </w:tblPr>
      <w:tblGrid>
        <w:gridCol w:w="1603"/>
        <w:gridCol w:w="530"/>
        <w:gridCol w:w="667"/>
        <w:gridCol w:w="686"/>
        <w:gridCol w:w="569"/>
        <w:gridCol w:w="602"/>
        <w:gridCol w:w="258"/>
        <w:gridCol w:w="686"/>
        <w:gridCol w:w="686"/>
        <w:gridCol w:w="258"/>
        <w:gridCol w:w="915"/>
        <w:gridCol w:w="778"/>
        <w:gridCol w:w="778"/>
      </w:tblGrid>
      <w:tr w:rsidR="00777872" w:rsidRPr="00F867D0" w14:paraId="501C7AE5" w14:textId="77777777" w:rsidTr="000F749F">
        <w:trPr>
          <w:cantSplit/>
          <w:trHeight w:val="602"/>
        </w:trPr>
        <w:tc>
          <w:tcPr>
            <w:tcW w:w="2341" w:type="dxa"/>
            <w:noWrap/>
            <w:hideMark/>
          </w:tcPr>
          <w:p w14:paraId="6F076FB0" w14:textId="77777777" w:rsidR="00777872" w:rsidRPr="00F867D0" w:rsidRDefault="00777872" w:rsidP="00777872">
            <w:pPr>
              <w:spacing w:after="0"/>
              <w:jc w:val="center"/>
              <w:rPr>
                <w:sz w:val="18"/>
                <w:szCs w:val="18"/>
                <w:lang w:eastAsia="it-IT"/>
              </w:rPr>
            </w:pPr>
          </w:p>
        </w:tc>
        <w:tc>
          <w:tcPr>
            <w:tcW w:w="4655" w:type="dxa"/>
            <w:gridSpan w:val="5"/>
            <w:hideMark/>
          </w:tcPr>
          <w:p w14:paraId="0B54AB47" w14:textId="77777777" w:rsidR="00777872" w:rsidRPr="00F867D0" w:rsidRDefault="00777872" w:rsidP="00777872">
            <w:pPr>
              <w:spacing w:after="0"/>
              <w:jc w:val="center"/>
              <w:rPr>
                <w:b/>
                <w:bCs/>
                <w:sz w:val="18"/>
                <w:szCs w:val="18"/>
                <w:lang w:eastAsia="it-IT"/>
              </w:rPr>
            </w:pPr>
            <w:r w:rsidRPr="00F867D0">
              <w:rPr>
                <w:b/>
                <w:bCs/>
                <w:sz w:val="18"/>
                <w:szCs w:val="18"/>
                <w:lang w:eastAsia="it-IT"/>
              </w:rPr>
              <w:t>Step 1.</w:t>
            </w:r>
            <w:r w:rsidRPr="00F867D0">
              <w:rPr>
                <w:sz w:val="18"/>
                <w:szCs w:val="18"/>
                <w:lang w:eastAsia="it-IT"/>
              </w:rPr>
              <w:t xml:space="preserve"> Identify product-specific baseline unit energy consumption and efficiency improvement.</w:t>
            </w:r>
          </w:p>
        </w:tc>
        <w:tc>
          <w:tcPr>
            <w:tcW w:w="280" w:type="dxa"/>
            <w:noWrap/>
            <w:hideMark/>
          </w:tcPr>
          <w:p w14:paraId="4A3B6B7B" w14:textId="77777777" w:rsidR="00777872" w:rsidRPr="00F867D0" w:rsidRDefault="00777872" w:rsidP="00777872">
            <w:pPr>
              <w:spacing w:after="0"/>
              <w:jc w:val="center"/>
              <w:rPr>
                <w:b/>
                <w:bCs/>
                <w:sz w:val="18"/>
                <w:szCs w:val="18"/>
                <w:lang w:eastAsia="it-IT"/>
              </w:rPr>
            </w:pPr>
          </w:p>
        </w:tc>
        <w:tc>
          <w:tcPr>
            <w:tcW w:w="2062" w:type="dxa"/>
            <w:gridSpan w:val="2"/>
            <w:hideMark/>
          </w:tcPr>
          <w:p w14:paraId="6497195C" w14:textId="77777777" w:rsidR="00777872" w:rsidRPr="00F867D0" w:rsidRDefault="00777872" w:rsidP="00777872">
            <w:pPr>
              <w:spacing w:after="0"/>
              <w:jc w:val="center"/>
              <w:rPr>
                <w:b/>
                <w:bCs/>
                <w:sz w:val="18"/>
                <w:szCs w:val="18"/>
                <w:lang w:eastAsia="it-IT"/>
              </w:rPr>
            </w:pPr>
            <w:r w:rsidRPr="00F867D0">
              <w:rPr>
                <w:b/>
                <w:bCs/>
                <w:sz w:val="18"/>
                <w:szCs w:val="18"/>
                <w:lang w:eastAsia="it-IT"/>
              </w:rPr>
              <w:t>Step 2.</w:t>
            </w:r>
            <w:r w:rsidRPr="00F867D0">
              <w:rPr>
                <w:sz w:val="18"/>
                <w:szCs w:val="18"/>
                <w:lang w:eastAsia="it-IT"/>
              </w:rPr>
              <w:t xml:space="preserve"> Calculate per unit energy savings for efficient models.</w:t>
            </w:r>
          </w:p>
        </w:tc>
        <w:tc>
          <w:tcPr>
            <w:tcW w:w="280" w:type="dxa"/>
            <w:noWrap/>
            <w:hideMark/>
          </w:tcPr>
          <w:p w14:paraId="13B4C9CC" w14:textId="77777777" w:rsidR="00777872" w:rsidRPr="00F867D0" w:rsidRDefault="00777872" w:rsidP="00777872">
            <w:pPr>
              <w:spacing w:after="0"/>
              <w:jc w:val="center"/>
              <w:rPr>
                <w:b/>
                <w:bCs/>
                <w:sz w:val="18"/>
                <w:szCs w:val="18"/>
                <w:lang w:eastAsia="it-IT"/>
              </w:rPr>
            </w:pPr>
          </w:p>
        </w:tc>
        <w:tc>
          <w:tcPr>
            <w:tcW w:w="3558" w:type="dxa"/>
            <w:gridSpan w:val="3"/>
            <w:hideMark/>
          </w:tcPr>
          <w:p w14:paraId="19AE55C1" w14:textId="352D3EFF" w:rsidR="00777872" w:rsidRPr="00F867D0" w:rsidRDefault="00777872" w:rsidP="00777872">
            <w:pPr>
              <w:spacing w:after="0"/>
              <w:jc w:val="center"/>
              <w:rPr>
                <w:b/>
                <w:bCs/>
                <w:sz w:val="18"/>
                <w:szCs w:val="18"/>
                <w:lang w:eastAsia="it-IT"/>
              </w:rPr>
            </w:pPr>
            <w:r w:rsidRPr="00F867D0">
              <w:rPr>
                <w:b/>
                <w:bCs/>
                <w:sz w:val="18"/>
                <w:szCs w:val="18"/>
                <w:lang w:eastAsia="it-IT"/>
              </w:rPr>
              <w:t>Step 3.</w:t>
            </w:r>
            <w:r w:rsidRPr="00F867D0">
              <w:rPr>
                <w:sz w:val="18"/>
                <w:szCs w:val="18"/>
                <w:lang w:eastAsia="it-IT"/>
              </w:rPr>
              <w:t xml:space="preserve"> Convert energy savings to per unit reduction in CO</w:t>
            </w:r>
            <w:r w:rsidRPr="00F867D0">
              <w:rPr>
                <w:sz w:val="18"/>
                <w:szCs w:val="18"/>
                <w:vertAlign w:val="subscript"/>
                <w:lang w:eastAsia="it-IT"/>
              </w:rPr>
              <w:t>2</w:t>
            </w:r>
            <w:r w:rsidRPr="00F867D0">
              <w:rPr>
                <w:sz w:val="18"/>
                <w:szCs w:val="18"/>
                <w:lang w:eastAsia="it-IT"/>
              </w:rPr>
              <w:t>e</w:t>
            </w:r>
            <w:r w:rsidR="00BB4A96" w:rsidRPr="00F867D0">
              <w:rPr>
                <w:sz w:val="18"/>
                <w:szCs w:val="18"/>
                <w:lang w:eastAsia="it-IT"/>
              </w:rPr>
              <w:t>q</w:t>
            </w:r>
          </w:p>
        </w:tc>
      </w:tr>
      <w:tr w:rsidR="00777872" w:rsidRPr="00F867D0" w14:paraId="573358CC" w14:textId="77777777" w:rsidTr="000F749F">
        <w:trPr>
          <w:cantSplit/>
          <w:trHeight w:val="414"/>
        </w:trPr>
        <w:tc>
          <w:tcPr>
            <w:tcW w:w="2341" w:type="dxa"/>
            <w:vMerge w:val="restart"/>
            <w:hideMark/>
          </w:tcPr>
          <w:p w14:paraId="6FA37C5A"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781" w:type="dxa"/>
            <w:vMerge w:val="restart"/>
            <w:hideMark/>
          </w:tcPr>
          <w:p w14:paraId="6DE68EBD" w14:textId="77777777" w:rsidR="00777872" w:rsidRPr="00F867D0" w:rsidRDefault="00777872" w:rsidP="00777872">
            <w:pPr>
              <w:spacing w:after="0"/>
              <w:jc w:val="center"/>
              <w:rPr>
                <w:b/>
                <w:bCs/>
                <w:sz w:val="18"/>
                <w:szCs w:val="18"/>
                <w:lang w:eastAsia="it-IT"/>
              </w:rPr>
            </w:pPr>
            <w:r w:rsidRPr="00F867D0">
              <w:rPr>
                <w:b/>
                <w:bCs/>
                <w:sz w:val="18"/>
                <w:szCs w:val="18"/>
                <w:lang w:eastAsia="it-IT"/>
              </w:rPr>
              <w:t>Hours of Use per year</w:t>
            </w:r>
          </w:p>
        </w:tc>
        <w:tc>
          <w:tcPr>
            <w:tcW w:w="1009" w:type="dxa"/>
            <w:vMerge w:val="restart"/>
            <w:hideMark/>
          </w:tcPr>
          <w:p w14:paraId="40FEE737" w14:textId="77777777" w:rsidR="00777872" w:rsidRPr="00F867D0" w:rsidRDefault="00777872" w:rsidP="00777872">
            <w:pPr>
              <w:spacing w:after="0"/>
              <w:jc w:val="center"/>
              <w:rPr>
                <w:b/>
                <w:bCs/>
                <w:sz w:val="18"/>
                <w:szCs w:val="18"/>
                <w:lang w:eastAsia="it-IT"/>
              </w:rPr>
            </w:pPr>
            <w:r w:rsidRPr="00F867D0">
              <w:rPr>
                <w:b/>
                <w:bCs/>
                <w:sz w:val="18"/>
                <w:szCs w:val="18"/>
                <w:lang w:eastAsia="it-IT"/>
              </w:rPr>
              <w:t>Unit Type / Cooling Capacity (kW)</w:t>
            </w:r>
          </w:p>
        </w:tc>
        <w:tc>
          <w:tcPr>
            <w:tcW w:w="1031" w:type="dxa"/>
            <w:vMerge w:val="restart"/>
            <w:hideMark/>
          </w:tcPr>
          <w:p w14:paraId="0DF8FAE1" w14:textId="77777777" w:rsidR="00777872" w:rsidRPr="00F867D0" w:rsidRDefault="00777872" w:rsidP="00777872">
            <w:pPr>
              <w:spacing w:after="0"/>
              <w:jc w:val="center"/>
              <w:rPr>
                <w:b/>
                <w:bCs/>
                <w:sz w:val="18"/>
                <w:szCs w:val="18"/>
                <w:lang w:eastAsia="it-IT"/>
              </w:rPr>
            </w:pPr>
            <w:r w:rsidRPr="00F867D0">
              <w:rPr>
                <w:b/>
                <w:bCs/>
                <w:sz w:val="18"/>
                <w:szCs w:val="18"/>
                <w:lang w:eastAsia="it-IT"/>
              </w:rPr>
              <w:t>Base AC unit energy use (kWh/yr)</w:t>
            </w:r>
          </w:p>
        </w:tc>
        <w:tc>
          <w:tcPr>
            <w:tcW w:w="898" w:type="dxa"/>
            <w:vMerge w:val="restart"/>
            <w:hideMark/>
          </w:tcPr>
          <w:p w14:paraId="23BD51AC" w14:textId="77777777" w:rsidR="00777872" w:rsidRPr="00F867D0" w:rsidRDefault="00777872" w:rsidP="00777872">
            <w:pPr>
              <w:spacing w:after="0"/>
              <w:jc w:val="center"/>
              <w:rPr>
                <w:b/>
                <w:bCs/>
                <w:sz w:val="18"/>
                <w:szCs w:val="18"/>
                <w:lang w:eastAsia="it-IT"/>
              </w:rPr>
            </w:pPr>
            <w:r w:rsidRPr="00F867D0">
              <w:rPr>
                <w:b/>
                <w:bCs/>
                <w:sz w:val="18"/>
                <w:szCs w:val="18"/>
                <w:lang w:eastAsia="it-IT"/>
              </w:rPr>
              <w:t>Higher EE</w:t>
            </w:r>
          </w:p>
        </w:tc>
        <w:tc>
          <w:tcPr>
            <w:tcW w:w="936" w:type="dxa"/>
            <w:vMerge w:val="restart"/>
            <w:hideMark/>
          </w:tcPr>
          <w:p w14:paraId="30F2F559" w14:textId="77777777" w:rsidR="00777872" w:rsidRPr="00F867D0" w:rsidRDefault="00777872" w:rsidP="00777872">
            <w:pPr>
              <w:spacing w:after="0"/>
              <w:jc w:val="center"/>
              <w:rPr>
                <w:b/>
                <w:bCs/>
                <w:sz w:val="18"/>
                <w:szCs w:val="18"/>
                <w:lang w:eastAsia="it-IT"/>
              </w:rPr>
            </w:pPr>
            <w:r w:rsidRPr="00F867D0">
              <w:rPr>
                <w:b/>
                <w:bCs/>
                <w:sz w:val="18"/>
                <w:szCs w:val="18"/>
                <w:lang w:eastAsia="it-IT"/>
              </w:rPr>
              <w:t>Highest EE</w:t>
            </w:r>
          </w:p>
        </w:tc>
        <w:tc>
          <w:tcPr>
            <w:tcW w:w="280" w:type="dxa"/>
            <w:vMerge w:val="restart"/>
            <w:hideMark/>
          </w:tcPr>
          <w:p w14:paraId="73BB2435"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031" w:type="dxa"/>
            <w:vMerge w:val="restart"/>
            <w:hideMark/>
          </w:tcPr>
          <w:p w14:paraId="6D68ED07" w14:textId="77777777" w:rsidR="00777872" w:rsidRPr="00F867D0" w:rsidRDefault="00777872" w:rsidP="00777872">
            <w:pPr>
              <w:spacing w:after="0"/>
              <w:jc w:val="center"/>
              <w:rPr>
                <w:b/>
                <w:bCs/>
                <w:sz w:val="18"/>
                <w:szCs w:val="18"/>
                <w:lang w:eastAsia="it-IT"/>
              </w:rPr>
            </w:pPr>
            <w:r w:rsidRPr="00F867D0">
              <w:rPr>
                <w:b/>
                <w:bCs/>
                <w:sz w:val="18"/>
                <w:szCs w:val="18"/>
                <w:lang w:eastAsia="it-IT"/>
              </w:rPr>
              <w:t>Higher EE (kWh/yr)</w:t>
            </w:r>
          </w:p>
        </w:tc>
        <w:tc>
          <w:tcPr>
            <w:tcW w:w="1031" w:type="dxa"/>
            <w:vMerge w:val="restart"/>
            <w:hideMark/>
          </w:tcPr>
          <w:p w14:paraId="6D5A1569" w14:textId="77777777" w:rsidR="00777872" w:rsidRPr="00F867D0" w:rsidRDefault="00777872" w:rsidP="00777872">
            <w:pPr>
              <w:spacing w:after="0"/>
              <w:jc w:val="center"/>
              <w:rPr>
                <w:b/>
                <w:bCs/>
                <w:sz w:val="18"/>
                <w:szCs w:val="18"/>
                <w:lang w:eastAsia="it-IT"/>
              </w:rPr>
            </w:pPr>
            <w:r w:rsidRPr="00F867D0">
              <w:rPr>
                <w:b/>
                <w:bCs/>
                <w:sz w:val="18"/>
                <w:szCs w:val="18"/>
                <w:lang w:eastAsia="it-IT"/>
              </w:rPr>
              <w:t>Highest EE (kWh/yr)</w:t>
            </w:r>
          </w:p>
        </w:tc>
        <w:tc>
          <w:tcPr>
            <w:tcW w:w="280" w:type="dxa"/>
            <w:vMerge w:val="restart"/>
            <w:hideMark/>
          </w:tcPr>
          <w:p w14:paraId="33F43E54"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290" w:type="dxa"/>
            <w:vMerge w:val="restart"/>
            <w:hideMark/>
          </w:tcPr>
          <w:p w14:paraId="3C07E69F" w14:textId="77777777" w:rsidR="00777872" w:rsidRPr="00F867D0" w:rsidRDefault="00777872" w:rsidP="00777872">
            <w:pPr>
              <w:spacing w:after="0"/>
              <w:jc w:val="center"/>
              <w:rPr>
                <w:b/>
                <w:bCs/>
                <w:sz w:val="18"/>
                <w:szCs w:val="18"/>
                <w:lang w:eastAsia="it-IT"/>
              </w:rPr>
            </w:pPr>
            <w:r w:rsidRPr="00F867D0">
              <w:rPr>
                <w:b/>
                <w:bCs/>
                <w:sz w:val="18"/>
                <w:szCs w:val="18"/>
                <w:lang w:eastAsia="it-IT"/>
              </w:rPr>
              <w:t>End-use Emissions Factor (kgCO</w:t>
            </w:r>
            <w:r w:rsidRPr="00F867D0">
              <w:rPr>
                <w:b/>
                <w:bCs/>
                <w:sz w:val="18"/>
                <w:szCs w:val="18"/>
                <w:vertAlign w:val="subscript"/>
                <w:lang w:eastAsia="it-IT"/>
              </w:rPr>
              <w:t>2</w:t>
            </w:r>
            <w:r w:rsidRPr="00F867D0">
              <w:rPr>
                <w:b/>
                <w:bCs/>
                <w:sz w:val="18"/>
                <w:szCs w:val="18"/>
                <w:lang w:eastAsia="it-IT"/>
              </w:rPr>
              <w:t>/kWh)</w:t>
            </w:r>
          </w:p>
        </w:tc>
        <w:tc>
          <w:tcPr>
            <w:tcW w:w="1134" w:type="dxa"/>
            <w:vMerge w:val="restart"/>
            <w:hideMark/>
          </w:tcPr>
          <w:p w14:paraId="16272DE4" w14:textId="77777777" w:rsidR="00777872" w:rsidRPr="00F867D0" w:rsidRDefault="00777872" w:rsidP="00777872">
            <w:pPr>
              <w:spacing w:after="0"/>
              <w:jc w:val="center"/>
              <w:rPr>
                <w:b/>
                <w:bCs/>
                <w:sz w:val="18"/>
                <w:szCs w:val="18"/>
                <w:lang w:eastAsia="it-IT"/>
              </w:rPr>
            </w:pPr>
            <w:r w:rsidRPr="00F867D0">
              <w:rPr>
                <w:b/>
                <w:bCs/>
                <w:sz w:val="18"/>
                <w:szCs w:val="18"/>
                <w:lang w:eastAsia="it-IT"/>
              </w:rPr>
              <w:t>Higher EE (kgCO</w:t>
            </w:r>
            <w:r w:rsidRPr="00F867D0">
              <w:rPr>
                <w:b/>
                <w:bCs/>
                <w:sz w:val="18"/>
                <w:szCs w:val="18"/>
                <w:vertAlign w:val="subscript"/>
                <w:lang w:eastAsia="it-IT"/>
              </w:rPr>
              <w:t>2</w:t>
            </w:r>
            <w:r w:rsidRPr="00F867D0">
              <w:rPr>
                <w:b/>
                <w:bCs/>
                <w:sz w:val="18"/>
                <w:szCs w:val="18"/>
                <w:lang w:eastAsia="it-IT"/>
              </w:rPr>
              <w:t>/yr)</w:t>
            </w:r>
          </w:p>
        </w:tc>
        <w:tc>
          <w:tcPr>
            <w:tcW w:w="1134" w:type="dxa"/>
            <w:vMerge w:val="restart"/>
            <w:hideMark/>
          </w:tcPr>
          <w:p w14:paraId="78184C48" w14:textId="77777777" w:rsidR="00777872" w:rsidRPr="00F867D0" w:rsidRDefault="00777872" w:rsidP="00777872">
            <w:pPr>
              <w:spacing w:after="0"/>
              <w:jc w:val="center"/>
              <w:rPr>
                <w:b/>
                <w:bCs/>
                <w:sz w:val="18"/>
                <w:szCs w:val="18"/>
                <w:lang w:eastAsia="it-IT"/>
              </w:rPr>
            </w:pPr>
            <w:r w:rsidRPr="00F867D0">
              <w:rPr>
                <w:b/>
                <w:bCs/>
                <w:sz w:val="18"/>
                <w:szCs w:val="18"/>
                <w:lang w:eastAsia="it-IT"/>
              </w:rPr>
              <w:t>Highest EE (kgCO</w:t>
            </w:r>
            <w:r w:rsidRPr="00F867D0">
              <w:rPr>
                <w:b/>
                <w:bCs/>
                <w:sz w:val="18"/>
                <w:szCs w:val="18"/>
                <w:vertAlign w:val="subscript"/>
                <w:lang w:eastAsia="it-IT"/>
              </w:rPr>
              <w:t>2</w:t>
            </w:r>
            <w:r w:rsidRPr="00F867D0">
              <w:rPr>
                <w:b/>
                <w:bCs/>
                <w:sz w:val="18"/>
                <w:szCs w:val="18"/>
                <w:lang w:eastAsia="it-IT"/>
              </w:rPr>
              <w:t>/yr)</w:t>
            </w:r>
          </w:p>
        </w:tc>
      </w:tr>
      <w:tr w:rsidR="00777872" w:rsidRPr="00F867D0" w14:paraId="47692174" w14:textId="77777777" w:rsidTr="000F749F">
        <w:trPr>
          <w:cantSplit/>
          <w:trHeight w:val="629"/>
        </w:trPr>
        <w:tc>
          <w:tcPr>
            <w:tcW w:w="2341" w:type="dxa"/>
            <w:vMerge/>
            <w:hideMark/>
          </w:tcPr>
          <w:p w14:paraId="67E260A6" w14:textId="77777777" w:rsidR="00777872" w:rsidRPr="00F867D0" w:rsidRDefault="00777872" w:rsidP="00777872">
            <w:pPr>
              <w:spacing w:after="0"/>
              <w:jc w:val="center"/>
              <w:rPr>
                <w:sz w:val="18"/>
                <w:szCs w:val="18"/>
                <w:lang w:eastAsia="it-IT"/>
              </w:rPr>
            </w:pPr>
          </w:p>
        </w:tc>
        <w:tc>
          <w:tcPr>
            <w:tcW w:w="781" w:type="dxa"/>
            <w:vMerge/>
            <w:hideMark/>
          </w:tcPr>
          <w:p w14:paraId="72A2B8A3" w14:textId="77777777" w:rsidR="00777872" w:rsidRPr="00F867D0" w:rsidRDefault="00777872" w:rsidP="00777872">
            <w:pPr>
              <w:spacing w:after="0"/>
              <w:jc w:val="center"/>
              <w:rPr>
                <w:b/>
                <w:bCs/>
                <w:sz w:val="18"/>
                <w:szCs w:val="18"/>
                <w:lang w:eastAsia="it-IT"/>
              </w:rPr>
            </w:pPr>
          </w:p>
        </w:tc>
        <w:tc>
          <w:tcPr>
            <w:tcW w:w="1009" w:type="dxa"/>
            <w:vMerge/>
            <w:hideMark/>
          </w:tcPr>
          <w:p w14:paraId="67923A7A" w14:textId="77777777" w:rsidR="00777872" w:rsidRPr="00F867D0" w:rsidRDefault="00777872" w:rsidP="00777872">
            <w:pPr>
              <w:spacing w:after="0"/>
              <w:jc w:val="center"/>
              <w:rPr>
                <w:b/>
                <w:bCs/>
                <w:sz w:val="18"/>
                <w:szCs w:val="18"/>
                <w:lang w:eastAsia="it-IT"/>
              </w:rPr>
            </w:pPr>
          </w:p>
        </w:tc>
        <w:tc>
          <w:tcPr>
            <w:tcW w:w="1031" w:type="dxa"/>
            <w:vMerge/>
            <w:hideMark/>
          </w:tcPr>
          <w:p w14:paraId="6FDA3E7F" w14:textId="77777777" w:rsidR="00777872" w:rsidRPr="00F867D0" w:rsidRDefault="00777872" w:rsidP="00777872">
            <w:pPr>
              <w:spacing w:after="0"/>
              <w:jc w:val="center"/>
              <w:rPr>
                <w:b/>
                <w:bCs/>
                <w:sz w:val="18"/>
                <w:szCs w:val="18"/>
                <w:lang w:eastAsia="it-IT"/>
              </w:rPr>
            </w:pPr>
          </w:p>
        </w:tc>
        <w:tc>
          <w:tcPr>
            <w:tcW w:w="898" w:type="dxa"/>
            <w:vMerge/>
            <w:hideMark/>
          </w:tcPr>
          <w:p w14:paraId="229C88B9" w14:textId="77777777" w:rsidR="00777872" w:rsidRPr="00F867D0" w:rsidRDefault="00777872" w:rsidP="00777872">
            <w:pPr>
              <w:spacing w:after="0"/>
              <w:jc w:val="center"/>
              <w:rPr>
                <w:b/>
                <w:bCs/>
                <w:sz w:val="18"/>
                <w:szCs w:val="18"/>
                <w:lang w:eastAsia="it-IT"/>
              </w:rPr>
            </w:pPr>
          </w:p>
        </w:tc>
        <w:tc>
          <w:tcPr>
            <w:tcW w:w="936" w:type="dxa"/>
            <w:vMerge/>
            <w:hideMark/>
          </w:tcPr>
          <w:p w14:paraId="6A35DAF9" w14:textId="77777777" w:rsidR="00777872" w:rsidRPr="00F867D0" w:rsidRDefault="00777872" w:rsidP="00777872">
            <w:pPr>
              <w:spacing w:after="0"/>
              <w:jc w:val="center"/>
              <w:rPr>
                <w:b/>
                <w:bCs/>
                <w:sz w:val="18"/>
                <w:szCs w:val="18"/>
                <w:lang w:eastAsia="it-IT"/>
              </w:rPr>
            </w:pPr>
          </w:p>
        </w:tc>
        <w:tc>
          <w:tcPr>
            <w:tcW w:w="280" w:type="dxa"/>
            <w:vMerge/>
            <w:hideMark/>
          </w:tcPr>
          <w:p w14:paraId="2F1E8462" w14:textId="77777777" w:rsidR="00777872" w:rsidRPr="00F867D0" w:rsidRDefault="00777872" w:rsidP="00777872">
            <w:pPr>
              <w:spacing w:after="0"/>
              <w:jc w:val="center"/>
              <w:rPr>
                <w:sz w:val="18"/>
                <w:szCs w:val="18"/>
                <w:lang w:eastAsia="it-IT"/>
              </w:rPr>
            </w:pPr>
          </w:p>
        </w:tc>
        <w:tc>
          <w:tcPr>
            <w:tcW w:w="1031" w:type="dxa"/>
            <w:vMerge/>
            <w:hideMark/>
          </w:tcPr>
          <w:p w14:paraId="40C97C18" w14:textId="77777777" w:rsidR="00777872" w:rsidRPr="00F867D0" w:rsidRDefault="00777872" w:rsidP="00777872">
            <w:pPr>
              <w:spacing w:after="0"/>
              <w:jc w:val="center"/>
              <w:rPr>
                <w:b/>
                <w:bCs/>
                <w:sz w:val="18"/>
                <w:szCs w:val="18"/>
                <w:lang w:eastAsia="it-IT"/>
              </w:rPr>
            </w:pPr>
          </w:p>
        </w:tc>
        <w:tc>
          <w:tcPr>
            <w:tcW w:w="1031" w:type="dxa"/>
            <w:vMerge/>
            <w:hideMark/>
          </w:tcPr>
          <w:p w14:paraId="0CAA6C0E" w14:textId="77777777" w:rsidR="00777872" w:rsidRPr="00F867D0" w:rsidRDefault="00777872" w:rsidP="00777872">
            <w:pPr>
              <w:spacing w:after="0"/>
              <w:jc w:val="center"/>
              <w:rPr>
                <w:b/>
                <w:bCs/>
                <w:sz w:val="18"/>
                <w:szCs w:val="18"/>
                <w:lang w:eastAsia="it-IT"/>
              </w:rPr>
            </w:pPr>
          </w:p>
        </w:tc>
        <w:tc>
          <w:tcPr>
            <w:tcW w:w="280" w:type="dxa"/>
            <w:vMerge/>
            <w:hideMark/>
          </w:tcPr>
          <w:p w14:paraId="01000592" w14:textId="77777777" w:rsidR="00777872" w:rsidRPr="00F867D0" w:rsidRDefault="00777872" w:rsidP="00777872">
            <w:pPr>
              <w:spacing w:after="0"/>
              <w:jc w:val="center"/>
              <w:rPr>
                <w:sz w:val="18"/>
                <w:szCs w:val="18"/>
                <w:lang w:eastAsia="it-IT"/>
              </w:rPr>
            </w:pPr>
          </w:p>
        </w:tc>
        <w:tc>
          <w:tcPr>
            <w:tcW w:w="1290" w:type="dxa"/>
            <w:vMerge/>
            <w:hideMark/>
          </w:tcPr>
          <w:p w14:paraId="78E25327" w14:textId="77777777" w:rsidR="00777872" w:rsidRPr="00F867D0" w:rsidRDefault="00777872" w:rsidP="00777872">
            <w:pPr>
              <w:spacing w:after="0"/>
              <w:jc w:val="center"/>
              <w:rPr>
                <w:b/>
                <w:bCs/>
                <w:sz w:val="18"/>
                <w:szCs w:val="18"/>
                <w:lang w:eastAsia="it-IT"/>
              </w:rPr>
            </w:pPr>
          </w:p>
        </w:tc>
        <w:tc>
          <w:tcPr>
            <w:tcW w:w="1134" w:type="dxa"/>
            <w:vMerge/>
            <w:hideMark/>
          </w:tcPr>
          <w:p w14:paraId="1D9D0A50" w14:textId="77777777" w:rsidR="00777872" w:rsidRPr="00F867D0" w:rsidRDefault="00777872" w:rsidP="00777872">
            <w:pPr>
              <w:spacing w:after="0"/>
              <w:jc w:val="center"/>
              <w:rPr>
                <w:b/>
                <w:bCs/>
                <w:sz w:val="18"/>
                <w:szCs w:val="18"/>
                <w:lang w:eastAsia="it-IT"/>
              </w:rPr>
            </w:pPr>
          </w:p>
        </w:tc>
        <w:tc>
          <w:tcPr>
            <w:tcW w:w="1134" w:type="dxa"/>
            <w:vMerge/>
            <w:hideMark/>
          </w:tcPr>
          <w:p w14:paraId="2CA169EB" w14:textId="77777777" w:rsidR="00777872" w:rsidRPr="00F867D0" w:rsidRDefault="00777872" w:rsidP="00777872">
            <w:pPr>
              <w:spacing w:after="0"/>
              <w:jc w:val="center"/>
              <w:rPr>
                <w:b/>
                <w:bCs/>
                <w:sz w:val="18"/>
                <w:szCs w:val="18"/>
                <w:lang w:eastAsia="it-IT"/>
              </w:rPr>
            </w:pPr>
          </w:p>
        </w:tc>
      </w:tr>
      <w:tr w:rsidR="00777872" w:rsidRPr="00F867D0" w14:paraId="13BEC348" w14:textId="77777777" w:rsidTr="000F749F">
        <w:trPr>
          <w:cantSplit/>
          <w:trHeight w:val="320"/>
        </w:trPr>
        <w:tc>
          <w:tcPr>
            <w:tcW w:w="2341" w:type="dxa"/>
            <w:vMerge w:val="restart"/>
            <w:hideMark/>
          </w:tcPr>
          <w:p w14:paraId="27354B1D" w14:textId="34C0A6A9" w:rsidR="00777872" w:rsidRPr="00F867D0" w:rsidRDefault="00777872" w:rsidP="00777872">
            <w:pPr>
              <w:spacing w:after="0"/>
              <w:jc w:val="center"/>
              <w:rPr>
                <w:b/>
                <w:bCs/>
                <w:sz w:val="18"/>
                <w:szCs w:val="18"/>
                <w:lang w:eastAsia="it-IT"/>
              </w:rPr>
            </w:pPr>
            <w:r w:rsidRPr="00F867D0">
              <w:rPr>
                <w:b/>
                <w:bCs/>
                <w:sz w:val="18"/>
                <w:szCs w:val="18"/>
                <w:lang w:eastAsia="it-IT"/>
              </w:rPr>
              <w:t>Very Low Case</w:t>
            </w:r>
            <w:r w:rsidR="009727B8">
              <w:rPr>
                <w:b/>
                <w:bCs/>
                <w:sz w:val="18"/>
                <w:szCs w:val="18"/>
                <w:vertAlign w:val="superscript"/>
                <w:lang w:eastAsia="it-IT"/>
              </w:rPr>
              <w:t>a</w:t>
            </w:r>
            <w:r w:rsidRPr="00F867D0">
              <w:rPr>
                <w:b/>
                <w:bCs/>
                <w:sz w:val="18"/>
                <w:szCs w:val="18"/>
                <w:lang w:eastAsia="it-IT"/>
              </w:rPr>
              <w:t xml:space="preserve"> </w:t>
            </w:r>
            <w:r w:rsidRPr="00F867D0">
              <w:rPr>
                <w:b/>
                <w:bCs/>
                <w:sz w:val="18"/>
                <w:szCs w:val="18"/>
                <w:lang w:eastAsia="it-IT"/>
              </w:rPr>
              <w:br/>
            </w:r>
            <w:r w:rsidRPr="00F867D0">
              <w:rPr>
                <w:i/>
                <w:iCs/>
                <w:sz w:val="18"/>
                <w:szCs w:val="18"/>
                <w:lang w:eastAsia="it-IT"/>
              </w:rPr>
              <w:t>(Very low hours, very low electricity emission factor)</w:t>
            </w:r>
          </w:p>
        </w:tc>
        <w:tc>
          <w:tcPr>
            <w:tcW w:w="781" w:type="dxa"/>
            <w:vMerge w:val="restart"/>
            <w:hideMark/>
          </w:tcPr>
          <w:p w14:paraId="428F678F" w14:textId="77777777" w:rsidR="00777872" w:rsidRPr="00F867D0" w:rsidRDefault="00777872" w:rsidP="00777872">
            <w:pPr>
              <w:spacing w:after="0"/>
              <w:jc w:val="center"/>
              <w:rPr>
                <w:sz w:val="18"/>
                <w:szCs w:val="18"/>
                <w:lang w:eastAsia="it-IT"/>
              </w:rPr>
            </w:pPr>
            <w:r w:rsidRPr="00F867D0">
              <w:rPr>
                <w:sz w:val="18"/>
                <w:szCs w:val="18"/>
                <w:lang w:eastAsia="it-IT"/>
              </w:rPr>
              <w:t>350</w:t>
            </w:r>
          </w:p>
        </w:tc>
        <w:tc>
          <w:tcPr>
            <w:tcW w:w="1009" w:type="dxa"/>
            <w:vMerge w:val="restart"/>
            <w:hideMark/>
          </w:tcPr>
          <w:p w14:paraId="1284B27E" w14:textId="77777777" w:rsidR="00777872" w:rsidRPr="00F867D0" w:rsidRDefault="00777872" w:rsidP="00777872">
            <w:pPr>
              <w:spacing w:after="0"/>
              <w:jc w:val="center"/>
              <w:rPr>
                <w:sz w:val="18"/>
                <w:szCs w:val="18"/>
                <w:lang w:eastAsia="it-IT"/>
              </w:rPr>
            </w:pPr>
            <w:r w:rsidRPr="00F867D0">
              <w:rPr>
                <w:sz w:val="18"/>
                <w:szCs w:val="18"/>
                <w:lang w:eastAsia="it-IT"/>
              </w:rPr>
              <w:t>Split unit / 3-4 kW</w:t>
            </w:r>
          </w:p>
        </w:tc>
        <w:tc>
          <w:tcPr>
            <w:tcW w:w="1031" w:type="dxa"/>
            <w:vMerge w:val="restart"/>
            <w:hideMark/>
          </w:tcPr>
          <w:p w14:paraId="07C04193" w14:textId="77777777" w:rsidR="00777872" w:rsidRPr="00F867D0" w:rsidRDefault="00777872" w:rsidP="00777872">
            <w:pPr>
              <w:spacing w:after="0"/>
              <w:jc w:val="center"/>
              <w:rPr>
                <w:sz w:val="18"/>
                <w:szCs w:val="18"/>
                <w:lang w:eastAsia="it-IT"/>
              </w:rPr>
            </w:pPr>
            <w:r w:rsidRPr="00F867D0">
              <w:rPr>
                <w:sz w:val="18"/>
                <w:szCs w:val="18"/>
                <w:lang w:eastAsia="it-IT"/>
              </w:rPr>
              <w:t>266</w:t>
            </w:r>
          </w:p>
        </w:tc>
        <w:tc>
          <w:tcPr>
            <w:tcW w:w="898" w:type="dxa"/>
            <w:vMerge w:val="restart"/>
            <w:hideMark/>
          </w:tcPr>
          <w:p w14:paraId="75A067E9" w14:textId="77777777" w:rsidR="00777872" w:rsidRPr="00F867D0" w:rsidRDefault="00777872" w:rsidP="00777872">
            <w:pPr>
              <w:spacing w:after="0"/>
              <w:jc w:val="center"/>
              <w:rPr>
                <w:sz w:val="18"/>
                <w:szCs w:val="18"/>
                <w:lang w:eastAsia="it-IT"/>
              </w:rPr>
            </w:pPr>
            <w:r w:rsidRPr="00F867D0">
              <w:rPr>
                <w:sz w:val="18"/>
                <w:szCs w:val="18"/>
                <w:lang w:eastAsia="it-IT"/>
              </w:rPr>
              <w:t>20%</w:t>
            </w:r>
          </w:p>
        </w:tc>
        <w:tc>
          <w:tcPr>
            <w:tcW w:w="936" w:type="dxa"/>
            <w:vMerge w:val="restart"/>
            <w:hideMark/>
          </w:tcPr>
          <w:p w14:paraId="25BF48BC" w14:textId="77777777" w:rsidR="00777872" w:rsidRPr="00F867D0" w:rsidRDefault="00777872" w:rsidP="00777872">
            <w:pPr>
              <w:spacing w:after="0"/>
              <w:jc w:val="center"/>
              <w:rPr>
                <w:sz w:val="18"/>
                <w:szCs w:val="18"/>
                <w:lang w:eastAsia="it-IT"/>
              </w:rPr>
            </w:pPr>
            <w:r w:rsidRPr="00F867D0">
              <w:rPr>
                <w:sz w:val="18"/>
                <w:szCs w:val="18"/>
                <w:lang w:eastAsia="it-IT"/>
              </w:rPr>
              <w:t>50%</w:t>
            </w:r>
          </w:p>
        </w:tc>
        <w:tc>
          <w:tcPr>
            <w:tcW w:w="280" w:type="dxa"/>
            <w:vMerge w:val="restart"/>
            <w:hideMark/>
          </w:tcPr>
          <w:p w14:paraId="36562E23"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031" w:type="dxa"/>
            <w:vMerge w:val="restart"/>
            <w:hideMark/>
          </w:tcPr>
          <w:p w14:paraId="2334C664" w14:textId="77777777" w:rsidR="00777872" w:rsidRPr="00F867D0" w:rsidRDefault="00777872" w:rsidP="00777872">
            <w:pPr>
              <w:spacing w:after="0"/>
              <w:jc w:val="center"/>
              <w:rPr>
                <w:sz w:val="18"/>
                <w:szCs w:val="18"/>
                <w:lang w:eastAsia="it-IT"/>
              </w:rPr>
            </w:pPr>
            <w:r w:rsidRPr="00F867D0">
              <w:rPr>
                <w:sz w:val="18"/>
                <w:szCs w:val="18"/>
                <w:lang w:eastAsia="it-IT"/>
              </w:rPr>
              <w:t>53</w:t>
            </w:r>
          </w:p>
        </w:tc>
        <w:tc>
          <w:tcPr>
            <w:tcW w:w="1031" w:type="dxa"/>
            <w:vMerge w:val="restart"/>
            <w:hideMark/>
          </w:tcPr>
          <w:p w14:paraId="3AAB9D5B" w14:textId="77777777" w:rsidR="00777872" w:rsidRPr="00F867D0" w:rsidRDefault="00777872" w:rsidP="00777872">
            <w:pPr>
              <w:spacing w:after="0"/>
              <w:jc w:val="center"/>
              <w:rPr>
                <w:sz w:val="18"/>
                <w:szCs w:val="18"/>
                <w:lang w:eastAsia="it-IT"/>
              </w:rPr>
            </w:pPr>
            <w:r w:rsidRPr="00F867D0">
              <w:rPr>
                <w:sz w:val="18"/>
                <w:szCs w:val="18"/>
                <w:lang w:eastAsia="it-IT"/>
              </w:rPr>
              <w:t>133</w:t>
            </w:r>
          </w:p>
        </w:tc>
        <w:tc>
          <w:tcPr>
            <w:tcW w:w="280" w:type="dxa"/>
            <w:vMerge w:val="restart"/>
            <w:hideMark/>
          </w:tcPr>
          <w:p w14:paraId="64C07A48"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290" w:type="dxa"/>
            <w:vMerge w:val="restart"/>
            <w:hideMark/>
          </w:tcPr>
          <w:p w14:paraId="47200E46" w14:textId="77777777" w:rsidR="00777872" w:rsidRPr="00F867D0" w:rsidRDefault="00777872" w:rsidP="00777872">
            <w:pPr>
              <w:spacing w:after="0"/>
              <w:jc w:val="center"/>
              <w:rPr>
                <w:sz w:val="18"/>
                <w:szCs w:val="18"/>
                <w:lang w:eastAsia="it-IT"/>
              </w:rPr>
            </w:pPr>
            <w:r w:rsidRPr="00F867D0">
              <w:rPr>
                <w:sz w:val="18"/>
                <w:szCs w:val="18"/>
                <w:lang w:eastAsia="it-IT"/>
              </w:rPr>
              <w:t>0.017</w:t>
            </w:r>
          </w:p>
        </w:tc>
        <w:tc>
          <w:tcPr>
            <w:tcW w:w="1134" w:type="dxa"/>
            <w:vMerge w:val="restart"/>
            <w:hideMark/>
          </w:tcPr>
          <w:p w14:paraId="33D05F68" w14:textId="77777777" w:rsidR="00777872" w:rsidRPr="00F867D0" w:rsidRDefault="00777872" w:rsidP="00777872">
            <w:pPr>
              <w:spacing w:after="0"/>
              <w:jc w:val="center"/>
              <w:rPr>
                <w:sz w:val="18"/>
                <w:szCs w:val="18"/>
                <w:lang w:eastAsia="it-IT"/>
              </w:rPr>
            </w:pPr>
            <w:r w:rsidRPr="00F867D0">
              <w:rPr>
                <w:sz w:val="18"/>
                <w:szCs w:val="18"/>
                <w:lang w:eastAsia="it-IT"/>
              </w:rPr>
              <w:t>1</w:t>
            </w:r>
          </w:p>
        </w:tc>
        <w:tc>
          <w:tcPr>
            <w:tcW w:w="1134" w:type="dxa"/>
            <w:vMerge w:val="restart"/>
            <w:hideMark/>
          </w:tcPr>
          <w:p w14:paraId="5BE8F9AA" w14:textId="77777777" w:rsidR="00777872" w:rsidRPr="00F867D0" w:rsidRDefault="00777872" w:rsidP="00777872">
            <w:pPr>
              <w:spacing w:after="0"/>
              <w:jc w:val="center"/>
              <w:rPr>
                <w:sz w:val="18"/>
                <w:szCs w:val="18"/>
                <w:lang w:eastAsia="it-IT"/>
              </w:rPr>
            </w:pPr>
            <w:r w:rsidRPr="00F867D0">
              <w:rPr>
                <w:sz w:val="18"/>
                <w:szCs w:val="18"/>
                <w:lang w:eastAsia="it-IT"/>
              </w:rPr>
              <w:t>2</w:t>
            </w:r>
          </w:p>
        </w:tc>
      </w:tr>
      <w:tr w:rsidR="00777872" w:rsidRPr="00F867D0" w14:paraId="36E74893" w14:textId="77777777" w:rsidTr="000F749F">
        <w:trPr>
          <w:cantSplit/>
          <w:trHeight w:val="431"/>
        </w:trPr>
        <w:tc>
          <w:tcPr>
            <w:tcW w:w="2341" w:type="dxa"/>
            <w:vMerge/>
            <w:hideMark/>
          </w:tcPr>
          <w:p w14:paraId="18565070" w14:textId="77777777" w:rsidR="00777872" w:rsidRPr="00F867D0" w:rsidRDefault="00777872" w:rsidP="00777872">
            <w:pPr>
              <w:spacing w:after="0"/>
              <w:jc w:val="center"/>
              <w:rPr>
                <w:b/>
                <w:bCs/>
                <w:sz w:val="18"/>
                <w:szCs w:val="18"/>
                <w:lang w:eastAsia="it-IT"/>
              </w:rPr>
            </w:pPr>
          </w:p>
        </w:tc>
        <w:tc>
          <w:tcPr>
            <w:tcW w:w="781" w:type="dxa"/>
            <w:vMerge/>
            <w:hideMark/>
          </w:tcPr>
          <w:p w14:paraId="4258A3C4" w14:textId="77777777" w:rsidR="00777872" w:rsidRPr="00F867D0" w:rsidRDefault="00777872" w:rsidP="00777872">
            <w:pPr>
              <w:spacing w:after="0"/>
              <w:jc w:val="center"/>
              <w:rPr>
                <w:sz w:val="18"/>
                <w:szCs w:val="18"/>
                <w:lang w:eastAsia="it-IT"/>
              </w:rPr>
            </w:pPr>
          </w:p>
        </w:tc>
        <w:tc>
          <w:tcPr>
            <w:tcW w:w="1009" w:type="dxa"/>
            <w:vMerge/>
            <w:hideMark/>
          </w:tcPr>
          <w:p w14:paraId="5D8F7031" w14:textId="77777777" w:rsidR="00777872" w:rsidRPr="00F867D0" w:rsidRDefault="00777872" w:rsidP="00777872">
            <w:pPr>
              <w:spacing w:after="0"/>
              <w:jc w:val="center"/>
              <w:rPr>
                <w:sz w:val="18"/>
                <w:szCs w:val="18"/>
                <w:lang w:eastAsia="it-IT"/>
              </w:rPr>
            </w:pPr>
          </w:p>
        </w:tc>
        <w:tc>
          <w:tcPr>
            <w:tcW w:w="1031" w:type="dxa"/>
            <w:vMerge/>
            <w:hideMark/>
          </w:tcPr>
          <w:p w14:paraId="62CFE768" w14:textId="77777777" w:rsidR="00777872" w:rsidRPr="00F867D0" w:rsidRDefault="00777872" w:rsidP="00777872">
            <w:pPr>
              <w:spacing w:after="0"/>
              <w:jc w:val="center"/>
              <w:rPr>
                <w:sz w:val="18"/>
                <w:szCs w:val="18"/>
                <w:lang w:eastAsia="it-IT"/>
              </w:rPr>
            </w:pPr>
          </w:p>
        </w:tc>
        <w:tc>
          <w:tcPr>
            <w:tcW w:w="898" w:type="dxa"/>
            <w:vMerge/>
            <w:hideMark/>
          </w:tcPr>
          <w:p w14:paraId="5CED784A" w14:textId="77777777" w:rsidR="00777872" w:rsidRPr="00F867D0" w:rsidRDefault="00777872" w:rsidP="00777872">
            <w:pPr>
              <w:spacing w:after="0"/>
              <w:jc w:val="center"/>
              <w:rPr>
                <w:sz w:val="18"/>
                <w:szCs w:val="18"/>
                <w:lang w:eastAsia="it-IT"/>
              </w:rPr>
            </w:pPr>
          </w:p>
        </w:tc>
        <w:tc>
          <w:tcPr>
            <w:tcW w:w="936" w:type="dxa"/>
            <w:vMerge/>
            <w:hideMark/>
          </w:tcPr>
          <w:p w14:paraId="1D2CA439" w14:textId="77777777" w:rsidR="00777872" w:rsidRPr="00F867D0" w:rsidRDefault="00777872" w:rsidP="00777872">
            <w:pPr>
              <w:spacing w:after="0"/>
              <w:jc w:val="center"/>
              <w:rPr>
                <w:sz w:val="18"/>
                <w:szCs w:val="18"/>
                <w:lang w:eastAsia="it-IT"/>
              </w:rPr>
            </w:pPr>
          </w:p>
        </w:tc>
        <w:tc>
          <w:tcPr>
            <w:tcW w:w="280" w:type="dxa"/>
            <w:vMerge/>
            <w:hideMark/>
          </w:tcPr>
          <w:p w14:paraId="54A4E36A" w14:textId="77777777" w:rsidR="00777872" w:rsidRPr="00F867D0" w:rsidRDefault="00777872" w:rsidP="00777872">
            <w:pPr>
              <w:spacing w:after="0"/>
              <w:jc w:val="center"/>
              <w:rPr>
                <w:sz w:val="18"/>
                <w:szCs w:val="18"/>
                <w:lang w:eastAsia="it-IT"/>
              </w:rPr>
            </w:pPr>
          </w:p>
        </w:tc>
        <w:tc>
          <w:tcPr>
            <w:tcW w:w="1031" w:type="dxa"/>
            <w:vMerge/>
            <w:hideMark/>
          </w:tcPr>
          <w:p w14:paraId="54B54900" w14:textId="77777777" w:rsidR="00777872" w:rsidRPr="00F867D0" w:rsidRDefault="00777872" w:rsidP="00777872">
            <w:pPr>
              <w:spacing w:after="0"/>
              <w:jc w:val="center"/>
              <w:rPr>
                <w:sz w:val="18"/>
                <w:szCs w:val="18"/>
                <w:lang w:eastAsia="it-IT"/>
              </w:rPr>
            </w:pPr>
          </w:p>
        </w:tc>
        <w:tc>
          <w:tcPr>
            <w:tcW w:w="1031" w:type="dxa"/>
            <w:vMerge/>
            <w:hideMark/>
          </w:tcPr>
          <w:p w14:paraId="49BE69A1" w14:textId="77777777" w:rsidR="00777872" w:rsidRPr="00F867D0" w:rsidRDefault="00777872" w:rsidP="00777872">
            <w:pPr>
              <w:spacing w:after="0"/>
              <w:jc w:val="center"/>
              <w:rPr>
                <w:sz w:val="18"/>
                <w:szCs w:val="18"/>
                <w:lang w:eastAsia="it-IT"/>
              </w:rPr>
            </w:pPr>
          </w:p>
        </w:tc>
        <w:tc>
          <w:tcPr>
            <w:tcW w:w="280" w:type="dxa"/>
            <w:vMerge/>
            <w:hideMark/>
          </w:tcPr>
          <w:p w14:paraId="28E71D28" w14:textId="77777777" w:rsidR="00777872" w:rsidRPr="00F867D0" w:rsidRDefault="00777872" w:rsidP="00777872">
            <w:pPr>
              <w:spacing w:after="0"/>
              <w:jc w:val="center"/>
              <w:rPr>
                <w:sz w:val="18"/>
                <w:szCs w:val="18"/>
                <w:lang w:eastAsia="it-IT"/>
              </w:rPr>
            </w:pPr>
          </w:p>
        </w:tc>
        <w:tc>
          <w:tcPr>
            <w:tcW w:w="1290" w:type="dxa"/>
            <w:vMerge/>
            <w:hideMark/>
          </w:tcPr>
          <w:p w14:paraId="45564EF0" w14:textId="77777777" w:rsidR="00777872" w:rsidRPr="00F867D0" w:rsidRDefault="00777872" w:rsidP="00777872">
            <w:pPr>
              <w:spacing w:after="0"/>
              <w:jc w:val="center"/>
              <w:rPr>
                <w:sz w:val="18"/>
                <w:szCs w:val="18"/>
                <w:lang w:eastAsia="it-IT"/>
              </w:rPr>
            </w:pPr>
          </w:p>
        </w:tc>
        <w:tc>
          <w:tcPr>
            <w:tcW w:w="1134" w:type="dxa"/>
            <w:vMerge/>
            <w:hideMark/>
          </w:tcPr>
          <w:p w14:paraId="1B1F2B00" w14:textId="77777777" w:rsidR="00777872" w:rsidRPr="00F867D0" w:rsidRDefault="00777872" w:rsidP="00777872">
            <w:pPr>
              <w:spacing w:after="0"/>
              <w:jc w:val="center"/>
              <w:rPr>
                <w:sz w:val="18"/>
                <w:szCs w:val="18"/>
                <w:lang w:eastAsia="it-IT"/>
              </w:rPr>
            </w:pPr>
          </w:p>
        </w:tc>
        <w:tc>
          <w:tcPr>
            <w:tcW w:w="1134" w:type="dxa"/>
            <w:vMerge/>
            <w:hideMark/>
          </w:tcPr>
          <w:p w14:paraId="15C1625D" w14:textId="77777777" w:rsidR="00777872" w:rsidRPr="00F867D0" w:rsidRDefault="00777872" w:rsidP="00777872">
            <w:pPr>
              <w:spacing w:after="0"/>
              <w:jc w:val="center"/>
              <w:rPr>
                <w:sz w:val="18"/>
                <w:szCs w:val="18"/>
                <w:lang w:eastAsia="it-IT"/>
              </w:rPr>
            </w:pPr>
          </w:p>
        </w:tc>
      </w:tr>
      <w:tr w:rsidR="00777872" w:rsidRPr="00F867D0" w14:paraId="20D9CDD1" w14:textId="77777777" w:rsidTr="000F749F">
        <w:trPr>
          <w:cantSplit/>
          <w:trHeight w:val="320"/>
        </w:trPr>
        <w:tc>
          <w:tcPr>
            <w:tcW w:w="2341" w:type="dxa"/>
            <w:vMerge w:val="restart"/>
            <w:hideMark/>
          </w:tcPr>
          <w:p w14:paraId="61D8117B" w14:textId="3DE338D4" w:rsidR="00777872" w:rsidRPr="00F867D0" w:rsidRDefault="00777872" w:rsidP="00777872">
            <w:pPr>
              <w:spacing w:after="0"/>
              <w:jc w:val="center"/>
              <w:rPr>
                <w:b/>
                <w:bCs/>
                <w:sz w:val="18"/>
                <w:szCs w:val="18"/>
                <w:lang w:eastAsia="it-IT"/>
              </w:rPr>
            </w:pPr>
            <w:r w:rsidRPr="00F867D0">
              <w:rPr>
                <w:b/>
                <w:bCs/>
                <w:sz w:val="18"/>
                <w:szCs w:val="18"/>
                <w:lang w:eastAsia="it-IT"/>
              </w:rPr>
              <w:t>Low Case</w:t>
            </w:r>
            <w:r w:rsidR="009727B8">
              <w:rPr>
                <w:b/>
                <w:bCs/>
                <w:sz w:val="18"/>
                <w:szCs w:val="18"/>
                <w:vertAlign w:val="superscript"/>
                <w:lang w:eastAsia="it-IT"/>
              </w:rPr>
              <w:t>b</w:t>
            </w:r>
            <w:r w:rsidRPr="00F867D0">
              <w:rPr>
                <w:b/>
                <w:bCs/>
                <w:sz w:val="18"/>
                <w:szCs w:val="18"/>
                <w:lang w:eastAsia="it-IT"/>
              </w:rPr>
              <w:t xml:space="preserve"> </w:t>
            </w:r>
            <w:r w:rsidRPr="00F867D0">
              <w:rPr>
                <w:b/>
                <w:bCs/>
                <w:sz w:val="18"/>
                <w:szCs w:val="18"/>
                <w:lang w:eastAsia="it-IT"/>
              </w:rPr>
              <w:br/>
            </w:r>
            <w:r w:rsidRPr="00F867D0">
              <w:rPr>
                <w:i/>
                <w:iCs/>
                <w:sz w:val="18"/>
                <w:szCs w:val="18"/>
                <w:lang w:eastAsia="it-IT"/>
              </w:rPr>
              <w:t>(Low hours, low electricity emission factor)</w:t>
            </w:r>
          </w:p>
        </w:tc>
        <w:tc>
          <w:tcPr>
            <w:tcW w:w="781" w:type="dxa"/>
            <w:vMerge w:val="restart"/>
            <w:hideMark/>
          </w:tcPr>
          <w:p w14:paraId="392392F8" w14:textId="77777777" w:rsidR="00777872" w:rsidRPr="00F867D0" w:rsidRDefault="00777872" w:rsidP="00777872">
            <w:pPr>
              <w:spacing w:after="0"/>
              <w:jc w:val="center"/>
              <w:rPr>
                <w:sz w:val="18"/>
                <w:szCs w:val="18"/>
                <w:lang w:eastAsia="it-IT"/>
              </w:rPr>
            </w:pPr>
            <w:r w:rsidRPr="00F867D0">
              <w:rPr>
                <w:sz w:val="18"/>
                <w:szCs w:val="18"/>
                <w:lang w:eastAsia="it-IT"/>
              </w:rPr>
              <w:t>1200</w:t>
            </w:r>
          </w:p>
        </w:tc>
        <w:tc>
          <w:tcPr>
            <w:tcW w:w="1009" w:type="dxa"/>
            <w:vMerge w:val="restart"/>
            <w:hideMark/>
          </w:tcPr>
          <w:p w14:paraId="24CA1487" w14:textId="77777777" w:rsidR="00777872" w:rsidRPr="00F867D0" w:rsidRDefault="00777872" w:rsidP="00777872">
            <w:pPr>
              <w:spacing w:after="0"/>
              <w:jc w:val="center"/>
              <w:rPr>
                <w:sz w:val="18"/>
                <w:szCs w:val="18"/>
                <w:lang w:eastAsia="it-IT"/>
              </w:rPr>
            </w:pPr>
            <w:r w:rsidRPr="00F867D0">
              <w:rPr>
                <w:sz w:val="18"/>
                <w:szCs w:val="18"/>
                <w:lang w:eastAsia="it-IT"/>
              </w:rPr>
              <w:t>Split unit / 3.5 kW</w:t>
            </w:r>
          </w:p>
        </w:tc>
        <w:tc>
          <w:tcPr>
            <w:tcW w:w="1031" w:type="dxa"/>
            <w:vMerge w:val="restart"/>
            <w:hideMark/>
          </w:tcPr>
          <w:p w14:paraId="7782501D" w14:textId="77777777" w:rsidR="00777872" w:rsidRPr="00F867D0" w:rsidRDefault="00777872" w:rsidP="00777872">
            <w:pPr>
              <w:spacing w:after="0"/>
              <w:jc w:val="center"/>
              <w:rPr>
                <w:sz w:val="18"/>
                <w:szCs w:val="18"/>
                <w:lang w:eastAsia="it-IT"/>
              </w:rPr>
            </w:pPr>
            <w:r w:rsidRPr="00F867D0">
              <w:rPr>
                <w:sz w:val="18"/>
                <w:szCs w:val="18"/>
                <w:lang w:eastAsia="it-IT"/>
              </w:rPr>
              <w:t>1355</w:t>
            </w:r>
          </w:p>
        </w:tc>
        <w:tc>
          <w:tcPr>
            <w:tcW w:w="898" w:type="dxa"/>
            <w:vMerge w:val="restart"/>
            <w:hideMark/>
          </w:tcPr>
          <w:p w14:paraId="5D4856E7" w14:textId="77777777" w:rsidR="00777872" w:rsidRPr="00F867D0" w:rsidRDefault="00777872" w:rsidP="00777872">
            <w:pPr>
              <w:spacing w:after="0"/>
              <w:jc w:val="center"/>
              <w:rPr>
                <w:sz w:val="18"/>
                <w:szCs w:val="18"/>
                <w:lang w:eastAsia="it-IT"/>
              </w:rPr>
            </w:pPr>
            <w:r w:rsidRPr="00F867D0">
              <w:rPr>
                <w:sz w:val="18"/>
                <w:szCs w:val="18"/>
                <w:lang w:eastAsia="it-IT"/>
              </w:rPr>
              <w:t>20%</w:t>
            </w:r>
          </w:p>
        </w:tc>
        <w:tc>
          <w:tcPr>
            <w:tcW w:w="936" w:type="dxa"/>
            <w:vMerge w:val="restart"/>
            <w:hideMark/>
          </w:tcPr>
          <w:p w14:paraId="3B3ACB30" w14:textId="77777777" w:rsidR="00777872" w:rsidRPr="00F867D0" w:rsidRDefault="00777872" w:rsidP="00777872">
            <w:pPr>
              <w:spacing w:after="0"/>
              <w:jc w:val="center"/>
              <w:rPr>
                <w:sz w:val="18"/>
                <w:szCs w:val="18"/>
                <w:lang w:eastAsia="it-IT"/>
              </w:rPr>
            </w:pPr>
            <w:r w:rsidRPr="00F867D0">
              <w:rPr>
                <w:sz w:val="18"/>
                <w:szCs w:val="18"/>
                <w:lang w:eastAsia="it-IT"/>
              </w:rPr>
              <w:t>50%</w:t>
            </w:r>
          </w:p>
        </w:tc>
        <w:tc>
          <w:tcPr>
            <w:tcW w:w="280" w:type="dxa"/>
            <w:vMerge w:val="restart"/>
            <w:hideMark/>
          </w:tcPr>
          <w:p w14:paraId="5991C029"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031" w:type="dxa"/>
            <w:vMerge w:val="restart"/>
            <w:hideMark/>
          </w:tcPr>
          <w:p w14:paraId="4785C8EC" w14:textId="77777777" w:rsidR="00777872" w:rsidRPr="00F867D0" w:rsidRDefault="00777872" w:rsidP="00777872">
            <w:pPr>
              <w:spacing w:after="0"/>
              <w:jc w:val="center"/>
              <w:rPr>
                <w:sz w:val="18"/>
                <w:szCs w:val="18"/>
                <w:lang w:eastAsia="it-IT"/>
              </w:rPr>
            </w:pPr>
            <w:r w:rsidRPr="00F867D0">
              <w:rPr>
                <w:sz w:val="18"/>
                <w:szCs w:val="18"/>
                <w:lang w:eastAsia="it-IT"/>
              </w:rPr>
              <w:t>271</w:t>
            </w:r>
          </w:p>
        </w:tc>
        <w:tc>
          <w:tcPr>
            <w:tcW w:w="1031" w:type="dxa"/>
            <w:vMerge w:val="restart"/>
            <w:hideMark/>
          </w:tcPr>
          <w:p w14:paraId="7279F261" w14:textId="77777777" w:rsidR="00777872" w:rsidRPr="00F867D0" w:rsidRDefault="00777872" w:rsidP="00777872">
            <w:pPr>
              <w:spacing w:after="0"/>
              <w:jc w:val="center"/>
              <w:rPr>
                <w:sz w:val="18"/>
                <w:szCs w:val="18"/>
                <w:lang w:eastAsia="it-IT"/>
              </w:rPr>
            </w:pPr>
            <w:r w:rsidRPr="00F867D0">
              <w:rPr>
                <w:sz w:val="18"/>
                <w:szCs w:val="18"/>
                <w:lang w:eastAsia="it-IT"/>
              </w:rPr>
              <w:t>678</w:t>
            </w:r>
          </w:p>
        </w:tc>
        <w:tc>
          <w:tcPr>
            <w:tcW w:w="280" w:type="dxa"/>
            <w:vMerge w:val="restart"/>
            <w:hideMark/>
          </w:tcPr>
          <w:p w14:paraId="4B545B9D"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290" w:type="dxa"/>
            <w:vMerge w:val="restart"/>
            <w:hideMark/>
          </w:tcPr>
          <w:p w14:paraId="7E4B70EB" w14:textId="77777777" w:rsidR="00777872" w:rsidRPr="00F867D0" w:rsidRDefault="00777872" w:rsidP="00777872">
            <w:pPr>
              <w:spacing w:after="0"/>
              <w:jc w:val="center"/>
              <w:rPr>
                <w:sz w:val="18"/>
                <w:szCs w:val="18"/>
                <w:lang w:eastAsia="it-IT"/>
              </w:rPr>
            </w:pPr>
            <w:r w:rsidRPr="00F867D0">
              <w:rPr>
                <w:sz w:val="18"/>
                <w:szCs w:val="18"/>
                <w:lang w:eastAsia="it-IT"/>
              </w:rPr>
              <w:t>0.45</w:t>
            </w:r>
          </w:p>
        </w:tc>
        <w:tc>
          <w:tcPr>
            <w:tcW w:w="1134" w:type="dxa"/>
            <w:vMerge w:val="restart"/>
            <w:hideMark/>
          </w:tcPr>
          <w:p w14:paraId="2F37F43D" w14:textId="77777777" w:rsidR="00777872" w:rsidRPr="00F867D0" w:rsidRDefault="00777872" w:rsidP="00777872">
            <w:pPr>
              <w:spacing w:after="0"/>
              <w:jc w:val="center"/>
              <w:rPr>
                <w:sz w:val="18"/>
                <w:szCs w:val="18"/>
                <w:lang w:eastAsia="it-IT"/>
              </w:rPr>
            </w:pPr>
            <w:r w:rsidRPr="00F867D0">
              <w:rPr>
                <w:sz w:val="18"/>
                <w:szCs w:val="18"/>
                <w:lang w:eastAsia="it-IT"/>
              </w:rPr>
              <w:t>122</w:t>
            </w:r>
          </w:p>
        </w:tc>
        <w:tc>
          <w:tcPr>
            <w:tcW w:w="1134" w:type="dxa"/>
            <w:vMerge w:val="restart"/>
            <w:hideMark/>
          </w:tcPr>
          <w:p w14:paraId="10A18E39" w14:textId="77777777" w:rsidR="00777872" w:rsidRPr="00F867D0" w:rsidRDefault="00777872" w:rsidP="00777872">
            <w:pPr>
              <w:spacing w:after="0"/>
              <w:jc w:val="center"/>
              <w:rPr>
                <w:sz w:val="18"/>
                <w:szCs w:val="18"/>
                <w:lang w:eastAsia="it-IT"/>
              </w:rPr>
            </w:pPr>
            <w:r w:rsidRPr="00F867D0">
              <w:rPr>
                <w:sz w:val="18"/>
                <w:szCs w:val="18"/>
                <w:lang w:eastAsia="it-IT"/>
              </w:rPr>
              <w:t>305</w:t>
            </w:r>
          </w:p>
        </w:tc>
      </w:tr>
      <w:tr w:rsidR="00777872" w:rsidRPr="00F867D0" w14:paraId="6782DC9B" w14:textId="77777777" w:rsidTr="000F749F">
        <w:trPr>
          <w:cantSplit/>
          <w:trHeight w:val="386"/>
        </w:trPr>
        <w:tc>
          <w:tcPr>
            <w:tcW w:w="2341" w:type="dxa"/>
            <w:vMerge/>
            <w:hideMark/>
          </w:tcPr>
          <w:p w14:paraId="5EB98BBD" w14:textId="77777777" w:rsidR="00777872" w:rsidRPr="00F867D0" w:rsidRDefault="00777872" w:rsidP="00777872">
            <w:pPr>
              <w:spacing w:after="0"/>
              <w:jc w:val="center"/>
              <w:rPr>
                <w:b/>
                <w:bCs/>
                <w:sz w:val="18"/>
                <w:szCs w:val="18"/>
                <w:lang w:eastAsia="it-IT"/>
              </w:rPr>
            </w:pPr>
          </w:p>
        </w:tc>
        <w:tc>
          <w:tcPr>
            <w:tcW w:w="781" w:type="dxa"/>
            <w:vMerge/>
            <w:hideMark/>
          </w:tcPr>
          <w:p w14:paraId="0F32B013" w14:textId="77777777" w:rsidR="00777872" w:rsidRPr="00F867D0" w:rsidRDefault="00777872" w:rsidP="00777872">
            <w:pPr>
              <w:spacing w:after="0"/>
              <w:jc w:val="center"/>
              <w:rPr>
                <w:sz w:val="18"/>
                <w:szCs w:val="18"/>
                <w:lang w:eastAsia="it-IT"/>
              </w:rPr>
            </w:pPr>
          </w:p>
        </w:tc>
        <w:tc>
          <w:tcPr>
            <w:tcW w:w="1009" w:type="dxa"/>
            <w:vMerge/>
            <w:hideMark/>
          </w:tcPr>
          <w:p w14:paraId="26997749" w14:textId="77777777" w:rsidR="00777872" w:rsidRPr="00F867D0" w:rsidRDefault="00777872" w:rsidP="00777872">
            <w:pPr>
              <w:spacing w:after="0"/>
              <w:jc w:val="center"/>
              <w:rPr>
                <w:sz w:val="18"/>
                <w:szCs w:val="18"/>
                <w:lang w:eastAsia="it-IT"/>
              </w:rPr>
            </w:pPr>
          </w:p>
        </w:tc>
        <w:tc>
          <w:tcPr>
            <w:tcW w:w="1031" w:type="dxa"/>
            <w:vMerge/>
            <w:hideMark/>
          </w:tcPr>
          <w:p w14:paraId="6881EFB4" w14:textId="77777777" w:rsidR="00777872" w:rsidRPr="00F867D0" w:rsidRDefault="00777872" w:rsidP="00777872">
            <w:pPr>
              <w:spacing w:after="0"/>
              <w:jc w:val="center"/>
              <w:rPr>
                <w:sz w:val="18"/>
                <w:szCs w:val="18"/>
                <w:lang w:eastAsia="it-IT"/>
              </w:rPr>
            </w:pPr>
          </w:p>
        </w:tc>
        <w:tc>
          <w:tcPr>
            <w:tcW w:w="898" w:type="dxa"/>
            <w:vMerge/>
            <w:hideMark/>
          </w:tcPr>
          <w:p w14:paraId="5BD5B178" w14:textId="77777777" w:rsidR="00777872" w:rsidRPr="00F867D0" w:rsidRDefault="00777872" w:rsidP="00777872">
            <w:pPr>
              <w:spacing w:after="0"/>
              <w:jc w:val="center"/>
              <w:rPr>
                <w:sz w:val="18"/>
                <w:szCs w:val="18"/>
                <w:lang w:eastAsia="it-IT"/>
              </w:rPr>
            </w:pPr>
          </w:p>
        </w:tc>
        <w:tc>
          <w:tcPr>
            <w:tcW w:w="936" w:type="dxa"/>
            <w:vMerge/>
            <w:hideMark/>
          </w:tcPr>
          <w:p w14:paraId="300623B5" w14:textId="77777777" w:rsidR="00777872" w:rsidRPr="00F867D0" w:rsidRDefault="00777872" w:rsidP="00777872">
            <w:pPr>
              <w:spacing w:after="0"/>
              <w:jc w:val="center"/>
              <w:rPr>
                <w:sz w:val="18"/>
                <w:szCs w:val="18"/>
                <w:lang w:eastAsia="it-IT"/>
              </w:rPr>
            </w:pPr>
          </w:p>
        </w:tc>
        <w:tc>
          <w:tcPr>
            <w:tcW w:w="280" w:type="dxa"/>
            <w:vMerge/>
            <w:hideMark/>
          </w:tcPr>
          <w:p w14:paraId="7694ABCB" w14:textId="77777777" w:rsidR="00777872" w:rsidRPr="00F867D0" w:rsidRDefault="00777872" w:rsidP="00777872">
            <w:pPr>
              <w:spacing w:after="0"/>
              <w:jc w:val="center"/>
              <w:rPr>
                <w:sz w:val="18"/>
                <w:szCs w:val="18"/>
                <w:lang w:eastAsia="it-IT"/>
              </w:rPr>
            </w:pPr>
          </w:p>
        </w:tc>
        <w:tc>
          <w:tcPr>
            <w:tcW w:w="1031" w:type="dxa"/>
            <w:vMerge/>
            <w:hideMark/>
          </w:tcPr>
          <w:p w14:paraId="408F912B" w14:textId="77777777" w:rsidR="00777872" w:rsidRPr="00F867D0" w:rsidRDefault="00777872" w:rsidP="00777872">
            <w:pPr>
              <w:spacing w:after="0"/>
              <w:jc w:val="center"/>
              <w:rPr>
                <w:sz w:val="18"/>
                <w:szCs w:val="18"/>
                <w:lang w:eastAsia="it-IT"/>
              </w:rPr>
            </w:pPr>
          </w:p>
        </w:tc>
        <w:tc>
          <w:tcPr>
            <w:tcW w:w="1031" w:type="dxa"/>
            <w:vMerge/>
            <w:hideMark/>
          </w:tcPr>
          <w:p w14:paraId="5EC0F35D" w14:textId="77777777" w:rsidR="00777872" w:rsidRPr="00F867D0" w:rsidRDefault="00777872" w:rsidP="00777872">
            <w:pPr>
              <w:spacing w:after="0"/>
              <w:jc w:val="center"/>
              <w:rPr>
                <w:sz w:val="18"/>
                <w:szCs w:val="18"/>
                <w:lang w:eastAsia="it-IT"/>
              </w:rPr>
            </w:pPr>
          </w:p>
        </w:tc>
        <w:tc>
          <w:tcPr>
            <w:tcW w:w="280" w:type="dxa"/>
            <w:vMerge/>
            <w:hideMark/>
          </w:tcPr>
          <w:p w14:paraId="2B452156" w14:textId="77777777" w:rsidR="00777872" w:rsidRPr="00F867D0" w:rsidRDefault="00777872" w:rsidP="00777872">
            <w:pPr>
              <w:spacing w:after="0"/>
              <w:jc w:val="center"/>
              <w:rPr>
                <w:sz w:val="18"/>
                <w:szCs w:val="18"/>
                <w:lang w:eastAsia="it-IT"/>
              </w:rPr>
            </w:pPr>
          </w:p>
        </w:tc>
        <w:tc>
          <w:tcPr>
            <w:tcW w:w="1290" w:type="dxa"/>
            <w:vMerge/>
            <w:hideMark/>
          </w:tcPr>
          <w:p w14:paraId="161C9EF6" w14:textId="77777777" w:rsidR="00777872" w:rsidRPr="00F867D0" w:rsidRDefault="00777872" w:rsidP="00777872">
            <w:pPr>
              <w:spacing w:after="0"/>
              <w:jc w:val="center"/>
              <w:rPr>
                <w:sz w:val="18"/>
                <w:szCs w:val="18"/>
                <w:lang w:eastAsia="it-IT"/>
              </w:rPr>
            </w:pPr>
          </w:p>
        </w:tc>
        <w:tc>
          <w:tcPr>
            <w:tcW w:w="1134" w:type="dxa"/>
            <w:vMerge/>
            <w:hideMark/>
          </w:tcPr>
          <w:p w14:paraId="630AF81D" w14:textId="77777777" w:rsidR="00777872" w:rsidRPr="00F867D0" w:rsidRDefault="00777872" w:rsidP="00777872">
            <w:pPr>
              <w:spacing w:after="0"/>
              <w:jc w:val="center"/>
              <w:rPr>
                <w:sz w:val="18"/>
                <w:szCs w:val="18"/>
                <w:lang w:eastAsia="it-IT"/>
              </w:rPr>
            </w:pPr>
          </w:p>
        </w:tc>
        <w:tc>
          <w:tcPr>
            <w:tcW w:w="1134" w:type="dxa"/>
            <w:vMerge/>
            <w:hideMark/>
          </w:tcPr>
          <w:p w14:paraId="36DD6BF1" w14:textId="77777777" w:rsidR="00777872" w:rsidRPr="00F867D0" w:rsidRDefault="00777872" w:rsidP="00777872">
            <w:pPr>
              <w:spacing w:after="0"/>
              <w:jc w:val="center"/>
              <w:rPr>
                <w:sz w:val="18"/>
                <w:szCs w:val="18"/>
                <w:lang w:eastAsia="it-IT"/>
              </w:rPr>
            </w:pPr>
          </w:p>
        </w:tc>
      </w:tr>
      <w:tr w:rsidR="00777872" w:rsidRPr="00F867D0" w14:paraId="778C86AC" w14:textId="77777777" w:rsidTr="000F749F">
        <w:trPr>
          <w:cantSplit/>
          <w:trHeight w:val="480"/>
        </w:trPr>
        <w:tc>
          <w:tcPr>
            <w:tcW w:w="2341" w:type="dxa"/>
            <w:vMerge w:val="restart"/>
            <w:hideMark/>
          </w:tcPr>
          <w:p w14:paraId="22562145" w14:textId="3686BC33" w:rsidR="00777872" w:rsidRPr="00F867D0" w:rsidRDefault="00777872" w:rsidP="00777872">
            <w:pPr>
              <w:spacing w:after="0"/>
              <w:jc w:val="center"/>
              <w:rPr>
                <w:i/>
                <w:iCs/>
                <w:sz w:val="18"/>
                <w:szCs w:val="18"/>
                <w:lang w:eastAsia="it-IT"/>
              </w:rPr>
            </w:pPr>
            <w:r w:rsidRPr="00F867D0">
              <w:rPr>
                <w:b/>
                <w:bCs/>
                <w:sz w:val="18"/>
                <w:szCs w:val="18"/>
                <w:lang w:eastAsia="it-IT"/>
              </w:rPr>
              <w:t>High Hours</w:t>
            </w:r>
            <w:r w:rsidR="009727B8">
              <w:rPr>
                <w:b/>
                <w:bCs/>
                <w:sz w:val="18"/>
                <w:szCs w:val="18"/>
                <w:vertAlign w:val="superscript"/>
                <w:lang w:eastAsia="it-IT"/>
              </w:rPr>
              <w:t>c</w:t>
            </w:r>
            <w:r w:rsidRPr="00F867D0">
              <w:rPr>
                <w:b/>
                <w:bCs/>
                <w:sz w:val="18"/>
                <w:szCs w:val="18"/>
                <w:lang w:eastAsia="it-IT"/>
              </w:rPr>
              <w:t xml:space="preserve"> </w:t>
            </w:r>
            <w:r w:rsidRPr="00F867D0">
              <w:rPr>
                <w:i/>
                <w:iCs/>
                <w:sz w:val="18"/>
                <w:szCs w:val="18"/>
                <w:lang w:eastAsia="it-IT"/>
              </w:rPr>
              <w:br/>
              <w:t>(High hours, middle electricity emission factor)</w:t>
            </w:r>
          </w:p>
        </w:tc>
        <w:tc>
          <w:tcPr>
            <w:tcW w:w="781" w:type="dxa"/>
            <w:vMerge w:val="restart"/>
            <w:hideMark/>
          </w:tcPr>
          <w:p w14:paraId="5D470A50" w14:textId="77777777" w:rsidR="00777872" w:rsidRPr="00F867D0" w:rsidRDefault="00777872" w:rsidP="00777872">
            <w:pPr>
              <w:spacing w:after="0"/>
              <w:jc w:val="center"/>
              <w:rPr>
                <w:sz w:val="18"/>
                <w:szCs w:val="18"/>
                <w:lang w:eastAsia="it-IT"/>
              </w:rPr>
            </w:pPr>
            <w:r w:rsidRPr="00F867D0">
              <w:rPr>
                <w:sz w:val="18"/>
                <w:szCs w:val="18"/>
                <w:lang w:eastAsia="it-IT"/>
              </w:rPr>
              <w:t>2880</w:t>
            </w:r>
          </w:p>
        </w:tc>
        <w:tc>
          <w:tcPr>
            <w:tcW w:w="1009" w:type="dxa"/>
            <w:vMerge w:val="restart"/>
            <w:hideMark/>
          </w:tcPr>
          <w:p w14:paraId="09638C63" w14:textId="77777777" w:rsidR="00777872" w:rsidRPr="00F867D0" w:rsidRDefault="00777872" w:rsidP="00777872">
            <w:pPr>
              <w:spacing w:after="0"/>
              <w:jc w:val="center"/>
              <w:rPr>
                <w:sz w:val="18"/>
                <w:szCs w:val="18"/>
                <w:lang w:eastAsia="it-IT"/>
              </w:rPr>
            </w:pPr>
            <w:r w:rsidRPr="00F867D0">
              <w:rPr>
                <w:sz w:val="18"/>
                <w:szCs w:val="18"/>
                <w:lang w:eastAsia="it-IT"/>
              </w:rPr>
              <w:t>Split unit / 3.5 kW</w:t>
            </w:r>
          </w:p>
        </w:tc>
        <w:tc>
          <w:tcPr>
            <w:tcW w:w="1031" w:type="dxa"/>
            <w:vMerge w:val="restart"/>
            <w:hideMark/>
          </w:tcPr>
          <w:p w14:paraId="4B0D65F7" w14:textId="77777777" w:rsidR="00777872" w:rsidRPr="00F867D0" w:rsidRDefault="00777872" w:rsidP="00777872">
            <w:pPr>
              <w:spacing w:after="0"/>
              <w:jc w:val="center"/>
              <w:rPr>
                <w:sz w:val="18"/>
                <w:szCs w:val="18"/>
                <w:lang w:eastAsia="it-IT"/>
              </w:rPr>
            </w:pPr>
            <w:r w:rsidRPr="00F867D0">
              <w:rPr>
                <w:sz w:val="18"/>
                <w:szCs w:val="18"/>
                <w:lang w:eastAsia="it-IT"/>
              </w:rPr>
              <w:t>2965</w:t>
            </w:r>
          </w:p>
        </w:tc>
        <w:tc>
          <w:tcPr>
            <w:tcW w:w="898" w:type="dxa"/>
            <w:vMerge w:val="restart"/>
            <w:hideMark/>
          </w:tcPr>
          <w:p w14:paraId="5C0D90D1" w14:textId="77777777" w:rsidR="00777872" w:rsidRPr="00F867D0" w:rsidRDefault="00777872" w:rsidP="00777872">
            <w:pPr>
              <w:spacing w:after="0"/>
              <w:jc w:val="center"/>
              <w:rPr>
                <w:sz w:val="18"/>
                <w:szCs w:val="18"/>
                <w:lang w:eastAsia="it-IT"/>
              </w:rPr>
            </w:pPr>
            <w:r w:rsidRPr="00F867D0">
              <w:rPr>
                <w:sz w:val="18"/>
                <w:szCs w:val="18"/>
                <w:lang w:eastAsia="it-IT"/>
              </w:rPr>
              <w:t>10%</w:t>
            </w:r>
          </w:p>
        </w:tc>
        <w:tc>
          <w:tcPr>
            <w:tcW w:w="936" w:type="dxa"/>
            <w:vMerge w:val="restart"/>
            <w:hideMark/>
          </w:tcPr>
          <w:p w14:paraId="0F7984D6" w14:textId="77777777" w:rsidR="00777872" w:rsidRPr="00F867D0" w:rsidRDefault="00777872" w:rsidP="00777872">
            <w:pPr>
              <w:spacing w:after="0"/>
              <w:jc w:val="center"/>
              <w:rPr>
                <w:sz w:val="18"/>
                <w:szCs w:val="18"/>
                <w:lang w:eastAsia="it-IT"/>
              </w:rPr>
            </w:pPr>
            <w:r w:rsidRPr="00F867D0">
              <w:rPr>
                <w:sz w:val="18"/>
                <w:szCs w:val="18"/>
                <w:lang w:eastAsia="it-IT"/>
              </w:rPr>
              <w:t>40%</w:t>
            </w:r>
          </w:p>
        </w:tc>
        <w:tc>
          <w:tcPr>
            <w:tcW w:w="280" w:type="dxa"/>
            <w:vMerge w:val="restart"/>
            <w:hideMark/>
          </w:tcPr>
          <w:p w14:paraId="43E9B03A"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031" w:type="dxa"/>
            <w:vMerge w:val="restart"/>
            <w:hideMark/>
          </w:tcPr>
          <w:p w14:paraId="771A7A88" w14:textId="77777777" w:rsidR="00777872" w:rsidRPr="00F867D0" w:rsidRDefault="00777872" w:rsidP="00777872">
            <w:pPr>
              <w:spacing w:after="0"/>
              <w:jc w:val="center"/>
              <w:rPr>
                <w:sz w:val="18"/>
                <w:szCs w:val="18"/>
                <w:lang w:eastAsia="it-IT"/>
              </w:rPr>
            </w:pPr>
            <w:r w:rsidRPr="00F867D0">
              <w:rPr>
                <w:sz w:val="18"/>
                <w:szCs w:val="18"/>
                <w:lang w:eastAsia="it-IT"/>
              </w:rPr>
              <w:t>297</w:t>
            </w:r>
          </w:p>
        </w:tc>
        <w:tc>
          <w:tcPr>
            <w:tcW w:w="1031" w:type="dxa"/>
            <w:vMerge w:val="restart"/>
            <w:hideMark/>
          </w:tcPr>
          <w:p w14:paraId="4DDBAEF6" w14:textId="77777777" w:rsidR="00777872" w:rsidRPr="00F867D0" w:rsidRDefault="00777872" w:rsidP="00777872">
            <w:pPr>
              <w:spacing w:after="0"/>
              <w:jc w:val="center"/>
              <w:rPr>
                <w:sz w:val="18"/>
                <w:szCs w:val="18"/>
                <w:lang w:eastAsia="it-IT"/>
              </w:rPr>
            </w:pPr>
            <w:r w:rsidRPr="00F867D0">
              <w:rPr>
                <w:sz w:val="18"/>
                <w:szCs w:val="18"/>
                <w:lang w:eastAsia="it-IT"/>
              </w:rPr>
              <w:t>1186</w:t>
            </w:r>
          </w:p>
        </w:tc>
        <w:tc>
          <w:tcPr>
            <w:tcW w:w="280" w:type="dxa"/>
            <w:vMerge w:val="restart"/>
            <w:hideMark/>
          </w:tcPr>
          <w:p w14:paraId="7FD4016F"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290" w:type="dxa"/>
            <w:vMerge w:val="restart"/>
            <w:hideMark/>
          </w:tcPr>
          <w:p w14:paraId="0347F903" w14:textId="77777777" w:rsidR="00777872" w:rsidRPr="00F867D0" w:rsidRDefault="00777872" w:rsidP="00777872">
            <w:pPr>
              <w:spacing w:after="0"/>
              <w:jc w:val="center"/>
              <w:rPr>
                <w:sz w:val="18"/>
                <w:szCs w:val="18"/>
                <w:lang w:eastAsia="it-IT"/>
              </w:rPr>
            </w:pPr>
            <w:r w:rsidRPr="00F867D0">
              <w:rPr>
                <w:sz w:val="18"/>
                <w:szCs w:val="18"/>
                <w:lang w:eastAsia="it-IT"/>
              </w:rPr>
              <w:t>0.58</w:t>
            </w:r>
          </w:p>
        </w:tc>
        <w:tc>
          <w:tcPr>
            <w:tcW w:w="1134" w:type="dxa"/>
            <w:vMerge w:val="restart"/>
            <w:hideMark/>
          </w:tcPr>
          <w:p w14:paraId="7B289AF6" w14:textId="77777777" w:rsidR="00777872" w:rsidRPr="00F867D0" w:rsidRDefault="00777872" w:rsidP="00777872">
            <w:pPr>
              <w:spacing w:after="0"/>
              <w:jc w:val="center"/>
              <w:rPr>
                <w:sz w:val="18"/>
                <w:szCs w:val="18"/>
                <w:lang w:eastAsia="it-IT"/>
              </w:rPr>
            </w:pPr>
            <w:r w:rsidRPr="00F867D0">
              <w:rPr>
                <w:sz w:val="18"/>
                <w:szCs w:val="18"/>
                <w:lang w:eastAsia="it-IT"/>
              </w:rPr>
              <w:t>172</w:t>
            </w:r>
          </w:p>
        </w:tc>
        <w:tc>
          <w:tcPr>
            <w:tcW w:w="1134" w:type="dxa"/>
            <w:vMerge w:val="restart"/>
            <w:hideMark/>
          </w:tcPr>
          <w:p w14:paraId="5FCDDC62" w14:textId="77777777" w:rsidR="00777872" w:rsidRPr="00F867D0" w:rsidRDefault="00777872" w:rsidP="00777872">
            <w:pPr>
              <w:spacing w:after="0"/>
              <w:jc w:val="center"/>
              <w:rPr>
                <w:sz w:val="18"/>
                <w:szCs w:val="18"/>
                <w:lang w:eastAsia="it-IT"/>
              </w:rPr>
            </w:pPr>
            <w:r w:rsidRPr="00F867D0">
              <w:rPr>
                <w:sz w:val="18"/>
                <w:szCs w:val="18"/>
                <w:lang w:eastAsia="it-IT"/>
              </w:rPr>
              <w:t>688</w:t>
            </w:r>
          </w:p>
        </w:tc>
      </w:tr>
      <w:tr w:rsidR="00777872" w:rsidRPr="00F867D0" w14:paraId="466E5576" w14:textId="77777777" w:rsidTr="000F749F">
        <w:trPr>
          <w:cantSplit/>
          <w:trHeight w:val="253"/>
        </w:trPr>
        <w:tc>
          <w:tcPr>
            <w:tcW w:w="2341" w:type="dxa"/>
            <w:vMerge/>
            <w:hideMark/>
          </w:tcPr>
          <w:p w14:paraId="651763FA" w14:textId="77777777" w:rsidR="00777872" w:rsidRPr="00F867D0" w:rsidRDefault="00777872" w:rsidP="00777872">
            <w:pPr>
              <w:spacing w:after="0"/>
              <w:jc w:val="center"/>
              <w:rPr>
                <w:i/>
                <w:iCs/>
                <w:sz w:val="18"/>
                <w:szCs w:val="18"/>
                <w:lang w:eastAsia="it-IT"/>
              </w:rPr>
            </w:pPr>
          </w:p>
        </w:tc>
        <w:tc>
          <w:tcPr>
            <w:tcW w:w="781" w:type="dxa"/>
            <w:vMerge/>
            <w:hideMark/>
          </w:tcPr>
          <w:p w14:paraId="4D635273" w14:textId="77777777" w:rsidR="00777872" w:rsidRPr="00F867D0" w:rsidRDefault="00777872" w:rsidP="00777872">
            <w:pPr>
              <w:spacing w:after="0"/>
              <w:jc w:val="center"/>
              <w:rPr>
                <w:sz w:val="18"/>
                <w:szCs w:val="18"/>
                <w:lang w:eastAsia="it-IT"/>
              </w:rPr>
            </w:pPr>
          </w:p>
        </w:tc>
        <w:tc>
          <w:tcPr>
            <w:tcW w:w="1009" w:type="dxa"/>
            <w:vMerge/>
            <w:hideMark/>
          </w:tcPr>
          <w:p w14:paraId="765EDD71" w14:textId="77777777" w:rsidR="00777872" w:rsidRPr="00F867D0" w:rsidRDefault="00777872" w:rsidP="00777872">
            <w:pPr>
              <w:spacing w:after="0"/>
              <w:jc w:val="center"/>
              <w:rPr>
                <w:sz w:val="18"/>
                <w:szCs w:val="18"/>
                <w:lang w:eastAsia="it-IT"/>
              </w:rPr>
            </w:pPr>
          </w:p>
        </w:tc>
        <w:tc>
          <w:tcPr>
            <w:tcW w:w="1031" w:type="dxa"/>
            <w:vMerge/>
            <w:hideMark/>
          </w:tcPr>
          <w:p w14:paraId="306225D2" w14:textId="77777777" w:rsidR="00777872" w:rsidRPr="00F867D0" w:rsidRDefault="00777872" w:rsidP="00777872">
            <w:pPr>
              <w:spacing w:after="0"/>
              <w:jc w:val="center"/>
              <w:rPr>
                <w:sz w:val="18"/>
                <w:szCs w:val="18"/>
                <w:lang w:eastAsia="it-IT"/>
              </w:rPr>
            </w:pPr>
          </w:p>
        </w:tc>
        <w:tc>
          <w:tcPr>
            <w:tcW w:w="898" w:type="dxa"/>
            <w:vMerge/>
            <w:hideMark/>
          </w:tcPr>
          <w:p w14:paraId="4051C72D" w14:textId="77777777" w:rsidR="00777872" w:rsidRPr="00F867D0" w:rsidRDefault="00777872" w:rsidP="00777872">
            <w:pPr>
              <w:spacing w:after="0"/>
              <w:jc w:val="center"/>
              <w:rPr>
                <w:sz w:val="18"/>
                <w:szCs w:val="18"/>
                <w:lang w:eastAsia="it-IT"/>
              </w:rPr>
            </w:pPr>
          </w:p>
        </w:tc>
        <w:tc>
          <w:tcPr>
            <w:tcW w:w="936" w:type="dxa"/>
            <w:vMerge/>
            <w:hideMark/>
          </w:tcPr>
          <w:p w14:paraId="1C52D3AE" w14:textId="77777777" w:rsidR="00777872" w:rsidRPr="00F867D0" w:rsidRDefault="00777872" w:rsidP="00777872">
            <w:pPr>
              <w:spacing w:after="0"/>
              <w:jc w:val="center"/>
              <w:rPr>
                <w:sz w:val="18"/>
                <w:szCs w:val="18"/>
                <w:lang w:eastAsia="it-IT"/>
              </w:rPr>
            </w:pPr>
          </w:p>
        </w:tc>
        <w:tc>
          <w:tcPr>
            <w:tcW w:w="280" w:type="dxa"/>
            <w:vMerge/>
            <w:hideMark/>
          </w:tcPr>
          <w:p w14:paraId="308F74E2" w14:textId="77777777" w:rsidR="00777872" w:rsidRPr="00F867D0" w:rsidRDefault="00777872" w:rsidP="00777872">
            <w:pPr>
              <w:spacing w:after="0"/>
              <w:jc w:val="center"/>
              <w:rPr>
                <w:sz w:val="18"/>
                <w:szCs w:val="18"/>
                <w:lang w:eastAsia="it-IT"/>
              </w:rPr>
            </w:pPr>
          </w:p>
        </w:tc>
        <w:tc>
          <w:tcPr>
            <w:tcW w:w="1031" w:type="dxa"/>
            <w:vMerge/>
            <w:hideMark/>
          </w:tcPr>
          <w:p w14:paraId="0A83BE33" w14:textId="77777777" w:rsidR="00777872" w:rsidRPr="00F867D0" w:rsidRDefault="00777872" w:rsidP="00777872">
            <w:pPr>
              <w:spacing w:after="0"/>
              <w:jc w:val="center"/>
              <w:rPr>
                <w:sz w:val="18"/>
                <w:szCs w:val="18"/>
                <w:lang w:eastAsia="it-IT"/>
              </w:rPr>
            </w:pPr>
          </w:p>
        </w:tc>
        <w:tc>
          <w:tcPr>
            <w:tcW w:w="1031" w:type="dxa"/>
            <w:vMerge/>
            <w:hideMark/>
          </w:tcPr>
          <w:p w14:paraId="7B245190" w14:textId="77777777" w:rsidR="00777872" w:rsidRPr="00F867D0" w:rsidRDefault="00777872" w:rsidP="00777872">
            <w:pPr>
              <w:spacing w:after="0"/>
              <w:jc w:val="center"/>
              <w:rPr>
                <w:sz w:val="18"/>
                <w:szCs w:val="18"/>
                <w:lang w:eastAsia="it-IT"/>
              </w:rPr>
            </w:pPr>
          </w:p>
        </w:tc>
        <w:tc>
          <w:tcPr>
            <w:tcW w:w="280" w:type="dxa"/>
            <w:vMerge/>
            <w:hideMark/>
          </w:tcPr>
          <w:p w14:paraId="3B59F381" w14:textId="77777777" w:rsidR="00777872" w:rsidRPr="00F867D0" w:rsidRDefault="00777872" w:rsidP="00777872">
            <w:pPr>
              <w:spacing w:after="0"/>
              <w:jc w:val="center"/>
              <w:rPr>
                <w:sz w:val="18"/>
                <w:szCs w:val="18"/>
                <w:lang w:eastAsia="it-IT"/>
              </w:rPr>
            </w:pPr>
          </w:p>
        </w:tc>
        <w:tc>
          <w:tcPr>
            <w:tcW w:w="1290" w:type="dxa"/>
            <w:vMerge/>
            <w:hideMark/>
          </w:tcPr>
          <w:p w14:paraId="04DF6ED0" w14:textId="77777777" w:rsidR="00777872" w:rsidRPr="00F867D0" w:rsidRDefault="00777872" w:rsidP="00777872">
            <w:pPr>
              <w:spacing w:after="0"/>
              <w:jc w:val="center"/>
              <w:rPr>
                <w:sz w:val="18"/>
                <w:szCs w:val="18"/>
                <w:lang w:eastAsia="it-IT"/>
              </w:rPr>
            </w:pPr>
          </w:p>
        </w:tc>
        <w:tc>
          <w:tcPr>
            <w:tcW w:w="1134" w:type="dxa"/>
            <w:vMerge/>
            <w:hideMark/>
          </w:tcPr>
          <w:p w14:paraId="0AAAD7F7" w14:textId="77777777" w:rsidR="00777872" w:rsidRPr="00F867D0" w:rsidRDefault="00777872" w:rsidP="00777872">
            <w:pPr>
              <w:spacing w:after="0"/>
              <w:jc w:val="center"/>
              <w:rPr>
                <w:sz w:val="18"/>
                <w:szCs w:val="18"/>
                <w:lang w:eastAsia="it-IT"/>
              </w:rPr>
            </w:pPr>
          </w:p>
        </w:tc>
        <w:tc>
          <w:tcPr>
            <w:tcW w:w="1134" w:type="dxa"/>
            <w:vMerge/>
            <w:hideMark/>
          </w:tcPr>
          <w:p w14:paraId="572BCD43" w14:textId="77777777" w:rsidR="00777872" w:rsidRPr="00F867D0" w:rsidRDefault="00777872" w:rsidP="00777872">
            <w:pPr>
              <w:spacing w:after="0"/>
              <w:jc w:val="center"/>
              <w:rPr>
                <w:sz w:val="18"/>
                <w:szCs w:val="18"/>
                <w:lang w:eastAsia="it-IT"/>
              </w:rPr>
            </w:pPr>
          </w:p>
        </w:tc>
      </w:tr>
      <w:tr w:rsidR="00777872" w:rsidRPr="00F867D0" w14:paraId="664F1408" w14:textId="77777777" w:rsidTr="000F749F">
        <w:trPr>
          <w:cantSplit/>
          <w:trHeight w:val="320"/>
        </w:trPr>
        <w:tc>
          <w:tcPr>
            <w:tcW w:w="2341" w:type="dxa"/>
            <w:vMerge w:val="restart"/>
            <w:hideMark/>
          </w:tcPr>
          <w:p w14:paraId="11D16CB5" w14:textId="57C72532" w:rsidR="00777872" w:rsidRPr="00F867D0" w:rsidRDefault="00777872" w:rsidP="00777872">
            <w:pPr>
              <w:spacing w:after="0"/>
              <w:jc w:val="center"/>
              <w:rPr>
                <w:i/>
                <w:iCs/>
                <w:sz w:val="18"/>
                <w:szCs w:val="18"/>
                <w:lang w:eastAsia="it-IT"/>
              </w:rPr>
            </w:pPr>
            <w:r w:rsidRPr="00F867D0">
              <w:rPr>
                <w:b/>
                <w:bCs/>
                <w:sz w:val="18"/>
                <w:szCs w:val="18"/>
                <w:lang w:eastAsia="it-IT"/>
              </w:rPr>
              <w:t>High Emission Factor</w:t>
            </w:r>
            <w:r w:rsidR="009727B8">
              <w:rPr>
                <w:b/>
                <w:bCs/>
                <w:sz w:val="18"/>
                <w:szCs w:val="18"/>
                <w:vertAlign w:val="superscript"/>
                <w:lang w:eastAsia="it-IT"/>
              </w:rPr>
              <w:t>d</w:t>
            </w:r>
            <w:r w:rsidRPr="00F867D0">
              <w:rPr>
                <w:b/>
                <w:bCs/>
                <w:sz w:val="18"/>
                <w:szCs w:val="18"/>
                <w:lang w:eastAsia="it-IT"/>
              </w:rPr>
              <w:t xml:space="preserve"> </w:t>
            </w:r>
            <w:r w:rsidRPr="00F867D0">
              <w:rPr>
                <w:i/>
                <w:iCs/>
                <w:sz w:val="18"/>
                <w:szCs w:val="18"/>
                <w:lang w:eastAsia="it-IT"/>
              </w:rPr>
              <w:br/>
              <w:t>(Middle hours, high electricity emission factor)</w:t>
            </w:r>
          </w:p>
        </w:tc>
        <w:tc>
          <w:tcPr>
            <w:tcW w:w="781" w:type="dxa"/>
            <w:vMerge w:val="restart"/>
            <w:hideMark/>
          </w:tcPr>
          <w:p w14:paraId="2A441141" w14:textId="77777777" w:rsidR="00777872" w:rsidRPr="00F867D0" w:rsidRDefault="00777872" w:rsidP="00777872">
            <w:pPr>
              <w:spacing w:after="0"/>
              <w:jc w:val="center"/>
              <w:rPr>
                <w:sz w:val="18"/>
                <w:szCs w:val="18"/>
                <w:lang w:eastAsia="it-IT"/>
              </w:rPr>
            </w:pPr>
            <w:r w:rsidRPr="00F867D0">
              <w:rPr>
                <w:sz w:val="18"/>
                <w:szCs w:val="18"/>
                <w:lang w:eastAsia="it-IT"/>
              </w:rPr>
              <w:t>1600</w:t>
            </w:r>
          </w:p>
        </w:tc>
        <w:tc>
          <w:tcPr>
            <w:tcW w:w="1009" w:type="dxa"/>
            <w:vMerge w:val="restart"/>
            <w:hideMark/>
          </w:tcPr>
          <w:p w14:paraId="1056B89E" w14:textId="77777777" w:rsidR="00777872" w:rsidRPr="00F867D0" w:rsidRDefault="00777872" w:rsidP="00777872">
            <w:pPr>
              <w:spacing w:after="0"/>
              <w:jc w:val="center"/>
              <w:rPr>
                <w:sz w:val="18"/>
                <w:szCs w:val="18"/>
                <w:lang w:eastAsia="it-IT"/>
              </w:rPr>
            </w:pPr>
            <w:r w:rsidRPr="00F867D0">
              <w:rPr>
                <w:sz w:val="18"/>
                <w:szCs w:val="18"/>
                <w:lang w:eastAsia="it-IT"/>
              </w:rPr>
              <w:t>Split unit / 5.275 kW</w:t>
            </w:r>
          </w:p>
        </w:tc>
        <w:tc>
          <w:tcPr>
            <w:tcW w:w="1031" w:type="dxa"/>
            <w:vMerge w:val="restart"/>
            <w:hideMark/>
          </w:tcPr>
          <w:p w14:paraId="69F53C3E" w14:textId="77777777" w:rsidR="00777872" w:rsidRPr="00F867D0" w:rsidRDefault="00777872" w:rsidP="00777872">
            <w:pPr>
              <w:spacing w:after="0"/>
              <w:jc w:val="center"/>
              <w:rPr>
                <w:sz w:val="18"/>
                <w:szCs w:val="18"/>
                <w:lang w:eastAsia="it-IT"/>
              </w:rPr>
            </w:pPr>
            <w:r w:rsidRPr="00F867D0">
              <w:rPr>
                <w:sz w:val="18"/>
                <w:szCs w:val="18"/>
                <w:lang w:eastAsia="it-IT"/>
              </w:rPr>
              <w:t>1300</w:t>
            </w:r>
          </w:p>
        </w:tc>
        <w:tc>
          <w:tcPr>
            <w:tcW w:w="898" w:type="dxa"/>
            <w:vMerge w:val="restart"/>
            <w:hideMark/>
          </w:tcPr>
          <w:p w14:paraId="0015153B" w14:textId="77777777" w:rsidR="00777872" w:rsidRPr="00F867D0" w:rsidRDefault="00777872" w:rsidP="00777872">
            <w:pPr>
              <w:spacing w:after="0"/>
              <w:jc w:val="center"/>
              <w:rPr>
                <w:sz w:val="18"/>
                <w:szCs w:val="18"/>
                <w:lang w:eastAsia="it-IT"/>
              </w:rPr>
            </w:pPr>
            <w:r w:rsidRPr="00F867D0">
              <w:rPr>
                <w:sz w:val="18"/>
                <w:szCs w:val="18"/>
                <w:lang w:eastAsia="it-IT"/>
              </w:rPr>
              <w:t>10%</w:t>
            </w:r>
          </w:p>
        </w:tc>
        <w:tc>
          <w:tcPr>
            <w:tcW w:w="936" w:type="dxa"/>
            <w:vMerge w:val="restart"/>
            <w:hideMark/>
          </w:tcPr>
          <w:p w14:paraId="43DC31D4" w14:textId="77777777" w:rsidR="00777872" w:rsidRPr="00F867D0" w:rsidRDefault="00777872" w:rsidP="00777872">
            <w:pPr>
              <w:spacing w:after="0"/>
              <w:jc w:val="center"/>
              <w:rPr>
                <w:sz w:val="18"/>
                <w:szCs w:val="18"/>
                <w:lang w:eastAsia="it-IT"/>
              </w:rPr>
            </w:pPr>
            <w:r w:rsidRPr="00F867D0">
              <w:rPr>
                <w:sz w:val="18"/>
                <w:szCs w:val="18"/>
                <w:lang w:eastAsia="it-IT"/>
              </w:rPr>
              <w:t>40%</w:t>
            </w:r>
          </w:p>
        </w:tc>
        <w:tc>
          <w:tcPr>
            <w:tcW w:w="280" w:type="dxa"/>
            <w:vMerge w:val="restart"/>
            <w:hideMark/>
          </w:tcPr>
          <w:p w14:paraId="71707119"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031" w:type="dxa"/>
            <w:vMerge w:val="restart"/>
            <w:hideMark/>
          </w:tcPr>
          <w:p w14:paraId="01AFC6D2" w14:textId="77777777" w:rsidR="00777872" w:rsidRPr="00F867D0" w:rsidRDefault="00777872" w:rsidP="00777872">
            <w:pPr>
              <w:spacing w:after="0"/>
              <w:jc w:val="center"/>
              <w:rPr>
                <w:sz w:val="18"/>
                <w:szCs w:val="18"/>
                <w:lang w:eastAsia="it-IT"/>
              </w:rPr>
            </w:pPr>
            <w:r w:rsidRPr="00F867D0">
              <w:rPr>
                <w:sz w:val="18"/>
                <w:szCs w:val="18"/>
                <w:lang w:eastAsia="it-IT"/>
              </w:rPr>
              <w:t>130</w:t>
            </w:r>
          </w:p>
        </w:tc>
        <w:tc>
          <w:tcPr>
            <w:tcW w:w="1031" w:type="dxa"/>
            <w:vMerge w:val="restart"/>
            <w:hideMark/>
          </w:tcPr>
          <w:p w14:paraId="4F6B07C8" w14:textId="77777777" w:rsidR="00777872" w:rsidRPr="00F867D0" w:rsidRDefault="00777872" w:rsidP="00777872">
            <w:pPr>
              <w:spacing w:after="0"/>
              <w:jc w:val="center"/>
              <w:rPr>
                <w:sz w:val="18"/>
                <w:szCs w:val="18"/>
                <w:lang w:eastAsia="it-IT"/>
              </w:rPr>
            </w:pPr>
            <w:r w:rsidRPr="00F867D0">
              <w:rPr>
                <w:sz w:val="18"/>
                <w:szCs w:val="18"/>
                <w:lang w:eastAsia="it-IT"/>
              </w:rPr>
              <w:t>520</w:t>
            </w:r>
          </w:p>
        </w:tc>
        <w:tc>
          <w:tcPr>
            <w:tcW w:w="280" w:type="dxa"/>
            <w:vMerge w:val="restart"/>
            <w:hideMark/>
          </w:tcPr>
          <w:p w14:paraId="581664EA"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290" w:type="dxa"/>
            <w:vMerge w:val="restart"/>
            <w:hideMark/>
          </w:tcPr>
          <w:p w14:paraId="6E2A4D01" w14:textId="77777777" w:rsidR="00777872" w:rsidRPr="00F867D0" w:rsidRDefault="00777872" w:rsidP="00777872">
            <w:pPr>
              <w:spacing w:after="0"/>
              <w:jc w:val="center"/>
              <w:rPr>
                <w:sz w:val="18"/>
                <w:szCs w:val="18"/>
                <w:lang w:eastAsia="it-IT"/>
              </w:rPr>
            </w:pPr>
            <w:r w:rsidRPr="00F867D0">
              <w:rPr>
                <w:sz w:val="18"/>
                <w:szCs w:val="18"/>
                <w:lang w:eastAsia="it-IT"/>
              </w:rPr>
              <w:t>1.3</w:t>
            </w:r>
          </w:p>
        </w:tc>
        <w:tc>
          <w:tcPr>
            <w:tcW w:w="1134" w:type="dxa"/>
            <w:vMerge w:val="restart"/>
            <w:hideMark/>
          </w:tcPr>
          <w:p w14:paraId="67D9240F" w14:textId="77777777" w:rsidR="00777872" w:rsidRPr="00F867D0" w:rsidRDefault="00777872" w:rsidP="00777872">
            <w:pPr>
              <w:spacing w:after="0"/>
              <w:jc w:val="center"/>
              <w:rPr>
                <w:sz w:val="18"/>
                <w:szCs w:val="18"/>
                <w:lang w:eastAsia="it-IT"/>
              </w:rPr>
            </w:pPr>
            <w:r w:rsidRPr="00F867D0">
              <w:rPr>
                <w:sz w:val="18"/>
                <w:szCs w:val="18"/>
                <w:lang w:eastAsia="it-IT"/>
              </w:rPr>
              <w:t>169</w:t>
            </w:r>
          </w:p>
        </w:tc>
        <w:tc>
          <w:tcPr>
            <w:tcW w:w="1134" w:type="dxa"/>
            <w:vMerge w:val="restart"/>
            <w:hideMark/>
          </w:tcPr>
          <w:p w14:paraId="104947AB" w14:textId="77777777" w:rsidR="00777872" w:rsidRPr="00F867D0" w:rsidRDefault="00777872" w:rsidP="00777872">
            <w:pPr>
              <w:spacing w:after="0"/>
              <w:jc w:val="center"/>
              <w:rPr>
                <w:sz w:val="18"/>
                <w:szCs w:val="18"/>
                <w:lang w:eastAsia="it-IT"/>
              </w:rPr>
            </w:pPr>
            <w:r w:rsidRPr="00F867D0">
              <w:rPr>
                <w:sz w:val="18"/>
                <w:szCs w:val="18"/>
                <w:lang w:eastAsia="it-IT"/>
              </w:rPr>
              <w:t>676</w:t>
            </w:r>
          </w:p>
        </w:tc>
      </w:tr>
      <w:tr w:rsidR="00777872" w:rsidRPr="00F867D0" w14:paraId="5D310A63" w14:textId="77777777" w:rsidTr="000F749F">
        <w:trPr>
          <w:cantSplit/>
          <w:trHeight w:val="377"/>
        </w:trPr>
        <w:tc>
          <w:tcPr>
            <w:tcW w:w="2341" w:type="dxa"/>
            <w:vMerge/>
            <w:hideMark/>
          </w:tcPr>
          <w:p w14:paraId="02C0577E" w14:textId="77777777" w:rsidR="00777872" w:rsidRPr="00F867D0" w:rsidRDefault="00777872" w:rsidP="00777872">
            <w:pPr>
              <w:spacing w:after="0"/>
              <w:jc w:val="center"/>
              <w:rPr>
                <w:i/>
                <w:iCs/>
                <w:sz w:val="18"/>
                <w:szCs w:val="18"/>
                <w:lang w:eastAsia="it-IT"/>
              </w:rPr>
            </w:pPr>
          </w:p>
        </w:tc>
        <w:tc>
          <w:tcPr>
            <w:tcW w:w="781" w:type="dxa"/>
            <w:vMerge/>
            <w:hideMark/>
          </w:tcPr>
          <w:p w14:paraId="27E9356C" w14:textId="77777777" w:rsidR="00777872" w:rsidRPr="00F867D0" w:rsidRDefault="00777872" w:rsidP="00777872">
            <w:pPr>
              <w:spacing w:after="0"/>
              <w:jc w:val="center"/>
              <w:rPr>
                <w:sz w:val="18"/>
                <w:szCs w:val="18"/>
                <w:lang w:eastAsia="it-IT"/>
              </w:rPr>
            </w:pPr>
          </w:p>
        </w:tc>
        <w:tc>
          <w:tcPr>
            <w:tcW w:w="1009" w:type="dxa"/>
            <w:vMerge/>
            <w:hideMark/>
          </w:tcPr>
          <w:p w14:paraId="38B33000" w14:textId="77777777" w:rsidR="00777872" w:rsidRPr="00F867D0" w:rsidRDefault="00777872" w:rsidP="00777872">
            <w:pPr>
              <w:spacing w:after="0"/>
              <w:jc w:val="center"/>
              <w:rPr>
                <w:sz w:val="18"/>
                <w:szCs w:val="18"/>
                <w:lang w:eastAsia="it-IT"/>
              </w:rPr>
            </w:pPr>
          </w:p>
        </w:tc>
        <w:tc>
          <w:tcPr>
            <w:tcW w:w="1031" w:type="dxa"/>
            <w:vMerge/>
            <w:hideMark/>
          </w:tcPr>
          <w:p w14:paraId="4D455095" w14:textId="77777777" w:rsidR="00777872" w:rsidRPr="00F867D0" w:rsidRDefault="00777872" w:rsidP="00777872">
            <w:pPr>
              <w:spacing w:after="0"/>
              <w:jc w:val="center"/>
              <w:rPr>
                <w:sz w:val="18"/>
                <w:szCs w:val="18"/>
                <w:lang w:eastAsia="it-IT"/>
              </w:rPr>
            </w:pPr>
          </w:p>
        </w:tc>
        <w:tc>
          <w:tcPr>
            <w:tcW w:w="898" w:type="dxa"/>
            <w:vMerge/>
            <w:hideMark/>
          </w:tcPr>
          <w:p w14:paraId="77314323" w14:textId="77777777" w:rsidR="00777872" w:rsidRPr="00F867D0" w:rsidRDefault="00777872" w:rsidP="00777872">
            <w:pPr>
              <w:spacing w:after="0"/>
              <w:jc w:val="center"/>
              <w:rPr>
                <w:sz w:val="18"/>
                <w:szCs w:val="18"/>
                <w:lang w:eastAsia="it-IT"/>
              </w:rPr>
            </w:pPr>
          </w:p>
        </w:tc>
        <w:tc>
          <w:tcPr>
            <w:tcW w:w="936" w:type="dxa"/>
            <w:vMerge/>
            <w:hideMark/>
          </w:tcPr>
          <w:p w14:paraId="37E97BD8" w14:textId="77777777" w:rsidR="00777872" w:rsidRPr="00F867D0" w:rsidRDefault="00777872" w:rsidP="00777872">
            <w:pPr>
              <w:spacing w:after="0"/>
              <w:jc w:val="center"/>
              <w:rPr>
                <w:sz w:val="18"/>
                <w:szCs w:val="18"/>
                <w:lang w:eastAsia="it-IT"/>
              </w:rPr>
            </w:pPr>
          </w:p>
        </w:tc>
        <w:tc>
          <w:tcPr>
            <w:tcW w:w="280" w:type="dxa"/>
            <w:vMerge/>
            <w:hideMark/>
          </w:tcPr>
          <w:p w14:paraId="1340D720" w14:textId="77777777" w:rsidR="00777872" w:rsidRPr="00F867D0" w:rsidRDefault="00777872" w:rsidP="00777872">
            <w:pPr>
              <w:spacing w:after="0"/>
              <w:jc w:val="center"/>
              <w:rPr>
                <w:sz w:val="18"/>
                <w:szCs w:val="18"/>
                <w:lang w:eastAsia="it-IT"/>
              </w:rPr>
            </w:pPr>
          </w:p>
        </w:tc>
        <w:tc>
          <w:tcPr>
            <w:tcW w:w="1031" w:type="dxa"/>
            <w:vMerge/>
            <w:hideMark/>
          </w:tcPr>
          <w:p w14:paraId="3989AF4E" w14:textId="77777777" w:rsidR="00777872" w:rsidRPr="00F867D0" w:rsidRDefault="00777872" w:rsidP="00777872">
            <w:pPr>
              <w:spacing w:after="0"/>
              <w:jc w:val="center"/>
              <w:rPr>
                <w:sz w:val="18"/>
                <w:szCs w:val="18"/>
                <w:lang w:eastAsia="it-IT"/>
              </w:rPr>
            </w:pPr>
          </w:p>
        </w:tc>
        <w:tc>
          <w:tcPr>
            <w:tcW w:w="1031" w:type="dxa"/>
            <w:vMerge/>
            <w:hideMark/>
          </w:tcPr>
          <w:p w14:paraId="72172484" w14:textId="77777777" w:rsidR="00777872" w:rsidRPr="00F867D0" w:rsidRDefault="00777872" w:rsidP="00777872">
            <w:pPr>
              <w:spacing w:after="0"/>
              <w:jc w:val="center"/>
              <w:rPr>
                <w:sz w:val="18"/>
                <w:szCs w:val="18"/>
                <w:lang w:eastAsia="it-IT"/>
              </w:rPr>
            </w:pPr>
          </w:p>
        </w:tc>
        <w:tc>
          <w:tcPr>
            <w:tcW w:w="280" w:type="dxa"/>
            <w:vMerge/>
            <w:hideMark/>
          </w:tcPr>
          <w:p w14:paraId="7CE0CC58" w14:textId="77777777" w:rsidR="00777872" w:rsidRPr="00F867D0" w:rsidRDefault="00777872" w:rsidP="00777872">
            <w:pPr>
              <w:spacing w:after="0"/>
              <w:jc w:val="center"/>
              <w:rPr>
                <w:sz w:val="18"/>
                <w:szCs w:val="18"/>
                <w:lang w:eastAsia="it-IT"/>
              </w:rPr>
            </w:pPr>
          </w:p>
        </w:tc>
        <w:tc>
          <w:tcPr>
            <w:tcW w:w="1290" w:type="dxa"/>
            <w:vMerge/>
            <w:hideMark/>
          </w:tcPr>
          <w:p w14:paraId="570C377D" w14:textId="77777777" w:rsidR="00777872" w:rsidRPr="00F867D0" w:rsidRDefault="00777872" w:rsidP="00777872">
            <w:pPr>
              <w:spacing w:after="0"/>
              <w:jc w:val="center"/>
              <w:rPr>
                <w:sz w:val="18"/>
                <w:szCs w:val="18"/>
                <w:lang w:eastAsia="it-IT"/>
              </w:rPr>
            </w:pPr>
          </w:p>
        </w:tc>
        <w:tc>
          <w:tcPr>
            <w:tcW w:w="1134" w:type="dxa"/>
            <w:vMerge/>
            <w:hideMark/>
          </w:tcPr>
          <w:p w14:paraId="0AB9A96E" w14:textId="77777777" w:rsidR="00777872" w:rsidRPr="00F867D0" w:rsidRDefault="00777872" w:rsidP="00777872">
            <w:pPr>
              <w:spacing w:after="0"/>
              <w:jc w:val="center"/>
              <w:rPr>
                <w:sz w:val="18"/>
                <w:szCs w:val="18"/>
                <w:lang w:eastAsia="it-IT"/>
              </w:rPr>
            </w:pPr>
          </w:p>
        </w:tc>
        <w:tc>
          <w:tcPr>
            <w:tcW w:w="1134" w:type="dxa"/>
            <w:vMerge/>
            <w:hideMark/>
          </w:tcPr>
          <w:p w14:paraId="0FA58D79" w14:textId="77777777" w:rsidR="00777872" w:rsidRPr="00F867D0" w:rsidRDefault="00777872" w:rsidP="00777872">
            <w:pPr>
              <w:spacing w:after="0"/>
              <w:jc w:val="center"/>
              <w:rPr>
                <w:sz w:val="18"/>
                <w:szCs w:val="18"/>
                <w:lang w:eastAsia="it-IT"/>
              </w:rPr>
            </w:pPr>
          </w:p>
        </w:tc>
      </w:tr>
      <w:tr w:rsidR="00777872" w:rsidRPr="00F867D0" w14:paraId="15DBDA16" w14:textId="77777777" w:rsidTr="000F749F">
        <w:trPr>
          <w:cantSplit/>
          <w:trHeight w:val="320"/>
        </w:trPr>
        <w:tc>
          <w:tcPr>
            <w:tcW w:w="2341" w:type="dxa"/>
            <w:vMerge w:val="restart"/>
            <w:hideMark/>
          </w:tcPr>
          <w:p w14:paraId="3D6850FB" w14:textId="41CDFF32" w:rsidR="00777872" w:rsidRPr="00F867D0" w:rsidRDefault="00777872" w:rsidP="00777872">
            <w:pPr>
              <w:spacing w:after="0"/>
              <w:jc w:val="center"/>
              <w:rPr>
                <w:i/>
                <w:iCs/>
                <w:sz w:val="18"/>
                <w:szCs w:val="18"/>
                <w:lang w:eastAsia="it-IT"/>
              </w:rPr>
            </w:pPr>
            <w:r w:rsidRPr="00F867D0">
              <w:rPr>
                <w:b/>
                <w:bCs/>
                <w:sz w:val="18"/>
                <w:szCs w:val="18"/>
                <w:lang w:eastAsia="it-IT"/>
              </w:rPr>
              <w:t>Highest Case</w:t>
            </w:r>
            <w:r w:rsidR="009727B8">
              <w:rPr>
                <w:b/>
                <w:bCs/>
                <w:sz w:val="18"/>
                <w:szCs w:val="18"/>
                <w:vertAlign w:val="superscript"/>
                <w:lang w:eastAsia="it-IT"/>
              </w:rPr>
              <w:t>e</w:t>
            </w:r>
            <w:r w:rsidRPr="00F867D0">
              <w:rPr>
                <w:b/>
                <w:bCs/>
                <w:sz w:val="18"/>
                <w:szCs w:val="18"/>
                <w:lang w:eastAsia="it-IT"/>
              </w:rPr>
              <w:t xml:space="preserve"> </w:t>
            </w:r>
            <w:r w:rsidRPr="00F867D0">
              <w:rPr>
                <w:i/>
                <w:iCs/>
                <w:sz w:val="18"/>
                <w:szCs w:val="18"/>
                <w:lang w:eastAsia="it-IT"/>
              </w:rPr>
              <w:br/>
              <w:t>(High hours, high electricity emission factor)</w:t>
            </w:r>
          </w:p>
        </w:tc>
        <w:tc>
          <w:tcPr>
            <w:tcW w:w="781" w:type="dxa"/>
            <w:vMerge w:val="restart"/>
            <w:hideMark/>
          </w:tcPr>
          <w:p w14:paraId="65F77EEE" w14:textId="77777777" w:rsidR="00777872" w:rsidRPr="00F867D0" w:rsidRDefault="00777872" w:rsidP="00777872">
            <w:pPr>
              <w:spacing w:after="0"/>
              <w:jc w:val="center"/>
              <w:rPr>
                <w:sz w:val="18"/>
                <w:szCs w:val="18"/>
                <w:lang w:eastAsia="it-IT"/>
              </w:rPr>
            </w:pPr>
            <w:r w:rsidRPr="00F867D0">
              <w:rPr>
                <w:sz w:val="18"/>
                <w:szCs w:val="18"/>
                <w:lang w:eastAsia="it-IT"/>
              </w:rPr>
              <w:t>2880</w:t>
            </w:r>
          </w:p>
        </w:tc>
        <w:tc>
          <w:tcPr>
            <w:tcW w:w="1009" w:type="dxa"/>
            <w:vMerge w:val="restart"/>
            <w:hideMark/>
          </w:tcPr>
          <w:p w14:paraId="62CD50D1" w14:textId="77777777" w:rsidR="00777872" w:rsidRPr="00F867D0" w:rsidRDefault="00777872" w:rsidP="00777872">
            <w:pPr>
              <w:spacing w:after="0"/>
              <w:jc w:val="center"/>
              <w:rPr>
                <w:sz w:val="18"/>
                <w:szCs w:val="18"/>
                <w:lang w:eastAsia="it-IT"/>
              </w:rPr>
            </w:pPr>
            <w:r w:rsidRPr="00F867D0">
              <w:rPr>
                <w:sz w:val="18"/>
                <w:szCs w:val="18"/>
                <w:lang w:eastAsia="it-IT"/>
              </w:rPr>
              <w:t>Split unit / 5.275 kW</w:t>
            </w:r>
          </w:p>
        </w:tc>
        <w:tc>
          <w:tcPr>
            <w:tcW w:w="1031" w:type="dxa"/>
            <w:vMerge w:val="restart"/>
            <w:hideMark/>
          </w:tcPr>
          <w:p w14:paraId="79A25264" w14:textId="77777777" w:rsidR="00777872" w:rsidRPr="00F867D0" w:rsidRDefault="00777872" w:rsidP="00777872">
            <w:pPr>
              <w:spacing w:after="0"/>
              <w:jc w:val="center"/>
              <w:rPr>
                <w:sz w:val="18"/>
                <w:szCs w:val="18"/>
                <w:lang w:eastAsia="it-IT"/>
              </w:rPr>
            </w:pPr>
            <w:r w:rsidRPr="00F867D0">
              <w:rPr>
                <w:sz w:val="18"/>
                <w:szCs w:val="18"/>
                <w:lang w:eastAsia="it-IT"/>
              </w:rPr>
              <w:t>5759</w:t>
            </w:r>
          </w:p>
        </w:tc>
        <w:tc>
          <w:tcPr>
            <w:tcW w:w="898" w:type="dxa"/>
            <w:vMerge w:val="restart"/>
            <w:hideMark/>
          </w:tcPr>
          <w:p w14:paraId="633FB8D1" w14:textId="77777777" w:rsidR="00777872" w:rsidRPr="00F867D0" w:rsidRDefault="00777872" w:rsidP="00777872">
            <w:pPr>
              <w:spacing w:after="0"/>
              <w:jc w:val="center"/>
              <w:rPr>
                <w:sz w:val="18"/>
                <w:szCs w:val="18"/>
                <w:lang w:eastAsia="it-IT"/>
              </w:rPr>
            </w:pPr>
            <w:r w:rsidRPr="00F867D0">
              <w:rPr>
                <w:sz w:val="18"/>
                <w:szCs w:val="18"/>
                <w:lang w:eastAsia="it-IT"/>
              </w:rPr>
              <w:t>25%</w:t>
            </w:r>
          </w:p>
        </w:tc>
        <w:tc>
          <w:tcPr>
            <w:tcW w:w="936" w:type="dxa"/>
            <w:vMerge w:val="restart"/>
            <w:hideMark/>
          </w:tcPr>
          <w:p w14:paraId="1EA218BF" w14:textId="77777777" w:rsidR="00777872" w:rsidRPr="00F867D0" w:rsidRDefault="00777872" w:rsidP="00777872">
            <w:pPr>
              <w:spacing w:after="0"/>
              <w:jc w:val="center"/>
              <w:rPr>
                <w:sz w:val="18"/>
                <w:szCs w:val="18"/>
                <w:lang w:eastAsia="it-IT"/>
              </w:rPr>
            </w:pPr>
            <w:r w:rsidRPr="00F867D0">
              <w:rPr>
                <w:sz w:val="18"/>
                <w:szCs w:val="18"/>
                <w:lang w:eastAsia="it-IT"/>
              </w:rPr>
              <w:t>40%</w:t>
            </w:r>
          </w:p>
        </w:tc>
        <w:tc>
          <w:tcPr>
            <w:tcW w:w="280" w:type="dxa"/>
            <w:vMerge w:val="restart"/>
            <w:hideMark/>
          </w:tcPr>
          <w:p w14:paraId="4B9C23AA"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031" w:type="dxa"/>
            <w:vMerge w:val="restart"/>
            <w:hideMark/>
          </w:tcPr>
          <w:p w14:paraId="40110727" w14:textId="77777777" w:rsidR="00777872" w:rsidRPr="00F867D0" w:rsidRDefault="00777872" w:rsidP="00777872">
            <w:pPr>
              <w:spacing w:after="0"/>
              <w:jc w:val="center"/>
              <w:rPr>
                <w:sz w:val="18"/>
                <w:szCs w:val="18"/>
                <w:lang w:eastAsia="it-IT"/>
              </w:rPr>
            </w:pPr>
            <w:r w:rsidRPr="00F867D0">
              <w:rPr>
                <w:sz w:val="18"/>
                <w:szCs w:val="18"/>
                <w:lang w:eastAsia="it-IT"/>
              </w:rPr>
              <w:t>1440</w:t>
            </w:r>
          </w:p>
        </w:tc>
        <w:tc>
          <w:tcPr>
            <w:tcW w:w="1031" w:type="dxa"/>
            <w:vMerge w:val="restart"/>
            <w:hideMark/>
          </w:tcPr>
          <w:p w14:paraId="684C2733" w14:textId="77777777" w:rsidR="00777872" w:rsidRPr="00F867D0" w:rsidRDefault="00777872" w:rsidP="00777872">
            <w:pPr>
              <w:spacing w:after="0"/>
              <w:jc w:val="center"/>
              <w:rPr>
                <w:sz w:val="18"/>
                <w:szCs w:val="18"/>
                <w:lang w:eastAsia="it-IT"/>
              </w:rPr>
            </w:pPr>
            <w:r w:rsidRPr="00F867D0">
              <w:rPr>
                <w:sz w:val="18"/>
                <w:szCs w:val="18"/>
                <w:lang w:eastAsia="it-IT"/>
              </w:rPr>
              <w:t>2304</w:t>
            </w:r>
          </w:p>
        </w:tc>
        <w:tc>
          <w:tcPr>
            <w:tcW w:w="280" w:type="dxa"/>
            <w:vMerge w:val="restart"/>
            <w:hideMark/>
          </w:tcPr>
          <w:p w14:paraId="4C88CD08" w14:textId="77777777" w:rsidR="00777872" w:rsidRPr="00F867D0" w:rsidRDefault="00777872" w:rsidP="00777872">
            <w:pPr>
              <w:spacing w:after="0"/>
              <w:jc w:val="center"/>
              <w:rPr>
                <w:sz w:val="18"/>
                <w:szCs w:val="18"/>
                <w:lang w:eastAsia="it-IT"/>
              </w:rPr>
            </w:pPr>
            <w:r w:rsidRPr="00F867D0">
              <w:rPr>
                <w:sz w:val="18"/>
                <w:szCs w:val="18"/>
                <w:lang w:eastAsia="it-IT"/>
              </w:rPr>
              <w:t> </w:t>
            </w:r>
          </w:p>
        </w:tc>
        <w:tc>
          <w:tcPr>
            <w:tcW w:w="1290" w:type="dxa"/>
            <w:vMerge w:val="restart"/>
            <w:hideMark/>
          </w:tcPr>
          <w:p w14:paraId="372E8F43" w14:textId="77777777" w:rsidR="00777872" w:rsidRPr="00F867D0" w:rsidRDefault="00777872" w:rsidP="00777872">
            <w:pPr>
              <w:spacing w:after="0"/>
              <w:jc w:val="center"/>
              <w:rPr>
                <w:sz w:val="18"/>
                <w:szCs w:val="18"/>
                <w:lang w:eastAsia="it-IT"/>
              </w:rPr>
            </w:pPr>
            <w:r w:rsidRPr="00F867D0">
              <w:rPr>
                <w:sz w:val="18"/>
                <w:szCs w:val="18"/>
                <w:lang w:eastAsia="it-IT"/>
              </w:rPr>
              <w:t>0.97</w:t>
            </w:r>
          </w:p>
        </w:tc>
        <w:tc>
          <w:tcPr>
            <w:tcW w:w="1134" w:type="dxa"/>
            <w:vMerge w:val="restart"/>
            <w:hideMark/>
          </w:tcPr>
          <w:p w14:paraId="103AD1A3" w14:textId="77777777" w:rsidR="00777872" w:rsidRPr="00F867D0" w:rsidRDefault="00777872" w:rsidP="00777872">
            <w:pPr>
              <w:spacing w:after="0"/>
              <w:jc w:val="center"/>
              <w:rPr>
                <w:sz w:val="18"/>
                <w:szCs w:val="18"/>
                <w:lang w:eastAsia="it-IT"/>
              </w:rPr>
            </w:pPr>
            <w:r w:rsidRPr="00F867D0">
              <w:rPr>
                <w:sz w:val="18"/>
                <w:szCs w:val="18"/>
                <w:lang w:eastAsia="it-IT"/>
              </w:rPr>
              <w:t>1397</w:t>
            </w:r>
          </w:p>
        </w:tc>
        <w:tc>
          <w:tcPr>
            <w:tcW w:w="1134" w:type="dxa"/>
            <w:vMerge w:val="restart"/>
            <w:hideMark/>
          </w:tcPr>
          <w:p w14:paraId="3B891AF4" w14:textId="77777777" w:rsidR="00777872" w:rsidRPr="00F867D0" w:rsidRDefault="00777872" w:rsidP="00777872">
            <w:pPr>
              <w:spacing w:after="0"/>
              <w:jc w:val="center"/>
              <w:rPr>
                <w:sz w:val="18"/>
                <w:szCs w:val="18"/>
                <w:lang w:eastAsia="it-IT"/>
              </w:rPr>
            </w:pPr>
            <w:r w:rsidRPr="00F867D0">
              <w:rPr>
                <w:sz w:val="18"/>
                <w:szCs w:val="18"/>
                <w:lang w:eastAsia="it-IT"/>
              </w:rPr>
              <w:t>2234</w:t>
            </w:r>
          </w:p>
        </w:tc>
      </w:tr>
      <w:tr w:rsidR="00777872" w:rsidRPr="00F867D0" w14:paraId="18BF4C28" w14:textId="77777777" w:rsidTr="000F749F">
        <w:trPr>
          <w:cantSplit/>
          <w:trHeight w:val="800"/>
        </w:trPr>
        <w:tc>
          <w:tcPr>
            <w:tcW w:w="2341" w:type="dxa"/>
            <w:vMerge/>
            <w:hideMark/>
          </w:tcPr>
          <w:p w14:paraId="2E4A307F" w14:textId="77777777" w:rsidR="00777872" w:rsidRPr="00F867D0" w:rsidRDefault="00777872" w:rsidP="00777872">
            <w:pPr>
              <w:spacing w:after="0"/>
              <w:jc w:val="center"/>
              <w:rPr>
                <w:i/>
                <w:iCs/>
                <w:lang w:eastAsia="it-IT"/>
              </w:rPr>
            </w:pPr>
          </w:p>
        </w:tc>
        <w:tc>
          <w:tcPr>
            <w:tcW w:w="781" w:type="dxa"/>
            <w:vMerge/>
            <w:hideMark/>
          </w:tcPr>
          <w:p w14:paraId="6F333BF2" w14:textId="77777777" w:rsidR="00777872" w:rsidRPr="00F867D0" w:rsidRDefault="00777872" w:rsidP="00777872">
            <w:pPr>
              <w:spacing w:after="0"/>
              <w:jc w:val="center"/>
              <w:rPr>
                <w:lang w:eastAsia="it-IT"/>
              </w:rPr>
            </w:pPr>
          </w:p>
        </w:tc>
        <w:tc>
          <w:tcPr>
            <w:tcW w:w="1009" w:type="dxa"/>
            <w:vMerge/>
            <w:hideMark/>
          </w:tcPr>
          <w:p w14:paraId="1B8F9B84" w14:textId="77777777" w:rsidR="00777872" w:rsidRPr="00F867D0" w:rsidRDefault="00777872" w:rsidP="00777872">
            <w:pPr>
              <w:spacing w:after="0"/>
              <w:jc w:val="center"/>
              <w:rPr>
                <w:lang w:eastAsia="it-IT"/>
              </w:rPr>
            </w:pPr>
          </w:p>
        </w:tc>
        <w:tc>
          <w:tcPr>
            <w:tcW w:w="1031" w:type="dxa"/>
            <w:vMerge/>
            <w:hideMark/>
          </w:tcPr>
          <w:p w14:paraId="6F4DE04E" w14:textId="77777777" w:rsidR="00777872" w:rsidRPr="00F867D0" w:rsidRDefault="00777872" w:rsidP="00777872">
            <w:pPr>
              <w:spacing w:after="0"/>
              <w:jc w:val="center"/>
              <w:rPr>
                <w:lang w:eastAsia="it-IT"/>
              </w:rPr>
            </w:pPr>
          </w:p>
        </w:tc>
        <w:tc>
          <w:tcPr>
            <w:tcW w:w="898" w:type="dxa"/>
            <w:vMerge/>
            <w:hideMark/>
          </w:tcPr>
          <w:p w14:paraId="19A309DF" w14:textId="77777777" w:rsidR="00777872" w:rsidRPr="00F867D0" w:rsidRDefault="00777872" w:rsidP="00777872">
            <w:pPr>
              <w:spacing w:after="0"/>
              <w:jc w:val="center"/>
              <w:rPr>
                <w:lang w:eastAsia="it-IT"/>
              </w:rPr>
            </w:pPr>
          </w:p>
        </w:tc>
        <w:tc>
          <w:tcPr>
            <w:tcW w:w="936" w:type="dxa"/>
            <w:vMerge/>
            <w:hideMark/>
          </w:tcPr>
          <w:p w14:paraId="1EBE7B78" w14:textId="77777777" w:rsidR="00777872" w:rsidRPr="00F867D0" w:rsidRDefault="00777872" w:rsidP="00777872">
            <w:pPr>
              <w:spacing w:after="0"/>
              <w:jc w:val="center"/>
              <w:rPr>
                <w:lang w:eastAsia="it-IT"/>
              </w:rPr>
            </w:pPr>
          </w:p>
        </w:tc>
        <w:tc>
          <w:tcPr>
            <w:tcW w:w="280" w:type="dxa"/>
            <w:vMerge/>
            <w:hideMark/>
          </w:tcPr>
          <w:p w14:paraId="0C935AB4" w14:textId="77777777" w:rsidR="00777872" w:rsidRPr="00F867D0" w:rsidRDefault="00777872" w:rsidP="00777872">
            <w:pPr>
              <w:spacing w:after="0"/>
              <w:jc w:val="center"/>
              <w:rPr>
                <w:lang w:eastAsia="it-IT"/>
              </w:rPr>
            </w:pPr>
          </w:p>
        </w:tc>
        <w:tc>
          <w:tcPr>
            <w:tcW w:w="1031" w:type="dxa"/>
            <w:vMerge/>
            <w:hideMark/>
          </w:tcPr>
          <w:p w14:paraId="0C0B5009" w14:textId="77777777" w:rsidR="00777872" w:rsidRPr="00F867D0" w:rsidRDefault="00777872" w:rsidP="00777872">
            <w:pPr>
              <w:spacing w:after="0"/>
              <w:jc w:val="center"/>
              <w:rPr>
                <w:lang w:eastAsia="it-IT"/>
              </w:rPr>
            </w:pPr>
          </w:p>
        </w:tc>
        <w:tc>
          <w:tcPr>
            <w:tcW w:w="1031" w:type="dxa"/>
            <w:vMerge/>
            <w:hideMark/>
          </w:tcPr>
          <w:p w14:paraId="290A15EE" w14:textId="77777777" w:rsidR="00777872" w:rsidRPr="00F867D0" w:rsidRDefault="00777872" w:rsidP="00777872">
            <w:pPr>
              <w:spacing w:after="0"/>
              <w:jc w:val="center"/>
              <w:rPr>
                <w:lang w:eastAsia="it-IT"/>
              </w:rPr>
            </w:pPr>
          </w:p>
        </w:tc>
        <w:tc>
          <w:tcPr>
            <w:tcW w:w="280" w:type="dxa"/>
            <w:vMerge/>
            <w:hideMark/>
          </w:tcPr>
          <w:p w14:paraId="02F808D5" w14:textId="77777777" w:rsidR="00777872" w:rsidRPr="00F867D0" w:rsidRDefault="00777872" w:rsidP="00777872">
            <w:pPr>
              <w:spacing w:after="0"/>
              <w:jc w:val="center"/>
              <w:rPr>
                <w:lang w:eastAsia="it-IT"/>
              </w:rPr>
            </w:pPr>
          </w:p>
        </w:tc>
        <w:tc>
          <w:tcPr>
            <w:tcW w:w="1290" w:type="dxa"/>
            <w:vMerge/>
            <w:hideMark/>
          </w:tcPr>
          <w:p w14:paraId="00777DCB" w14:textId="77777777" w:rsidR="00777872" w:rsidRPr="00F867D0" w:rsidRDefault="00777872" w:rsidP="00777872">
            <w:pPr>
              <w:spacing w:after="0"/>
              <w:jc w:val="center"/>
              <w:rPr>
                <w:lang w:eastAsia="it-IT"/>
              </w:rPr>
            </w:pPr>
          </w:p>
        </w:tc>
        <w:tc>
          <w:tcPr>
            <w:tcW w:w="1134" w:type="dxa"/>
            <w:vMerge/>
            <w:hideMark/>
          </w:tcPr>
          <w:p w14:paraId="032180E3" w14:textId="77777777" w:rsidR="00777872" w:rsidRPr="00F867D0" w:rsidRDefault="00777872" w:rsidP="00777872">
            <w:pPr>
              <w:spacing w:after="0"/>
              <w:jc w:val="center"/>
              <w:rPr>
                <w:lang w:eastAsia="it-IT"/>
              </w:rPr>
            </w:pPr>
          </w:p>
        </w:tc>
        <w:tc>
          <w:tcPr>
            <w:tcW w:w="1134" w:type="dxa"/>
            <w:vMerge/>
            <w:hideMark/>
          </w:tcPr>
          <w:p w14:paraId="375A280D" w14:textId="77777777" w:rsidR="00777872" w:rsidRPr="00F867D0" w:rsidRDefault="00777872" w:rsidP="00777872">
            <w:pPr>
              <w:spacing w:after="0"/>
              <w:jc w:val="center"/>
              <w:rPr>
                <w:lang w:eastAsia="it-IT"/>
              </w:rPr>
            </w:pPr>
          </w:p>
        </w:tc>
      </w:tr>
    </w:tbl>
    <w:p w14:paraId="4F5CCE3C" w14:textId="6DE557D5" w:rsidR="009727B8" w:rsidRPr="000F749F" w:rsidRDefault="009727B8" w:rsidP="009727B8">
      <w:pPr>
        <w:spacing w:after="0"/>
        <w:ind w:left="90" w:hanging="90"/>
        <w:rPr>
          <w:sz w:val="16"/>
          <w:szCs w:val="16"/>
          <w:lang w:val="en-US" w:eastAsia="it-IT"/>
        </w:rPr>
      </w:pPr>
      <w:r w:rsidRPr="000F749F">
        <w:rPr>
          <w:i/>
          <w:sz w:val="16"/>
          <w:szCs w:val="16"/>
          <w:vertAlign w:val="superscript"/>
          <w:lang w:val="en-US" w:eastAsia="it-IT"/>
        </w:rPr>
        <w:t xml:space="preserve">a </w:t>
      </w:r>
      <w:r w:rsidRPr="000F749F">
        <w:rPr>
          <w:sz w:val="16"/>
          <w:szCs w:val="16"/>
          <w:lang w:val="en-US" w:eastAsia="it-IT"/>
        </w:rPr>
        <w:t>Hours of use for cooling in Europe (Topten.eu); unit energy use from Topten.eu with inefficient (266 kWh/yr) and highest efficiency (122 kWh/yr), higher efficiency from ranges presented in Table 2.1; emission factor for Norway (</w:t>
      </w:r>
      <w:r w:rsidR="00306985" w:rsidRPr="000F749F">
        <w:rPr>
          <w:sz w:val="16"/>
          <w:szCs w:val="16"/>
          <w:lang w:val="en-US" w:eastAsia="it-IT"/>
        </w:rPr>
        <w:t xml:space="preserve">de la </w:t>
      </w:r>
      <w:r w:rsidRPr="000F749F">
        <w:rPr>
          <w:sz w:val="16"/>
          <w:szCs w:val="16"/>
          <w:lang w:val="en-US" w:eastAsia="it-IT"/>
        </w:rPr>
        <w:t>Rue du Can et al., 2015).</w:t>
      </w:r>
    </w:p>
    <w:p w14:paraId="3660B7C1" w14:textId="126788AF" w:rsidR="009727B8" w:rsidRPr="000F749F" w:rsidRDefault="009727B8" w:rsidP="009727B8">
      <w:pPr>
        <w:spacing w:after="0"/>
        <w:ind w:left="90" w:hanging="90"/>
        <w:rPr>
          <w:sz w:val="16"/>
          <w:szCs w:val="16"/>
          <w:lang w:val="en-US" w:eastAsia="it-IT"/>
        </w:rPr>
      </w:pPr>
      <w:r w:rsidRPr="000F749F">
        <w:rPr>
          <w:i/>
          <w:sz w:val="16"/>
          <w:szCs w:val="16"/>
          <w:vertAlign w:val="superscript"/>
          <w:lang w:val="en-US" w:eastAsia="it-IT"/>
        </w:rPr>
        <w:t xml:space="preserve">b </w:t>
      </w:r>
      <w:r w:rsidRPr="000F749F">
        <w:rPr>
          <w:sz w:val="16"/>
          <w:szCs w:val="16"/>
          <w:lang w:val="en-US" w:eastAsia="it-IT"/>
        </w:rPr>
        <w:t>Hours of use and base AC unit energy consumption from United for Efficiency Country Assessment for Argentina (December 2016); percent improvement based on Topten.eu and Table 2.1; emission factor similar to Argentina (0.44) and Chile (0.47) (</w:t>
      </w:r>
      <w:r w:rsidR="00306985" w:rsidRPr="000F749F">
        <w:rPr>
          <w:sz w:val="16"/>
          <w:szCs w:val="16"/>
          <w:lang w:val="en-US" w:eastAsia="it-IT"/>
        </w:rPr>
        <w:t xml:space="preserve">de la </w:t>
      </w:r>
      <w:r w:rsidRPr="000F749F">
        <w:rPr>
          <w:sz w:val="16"/>
          <w:szCs w:val="16"/>
          <w:lang w:val="en-US" w:eastAsia="it-IT"/>
        </w:rPr>
        <w:t>Rue du Can et al., 2015).</w:t>
      </w:r>
    </w:p>
    <w:p w14:paraId="3776266E" w14:textId="28F35042" w:rsidR="009727B8" w:rsidRPr="000F749F" w:rsidRDefault="009727B8" w:rsidP="009727B8">
      <w:pPr>
        <w:spacing w:after="0"/>
        <w:ind w:left="90" w:hanging="90"/>
        <w:rPr>
          <w:sz w:val="16"/>
          <w:szCs w:val="16"/>
          <w:lang w:val="en-US" w:eastAsia="it-IT"/>
        </w:rPr>
      </w:pPr>
      <w:r w:rsidRPr="000F749F">
        <w:rPr>
          <w:i/>
          <w:sz w:val="16"/>
          <w:szCs w:val="16"/>
          <w:vertAlign w:val="superscript"/>
          <w:lang w:val="en-US" w:eastAsia="it-IT"/>
        </w:rPr>
        <w:t xml:space="preserve">c </w:t>
      </w:r>
      <w:r w:rsidRPr="000F749F">
        <w:rPr>
          <w:sz w:val="16"/>
          <w:szCs w:val="16"/>
          <w:lang w:val="en-US" w:eastAsia="it-IT"/>
        </w:rPr>
        <w:t>Hours of use and base AC unit energy consumption from United for Efficiency Country Assessment for Thailand (December 2016); percent improvement based on India BEE 3-star and 5-star examples; emission factor for Thailand (</w:t>
      </w:r>
      <w:r w:rsidR="00306985" w:rsidRPr="000F749F">
        <w:rPr>
          <w:sz w:val="16"/>
          <w:szCs w:val="16"/>
          <w:lang w:val="en-US" w:eastAsia="it-IT"/>
        </w:rPr>
        <w:t xml:space="preserve">de la </w:t>
      </w:r>
      <w:r w:rsidRPr="000F749F">
        <w:rPr>
          <w:sz w:val="16"/>
          <w:szCs w:val="16"/>
          <w:lang w:val="en-US" w:eastAsia="it-IT"/>
        </w:rPr>
        <w:t>Rue du Can et al., 2015).</w:t>
      </w:r>
    </w:p>
    <w:p w14:paraId="4AAD1018" w14:textId="195AADAD" w:rsidR="009727B8" w:rsidRPr="000F749F" w:rsidRDefault="009727B8" w:rsidP="009727B8">
      <w:pPr>
        <w:spacing w:after="0"/>
        <w:rPr>
          <w:sz w:val="16"/>
          <w:szCs w:val="16"/>
          <w:lang w:val="en-US" w:eastAsia="it-IT"/>
        </w:rPr>
      </w:pPr>
      <w:r w:rsidRPr="000F749F">
        <w:rPr>
          <w:i/>
          <w:sz w:val="16"/>
          <w:szCs w:val="16"/>
          <w:vertAlign w:val="superscript"/>
          <w:lang w:val="en-US" w:eastAsia="it-IT"/>
        </w:rPr>
        <w:t xml:space="preserve">d </w:t>
      </w:r>
      <w:r w:rsidRPr="000F749F">
        <w:rPr>
          <w:sz w:val="16"/>
          <w:szCs w:val="16"/>
          <w:lang w:val="en-US" w:eastAsia="it-IT"/>
        </w:rPr>
        <w:t>Hours of use and base AC unit energy consumption from Indian ISEER standard and BEE 1-star level; percent improvement based on India BEE 3-star and 5-star examples; emission factor for India (</w:t>
      </w:r>
      <w:r w:rsidR="00306985" w:rsidRPr="000F749F">
        <w:rPr>
          <w:sz w:val="16"/>
          <w:szCs w:val="16"/>
          <w:lang w:val="en-US" w:eastAsia="it-IT"/>
        </w:rPr>
        <w:t xml:space="preserve">de la </w:t>
      </w:r>
      <w:r w:rsidRPr="000F749F">
        <w:rPr>
          <w:sz w:val="16"/>
          <w:szCs w:val="16"/>
          <w:lang w:val="en-US" w:eastAsia="it-IT"/>
        </w:rPr>
        <w:t>Rue du Can et al., 2015).</w:t>
      </w:r>
    </w:p>
    <w:p w14:paraId="6C4F4328" w14:textId="46C57414" w:rsidR="009727B8" w:rsidRPr="000F749F" w:rsidRDefault="009727B8" w:rsidP="009727B8">
      <w:pPr>
        <w:spacing w:after="0"/>
        <w:rPr>
          <w:sz w:val="16"/>
          <w:szCs w:val="16"/>
          <w:lang w:val="en-US" w:eastAsia="it-IT"/>
        </w:rPr>
      </w:pPr>
      <w:r w:rsidRPr="000F749F">
        <w:rPr>
          <w:i/>
          <w:sz w:val="16"/>
          <w:szCs w:val="16"/>
          <w:vertAlign w:val="superscript"/>
          <w:lang w:val="en-US" w:eastAsia="it-IT"/>
        </w:rPr>
        <w:t xml:space="preserve">e </w:t>
      </w:r>
      <w:r w:rsidRPr="000F749F">
        <w:rPr>
          <w:sz w:val="16"/>
          <w:szCs w:val="16"/>
          <w:lang w:val="en-US" w:eastAsia="it-IT"/>
        </w:rPr>
        <w:t>Hours of use for 8 hours for 360 days; base unit 2.6 W/W EER converted to energy consumption by dividing capacity by EER times hours of use; mid = 3.5 EER and highest = 4.5 EER; emissions factor between Saudi Arabia (0.84) and Kuwait (1.1) (</w:t>
      </w:r>
      <w:r w:rsidR="00306985" w:rsidRPr="000F749F">
        <w:rPr>
          <w:sz w:val="16"/>
          <w:szCs w:val="16"/>
          <w:lang w:val="en-US" w:eastAsia="it-IT"/>
        </w:rPr>
        <w:t xml:space="preserve">de la </w:t>
      </w:r>
      <w:r w:rsidRPr="000F749F">
        <w:rPr>
          <w:sz w:val="16"/>
          <w:szCs w:val="16"/>
          <w:lang w:val="en-US" w:eastAsia="it-IT"/>
        </w:rPr>
        <w:t>Rue du Can et al., 2015).</w:t>
      </w:r>
    </w:p>
    <w:p w14:paraId="16C8F1B3" w14:textId="4D26A851" w:rsidR="00A663AA" w:rsidRDefault="00A663AA" w:rsidP="00407D27">
      <w:pPr>
        <w:spacing w:after="0"/>
        <w:jc w:val="center"/>
        <w:rPr>
          <w:lang w:eastAsia="it-IT"/>
        </w:rPr>
      </w:pPr>
    </w:p>
    <w:p w14:paraId="5F140304" w14:textId="77777777" w:rsidR="009727B8" w:rsidRPr="00F867D0" w:rsidRDefault="009727B8" w:rsidP="00407D27">
      <w:pPr>
        <w:spacing w:after="0"/>
        <w:jc w:val="center"/>
        <w:rPr>
          <w:lang w:eastAsia="it-IT"/>
        </w:rPr>
      </w:pPr>
    </w:p>
    <w:p w14:paraId="24E32797" w14:textId="77777777" w:rsidR="00AF36BF" w:rsidRDefault="00AF36BF" w:rsidP="00A663AA">
      <w:pPr>
        <w:spacing w:after="0"/>
        <w:rPr>
          <w:lang w:eastAsia="it-IT"/>
        </w:rPr>
        <w:sectPr w:rsidR="00AF36BF" w:rsidSect="000F749F">
          <w:pgSz w:w="11906" w:h="16838" w:code="9"/>
          <w:pgMar w:top="1440" w:right="1440" w:bottom="1440" w:left="1440" w:header="0" w:footer="720" w:gutter="0"/>
          <w:cols w:space="720"/>
          <w:docGrid w:linePitch="299"/>
        </w:sectPr>
      </w:pPr>
    </w:p>
    <w:p w14:paraId="6A975052" w14:textId="7E83AC12" w:rsidR="00A663AA" w:rsidRPr="00F867D0" w:rsidRDefault="00A663AA" w:rsidP="00A663AA">
      <w:pPr>
        <w:spacing w:after="0"/>
        <w:jc w:val="center"/>
        <w:rPr>
          <w:szCs w:val="22"/>
        </w:rPr>
      </w:pPr>
      <w:r w:rsidRPr="00F867D0">
        <w:rPr>
          <w:noProof/>
          <w:szCs w:val="22"/>
          <w:lang w:val="en-US" w:eastAsia="en-US"/>
        </w:rPr>
        <w:drawing>
          <wp:inline distT="114300" distB="114300" distL="114300" distR="114300" wp14:anchorId="46D5797A" wp14:editId="79C23323">
            <wp:extent cx="4264106" cy="2562225"/>
            <wp:effectExtent l="0" t="0" r="3175" b="0"/>
            <wp:docPr id="2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31"/>
                    <a:srcRect/>
                    <a:stretch>
                      <a:fillRect/>
                    </a:stretch>
                  </pic:blipFill>
                  <pic:spPr>
                    <a:xfrm>
                      <a:off x="0" y="0"/>
                      <a:ext cx="4278318" cy="2570765"/>
                    </a:xfrm>
                    <a:prstGeom prst="rect">
                      <a:avLst/>
                    </a:prstGeom>
                    <a:ln/>
                  </pic:spPr>
                </pic:pic>
              </a:graphicData>
            </a:graphic>
          </wp:inline>
        </w:drawing>
      </w:r>
    </w:p>
    <w:p w14:paraId="744658A0" w14:textId="77777777" w:rsidR="00AF36BF" w:rsidRPr="003D5FEE" w:rsidRDefault="00AF36BF" w:rsidP="00A663AA">
      <w:pPr>
        <w:spacing w:after="0"/>
        <w:jc w:val="center"/>
        <w:rPr>
          <w:b/>
          <w:i/>
          <w:lang w:eastAsia="en-US"/>
        </w:rPr>
      </w:pPr>
    </w:p>
    <w:p w14:paraId="49F14E01" w14:textId="3C5223FC" w:rsidR="00A663AA" w:rsidRPr="003D5FEE" w:rsidRDefault="00A663AA" w:rsidP="00A663AA">
      <w:pPr>
        <w:spacing w:after="0"/>
        <w:jc w:val="center"/>
        <w:rPr>
          <w:b/>
          <w:i/>
          <w:lang w:eastAsia="en-US"/>
        </w:rPr>
      </w:pPr>
      <w:r w:rsidRPr="003D5FEE">
        <w:rPr>
          <w:b/>
          <w:i/>
          <w:lang w:eastAsia="en-US"/>
        </w:rPr>
        <w:t xml:space="preserve">Figure 2.3: Annual emissions for a </w:t>
      </w:r>
      <w:r w:rsidR="003741DF" w:rsidRPr="003D5FEE">
        <w:rPr>
          <w:b/>
          <w:i/>
          <w:lang w:eastAsia="en-US"/>
        </w:rPr>
        <w:t>d</w:t>
      </w:r>
      <w:r w:rsidRPr="003D5FEE">
        <w:rPr>
          <w:b/>
          <w:i/>
          <w:lang w:eastAsia="en-US"/>
        </w:rPr>
        <w:t>omestic refrigeration unit in 3 typical case</w:t>
      </w:r>
      <w:r w:rsidR="00AF36BF" w:rsidRPr="003D5FEE">
        <w:rPr>
          <w:b/>
          <w:i/>
          <w:lang w:eastAsia="en-US"/>
        </w:rPr>
        <w:t>s</w:t>
      </w:r>
    </w:p>
    <w:p w14:paraId="494A4BA3" w14:textId="77777777" w:rsidR="00A663AA" w:rsidRPr="00F867D0" w:rsidRDefault="00A663AA" w:rsidP="00A663AA">
      <w:pPr>
        <w:spacing w:after="0"/>
        <w:rPr>
          <w:szCs w:val="22"/>
        </w:rPr>
      </w:pPr>
    </w:p>
    <w:p w14:paraId="42448CCC" w14:textId="551106A1" w:rsidR="00A663AA" w:rsidRPr="00291A58" w:rsidRDefault="00A663AA" w:rsidP="00A663AA">
      <w:pPr>
        <w:keepNext/>
        <w:keepLines/>
        <w:widowControl w:val="0"/>
        <w:tabs>
          <w:tab w:val="left" w:pos="0"/>
        </w:tabs>
        <w:autoSpaceDE w:val="0"/>
        <w:autoSpaceDN w:val="0"/>
        <w:adjustRightInd w:val="0"/>
        <w:spacing w:after="0"/>
        <w:ind w:right="29"/>
        <w:outlineLvl w:val="2"/>
        <w:rPr>
          <w:rFonts w:eastAsia="MS Mincho"/>
          <w:b/>
          <w:i/>
          <w:snapToGrid w:val="0"/>
          <w:color w:val="auto"/>
          <w:szCs w:val="22"/>
          <w:lang w:eastAsia="en-US"/>
        </w:rPr>
      </w:pPr>
      <w:r w:rsidRPr="00291A58">
        <w:rPr>
          <w:rFonts w:eastAsia="MS Mincho"/>
          <w:b/>
          <w:i/>
          <w:snapToGrid w:val="0"/>
          <w:color w:val="auto"/>
          <w:szCs w:val="22"/>
          <w:lang w:eastAsia="en-US"/>
        </w:rPr>
        <w:t>Heat pumps</w:t>
      </w:r>
    </w:p>
    <w:p w14:paraId="34BBF0B9" w14:textId="77777777" w:rsidR="00157B98" w:rsidRDefault="00157B98" w:rsidP="00A663AA">
      <w:pPr>
        <w:spacing w:after="0"/>
        <w:rPr>
          <w:szCs w:val="22"/>
        </w:rPr>
      </w:pPr>
    </w:p>
    <w:p w14:paraId="5ADA4D1E" w14:textId="31D78953" w:rsidR="00A663AA" w:rsidRPr="00F867D0" w:rsidRDefault="00A663AA" w:rsidP="00A663AA">
      <w:pPr>
        <w:spacing w:after="0"/>
        <w:rPr>
          <w:szCs w:val="22"/>
        </w:rPr>
      </w:pPr>
      <w:r w:rsidRPr="00F867D0">
        <w:rPr>
          <w:szCs w:val="22"/>
        </w:rPr>
        <w:t xml:space="preserve">Insufficient data </w:t>
      </w:r>
      <w:r w:rsidR="00EF0025">
        <w:rPr>
          <w:szCs w:val="22"/>
        </w:rPr>
        <w:t>were</w:t>
      </w:r>
      <w:r w:rsidRPr="00F867D0">
        <w:rPr>
          <w:szCs w:val="22"/>
        </w:rPr>
        <w:t xml:space="preserve"> available to calculate the CO</w:t>
      </w:r>
      <w:r w:rsidRPr="00F867D0">
        <w:rPr>
          <w:szCs w:val="22"/>
          <w:vertAlign w:val="subscript"/>
        </w:rPr>
        <w:t>2</w:t>
      </w:r>
      <w:r w:rsidRPr="00F867D0">
        <w:rPr>
          <w:szCs w:val="22"/>
        </w:rPr>
        <w:t>e</w:t>
      </w:r>
      <w:r w:rsidR="00BB4A96" w:rsidRPr="00F867D0">
        <w:rPr>
          <w:szCs w:val="22"/>
        </w:rPr>
        <w:t>q</w:t>
      </w:r>
      <w:r w:rsidRPr="00F867D0">
        <w:rPr>
          <w:szCs w:val="22"/>
        </w:rPr>
        <w:t xml:space="preserve"> saving potential for heat pumps. The comparison in between technologies is complicated by the difference between devices related to their heat source (air, water and ground) and the temperature at which the water is heated. </w:t>
      </w:r>
    </w:p>
    <w:p w14:paraId="03CD5E08" w14:textId="77777777" w:rsidR="00A663AA" w:rsidRPr="00F867D0" w:rsidRDefault="00A663AA" w:rsidP="00A663AA">
      <w:pPr>
        <w:spacing w:after="0"/>
        <w:rPr>
          <w:szCs w:val="22"/>
        </w:rPr>
      </w:pPr>
    </w:p>
    <w:p w14:paraId="789CFC1F" w14:textId="07FC370C" w:rsidR="00A663AA" w:rsidRPr="00291A58" w:rsidRDefault="00A663AA" w:rsidP="00A663AA">
      <w:pPr>
        <w:keepNext/>
        <w:keepLines/>
        <w:widowControl w:val="0"/>
        <w:tabs>
          <w:tab w:val="left" w:pos="0"/>
        </w:tabs>
        <w:autoSpaceDE w:val="0"/>
        <w:autoSpaceDN w:val="0"/>
        <w:adjustRightInd w:val="0"/>
        <w:spacing w:after="0"/>
        <w:ind w:right="29"/>
        <w:outlineLvl w:val="2"/>
        <w:rPr>
          <w:rFonts w:eastAsia="MS Mincho"/>
          <w:b/>
          <w:i/>
          <w:snapToGrid w:val="0"/>
          <w:color w:val="auto"/>
          <w:szCs w:val="22"/>
          <w:lang w:eastAsia="en-US"/>
        </w:rPr>
      </w:pPr>
      <w:r w:rsidRPr="00291A58">
        <w:rPr>
          <w:rFonts w:eastAsia="MS Mincho"/>
          <w:b/>
          <w:i/>
          <w:snapToGrid w:val="0"/>
          <w:color w:val="auto"/>
          <w:szCs w:val="22"/>
          <w:lang w:eastAsia="en-US"/>
        </w:rPr>
        <w:t xml:space="preserve">Commercial refrigeration </w:t>
      </w:r>
    </w:p>
    <w:p w14:paraId="2ED95A9E" w14:textId="77777777" w:rsidR="00157B98" w:rsidRDefault="00157B98" w:rsidP="00A663AA">
      <w:pPr>
        <w:spacing w:after="0"/>
        <w:rPr>
          <w:szCs w:val="22"/>
        </w:rPr>
      </w:pPr>
    </w:p>
    <w:p w14:paraId="28B5DD9F" w14:textId="336B1A36" w:rsidR="00A663AA" w:rsidRPr="00F867D0" w:rsidRDefault="00A663AA" w:rsidP="00A663AA">
      <w:pPr>
        <w:spacing w:after="0"/>
        <w:rPr>
          <w:szCs w:val="22"/>
        </w:rPr>
      </w:pPr>
      <w:r w:rsidRPr="00F867D0">
        <w:rPr>
          <w:szCs w:val="22"/>
        </w:rPr>
        <w:t>There is a very high energy and CO</w:t>
      </w:r>
      <w:r w:rsidRPr="00F867D0">
        <w:rPr>
          <w:szCs w:val="22"/>
          <w:vertAlign w:val="subscript"/>
        </w:rPr>
        <w:t>2</w:t>
      </w:r>
      <w:r w:rsidRPr="00F867D0">
        <w:rPr>
          <w:szCs w:val="22"/>
        </w:rPr>
        <w:t xml:space="preserve"> saving potential in the commercial refrigeration space</w:t>
      </w:r>
      <w:r w:rsidR="00C15055">
        <w:rPr>
          <w:szCs w:val="22"/>
        </w:rPr>
        <w:t xml:space="preserve"> (see Figure 2.4)</w:t>
      </w:r>
      <w:r w:rsidRPr="00F867D0">
        <w:rPr>
          <w:szCs w:val="22"/>
        </w:rPr>
        <w:t xml:space="preserve">. </w:t>
      </w:r>
      <w:r w:rsidR="00BD461C" w:rsidRPr="00F867D0">
        <w:rPr>
          <w:szCs w:val="22"/>
        </w:rPr>
        <w:t>In some cases, as in open- versus closed-door freezers and coolers, s</w:t>
      </w:r>
      <w:r w:rsidRPr="00F867D0">
        <w:rPr>
          <w:szCs w:val="22"/>
        </w:rPr>
        <w:t xml:space="preserve">avings </w:t>
      </w:r>
      <w:r w:rsidR="00BD461C" w:rsidRPr="00F867D0">
        <w:rPr>
          <w:szCs w:val="22"/>
        </w:rPr>
        <w:t xml:space="preserve">can </w:t>
      </w:r>
      <w:r w:rsidRPr="00F867D0">
        <w:rPr>
          <w:szCs w:val="22"/>
        </w:rPr>
        <w:t xml:space="preserve">range from 70-80%. In the case of ice cream freezers, the energy consumption was measured at 25°C and 31°C. The energy consumption increased 13% at </w:t>
      </w:r>
      <w:r w:rsidR="00BD461C" w:rsidRPr="00F867D0">
        <w:rPr>
          <w:szCs w:val="22"/>
        </w:rPr>
        <w:t>the</w:t>
      </w:r>
      <w:r w:rsidRPr="00F867D0">
        <w:rPr>
          <w:szCs w:val="22"/>
        </w:rPr>
        <w:t xml:space="preserve"> higher ambient condition. </w:t>
      </w:r>
      <w:r w:rsidR="004D0FDB" w:rsidRPr="00F867D0">
        <w:rPr>
          <w:szCs w:val="22"/>
        </w:rPr>
        <w:t>However, t</w:t>
      </w:r>
      <w:r w:rsidRPr="00F867D0">
        <w:rPr>
          <w:szCs w:val="22"/>
        </w:rPr>
        <w:t xml:space="preserve">he </w:t>
      </w:r>
      <w:r w:rsidR="004D0FDB" w:rsidRPr="00F867D0">
        <w:rPr>
          <w:szCs w:val="22"/>
        </w:rPr>
        <w:t xml:space="preserve">energy </w:t>
      </w:r>
      <w:r w:rsidRPr="00F867D0">
        <w:rPr>
          <w:szCs w:val="22"/>
        </w:rPr>
        <w:t>consumption was still much lower than an inefficient</w:t>
      </w:r>
      <w:r w:rsidR="004D0FDB" w:rsidRPr="00F867D0">
        <w:rPr>
          <w:szCs w:val="22"/>
        </w:rPr>
        <w:t>, vertical freezer</w:t>
      </w:r>
      <w:r w:rsidRPr="00F867D0">
        <w:rPr>
          <w:szCs w:val="22"/>
        </w:rPr>
        <w:t>. This shows that also in HAT conditions, the choice of the device is crucial to achieve a reduction of CO</w:t>
      </w:r>
      <w:r w:rsidRPr="00F867D0">
        <w:rPr>
          <w:szCs w:val="22"/>
          <w:vertAlign w:val="subscript"/>
        </w:rPr>
        <w:t>2</w:t>
      </w:r>
      <w:r w:rsidRPr="00F867D0">
        <w:rPr>
          <w:szCs w:val="22"/>
        </w:rPr>
        <w:t xml:space="preserve">. </w:t>
      </w:r>
    </w:p>
    <w:p w14:paraId="6403ED62" w14:textId="24E1C569" w:rsidR="00A663AA" w:rsidRPr="00F867D0" w:rsidRDefault="00A663AA" w:rsidP="00A663AA">
      <w:pPr>
        <w:spacing w:after="0"/>
        <w:rPr>
          <w:szCs w:val="22"/>
        </w:rPr>
      </w:pPr>
    </w:p>
    <w:p w14:paraId="05B6B387" w14:textId="05FC97F3" w:rsidR="00A663AA" w:rsidRPr="00F867D0" w:rsidRDefault="00770398" w:rsidP="00A663AA">
      <w:pPr>
        <w:spacing w:after="0"/>
        <w:jc w:val="center"/>
        <w:rPr>
          <w:szCs w:val="22"/>
        </w:rPr>
      </w:pPr>
      <w:r w:rsidRPr="00770398">
        <w:rPr>
          <w:noProof/>
          <w:szCs w:val="22"/>
          <w:lang w:val="en-US" w:eastAsia="en-US"/>
        </w:rPr>
        <mc:AlternateContent>
          <mc:Choice Requires="wps">
            <w:drawing>
              <wp:anchor distT="45720" distB="45720" distL="114300" distR="114300" simplePos="0" relativeHeight="251661312" behindDoc="0" locked="0" layoutInCell="1" allowOverlap="1" wp14:anchorId="465E09D6" wp14:editId="211A156D">
                <wp:simplePos x="0" y="0"/>
                <wp:positionH relativeFrom="margin">
                  <wp:posOffset>685800</wp:posOffset>
                </wp:positionH>
                <wp:positionV relativeFrom="margin">
                  <wp:posOffset>6114415</wp:posOffset>
                </wp:positionV>
                <wp:extent cx="346075" cy="1617345"/>
                <wp:effectExtent l="0" t="0" r="0" b="190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1617345"/>
                        </a:xfrm>
                        <a:prstGeom prst="rect">
                          <a:avLst/>
                        </a:prstGeom>
                        <a:solidFill>
                          <a:srgbClr val="FFFFFF"/>
                        </a:solidFill>
                        <a:ln w="9525">
                          <a:noFill/>
                          <a:miter lim="800000"/>
                          <a:headEnd/>
                          <a:tailEnd/>
                        </a:ln>
                      </wps:spPr>
                      <wps:txbx>
                        <w:txbxContent>
                          <w:p w14:paraId="47E67766" w14:textId="77777777" w:rsidR="004F05E9" w:rsidRPr="00291A58" w:rsidRDefault="004F05E9" w:rsidP="00770398">
                            <w:pPr>
                              <w:rPr>
                                <w:rFonts w:asciiTheme="majorHAnsi" w:hAnsiTheme="majorHAnsi" w:cstheme="majorHAnsi"/>
                                <w:sz w:val="20"/>
                              </w:rPr>
                            </w:pPr>
                            <w:r w:rsidRPr="00291A58">
                              <w:rPr>
                                <w:rFonts w:asciiTheme="majorHAnsi" w:hAnsiTheme="majorHAnsi" w:cstheme="majorHAnsi"/>
                                <w:sz w:val="20"/>
                              </w:rPr>
                              <w:t>Annual emissions (kg CO</w:t>
                            </w:r>
                            <w:r w:rsidRPr="00291A58">
                              <w:rPr>
                                <w:rFonts w:asciiTheme="majorHAnsi" w:hAnsiTheme="majorHAnsi" w:cstheme="majorHAnsi"/>
                                <w:sz w:val="20"/>
                                <w:vertAlign w:val="subscript"/>
                              </w:rPr>
                              <w:t>2</w:t>
                            </w:r>
                            <w:r w:rsidRPr="00291A58">
                              <w:rPr>
                                <w:rFonts w:asciiTheme="majorHAnsi" w:hAnsiTheme="majorHAnsi" w:cstheme="majorHAnsi"/>
                                <w:sz w:val="20"/>
                              </w:rPr>
                              <w:t>/yr)</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E09D6" id="_x0000_t202" coordsize="21600,21600" o:spt="202" path="m,l,21600r21600,l21600,xe">
                <v:stroke joinstyle="miter"/>
                <v:path gradientshapeok="t" o:connecttype="rect"/>
              </v:shapetype>
              <v:shape id="Casella di testo 2" o:spid="_x0000_s1026" type="#_x0000_t202" style="position:absolute;left:0;text-align:left;margin-left:54pt;margin-top:481.45pt;width:27.25pt;height:127.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" stroked="f">
                <v:textbox style="layout-flow:vertical;mso-layout-flow-alt:bottom-to-top">
                  <w:txbxContent>
                    <w:p w14:paraId="47E67766" w14:textId="77777777" w:rsidR="004F05E9" w:rsidRPr="00291A58" w:rsidRDefault="004F05E9" w:rsidP="00770398">
                      <w:pPr>
                        <w:rPr>
                          <w:rFonts w:asciiTheme="majorHAnsi" w:hAnsiTheme="majorHAnsi" w:cstheme="majorHAnsi"/>
                          <w:sz w:val="20"/>
                        </w:rPr>
                      </w:pPr>
                      <w:r w:rsidRPr="00291A58">
                        <w:rPr>
                          <w:rFonts w:asciiTheme="majorHAnsi" w:hAnsiTheme="majorHAnsi" w:cstheme="majorHAnsi"/>
                          <w:sz w:val="20"/>
                        </w:rPr>
                        <w:t>Annual emissions (kg CO</w:t>
                      </w:r>
                      <w:r w:rsidRPr="00291A58">
                        <w:rPr>
                          <w:rFonts w:asciiTheme="majorHAnsi" w:hAnsiTheme="majorHAnsi" w:cstheme="majorHAnsi"/>
                          <w:sz w:val="20"/>
                          <w:vertAlign w:val="subscript"/>
                        </w:rPr>
                        <w:t>2</w:t>
                      </w:r>
                      <w:r w:rsidRPr="00291A58">
                        <w:rPr>
                          <w:rFonts w:asciiTheme="majorHAnsi" w:hAnsiTheme="majorHAnsi" w:cstheme="majorHAnsi"/>
                          <w:sz w:val="20"/>
                        </w:rPr>
                        <w:t>/yr)</w:t>
                      </w:r>
                    </w:p>
                  </w:txbxContent>
                </v:textbox>
                <w10:wrap anchorx="margin" anchory="margin"/>
              </v:shape>
            </w:pict>
          </mc:Fallback>
        </mc:AlternateContent>
      </w:r>
      <w:r w:rsidR="00157B98" w:rsidRPr="0096012D">
        <w:rPr>
          <w:noProof/>
          <w:szCs w:val="22"/>
          <w:lang w:val="en-US" w:eastAsia="en-US"/>
        </w:rPr>
        <mc:AlternateContent>
          <mc:Choice Requires="wps">
            <w:drawing>
              <wp:anchor distT="45720" distB="45720" distL="114300" distR="114300" simplePos="0" relativeHeight="251659264" behindDoc="0" locked="0" layoutInCell="1" allowOverlap="1" wp14:anchorId="7C9E1B68" wp14:editId="50858263">
                <wp:simplePos x="0" y="0"/>
                <wp:positionH relativeFrom="margin">
                  <wp:posOffset>754380</wp:posOffset>
                </wp:positionH>
                <wp:positionV relativeFrom="margin">
                  <wp:posOffset>383540</wp:posOffset>
                </wp:positionV>
                <wp:extent cx="346075" cy="1912620"/>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1912620"/>
                        </a:xfrm>
                        <a:prstGeom prst="rect">
                          <a:avLst/>
                        </a:prstGeom>
                        <a:solidFill>
                          <a:srgbClr val="FFFFFF"/>
                        </a:solidFill>
                        <a:ln w="9525">
                          <a:noFill/>
                          <a:miter lim="800000"/>
                          <a:headEnd/>
                          <a:tailEnd/>
                        </a:ln>
                      </wps:spPr>
                      <wps:txbx>
                        <w:txbxContent>
                          <w:p w14:paraId="5DE55E8F" w14:textId="1E8DF61F" w:rsidR="004F05E9" w:rsidRPr="00291A58" w:rsidRDefault="004F05E9">
                            <w:pPr>
                              <w:rPr>
                                <w:rFonts w:asciiTheme="majorHAnsi" w:hAnsiTheme="majorHAnsi" w:cstheme="majorHAnsi"/>
                                <w:sz w:val="20"/>
                              </w:rPr>
                            </w:pPr>
                            <w:r w:rsidRPr="00291A58">
                              <w:rPr>
                                <w:rFonts w:asciiTheme="majorHAnsi" w:hAnsiTheme="majorHAnsi" w:cstheme="majorHAnsi"/>
                                <w:sz w:val="20"/>
                              </w:rPr>
                              <w:t>Annual emissions (kg CO</w:t>
                            </w:r>
                            <w:r w:rsidRPr="00291A58">
                              <w:rPr>
                                <w:rFonts w:asciiTheme="majorHAnsi" w:hAnsiTheme="majorHAnsi" w:cstheme="majorHAnsi"/>
                                <w:sz w:val="20"/>
                                <w:vertAlign w:val="subscript"/>
                              </w:rPr>
                              <w:t>2</w:t>
                            </w:r>
                            <w:r w:rsidRPr="00291A58">
                              <w:rPr>
                                <w:rFonts w:asciiTheme="majorHAnsi" w:hAnsiTheme="majorHAnsi" w:cstheme="majorHAnsi"/>
                                <w:sz w:val="20"/>
                              </w:rPr>
                              <w:t>/yr)</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E1B68" id="_x0000_s1027" type="#_x0000_t202" style="position:absolute;left:0;text-align:left;margin-left:59.4pt;margin-top:30.2pt;width:27.25pt;height:15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" stroked="f">
                <v:textbox style="layout-flow:vertical;mso-layout-flow-alt:bottom-to-top">
                  <w:txbxContent>
                    <w:p w14:paraId="5DE55E8F" w14:textId="1E8DF61F" w:rsidR="004F05E9" w:rsidRPr="00291A58" w:rsidRDefault="004F05E9">
                      <w:pPr>
                        <w:rPr>
                          <w:rFonts w:asciiTheme="majorHAnsi" w:hAnsiTheme="majorHAnsi" w:cstheme="majorHAnsi"/>
                          <w:sz w:val="20"/>
                        </w:rPr>
                      </w:pPr>
                      <w:r w:rsidRPr="00291A58">
                        <w:rPr>
                          <w:rFonts w:asciiTheme="majorHAnsi" w:hAnsiTheme="majorHAnsi" w:cstheme="majorHAnsi"/>
                          <w:sz w:val="20"/>
                        </w:rPr>
                        <w:t>Annual emissions (kg CO</w:t>
                      </w:r>
                      <w:r w:rsidRPr="00291A58">
                        <w:rPr>
                          <w:rFonts w:asciiTheme="majorHAnsi" w:hAnsiTheme="majorHAnsi" w:cstheme="majorHAnsi"/>
                          <w:sz w:val="20"/>
                          <w:vertAlign w:val="subscript"/>
                        </w:rPr>
                        <w:t>2</w:t>
                      </w:r>
                      <w:r w:rsidRPr="00291A58">
                        <w:rPr>
                          <w:rFonts w:asciiTheme="majorHAnsi" w:hAnsiTheme="majorHAnsi" w:cstheme="majorHAnsi"/>
                          <w:sz w:val="20"/>
                        </w:rPr>
                        <w:t>/yr)</w:t>
                      </w:r>
                    </w:p>
                  </w:txbxContent>
                </v:textbox>
                <w10:wrap anchorx="margin" anchory="margin"/>
              </v:shape>
            </w:pict>
          </mc:Fallback>
        </mc:AlternateContent>
      </w:r>
      <w:r w:rsidR="00A663AA" w:rsidRPr="00F867D0">
        <w:rPr>
          <w:noProof/>
          <w:szCs w:val="22"/>
          <w:lang w:val="en-US" w:eastAsia="en-US"/>
        </w:rPr>
        <w:drawing>
          <wp:inline distT="114300" distB="114300" distL="114300" distR="114300" wp14:anchorId="110C4C57" wp14:editId="71E67886">
            <wp:extent cx="3638550" cy="3000375"/>
            <wp:effectExtent l="0" t="0" r="0" b="9525"/>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2"/>
                    <a:srcRect/>
                    <a:stretch>
                      <a:fillRect/>
                    </a:stretch>
                  </pic:blipFill>
                  <pic:spPr>
                    <a:xfrm>
                      <a:off x="0" y="0"/>
                      <a:ext cx="3638550" cy="3000375"/>
                    </a:xfrm>
                    <a:prstGeom prst="rect">
                      <a:avLst/>
                    </a:prstGeom>
                    <a:ln/>
                  </pic:spPr>
                </pic:pic>
              </a:graphicData>
            </a:graphic>
          </wp:inline>
        </w:drawing>
      </w:r>
    </w:p>
    <w:p w14:paraId="510B706F" w14:textId="77777777" w:rsidR="00AF36BF" w:rsidRDefault="00AF36BF" w:rsidP="00A663AA">
      <w:pPr>
        <w:spacing w:after="0"/>
        <w:jc w:val="center"/>
        <w:rPr>
          <w:b/>
          <w:lang w:eastAsia="en-US"/>
        </w:rPr>
      </w:pPr>
    </w:p>
    <w:p w14:paraId="4D11FD3C" w14:textId="4EFA73C7" w:rsidR="00A663AA" w:rsidRPr="003D5FEE" w:rsidRDefault="00A663AA" w:rsidP="00A663AA">
      <w:pPr>
        <w:spacing w:after="0"/>
        <w:jc w:val="center"/>
        <w:rPr>
          <w:b/>
          <w:i/>
          <w:lang w:eastAsia="en-US"/>
        </w:rPr>
      </w:pPr>
      <w:r w:rsidRPr="003D5FEE">
        <w:rPr>
          <w:b/>
          <w:i/>
          <w:lang w:eastAsia="en-US"/>
        </w:rPr>
        <w:t>Figure 2.4: Annual emissions</w:t>
      </w:r>
      <w:r w:rsidR="00770398" w:rsidRPr="003D5FEE">
        <w:rPr>
          <w:b/>
          <w:i/>
          <w:lang w:eastAsia="en-US"/>
        </w:rPr>
        <w:t xml:space="preserve"> </w:t>
      </w:r>
      <w:r w:rsidRPr="003D5FEE">
        <w:rPr>
          <w:b/>
          <w:i/>
          <w:lang w:eastAsia="en-US"/>
        </w:rPr>
        <w:t xml:space="preserve">for some </w:t>
      </w:r>
      <w:r w:rsidR="003741DF" w:rsidRPr="003D5FEE">
        <w:rPr>
          <w:b/>
          <w:i/>
          <w:lang w:eastAsia="en-US"/>
        </w:rPr>
        <w:t>c</w:t>
      </w:r>
      <w:r w:rsidRPr="003D5FEE">
        <w:rPr>
          <w:b/>
          <w:i/>
          <w:lang w:eastAsia="en-US"/>
        </w:rPr>
        <w:t>ommercial refrigeration units in typical case</w:t>
      </w:r>
    </w:p>
    <w:p w14:paraId="462CD3AB" w14:textId="77777777" w:rsidR="00A663AA" w:rsidRPr="00F867D0" w:rsidRDefault="00A663AA" w:rsidP="00A663AA">
      <w:pPr>
        <w:spacing w:after="0"/>
        <w:rPr>
          <w:szCs w:val="22"/>
        </w:rPr>
      </w:pPr>
    </w:p>
    <w:p w14:paraId="40C11E0A" w14:textId="527B59AC" w:rsidR="00A663AA" w:rsidRPr="00291A58" w:rsidRDefault="00A663AA" w:rsidP="00A663AA">
      <w:pPr>
        <w:keepNext/>
        <w:keepLines/>
        <w:widowControl w:val="0"/>
        <w:tabs>
          <w:tab w:val="left" w:pos="0"/>
        </w:tabs>
        <w:autoSpaceDE w:val="0"/>
        <w:autoSpaceDN w:val="0"/>
        <w:adjustRightInd w:val="0"/>
        <w:spacing w:after="0"/>
        <w:ind w:right="29"/>
        <w:outlineLvl w:val="2"/>
        <w:rPr>
          <w:rFonts w:eastAsia="MS Mincho"/>
          <w:b/>
          <w:i/>
          <w:snapToGrid w:val="0"/>
          <w:color w:val="auto"/>
          <w:szCs w:val="22"/>
          <w:lang w:eastAsia="en-US"/>
        </w:rPr>
      </w:pPr>
      <w:r w:rsidRPr="00291A58">
        <w:rPr>
          <w:rFonts w:eastAsia="MS Mincho"/>
          <w:b/>
          <w:i/>
          <w:snapToGrid w:val="0"/>
          <w:color w:val="auto"/>
          <w:szCs w:val="22"/>
          <w:lang w:eastAsia="en-US"/>
        </w:rPr>
        <w:t>Mobile Air Conditioning</w:t>
      </w:r>
    </w:p>
    <w:p w14:paraId="2A58E884" w14:textId="77777777" w:rsidR="00157B98" w:rsidRDefault="00157B98" w:rsidP="005074E8">
      <w:pPr>
        <w:spacing w:after="0"/>
        <w:rPr>
          <w:szCs w:val="22"/>
        </w:rPr>
      </w:pPr>
    </w:p>
    <w:p w14:paraId="0F20F955" w14:textId="50AF0930" w:rsidR="005074E8" w:rsidRPr="00F867D0" w:rsidRDefault="00A663AA" w:rsidP="005074E8">
      <w:pPr>
        <w:spacing w:after="0"/>
        <w:rPr>
          <w:szCs w:val="22"/>
        </w:rPr>
      </w:pPr>
      <w:r w:rsidRPr="00F867D0">
        <w:rPr>
          <w:szCs w:val="22"/>
        </w:rPr>
        <w:t>The steps for calculating the CO</w:t>
      </w:r>
      <w:r w:rsidRPr="00F867D0">
        <w:rPr>
          <w:szCs w:val="22"/>
          <w:vertAlign w:val="subscript"/>
        </w:rPr>
        <w:t>2</w:t>
      </w:r>
      <w:r w:rsidRPr="00F867D0">
        <w:rPr>
          <w:szCs w:val="22"/>
        </w:rPr>
        <w:t xml:space="preserve">eq for </w:t>
      </w:r>
      <w:r w:rsidR="003C37C3">
        <w:rPr>
          <w:szCs w:val="22"/>
        </w:rPr>
        <w:t>EE</w:t>
      </w:r>
      <w:r w:rsidRPr="00F867D0">
        <w:rPr>
          <w:szCs w:val="22"/>
        </w:rPr>
        <w:t xml:space="preserve"> enhancement in mobile air condition</w:t>
      </w:r>
      <w:r w:rsidR="005074E8" w:rsidRPr="00F867D0">
        <w:rPr>
          <w:szCs w:val="22"/>
        </w:rPr>
        <w:t>ing</w:t>
      </w:r>
      <w:r w:rsidRPr="00F867D0">
        <w:rPr>
          <w:szCs w:val="22"/>
        </w:rPr>
        <w:t xml:space="preserve"> are similar but </w:t>
      </w:r>
      <w:r w:rsidR="005074E8" w:rsidRPr="00F867D0">
        <w:rPr>
          <w:szCs w:val="22"/>
        </w:rPr>
        <w:t xml:space="preserve">require estimates of the range of potential </w:t>
      </w:r>
      <w:r w:rsidR="003C37C3">
        <w:rPr>
          <w:szCs w:val="22"/>
        </w:rPr>
        <w:t>EE</w:t>
      </w:r>
      <w:r w:rsidR="005074E8" w:rsidRPr="00F867D0">
        <w:rPr>
          <w:szCs w:val="22"/>
        </w:rPr>
        <w:t xml:space="preserve"> improvement, as well as</w:t>
      </w:r>
      <w:r w:rsidRPr="00F867D0">
        <w:rPr>
          <w:szCs w:val="22"/>
        </w:rPr>
        <w:t xml:space="preserve"> conversion from energy saving to CO</w:t>
      </w:r>
      <w:r w:rsidRPr="00F867D0">
        <w:rPr>
          <w:szCs w:val="22"/>
          <w:vertAlign w:val="subscript"/>
        </w:rPr>
        <w:t>2</w:t>
      </w:r>
      <w:r w:rsidRPr="00F867D0">
        <w:rPr>
          <w:szCs w:val="22"/>
        </w:rPr>
        <w:t xml:space="preserve">e </w:t>
      </w:r>
      <w:r w:rsidR="005074E8" w:rsidRPr="00F867D0">
        <w:rPr>
          <w:szCs w:val="22"/>
        </w:rPr>
        <w:t>as a function of</w:t>
      </w:r>
      <w:r w:rsidRPr="00F867D0">
        <w:rPr>
          <w:szCs w:val="22"/>
        </w:rPr>
        <w:t xml:space="preserve"> the fuel and engine type, which were not readily available for this report.</w:t>
      </w:r>
      <w:r w:rsidR="005074E8" w:rsidRPr="00F867D0">
        <w:rPr>
          <w:szCs w:val="22"/>
        </w:rPr>
        <w:t xml:space="preserve"> While this information was not readily available for this report, some passenger vehicle fuel economy standards include credits for high-efficiency air conditioning, which could be used as an indicator of the potential benefits and range from 0.9 g CO</w:t>
      </w:r>
      <w:r w:rsidR="005074E8" w:rsidRPr="00F867D0">
        <w:rPr>
          <w:szCs w:val="22"/>
          <w:vertAlign w:val="subscript"/>
        </w:rPr>
        <w:t>2</w:t>
      </w:r>
      <w:r w:rsidR="005074E8" w:rsidRPr="00F867D0">
        <w:rPr>
          <w:szCs w:val="22"/>
        </w:rPr>
        <w:t>/km to 6.1 g CO</w:t>
      </w:r>
      <w:r w:rsidR="005074E8" w:rsidRPr="00F867D0">
        <w:rPr>
          <w:szCs w:val="22"/>
          <w:vertAlign w:val="subscript"/>
        </w:rPr>
        <w:t>2</w:t>
      </w:r>
      <w:r w:rsidR="005074E8" w:rsidRPr="00F867D0">
        <w:rPr>
          <w:szCs w:val="22"/>
        </w:rPr>
        <w:t xml:space="preserve">/km </w:t>
      </w:r>
      <w:r w:rsidR="00BE6B42" w:rsidRPr="00F867D0">
        <w:rPr>
          <w:szCs w:val="22"/>
        </w:rPr>
        <w:t>[Yang and Bandivadekar, 2017]</w:t>
      </w:r>
      <w:r w:rsidR="005074E8" w:rsidRPr="00F867D0">
        <w:rPr>
          <w:szCs w:val="22"/>
        </w:rPr>
        <w:t xml:space="preserve">. </w:t>
      </w:r>
    </w:p>
    <w:p w14:paraId="349073BC" w14:textId="19AD31A6" w:rsidR="00A663AA" w:rsidRPr="000F749F" w:rsidRDefault="00A663AA" w:rsidP="000F749F">
      <w:pPr>
        <w:pStyle w:val="Heading2"/>
        <w:rPr>
          <w:b w:val="0"/>
        </w:rPr>
      </w:pPr>
      <w:bookmarkStart w:id="76" w:name="_Toc515454375"/>
      <w:bookmarkStart w:id="77" w:name="_Hlk514683508"/>
      <w:r w:rsidRPr="000F749F">
        <w:t>2.5</w:t>
      </w:r>
      <w:r w:rsidRPr="000F749F">
        <w:tab/>
        <w:t>Servicing sector requirements</w:t>
      </w:r>
      <w:bookmarkEnd w:id="76"/>
    </w:p>
    <w:p w14:paraId="20527997" w14:textId="7A02C5DF" w:rsidR="004F2481" w:rsidRDefault="004F2481" w:rsidP="000F749F">
      <w:pPr>
        <w:keepNext/>
        <w:widowControl w:val="0"/>
        <w:tabs>
          <w:tab w:val="left" w:pos="720"/>
        </w:tabs>
        <w:autoSpaceDE w:val="0"/>
        <w:autoSpaceDN w:val="0"/>
        <w:adjustRightInd w:val="0"/>
        <w:spacing w:after="0"/>
        <w:ind w:left="720" w:right="28" w:hanging="720"/>
        <w:outlineLvl w:val="1"/>
        <w:rPr>
          <w:rFonts w:eastAsia="MS Mincho"/>
          <w:b/>
          <w:snapToGrid w:val="0"/>
          <w:color w:val="auto"/>
          <w:sz w:val="24"/>
          <w:szCs w:val="22"/>
          <w:lang w:eastAsia="en-US"/>
        </w:rPr>
      </w:pPr>
      <w:r w:rsidRPr="00F867D0">
        <w:rPr>
          <w:rFonts w:eastAsia="MS Mincho"/>
          <w:b/>
          <w:snapToGrid w:val="0"/>
          <w:color w:val="auto"/>
          <w:sz w:val="24"/>
          <w:szCs w:val="22"/>
          <w:lang w:eastAsia="en-US"/>
        </w:rPr>
        <w:t>Summary</w:t>
      </w:r>
    </w:p>
    <w:p w14:paraId="576DFA7D" w14:textId="77777777" w:rsidR="004F2620" w:rsidRPr="00F867D0" w:rsidRDefault="004F2620" w:rsidP="000F749F">
      <w:pPr>
        <w:keepNext/>
        <w:widowControl w:val="0"/>
        <w:tabs>
          <w:tab w:val="left" w:pos="720"/>
        </w:tabs>
        <w:autoSpaceDE w:val="0"/>
        <w:autoSpaceDN w:val="0"/>
        <w:adjustRightInd w:val="0"/>
        <w:spacing w:after="0"/>
        <w:ind w:left="720" w:right="28" w:hanging="720"/>
        <w:outlineLvl w:val="1"/>
        <w:rPr>
          <w:rFonts w:eastAsia="MS Mincho"/>
          <w:b/>
          <w:snapToGrid w:val="0"/>
          <w:color w:val="auto"/>
          <w:sz w:val="24"/>
          <w:szCs w:val="22"/>
          <w:lang w:eastAsia="en-US"/>
        </w:rPr>
      </w:pPr>
    </w:p>
    <w:bookmarkEnd w:id="77"/>
    <w:p w14:paraId="39D598FB" w14:textId="77777777" w:rsidR="00FE106C" w:rsidRDefault="00FE106C" w:rsidP="004F2620">
      <w:pPr>
        <w:pStyle w:val="ListParagraph"/>
        <w:numPr>
          <w:ilvl w:val="0"/>
          <w:numId w:val="90"/>
        </w:numPr>
      </w:pPr>
      <w:r w:rsidRPr="005A7023">
        <w:t xml:space="preserve">The </w:t>
      </w:r>
      <w:r>
        <w:t xml:space="preserve">present concern in most Article </w:t>
      </w:r>
      <w:r w:rsidRPr="005A7023">
        <w:t>5 countries in the HCFC phase-out process is to train technicians on the use of new refrigerants. E</w:t>
      </w:r>
      <w:r>
        <w:t>E</w:t>
      </w:r>
      <w:r w:rsidRPr="005A7023">
        <w:t xml:space="preserve"> aspects require additional training and further awareness.</w:t>
      </w:r>
    </w:p>
    <w:p w14:paraId="525A9971" w14:textId="77777777" w:rsidR="00FE106C" w:rsidRPr="00803E1D" w:rsidRDefault="00FE106C" w:rsidP="000F749F">
      <w:pPr>
        <w:spacing w:after="0"/>
        <w:ind w:left="720"/>
      </w:pPr>
    </w:p>
    <w:p w14:paraId="78BD7018" w14:textId="77777777" w:rsidR="00FE106C" w:rsidRPr="005A7023" w:rsidRDefault="00FE106C" w:rsidP="004F2620">
      <w:pPr>
        <w:pStyle w:val="ListParagraph"/>
        <w:numPr>
          <w:ilvl w:val="0"/>
          <w:numId w:val="90"/>
        </w:numPr>
      </w:pPr>
      <w:r w:rsidRPr="005A7023">
        <w:t xml:space="preserve">Some </w:t>
      </w:r>
      <w:r>
        <w:t>EE</w:t>
      </w:r>
      <w:r w:rsidRPr="005A7023">
        <w:t xml:space="preserve"> degradation over the life time of equipment is inevitable; however, there are ways to limit the degradation through improved design and improved servicing which include both installation and maintenance.</w:t>
      </w:r>
    </w:p>
    <w:p w14:paraId="16824614" w14:textId="77777777" w:rsidR="00FE106C" w:rsidRPr="00803E1D" w:rsidRDefault="00FE106C" w:rsidP="000F749F">
      <w:pPr>
        <w:spacing w:after="0"/>
        <w:ind w:left="720"/>
      </w:pPr>
    </w:p>
    <w:p w14:paraId="1EC71C66" w14:textId="660059CA" w:rsidR="00FE106C" w:rsidRPr="00803E1D" w:rsidRDefault="00FE106C" w:rsidP="004F2620">
      <w:pPr>
        <w:pStyle w:val="ListParagraph"/>
        <w:numPr>
          <w:ilvl w:val="0"/>
          <w:numId w:val="90"/>
        </w:numPr>
      </w:pPr>
      <w:r w:rsidRPr="005A7023">
        <w:t>The impact of proper installation, maintenance, and servicing on the efficiency of equipment and systems is considerable over the life time of these systems while the additional cost is minimal.</w:t>
      </w:r>
    </w:p>
    <w:p w14:paraId="57993232" w14:textId="77777777" w:rsidR="00FE106C" w:rsidRPr="005A7023" w:rsidRDefault="00FE106C" w:rsidP="000F749F">
      <w:pPr>
        <w:spacing w:after="0"/>
        <w:ind w:left="720"/>
      </w:pPr>
    </w:p>
    <w:p w14:paraId="4539EE3D" w14:textId="77777777" w:rsidR="00AF36BF" w:rsidRDefault="00FE106C" w:rsidP="004F2620">
      <w:pPr>
        <w:keepNext/>
        <w:keepLines/>
        <w:widowControl w:val="0"/>
        <w:numPr>
          <w:ilvl w:val="0"/>
          <w:numId w:val="77"/>
        </w:numPr>
        <w:tabs>
          <w:tab w:val="left" w:pos="0"/>
          <w:tab w:val="left" w:pos="220"/>
          <w:tab w:val="left" w:pos="270"/>
          <w:tab w:val="left" w:pos="720"/>
        </w:tabs>
        <w:autoSpaceDE w:val="0"/>
        <w:autoSpaceDN w:val="0"/>
        <w:adjustRightInd w:val="0"/>
        <w:spacing w:after="0"/>
        <w:ind w:left="720" w:right="28"/>
        <w:contextualSpacing/>
        <w:outlineLvl w:val="2"/>
        <w:rPr>
          <w:bCs/>
          <w:strike/>
          <w:color w:val="262626"/>
          <w:kern w:val="2"/>
          <w:szCs w:val="22"/>
          <w:lang w:val="en-AU"/>
        </w:rPr>
      </w:pPr>
      <w:r w:rsidRPr="005A7023">
        <w:rPr>
          <w:bCs/>
          <w:color w:val="262626"/>
          <w:kern w:val="2"/>
          <w:szCs w:val="22"/>
          <w:lang w:val="en-AU"/>
        </w:rPr>
        <w:t xml:space="preserve">The benefits of proper maintenance are considerable. </w:t>
      </w:r>
      <w:r w:rsidRPr="005A7023">
        <w:rPr>
          <w:color w:val="auto"/>
          <w:szCs w:val="22"/>
          <w:lang w:val="en-US" w:eastAsia="en-US"/>
        </w:rPr>
        <w:t>Appropriate maintenance and servicing practices can curtail up to 50% reduction in performance and maintain the rated performance over the lifetime.</w:t>
      </w:r>
    </w:p>
    <w:p w14:paraId="379D5CCD" w14:textId="77777777" w:rsidR="00AF36BF" w:rsidRDefault="00AF36BF" w:rsidP="00AF36BF">
      <w:pPr>
        <w:keepNext/>
        <w:keepLines/>
        <w:widowControl w:val="0"/>
        <w:tabs>
          <w:tab w:val="left" w:pos="0"/>
          <w:tab w:val="left" w:pos="220"/>
          <w:tab w:val="left" w:pos="270"/>
          <w:tab w:val="left" w:pos="720"/>
        </w:tabs>
        <w:autoSpaceDE w:val="0"/>
        <w:autoSpaceDN w:val="0"/>
        <w:adjustRightInd w:val="0"/>
        <w:spacing w:after="0"/>
        <w:ind w:right="28"/>
        <w:contextualSpacing/>
        <w:outlineLvl w:val="2"/>
        <w:rPr>
          <w:bCs/>
          <w:color w:val="262626"/>
          <w:kern w:val="2"/>
          <w:szCs w:val="22"/>
          <w:lang w:val="en-AU"/>
        </w:rPr>
      </w:pPr>
    </w:p>
    <w:p w14:paraId="6CA6B24F" w14:textId="77777777" w:rsidR="00AF36BF" w:rsidRPr="000F749F" w:rsidRDefault="00453103" w:rsidP="000F749F">
      <w:pPr>
        <w:pStyle w:val="Heading3"/>
      </w:pPr>
      <w:bookmarkStart w:id="78" w:name="_Toc515454376"/>
      <w:r w:rsidRPr="000F749F">
        <w:t>2.5.1</w:t>
      </w:r>
      <w:r w:rsidRPr="000F749F">
        <w:tab/>
        <w:t>Servicing sector impact on EE</w:t>
      </w:r>
      <w:bookmarkEnd w:id="78"/>
    </w:p>
    <w:p w14:paraId="307A849F" w14:textId="34470EBD" w:rsidR="00453103" w:rsidRPr="00AF36BF" w:rsidRDefault="00453103" w:rsidP="00AF36BF">
      <w:pPr>
        <w:keepNext/>
        <w:keepLines/>
        <w:widowControl w:val="0"/>
        <w:tabs>
          <w:tab w:val="left" w:pos="0"/>
          <w:tab w:val="left" w:pos="220"/>
          <w:tab w:val="left" w:pos="270"/>
          <w:tab w:val="left" w:pos="720"/>
        </w:tabs>
        <w:autoSpaceDE w:val="0"/>
        <w:autoSpaceDN w:val="0"/>
        <w:adjustRightInd w:val="0"/>
        <w:spacing w:after="0"/>
        <w:ind w:right="28"/>
        <w:contextualSpacing/>
        <w:outlineLvl w:val="2"/>
        <w:rPr>
          <w:bCs/>
          <w:strike/>
          <w:color w:val="262626"/>
          <w:kern w:val="2"/>
          <w:szCs w:val="22"/>
          <w:lang w:val="en-AU"/>
        </w:rPr>
      </w:pPr>
      <w:r w:rsidRPr="00F867D0">
        <w:rPr>
          <w:szCs w:val="22"/>
        </w:rPr>
        <w:t xml:space="preserve">The reduction in </w:t>
      </w:r>
      <w:r w:rsidR="00291A58">
        <w:rPr>
          <w:szCs w:val="22"/>
        </w:rPr>
        <w:t>EE</w:t>
      </w:r>
      <w:r w:rsidRPr="00F867D0">
        <w:rPr>
          <w:szCs w:val="22"/>
        </w:rPr>
        <w:t xml:space="preserve"> and increase in the energy consumption during the lifetime of the units and systems in the RACHP sector is </w:t>
      </w:r>
      <w:r w:rsidR="003741DF" w:rsidRPr="00F867D0">
        <w:rPr>
          <w:szCs w:val="22"/>
        </w:rPr>
        <w:t>f</w:t>
      </w:r>
      <w:r w:rsidR="00EF0025">
        <w:rPr>
          <w:szCs w:val="22"/>
        </w:rPr>
        <w:t xml:space="preserve">rom </w:t>
      </w:r>
      <w:r w:rsidRPr="00F867D0">
        <w:rPr>
          <w:szCs w:val="22"/>
        </w:rPr>
        <w:t xml:space="preserve">several </w:t>
      </w:r>
      <w:r w:rsidR="00110165">
        <w:rPr>
          <w:szCs w:val="22"/>
        </w:rPr>
        <w:t>sources</w:t>
      </w:r>
      <w:r w:rsidRPr="00F867D0">
        <w:rPr>
          <w:szCs w:val="22"/>
        </w:rPr>
        <w:t xml:space="preserve">, some </w:t>
      </w:r>
      <w:r w:rsidR="003741DF" w:rsidRPr="00F867D0">
        <w:rPr>
          <w:szCs w:val="22"/>
        </w:rPr>
        <w:t xml:space="preserve">of which </w:t>
      </w:r>
      <w:r w:rsidRPr="00F867D0">
        <w:rPr>
          <w:szCs w:val="22"/>
        </w:rPr>
        <w:t>are almost totally controllable</w:t>
      </w:r>
      <w:r w:rsidR="00EF0025">
        <w:rPr>
          <w:szCs w:val="22"/>
        </w:rPr>
        <w:t>, while others are less so</w:t>
      </w:r>
      <w:r w:rsidRPr="00F867D0">
        <w:rPr>
          <w:szCs w:val="22"/>
        </w:rPr>
        <w:t xml:space="preserve">. The </w:t>
      </w:r>
      <w:r w:rsidR="00110165">
        <w:rPr>
          <w:szCs w:val="22"/>
        </w:rPr>
        <w:t xml:space="preserve">most difficult to control </w:t>
      </w:r>
      <w:r w:rsidRPr="00F867D0">
        <w:rPr>
          <w:szCs w:val="22"/>
        </w:rPr>
        <w:t xml:space="preserve">is the normal wear-and-tear that affects the operation of the units and by extension, the system. </w:t>
      </w:r>
      <w:r w:rsidR="00110165">
        <w:rPr>
          <w:szCs w:val="22"/>
        </w:rPr>
        <w:t>T</w:t>
      </w:r>
      <w:r w:rsidRPr="00F867D0">
        <w:rPr>
          <w:szCs w:val="22"/>
        </w:rPr>
        <w:t xml:space="preserve">his wear-and-tear </w:t>
      </w:r>
      <w:r w:rsidR="00A33EB1">
        <w:rPr>
          <w:szCs w:val="22"/>
        </w:rPr>
        <w:t>can be minimis</w:t>
      </w:r>
      <w:r w:rsidRPr="00F867D0">
        <w:rPr>
          <w:szCs w:val="22"/>
        </w:rPr>
        <w:t xml:space="preserve">ed through proper preventive maintenance, but </w:t>
      </w:r>
      <w:r w:rsidR="00110165">
        <w:rPr>
          <w:szCs w:val="22"/>
        </w:rPr>
        <w:t xml:space="preserve">it </w:t>
      </w:r>
      <w:r w:rsidRPr="00F867D0">
        <w:rPr>
          <w:szCs w:val="22"/>
        </w:rPr>
        <w:t xml:space="preserve">cannot be totally avoided. </w:t>
      </w:r>
    </w:p>
    <w:p w14:paraId="673E8A39" w14:textId="6BC339D9" w:rsidR="00453103" w:rsidRPr="00F867D0" w:rsidRDefault="000A31D6" w:rsidP="00453103">
      <w:pPr>
        <w:rPr>
          <w:szCs w:val="22"/>
        </w:rPr>
      </w:pPr>
      <w:r>
        <w:rPr>
          <w:szCs w:val="22"/>
        </w:rPr>
        <w:t>It is widely recognis</w:t>
      </w:r>
      <w:r w:rsidR="00453103" w:rsidRPr="00F867D0">
        <w:rPr>
          <w:szCs w:val="22"/>
        </w:rPr>
        <w:t xml:space="preserve">ed that residential and commercial RAC equipment </w:t>
      </w:r>
      <w:r w:rsidR="00110165">
        <w:rPr>
          <w:szCs w:val="22"/>
        </w:rPr>
        <w:t xml:space="preserve">can undergo </w:t>
      </w:r>
      <w:r w:rsidR="00453103" w:rsidRPr="00F867D0">
        <w:rPr>
          <w:szCs w:val="22"/>
        </w:rPr>
        <w:t>significant</w:t>
      </w:r>
      <w:r w:rsidR="00110165">
        <w:rPr>
          <w:szCs w:val="22"/>
        </w:rPr>
        <w:t xml:space="preserve"> loss of</w:t>
      </w:r>
      <w:r w:rsidR="00453103" w:rsidRPr="00F867D0">
        <w:rPr>
          <w:szCs w:val="22"/>
        </w:rPr>
        <w:t xml:space="preserve"> capacity and efficiency</w:t>
      </w:r>
      <w:r w:rsidR="00110165">
        <w:rPr>
          <w:szCs w:val="22"/>
        </w:rPr>
        <w:t xml:space="preserve">, </w:t>
      </w:r>
      <w:r w:rsidR="00453103" w:rsidRPr="00F867D0">
        <w:rPr>
          <w:szCs w:val="22"/>
        </w:rPr>
        <w:t xml:space="preserve">depending on how the components are sized, assembled, installed, and subsequently field-maintained. </w:t>
      </w:r>
      <w:r w:rsidR="00110165">
        <w:rPr>
          <w:szCs w:val="22"/>
        </w:rPr>
        <w:t xml:space="preserve">However, </w:t>
      </w:r>
      <w:r w:rsidR="00453103" w:rsidRPr="00F867D0">
        <w:rPr>
          <w:szCs w:val="22"/>
        </w:rPr>
        <w:t xml:space="preserve">sound installation and maintenance practices </w:t>
      </w:r>
      <w:r w:rsidR="00110165">
        <w:rPr>
          <w:szCs w:val="22"/>
        </w:rPr>
        <w:t>are hard to deliver in a</w:t>
      </w:r>
      <w:r w:rsidR="00453103" w:rsidRPr="00F867D0">
        <w:rPr>
          <w:szCs w:val="22"/>
        </w:rPr>
        <w:t xml:space="preserve"> marketplace </w:t>
      </w:r>
      <w:r w:rsidR="00110165">
        <w:rPr>
          <w:szCs w:val="22"/>
        </w:rPr>
        <w:t>which</w:t>
      </w:r>
      <w:r w:rsidR="00453103" w:rsidRPr="00F867D0">
        <w:rPr>
          <w:szCs w:val="22"/>
        </w:rPr>
        <w:t xml:space="preserve"> keep</w:t>
      </w:r>
      <w:r w:rsidR="00110165">
        <w:rPr>
          <w:szCs w:val="22"/>
        </w:rPr>
        <w:t>s</w:t>
      </w:r>
      <w:r w:rsidR="00453103" w:rsidRPr="00F867D0">
        <w:rPr>
          <w:szCs w:val="22"/>
        </w:rPr>
        <w:t xml:space="preserve"> first-cost pricing low, resulting in poorly performing equipment </w:t>
      </w:r>
      <w:r w:rsidR="00BE6B42" w:rsidRPr="00F867D0">
        <w:rPr>
          <w:szCs w:val="22"/>
        </w:rPr>
        <w:t>[</w:t>
      </w:r>
      <w:r w:rsidR="00453103" w:rsidRPr="00F867D0">
        <w:rPr>
          <w:szCs w:val="22"/>
        </w:rPr>
        <w:t>Hourahan</w:t>
      </w:r>
      <w:r w:rsidR="00BE6B42" w:rsidRPr="00F867D0">
        <w:rPr>
          <w:szCs w:val="22"/>
        </w:rPr>
        <w:t xml:space="preserve"> et al.</w:t>
      </w:r>
      <w:r w:rsidR="00453103" w:rsidRPr="00F867D0">
        <w:rPr>
          <w:szCs w:val="22"/>
        </w:rPr>
        <w:t>, 2011</w:t>
      </w:r>
      <w:r w:rsidR="00BE6B42" w:rsidRPr="00F867D0">
        <w:rPr>
          <w:szCs w:val="22"/>
        </w:rPr>
        <w:t>]</w:t>
      </w:r>
      <w:r w:rsidR="00453103" w:rsidRPr="00F867D0">
        <w:rPr>
          <w:szCs w:val="22"/>
        </w:rPr>
        <w:t>.</w:t>
      </w:r>
    </w:p>
    <w:p w14:paraId="65498AF7" w14:textId="44769F47" w:rsidR="00453103" w:rsidRPr="00F867D0" w:rsidRDefault="00453103" w:rsidP="00453103">
      <w:pPr>
        <w:rPr>
          <w:szCs w:val="22"/>
        </w:rPr>
      </w:pPr>
      <w:r w:rsidRPr="00F867D0">
        <w:rPr>
          <w:szCs w:val="22"/>
        </w:rPr>
        <w:t xml:space="preserve">According to International Institute of Refrigeration, </w:t>
      </w:r>
      <w:r w:rsidR="004D0FDB" w:rsidRPr="00F867D0">
        <w:rPr>
          <w:szCs w:val="22"/>
        </w:rPr>
        <w:t>“</w:t>
      </w:r>
      <w:r w:rsidRPr="00F867D0">
        <w:rPr>
          <w:szCs w:val="22"/>
        </w:rPr>
        <w:t>better optimization, monitoring, and maintenance of cooling equipment has the potential to save 30</w:t>
      </w:r>
      <w:r w:rsidR="00306985">
        <w:rPr>
          <w:szCs w:val="22"/>
        </w:rPr>
        <w:t xml:space="preserve"> </w:t>
      </w:r>
      <w:r w:rsidRPr="00F867D0">
        <w:rPr>
          <w:szCs w:val="22"/>
        </w:rPr>
        <w:t>Gt of CO</w:t>
      </w:r>
      <w:r w:rsidRPr="00F867D0">
        <w:rPr>
          <w:szCs w:val="22"/>
          <w:vertAlign w:val="subscript"/>
        </w:rPr>
        <w:t>2</w:t>
      </w:r>
      <w:r w:rsidRPr="00F867D0">
        <w:rPr>
          <w:szCs w:val="22"/>
        </w:rPr>
        <w:t xml:space="preserve"> emissions by 2050 – contributing a further 38% of savings on top of those delivered through the planned phase down of high GWP refrigerants agreed at Kigali” </w:t>
      </w:r>
      <w:r w:rsidR="00BE6B42" w:rsidRPr="00F867D0">
        <w:rPr>
          <w:szCs w:val="22"/>
        </w:rPr>
        <w:t>[</w:t>
      </w:r>
      <w:r w:rsidRPr="00F867D0">
        <w:rPr>
          <w:szCs w:val="22"/>
        </w:rPr>
        <w:t>K-CEP, 2016</w:t>
      </w:r>
      <w:r w:rsidR="00BE6B42" w:rsidRPr="00F867D0">
        <w:rPr>
          <w:szCs w:val="22"/>
        </w:rPr>
        <w:t>]</w:t>
      </w:r>
      <w:r w:rsidR="00D07E69" w:rsidRPr="00F867D0">
        <w:rPr>
          <w:szCs w:val="22"/>
        </w:rPr>
        <w:t>.</w:t>
      </w:r>
    </w:p>
    <w:p w14:paraId="516512E6" w14:textId="7DD15344" w:rsidR="00453103" w:rsidRPr="00F867D0" w:rsidRDefault="00453103" w:rsidP="00453103">
      <w:pPr>
        <w:rPr>
          <w:szCs w:val="22"/>
        </w:rPr>
      </w:pPr>
      <w:r w:rsidRPr="00F867D0">
        <w:rPr>
          <w:szCs w:val="22"/>
        </w:rPr>
        <w:t xml:space="preserve">There are ways to decrease the </w:t>
      </w:r>
      <w:r w:rsidR="004D0FDB" w:rsidRPr="00F867D0">
        <w:rPr>
          <w:szCs w:val="22"/>
        </w:rPr>
        <w:t xml:space="preserve">degradation </w:t>
      </w:r>
      <w:r w:rsidRPr="00F867D0">
        <w:rPr>
          <w:szCs w:val="22"/>
        </w:rPr>
        <w:t xml:space="preserve">of </w:t>
      </w:r>
      <w:r w:rsidR="00291A58">
        <w:rPr>
          <w:szCs w:val="22"/>
        </w:rPr>
        <w:t>EE</w:t>
      </w:r>
      <w:r w:rsidRPr="00F867D0">
        <w:rPr>
          <w:szCs w:val="22"/>
        </w:rPr>
        <w:t xml:space="preserve"> during the lifetime of the </w:t>
      </w:r>
      <w:r w:rsidR="00EF0025">
        <w:rPr>
          <w:szCs w:val="22"/>
        </w:rPr>
        <w:t>equipment</w:t>
      </w:r>
      <w:r w:rsidRPr="00F867D0">
        <w:rPr>
          <w:szCs w:val="22"/>
        </w:rPr>
        <w:t xml:space="preserve">. Improved design </w:t>
      </w:r>
      <w:r w:rsidR="00EF0025">
        <w:rPr>
          <w:szCs w:val="22"/>
        </w:rPr>
        <w:t xml:space="preserve">can </w:t>
      </w:r>
      <w:r w:rsidRPr="00F867D0">
        <w:rPr>
          <w:szCs w:val="22"/>
        </w:rPr>
        <w:t>contribute to easier and efficient servicing</w:t>
      </w:r>
      <w:r w:rsidR="00EF0025">
        <w:rPr>
          <w:szCs w:val="22"/>
        </w:rPr>
        <w:t>, thereby</w:t>
      </w:r>
      <w:r w:rsidRPr="00F867D0">
        <w:rPr>
          <w:szCs w:val="22"/>
        </w:rPr>
        <w:t xml:space="preserve"> impacting </w:t>
      </w:r>
      <w:r w:rsidR="00EF0025">
        <w:rPr>
          <w:szCs w:val="22"/>
        </w:rPr>
        <w:t>EE</w:t>
      </w:r>
      <w:r w:rsidR="004D0FDB" w:rsidRPr="00F867D0">
        <w:rPr>
          <w:szCs w:val="22"/>
        </w:rPr>
        <w:t xml:space="preserve"> (e.g., </w:t>
      </w:r>
      <w:r w:rsidRPr="00F867D0">
        <w:rPr>
          <w:szCs w:val="22"/>
        </w:rPr>
        <w:t>reducing the number of connections, applying corrosion resistant coating,</w:t>
      </w:r>
      <w:r w:rsidR="004D0FDB" w:rsidRPr="00F867D0">
        <w:rPr>
          <w:szCs w:val="22"/>
        </w:rPr>
        <w:t xml:space="preserve"> etc.)</w:t>
      </w:r>
      <w:r w:rsidRPr="00F867D0">
        <w:rPr>
          <w:szCs w:val="22"/>
        </w:rPr>
        <w:t>.</w:t>
      </w:r>
    </w:p>
    <w:p w14:paraId="129C3792" w14:textId="496D1D63" w:rsidR="002658BC" w:rsidRDefault="00453103" w:rsidP="00382BB0">
      <w:pPr>
        <w:rPr>
          <w:b/>
          <w:bCs/>
          <w:szCs w:val="22"/>
        </w:rPr>
      </w:pPr>
      <w:r w:rsidRPr="00F867D0">
        <w:rPr>
          <w:szCs w:val="22"/>
        </w:rPr>
        <w:t>Improving servicing, which is understood to include both installation and maintenance</w:t>
      </w:r>
      <w:r w:rsidR="00EF0025">
        <w:rPr>
          <w:szCs w:val="22"/>
        </w:rPr>
        <w:t xml:space="preserve"> can be used</w:t>
      </w:r>
      <w:r w:rsidRPr="00F867D0">
        <w:rPr>
          <w:szCs w:val="22"/>
        </w:rPr>
        <w:t xml:space="preserve"> to achieve </w:t>
      </w:r>
      <w:r w:rsidR="00EF0025">
        <w:rPr>
          <w:szCs w:val="22"/>
        </w:rPr>
        <w:t>EE</w:t>
      </w:r>
      <w:r w:rsidRPr="00F867D0">
        <w:rPr>
          <w:szCs w:val="22"/>
        </w:rPr>
        <w:t xml:space="preserve"> as a result of better practices. </w:t>
      </w:r>
      <w:r w:rsidR="00EF0025">
        <w:rPr>
          <w:szCs w:val="22"/>
        </w:rPr>
        <w:t xml:space="preserve">Table 2.5 provides </w:t>
      </w:r>
      <w:r w:rsidRPr="00F867D0">
        <w:rPr>
          <w:szCs w:val="22"/>
        </w:rPr>
        <w:t xml:space="preserve">a compilation of data </w:t>
      </w:r>
      <w:r w:rsidR="00EF0025">
        <w:rPr>
          <w:szCs w:val="22"/>
        </w:rPr>
        <w:t xml:space="preserve">made by </w:t>
      </w:r>
      <w:r w:rsidR="00291A58">
        <w:rPr>
          <w:szCs w:val="22"/>
        </w:rPr>
        <w:t>the International Energy Agency (</w:t>
      </w:r>
      <w:r w:rsidR="00EF0025">
        <w:rPr>
          <w:szCs w:val="22"/>
        </w:rPr>
        <w:t>IEA</w:t>
      </w:r>
      <w:r w:rsidR="00291A58">
        <w:rPr>
          <w:szCs w:val="22"/>
        </w:rPr>
        <w:t>)</w:t>
      </w:r>
      <w:r w:rsidR="00EF0025">
        <w:rPr>
          <w:szCs w:val="22"/>
        </w:rPr>
        <w:t xml:space="preserve"> </w:t>
      </w:r>
      <w:r w:rsidRPr="00F867D0">
        <w:rPr>
          <w:szCs w:val="22"/>
        </w:rPr>
        <w:t xml:space="preserve">from several manufacturers </w:t>
      </w:r>
      <w:r w:rsidR="00EF0025">
        <w:rPr>
          <w:szCs w:val="22"/>
        </w:rPr>
        <w:t xml:space="preserve">that </w:t>
      </w:r>
      <w:r w:rsidRPr="00F867D0">
        <w:rPr>
          <w:szCs w:val="22"/>
        </w:rPr>
        <w:t xml:space="preserve">identified the most common faults resulting in </w:t>
      </w:r>
      <w:r w:rsidR="00EF0025">
        <w:rPr>
          <w:szCs w:val="22"/>
        </w:rPr>
        <w:t>EE</w:t>
      </w:r>
      <w:r w:rsidRPr="00F867D0">
        <w:rPr>
          <w:szCs w:val="22"/>
        </w:rPr>
        <w:t xml:space="preserve"> degradation.</w:t>
      </w:r>
      <w:r w:rsidR="004D2587" w:rsidRPr="00F867D0">
        <w:rPr>
          <w:b/>
          <w:bCs/>
          <w:szCs w:val="22"/>
        </w:rPr>
        <w:t xml:space="preserve"> </w:t>
      </w:r>
    </w:p>
    <w:p w14:paraId="2D92F459" w14:textId="57B2E251" w:rsidR="00453103" w:rsidRPr="003D5FEE" w:rsidRDefault="004D2587" w:rsidP="00407D27">
      <w:pPr>
        <w:spacing w:after="0"/>
        <w:jc w:val="center"/>
        <w:rPr>
          <w:b/>
          <w:i/>
          <w:szCs w:val="22"/>
        </w:rPr>
      </w:pPr>
      <w:r w:rsidRPr="003D5FEE">
        <w:rPr>
          <w:b/>
          <w:bCs/>
          <w:i/>
          <w:szCs w:val="22"/>
        </w:rPr>
        <w:t>Table</w:t>
      </w:r>
      <w:r w:rsidR="00366D83" w:rsidRPr="003D5FEE">
        <w:rPr>
          <w:b/>
          <w:bCs/>
          <w:i/>
          <w:szCs w:val="22"/>
        </w:rPr>
        <w:t xml:space="preserve"> </w:t>
      </w:r>
      <w:r w:rsidRPr="003D5FEE">
        <w:rPr>
          <w:b/>
          <w:bCs/>
          <w:i/>
          <w:szCs w:val="22"/>
        </w:rPr>
        <w:t>2.5</w:t>
      </w:r>
      <w:r w:rsidRPr="003D5FEE">
        <w:rPr>
          <w:i/>
          <w:szCs w:val="22"/>
        </w:rPr>
        <w:t xml:space="preserve"> </w:t>
      </w:r>
      <w:r w:rsidRPr="003D5FEE">
        <w:rPr>
          <w:b/>
          <w:i/>
          <w:szCs w:val="22"/>
        </w:rPr>
        <w:t>E</w:t>
      </w:r>
      <w:r w:rsidR="00770398" w:rsidRPr="003D5FEE">
        <w:rPr>
          <w:b/>
          <w:i/>
          <w:szCs w:val="22"/>
        </w:rPr>
        <w:t>nergy efficiency d</w:t>
      </w:r>
      <w:r w:rsidRPr="003D5FEE">
        <w:rPr>
          <w:b/>
          <w:i/>
          <w:szCs w:val="22"/>
        </w:rPr>
        <w:t>egradation for air-to-air heat pump due to poor installation and maintenance</w:t>
      </w:r>
    </w:p>
    <w:p w14:paraId="1A2FF9EF" w14:textId="77777777" w:rsidR="00AF36BF" w:rsidRPr="00F867D0" w:rsidRDefault="00AF36BF" w:rsidP="00AF36BF">
      <w:pPr>
        <w:spacing w:after="0"/>
        <w:jc w:val="center"/>
        <w:rPr>
          <w:szCs w:val="22"/>
        </w:rPr>
      </w:pPr>
    </w:p>
    <w:tbl>
      <w:tblPr>
        <w:tblStyle w:val="TableGrid"/>
        <w:tblW w:w="8298" w:type="dxa"/>
        <w:tblLook w:val="04A0" w:firstRow="1" w:lastRow="0" w:firstColumn="1" w:lastColumn="0" w:noHBand="0" w:noVBand="1"/>
      </w:tblPr>
      <w:tblGrid>
        <w:gridCol w:w="1548"/>
        <w:gridCol w:w="2700"/>
        <w:gridCol w:w="4050"/>
      </w:tblGrid>
      <w:tr w:rsidR="00382BB0" w:rsidRPr="00F867D0" w14:paraId="21DCF4C6" w14:textId="77777777" w:rsidTr="00496828">
        <w:tc>
          <w:tcPr>
            <w:tcW w:w="1548" w:type="dxa"/>
            <w:vAlign w:val="center"/>
          </w:tcPr>
          <w:p w14:paraId="79B4B84B" w14:textId="77777777" w:rsidR="00453103" w:rsidRPr="00F867D0" w:rsidRDefault="00453103" w:rsidP="00AF36BF">
            <w:pPr>
              <w:spacing w:after="0"/>
              <w:jc w:val="center"/>
              <w:rPr>
                <w:rFonts w:eastAsia="SimSun" w:cs="Times New Roman"/>
                <w:szCs w:val="20"/>
              </w:rPr>
            </w:pPr>
          </w:p>
        </w:tc>
        <w:tc>
          <w:tcPr>
            <w:tcW w:w="2700" w:type="dxa"/>
            <w:shd w:val="clear" w:color="auto" w:fill="E5DFEC" w:themeFill="accent4" w:themeFillTint="33"/>
          </w:tcPr>
          <w:p w14:paraId="250F1DC4" w14:textId="77777777" w:rsidR="00453103" w:rsidRPr="00F867D0" w:rsidRDefault="00453103" w:rsidP="00AF36BF">
            <w:pPr>
              <w:spacing w:after="0"/>
              <w:jc w:val="center"/>
              <w:rPr>
                <w:rFonts w:eastAsia="SimSun" w:cs="Times New Roman"/>
                <w:b/>
                <w:bCs/>
                <w:szCs w:val="20"/>
              </w:rPr>
            </w:pPr>
            <w:r w:rsidRPr="00F867D0">
              <w:rPr>
                <w:b/>
                <w:bCs/>
              </w:rPr>
              <w:t>Fault</w:t>
            </w:r>
          </w:p>
        </w:tc>
        <w:tc>
          <w:tcPr>
            <w:tcW w:w="4050" w:type="dxa"/>
            <w:shd w:val="clear" w:color="auto" w:fill="E5DFEC" w:themeFill="accent4" w:themeFillTint="33"/>
          </w:tcPr>
          <w:p w14:paraId="4FF5C03E" w14:textId="77777777" w:rsidR="00453103" w:rsidRPr="00F867D0" w:rsidRDefault="00453103" w:rsidP="00AF36BF">
            <w:pPr>
              <w:spacing w:after="0"/>
              <w:jc w:val="center"/>
              <w:rPr>
                <w:rFonts w:eastAsia="SimSun" w:cs="Times New Roman"/>
                <w:b/>
                <w:bCs/>
                <w:szCs w:val="20"/>
              </w:rPr>
            </w:pPr>
            <w:r w:rsidRPr="00F867D0">
              <w:rPr>
                <w:b/>
                <w:bCs/>
              </w:rPr>
              <w:t>Occurrence as % of total faults</w:t>
            </w:r>
          </w:p>
        </w:tc>
      </w:tr>
      <w:tr w:rsidR="00382BB0" w:rsidRPr="00F867D0" w14:paraId="4344676F" w14:textId="77777777" w:rsidTr="00496828">
        <w:tc>
          <w:tcPr>
            <w:tcW w:w="1548" w:type="dxa"/>
            <w:vMerge w:val="restart"/>
            <w:vAlign w:val="center"/>
          </w:tcPr>
          <w:p w14:paraId="2C188221" w14:textId="77777777" w:rsidR="00453103" w:rsidRDefault="00453103" w:rsidP="00AF36BF">
            <w:pPr>
              <w:spacing w:after="0" w:line="259" w:lineRule="auto"/>
              <w:jc w:val="center"/>
              <w:rPr>
                <w:b/>
                <w:bCs/>
              </w:rPr>
            </w:pPr>
            <w:r w:rsidRPr="00F867D0">
              <w:rPr>
                <w:b/>
                <w:bCs/>
              </w:rPr>
              <w:t>The most common faults</w:t>
            </w:r>
          </w:p>
          <w:p w14:paraId="34A71923" w14:textId="22C64A2E" w:rsidR="00AF36BF" w:rsidRPr="00F867D0" w:rsidRDefault="00AF36BF" w:rsidP="00AF36BF">
            <w:pPr>
              <w:spacing w:after="0" w:line="259" w:lineRule="auto"/>
              <w:jc w:val="center"/>
              <w:rPr>
                <w:rFonts w:eastAsia="SimSun" w:cs="Times New Roman"/>
                <w:b/>
                <w:bCs/>
                <w:szCs w:val="20"/>
              </w:rPr>
            </w:pPr>
          </w:p>
        </w:tc>
        <w:tc>
          <w:tcPr>
            <w:tcW w:w="2700" w:type="dxa"/>
          </w:tcPr>
          <w:p w14:paraId="42A76C14" w14:textId="77777777" w:rsidR="00453103" w:rsidRDefault="00453103" w:rsidP="00AF36BF">
            <w:pPr>
              <w:spacing w:after="0" w:line="259" w:lineRule="auto"/>
              <w:jc w:val="center"/>
            </w:pPr>
            <w:r w:rsidRPr="00F867D0">
              <w:t>Fan</w:t>
            </w:r>
          </w:p>
          <w:p w14:paraId="097C18F4" w14:textId="22E4E810" w:rsidR="00AF36BF" w:rsidRPr="00F867D0" w:rsidRDefault="00AF36BF" w:rsidP="00AF36BF">
            <w:pPr>
              <w:spacing w:after="0" w:line="259" w:lineRule="auto"/>
              <w:jc w:val="center"/>
              <w:rPr>
                <w:rFonts w:eastAsia="SimSun" w:cs="Times New Roman"/>
                <w:szCs w:val="20"/>
              </w:rPr>
            </w:pPr>
          </w:p>
        </w:tc>
        <w:tc>
          <w:tcPr>
            <w:tcW w:w="4050" w:type="dxa"/>
          </w:tcPr>
          <w:p w14:paraId="78D5F5D2" w14:textId="77777777" w:rsidR="00453103" w:rsidRPr="00F867D0" w:rsidRDefault="00453103" w:rsidP="00AF36BF">
            <w:pPr>
              <w:spacing w:after="0" w:line="259" w:lineRule="auto"/>
              <w:jc w:val="center"/>
              <w:rPr>
                <w:rFonts w:eastAsia="SimSun" w:cs="Times New Roman"/>
                <w:szCs w:val="20"/>
              </w:rPr>
            </w:pPr>
            <w:r w:rsidRPr="00F867D0">
              <w:t>26%</w:t>
            </w:r>
          </w:p>
        </w:tc>
      </w:tr>
      <w:tr w:rsidR="00382BB0" w:rsidRPr="00F867D0" w14:paraId="200B111F" w14:textId="77777777" w:rsidTr="00496828">
        <w:tc>
          <w:tcPr>
            <w:tcW w:w="1548" w:type="dxa"/>
            <w:vMerge/>
          </w:tcPr>
          <w:p w14:paraId="3240E7C4" w14:textId="77777777" w:rsidR="00453103" w:rsidRPr="00F867D0" w:rsidRDefault="00453103" w:rsidP="00AF36BF">
            <w:pPr>
              <w:spacing w:after="0" w:line="259" w:lineRule="auto"/>
              <w:jc w:val="center"/>
              <w:rPr>
                <w:rFonts w:eastAsia="SimSun" w:cs="Times New Roman"/>
                <w:b/>
                <w:bCs/>
                <w:szCs w:val="20"/>
              </w:rPr>
            </w:pPr>
          </w:p>
        </w:tc>
        <w:tc>
          <w:tcPr>
            <w:tcW w:w="2700" w:type="dxa"/>
          </w:tcPr>
          <w:p w14:paraId="7B315754" w14:textId="77777777" w:rsidR="00453103" w:rsidRDefault="00453103" w:rsidP="00AF36BF">
            <w:pPr>
              <w:spacing w:after="0" w:line="259" w:lineRule="auto"/>
              <w:jc w:val="center"/>
            </w:pPr>
            <w:r w:rsidRPr="00F867D0">
              <w:t>Control and electronics</w:t>
            </w:r>
          </w:p>
          <w:p w14:paraId="7F0806E4" w14:textId="7A71CF79" w:rsidR="00AF36BF" w:rsidRPr="00F867D0" w:rsidRDefault="00AF36BF" w:rsidP="00AF36BF">
            <w:pPr>
              <w:spacing w:after="0" w:line="259" w:lineRule="auto"/>
              <w:jc w:val="center"/>
              <w:rPr>
                <w:rFonts w:eastAsia="SimSun" w:cs="Times New Roman"/>
                <w:szCs w:val="20"/>
              </w:rPr>
            </w:pPr>
          </w:p>
        </w:tc>
        <w:tc>
          <w:tcPr>
            <w:tcW w:w="4050" w:type="dxa"/>
          </w:tcPr>
          <w:p w14:paraId="71FD5DF9" w14:textId="77777777" w:rsidR="00453103" w:rsidRPr="00F867D0" w:rsidRDefault="00453103" w:rsidP="00AF36BF">
            <w:pPr>
              <w:spacing w:after="0" w:line="259" w:lineRule="auto"/>
              <w:jc w:val="center"/>
              <w:rPr>
                <w:rFonts w:eastAsia="SimSun" w:cs="Times New Roman"/>
                <w:szCs w:val="20"/>
              </w:rPr>
            </w:pPr>
            <w:r w:rsidRPr="00F867D0">
              <w:t>25%</w:t>
            </w:r>
          </w:p>
        </w:tc>
      </w:tr>
      <w:tr w:rsidR="00382BB0" w:rsidRPr="00F867D0" w14:paraId="3203A8CF" w14:textId="77777777" w:rsidTr="00496828">
        <w:tc>
          <w:tcPr>
            <w:tcW w:w="1548" w:type="dxa"/>
            <w:vMerge/>
          </w:tcPr>
          <w:p w14:paraId="639C88E2" w14:textId="77777777" w:rsidR="00453103" w:rsidRPr="00F867D0" w:rsidRDefault="00453103" w:rsidP="00AF36BF">
            <w:pPr>
              <w:spacing w:after="0" w:line="259" w:lineRule="auto"/>
              <w:jc w:val="center"/>
              <w:rPr>
                <w:rFonts w:eastAsia="SimSun" w:cs="Times New Roman"/>
                <w:b/>
                <w:bCs/>
                <w:szCs w:val="20"/>
              </w:rPr>
            </w:pPr>
          </w:p>
        </w:tc>
        <w:tc>
          <w:tcPr>
            <w:tcW w:w="2700" w:type="dxa"/>
          </w:tcPr>
          <w:p w14:paraId="7921653F" w14:textId="77777777" w:rsidR="00453103" w:rsidRDefault="00453103" w:rsidP="00AF36BF">
            <w:pPr>
              <w:spacing w:after="0" w:line="259" w:lineRule="auto"/>
              <w:jc w:val="center"/>
            </w:pPr>
            <w:r w:rsidRPr="00F867D0">
              <w:t>Temperature sensors</w:t>
            </w:r>
          </w:p>
          <w:p w14:paraId="073C2FE7" w14:textId="51104B31" w:rsidR="00AF36BF" w:rsidRPr="00F867D0" w:rsidRDefault="00AF36BF" w:rsidP="00AF36BF">
            <w:pPr>
              <w:spacing w:after="0" w:line="259" w:lineRule="auto"/>
              <w:jc w:val="center"/>
              <w:rPr>
                <w:rFonts w:eastAsia="SimSun" w:cs="Times New Roman"/>
                <w:szCs w:val="20"/>
              </w:rPr>
            </w:pPr>
          </w:p>
        </w:tc>
        <w:tc>
          <w:tcPr>
            <w:tcW w:w="4050" w:type="dxa"/>
          </w:tcPr>
          <w:p w14:paraId="2B0676AE" w14:textId="77777777" w:rsidR="00453103" w:rsidRPr="00F867D0" w:rsidRDefault="00453103" w:rsidP="00AF36BF">
            <w:pPr>
              <w:spacing w:after="0" w:line="259" w:lineRule="auto"/>
              <w:jc w:val="center"/>
              <w:rPr>
                <w:rFonts w:eastAsia="SimSun" w:cs="Times New Roman"/>
                <w:szCs w:val="20"/>
              </w:rPr>
            </w:pPr>
            <w:r w:rsidRPr="00F867D0">
              <w:t>16%</w:t>
            </w:r>
          </w:p>
        </w:tc>
      </w:tr>
      <w:tr w:rsidR="00382BB0" w:rsidRPr="00F867D0" w14:paraId="471ED7AE" w14:textId="77777777" w:rsidTr="00496828">
        <w:tc>
          <w:tcPr>
            <w:tcW w:w="1548" w:type="dxa"/>
            <w:vMerge w:val="restart"/>
            <w:vAlign w:val="center"/>
          </w:tcPr>
          <w:p w14:paraId="516FDE7F" w14:textId="77777777" w:rsidR="00453103" w:rsidRPr="00F867D0" w:rsidRDefault="00453103" w:rsidP="00AF36BF">
            <w:pPr>
              <w:spacing w:after="0" w:line="259" w:lineRule="auto"/>
              <w:jc w:val="center"/>
              <w:rPr>
                <w:rFonts w:eastAsia="SimSun" w:cs="Times New Roman"/>
                <w:b/>
                <w:bCs/>
                <w:szCs w:val="20"/>
              </w:rPr>
            </w:pPr>
            <w:r w:rsidRPr="00F867D0">
              <w:rPr>
                <w:b/>
                <w:bCs/>
              </w:rPr>
              <w:t>The costliest faults</w:t>
            </w:r>
          </w:p>
        </w:tc>
        <w:tc>
          <w:tcPr>
            <w:tcW w:w="2700" w:type="dxa"/>
          </w:tcPr>
          <w:p w14:paraId="258A63CD" w14:textId="77777777" w:rsidR="00453103" w:rsidRDefault="00453103" w:rsidP="00AF36BF">
            <w:pPr>
              <w:spacing w:after="0" w:line="259" w:lineRule="auto"/>
              <w:jc w:val="center"/>
            </w:pPr>
            <w:r w:rsidRPr="00F867D0">
              <w:t>Control and electronics</w:t>
            </w:r>
          </w:p>
          <w:p w14:paraId="4BB78B0C" w14:textId="202AD06B" w:rsidR="00AF36BF" w:rsidRPr="00F867D0" w:rsidRDefault="00AF36BF" w:rsidP="00AF36BF">
            <w:pPr>
              <w:spacing w:after="0" w:line="259" w:lineRule="auto"/>
              <w:jc w:val="center"/>
              <w:rPr>
                <w:rFonts w:eastAsia="SimSun" w:cs="Times New Roman"/>
                <w:szCs w:val="20"/>
              </w:rPr>
            </w:pPr>
          </w:p>
        </w:tc>
        <w:tc>
          <w:tcPr>
            <w:tcW w:w="4050" w:type="dxa"/>
          </w:tcPr>
          <w:p w14:paraId="5B5E2E30" w14:textId="77777777" w:rsidR="00453103" w:rsidRPr="00F867D0" w:rsidRDefault="00453103" w:rsidP="00AF36BF">
            <w:pPr>
              <w:spacing w:after="0" w:line="259" w:lineRule="auto"/>
              <w:jc w:val="center"/>
              <w:rPr>
                <w:rFonts w:eastAsia="SimSun" w:cs="Times New Roman"/>
                <w:szCs w:val="20"/>
              </w:rPr>
            </w:pPr>
            <w:r w:rsidRPr="00F867D0">
              <w:t>23%</w:t>
            </w:r>
          </w:p>
        </w:tc>
      </w:tr>
      <w:tr w:rsidR="00382BB0" w:rsidRPr="00F867D0" w14:paraId="426F35FE" w14:textId="77777777" w:rsidTr="00496828">
        <w:tc>
          <w:tcPr>
            <w:tcW w:w="1548" w:type="dxa"/>
            <w:vMerge/>
          </w:tcPr>
          <w:p w14:paraId="05450BCD" w14:textId="77777777" w:rsidR="00453103" w:rsidRPr="00F867D0" w:rsidRDefault="00453103" w:rsidP="00AF36BF">
            <w:pPr>
              <w:spacing w:after="0" w:line="259" w:lineRule="auto"/>
              <w:jc w:val="center"/>
              <w:rPr>
                <w:rFonts w:eastAsia="SimSun" w:cs="Times New Roman"/>
                <w:szCs w:val="20"/>
              </w:rPr>
            </w:pPr>
          </w:p>
        </w:tc>
        <w:tc>
          <w:tcPr>
            <w:tcW w:w="2700" w:type="dxa"/>
          </w:tcPr>
          <w:p w14:paraId="5338100F" w14:textId="77777777" w:rsidR="00453103" w:rsidRDefault="00453103" w:rsidP="00AF36BF">
            <w:pPr>
              <w:spacing w:after="0" w:line="259" w:lineRule="auto"/>
              <w:jc w:val="center"/>
            </w:pPr>
            <w:r w:rsidRPr="00F867D0">
              <w:t>Refrigerant leakage</w:t>
            </w:r>
          </w:p>
          <w:p w14:paraId="44E265EE" w14:textId="353F29EC" w:rsidR="00AF36BF" w:rsidRPr="00F867D0" w:rsidRDefault="00AF36BF" w:rsidP="00AF36BF">
            <w:pPr>
              <w:spacing w:after="0" w:line="259" w:lineRule="auto"/>
              <w:jc w:val="center"/>
              <w:rPr>
                <w:rFonts w:eastAsia="SimSun" w:cs="Times New Roman"/>
                <w:szCs w:val="20"/>
              </w:rPr>
            </w:pPr>
          </w:p>
        </w:tc>
        <w:tc>
          <w:tcPr>
            <w:tcW w:w="4050" w:type="dxa"/>
          </w:tcPr>
          <w:p w14:paraId="3C6D269D" w14:textId="77777777" w:rsidR="00453103" w:rsidRPr="00F867D0" w:rsidRDefault="00453103" w:rsidP="00AF36BF">
            <w:pPr>
              <w:spacing w:after="0" w:line="259" w:lineRule="auto"/>
              <w:jc w:val="center"/>
              <w:rPr>
                <w:rFonts w:eastAsia="SimSun" w:cs="Times New Roman"/>
                <w:szCs w:val="20"/>
              </w:rPr>
            </w:pPr>
            <w:r w:rsidRPr="00F867D0">
              <w:t>17%</w:t>
            </w:r>
          </w:p>
        </w:tc>
      </w:tr>
      <w:tr w:rsidR="00382BB0" w:rsidRPr="00F867D0" w14:paraId="5AA59FA0" w14:textId="77777777" w:rsidTr="00496828">
        <w:tc>
          <w:tcPr>
            <w:tcW w:w="1548" w:type="dxa"/>
            <w:vMerge/>
          </w:tcPr>
          <w:p w14:paraId="3F772CC3" w14:textId="77777777" w:rsidR="00453103" w:rsidRPr="00F867D0" w:rsidRDefault="00453103" w:rsidP="00AF36BF">
            <w:pPr>
              <w:spacing w:after="0" w:line="259" w:lineRule="auto"/>
              <w:jc w:val="center"/>
              <w:rPr>
                <w:rFonts w:eastAsia="SimSun" w:cs="Times New Roman"/>
                <w:szCs w:val="20"/>
              </w:rPr>
            </w:pPr>
          </w:p>
        </w:tc>
        <w:tc>
          <w:tcPr>
            <w:tcW w:w="2700" w:type="dxa"/>
          </w:tcPr>
          <w:p w14:paraId="4D0AF04D" w14:textId="77777777" w:rsidR="00453103" w:rsidRDefault="00453103" w:rsidP="00AF36BF">
            <w:pPr>
              <w:spacing w:after="0" w:line="259" w:lineRule="auto"/>
              <w:jc w:val="center"/>
            </w:pPr>
            <w:r w:rsidRPr="00F867D0">
              <w:t>Fan</w:t>
            </w:r>
          </w:p>
          <w:p w14:paraId="59FD065C" w14:textId="7EBDA90A" w:rsidR="00AF36BF" w:rsidRPr="00F867D0" w:rsidRDefault="00AF36BF" w:rsidP="00AF36BF">
            <w:pPr>
              <w:spacing w:after="0" w:line="259" w:lineRule="auto"/>
              <w:jc w:val="center"/>
              <w:rPr>
                <w:rFonts w:eastAsia="SimSun" w:cs="Times New Roman"/>
                <w:szCs w:val="20"/>
              </w:rPr>
            </w:pPr>
          </w:p>
        </w:tc>
        <w:tc>
          <w:tcPr>
            <w:tcW w:w="4050" w:type="dxa"/>
          </w:tcPr>
          <w:p w14:paraId="5AE9E93D" w14:textId="77777777" w:rsidR="00453103" w:rsidRPr="00F867D0" w:rsidRDefault="00453103" w:rsidP="00AF36BF">
            <w:pPr>
              <w:spacing w:after="0" w:line="259" w:lineRule="auto"/>
              <w:jc w:val="center"/>
              <w:rPr>
                <w:rFonts w:eastAsia="SimSun" w:cs="Times New Roman"/>
                <w:szCs w:val="20"/>
              </w:rPr>
            </w:pPr>
            <w:r w:rsidRPr="00F867D0">
              <w:t>15%</w:t>
            </w:r>
          </w:p>
        </w:tc>
      </w:tr>
    </w:tbl>
    <w:p w14:paraId="1EE9AE7E" w14:textId="7D985114" w:rsidR="00453103" w:rsidRPr="00F867D0" w:rsidRDefault="004D2587" w:rsidP="00AF36BF">
      <w:pPr>
        <w:rPr>
          <w:szCs w:val="22"/>
        </w:rPr>
      </w:pPr>
      <w:r w:rsidRPr="00F867D0">
        <w:rPr>
          <w:szCs w:val="22"/>
        </w:rPr>
        <w:t>Source:</w:t>
      </w:r>
      <w:r w:rsidR="00BE6B42" w:rsidRPr="00F867D0">
        <w:rPr>
          <w:szCs w:val="22"/>
        </w:rPr>
        <w:t xml:space="preserve"> [Hourahan et al., 2015]</w:t>
      </w:r>
    </w:p>
    <w:p w14:paraId="05D7EACC" w14:textId="17801EF0" w:rsidR="00453103" w:rsidRDefault="00453103" w:rsidP="00C15055">
      <w:pPr>
        <w:spacing w:after="0"/>
        <w:rPr>
          <w:szCs w:val="22"/>
        </w:rPr>
      </w:pPr>
      <w:r w:rsidRPr="00F867D0">
        <w:rPr>
          <w:szCs w:val="22"/>
        </w:rPr>
        <w:t xml:space="preserve">In addition to the faults mentioned above, </w:t>
      </w:r>
      <w:r w:rsidR="00291A58">
        <w:rPr>
          <w:szCs w:val="22"/>
        </w:rPr>
        <w:t>EE</w:t>
      </w:r>
      <w:r w:rsidRPr="00F867D0">
        <w:rPr>
          <w:szCs w:val="22"/>
        </w:rPr>
        <w:t xml:space="preserve"> degradation is affected by either lack of maintenance or </w:t>
      </w:r>
      <w:r w:rsidR="00931B7E">
        <w:rPr>
          <w:szCs w:val="22"/>
        </w:rPr>
        <w:t xml:space="preserve">from the </w:t>
      </w:r>
      <w:r w:rsidRPr="00F867D0">
        <w:rPr>
          <w:szCs w:val="22"/>
        </w:rPr>
        <w:t>wrong operating practices described below:</w:t>
      </w:r>
    </w:p>
    <w:p w14:paraId="292F8CD8" w14:textId="77777777" w:rsidR="00AF36BF" w:rsidRPr="00F867D0" w:rsidRDefault="00AF36BF" w:rsidP="00C15055">
      <w:pPr>
        <w:spacing w:after="0"/>
        <w:rPr>
          <w:szCs w:val="22"/>
        </w:rPr>
      </w:pPr>
    </w:p>
    <w:p w14:paraId="4757517A" w14:textId="519617F3" w:rsidR="00453103" w:rsidRPr="00F867D0" w:rsidRDefault="00453103" w:rsidP="00736989">
      <w:pPr>
        <w:numPr>
          <w:ilvl w:val="0"/>
          <w:numId w:val="74"/>
        </w:numPr>
        <w:spacing w:after="0"/>
        <w:rPr>
          <w:szCs w:val="22"/>
        </w:rPr>
      </w:pPr>
      <w:r w:rsidRPr="00F867D0">
        <w:rPr>
          <w:szCs w:val="22"/>
        </w:rPr>
        <w:t xml:space="preserve">Lack of proper coil cleaning, or the miss-calibration of controls and component settings result in refrigerant leaks </w:t>
      </w:r>
      <w:r w:rsidR="00931B7E">
        <w:rPr>
          <w:szCs w:val="22"/>
        </w:rPr>
        <w:t>or</w:t>
      </w:r>
      <w:r w:rsidRPr="00F867D0">
        <w:rPr>
          <w:szCs w:val="22"/>
        </w:rPr>
        <w:t xml:space="preserve"> other operating problems and eventually leads to loss of efficiency. Commercial refrigeration systems installed in supermarkets are one of the highest leaking systems due to the nature and complexity of the systems;</w:t>
      </w:r>
    </w:p>
    <w:p w14:paraId="1B153ACB" w14:textId="77777777" w:rsidR="00AF36BF" w:rsidRDefault="00AF36BF" w:rsidP="00AF36BF">
      <w:pPr>
        <w:spacing w:after="0"/>
        <w:ind w:left="720"/>
        <w:rPr>
          <w:szCs w:val="22"/>
        </w:rPr>
      </w:pPr>
    </w:p>
    <w:p w14:paraId="7BDD8617" w14:textId="3B8F3550" w:rsidR="00453103" w:rsidRPr="00F867D0" w:rsidRDefault="00453103" w:rsidP="00736989">
      <w:pPr>
        <w:numPr>
          <w:ilvl w:val="0"/>
          <w:numId w:val="74"/>
        </w:numPr>
        <w:spacing w:after="0"/>
        <w:rPr>
          <w:szCs w:val="22"/>
        </w:rPr>
      </w:pPr>
      <w:r w:rsidRPr="00F867D0">
        <w:rPr>
          <w:szCs w:val="22"/>
        </w:rPr>
        <w:t>Wrong operating practices</w:t>
      </w:r>
      <w:r w:rsidR="00931B7E">
        <w:rPr>
          <w:szCs w:val="22"/>
        </w:rPr>
        <w:t xml:space="preserve"> i</w:t>
      </w:r>
      <w:r w:rsidRPr="00F867D0">
        <w:rPr>
          <w:szCs w:val="22"/>
        </w:rPr>
        <w:t>nclude</w:t>
      </w:r>
      <w:r w:rsidR="00931B7E">
        <w:rPr>
          <w:szCs w:val="22"/>
        </w:rPr>
        <w:t>s</w:t>
      </w:r>
      <w:r w:rsidRPr="00F867D0">
        <w:rPr>
          <w:szCs w:val="22"/>
        </w:rPr>
        <w:t xml:space="preserve"> items </w:t>
      </w:r>
      <w:r w:rsidR="00931B7E">
        <w:rPr>
          <w:szCs w:val="22"/>
        </w:rPr>
        <w:t>such as</w:t>
      </w:r>
      <w:r w:rsidR="00110165">
        <w:rPr>
          <w:szCs w:val="22"/>
        </w:rPr>
        <w:t xml:space="preserve"> </w:t>
      </w:r>
      <w:r w:rsidRPr="00F867D0">
        <w:rPr>
          <w:szCs w:val="22"/>
        </w:rPr>
        <w:t xml:space="preserve">over or under-charging of a system </w:t>
      </w:r>
      <w:r w:rsidR="00931B7E">
        <w:rPr>
          <w:szCs w:val="22"/>
        </w:rPr>
        <w:t>during</w:t>
      </w:r>
      <w:r w:rsidRPr="00F867D0">
        <w:rPr>
          <w:szCs w:val="22"/>
        </w:rPr>
        <w:t xml:space="preserve"> servicing</w:t>
      </w:r>
      <w:r w:rsidR="00931B7E">
        <w:rPr>
          <w:szCs w:val="22"/>
        </w:rPr>
        <w:t xml:space="preserve"> and </w:t>
      </w:r>
      <w:r w:rsidRPr="00F867D0">
        <w:rPr>
          <w:szCs w:val="22"/>
        </w:rPr>
        <w:t>using the wrong or defective components for replacement.</w:t>
      </w:r>
    </w:p>
    <w:p w14:paraId="06ED03E3" w14:textId="77777777" w:rsidR="00C15055" w:rsidRDefault="00C15055" w:rsidP="00C15055">
      <w:pPr>
        <w:spacing w:after="0"/>
        <w:rPr>
          <w:szCs w:val="22"/>
        </w:rPr>
      </w:pPr>
    </w:p>
    <w:p w14:paraId="7C6E1936" w14:textId="7D176E3D" w:rsidR="00453103" w:rsidRPr="00F867D0" w:rsidRDefault="00453103" w:rsidP="00C15055">
      <w:pPr>
        <w:spacing w:after="0"/>
        <w:rPr>
          <w:szCs w:val="22"/>
        </w:rPr>
      </w:pPr>
      <w:r w:rsidRPr="00F867D0">
        <w:rPr>
          <w:szCs w:val="22"/>
        </w:rPr>
        <w:t xml:space="preserve">The examples below were summarized in the Kigali Cooling Efficiency Program publication on optimizing cooling through proper maintenance </w:t>
      </w:r>
      <w:r w:rsidR="00BE6B42" w:rsidRPr="00F867D0">
        <w:rPr>
          <w:szCs w:val="22"/>
        </w:rPr>
        <w:t>[</w:t>
      </w:r>
      <w:r w:rsidRPr="00F867D0">
        <w:rPr>
          <w:szCs w:val="22"/>
        </w:rPr>
        <w:t>K-CEP, 2016</w:t>
      </w:r>
      <w:r w:rsidR="00BE6B42" w:rsidRPr="00F867D0">
        <w:rPr>
          <w:szCs w:val="22"/>
        </w:rPr>
        <w:t>]</w:t>
      </w:r>
      <w:r w:rsidRPr="00F867D0">
        <w:rPr>
          <w:szCs w:val="22"/>
        </w:rPr>
        <w:t>:</w:t>
      </w:r>
    </w:p>
    <w:p w14:paraId="5727D13F" w14:textId="77777777" w:rsidR="00AF36BF" w:rsidRDefault="00AF36BF" w:rsidP="00AF36BF">
      <w:pPr>
        <w:spacing w:after="0"/>
        <w:ind w:left="720"/>
        <w:rPr>
          <w:szCs w:val="22"/>
        </w:rPr>
      </w:pPr>
    </w:p>
    <w:p w14:paraId="26CA2C5F" w14:textId="2D84B3D4" w:rsidR="00453103" w:rsidRPr="00F867D0" w:rsidRDefault="00453103" w:rsidP="00736989">
      <w:pPr>
        <w:numPr>
          <w:ilvl w:val="0"/>
          <w:numId w:val="74"/>
        </w:numPr>
        <w:spacing w:after="0"/>
        <w:rPr>
          <w:szCs w:val="22"/>
        </w:rPr>
      </w:pPr>
      <w:r w:rsidRPr="00F867D0">
        <w:rPr>
          <w:szCs w:val="22"/>
        </w:rPr>
        <w:t xml:space="preserve">A study by the UK Department of </w:t>
      </w:r>
      <w:r w:rsidR="00931B7E">
        <w:rPr>
          <w:szCs w:val="22"/>
        </w:rPr>
        <w:t xml:space="preserve">Environment, </w:t>
      </w:r>
      <w:r w:rsidRPr="00F867D0">
        <w:rPr>
          <w:szCs w:val="22"/>
        </w:rPr>
        <w:t xml:space="preserve">Food, </w:t>
      </w:r>
      <w:r w:rsidR="00931B7E">
        <w:rPr>
          <w:szCs w:val="22"/>
        </w:rPr>
        <w:t>and Rural Affairs (</w:t>
      </w:r>
      <w:r w:rsidRPr="00F867D0">
        <w:rPr>
          <w:szCs w:val="22"/>
        </w:rPr>
        <w:t>DEFRA</w:t>
      </w:r>
      <w:r w:rsidR="00931B7E">
        <w:rPr>
          <w:szCs w:val="22"/>
        </w:rPr>
        <w:t>)</w:t>
      </w:r>
      <w:r w:rsidRPr="00F867D0">
        <w:rPr>
          <w:szCs w:val="22"/>
        </w:rPr>
        <w:t>, show that cleaning a dirty condenser delivers 8% energy saving, and resetting the temperature set point to the design temperature yielded</w:t>
      </w:r>
      <w:r w:rsidR="00110165">
        <w:rPr>
          <w:szCs w:val="22"/>
        </w:rPr>
        <w:t xml:space="preserve"> an additional</w:t>
      </w:r>
      <w:r w:rsidRPr="00F867D0">
        <w:rPr>
          <w:szCs w:val="22"/>
        </w:rPr>
        <w:t xml:space="preserve"> 11% energy saving </w:t>
      </w:r>
      <w:r w:rsidR="00BE6B42" w:rsidRPr="00F867D0">
        <w:rPr>
          <w:szCs w:val="22"/>
        </w:rPr>
        <w:t>[</w:t>
      </w:r>
      <w:r w:rsidRPr="00F867D0">
        <w:rPr>
          <w:szCs w:val="22"/>
        </w:rPr>
        <w:t>Swain, 2009</w:t>
      </w:r>
      <w:r w:rsidR="00BE6B42" w:rsidRPr="00F867D0">
        <w:rPr>
          <w:szCs w:val="22"/>
        </w:rPr>
        <w:t>]</w:t>
      </w:r>
      <w:r w:rsidR="00D07E69" w:rsidRPr="00F867D0">
        <w:rPr>
          <w:szCs w:val="22"/>
        </w:rPr>
        <w:t>.</w:t>
      </w:r>
    </w:p>
    <w:p w14:paraId="142AD631" w14:textId="77777777" w:rsidR="00AF36BF" w:rsidRDefault="00AF36BF" w:rsidP="00AF36BF">
      <w:pPr>
        <w:spacing w:after="0"/>
        <w:ind w:left="720"/>
        <w:rPr>
          <w:szCs w:val="22"/>
        </w:rPr>
      </w:pPr>
    </w:p>
    <w:p w14:paraId="351506D0" w14:textId="13649167" w:rsidR="00453103" w:rsidRPr="00F867D0" w:rsidRDefault="00453103" w:rsidP="00736989">
      <w:pPr>
        <w:numPr>
          <w:ilvl w:val="0"/>
          <w:numId w:val="74"/>
        </w:numPr>
        <w:spacing w:after="0"/>
        <w:rPr>
          <w:szCs w:val="22"/>
        </w:rPr>
      </w:pPr>
      <w:r w:rsidRPr="00F867D0">
        <w:rPr>
          <w:szCs w:val="22"/>
        </w:rPr>
        <w:t xml:space="preserve">The UK Institute of Refrigeration and the Carbon Trust identified a basket of monitoring, optimization and maintenance measures </w:t>
      </w:r>
      <w:r w:rsidR="00C9121A">
        <w:rPr>
          <w:szCs w:val="22"/>
        </w:rPr>
        <w:t>such as</w:t>
      </w:r>
      <w:r w:rsidRPr="00F867D0">
        <w:rPr>
          <w:szCs w:val="22"/>
        </w:rPr>
        <w:t xml:space="preserve"> training, cleaning and maintenance, re-commissioning, set-point temperature, and room temperature </w:t>
      </w:r>
      <w:r w:rsidR="00C9121A">
        <w:rPr>
          <w:szCs w:val="22"/>
        </w:rPr>
        <w:t xml:space="preserve">setting that </w:t>
      </w:r>
      <w:r w:rsidRPr="00F867D0">
        <w:rPr>
          <w:szCs w:val="22"/>
        </w:rPr>
        <w:t xml:space="preserve">could improve </w:t>
      </w:r>
      <w:r w:rsidR="00C9121A">
        <w:rPr>
          <w:szCs w:val="22"/>
        </w:rPr>
        <w:t>EE.</w:t>
      </w:r>
      <w:r w:rsidRPr="00F867D0">
        <w:rPr>
          <w:szCs w:val="22"/>
        </w:rPr>
        <w:t xml:space="preserve"> </w:t>
      </w:r>
      <w:r w:rsidR="00A549B3">
        <w:rPr>
          <w:szCs w:val="22"/>
        </w:rPr>
        <w:t xml:space="preserve">[CARBON TRUST, 2017] </w:t>
      </w:r>
    </w:p>
    <w:p w14:paraId="4CFB86C4" w14:textId="77777777" w:rsidR="00AF36BF" w:rsidRDefault="00AF36BF" w:rsidP="00AF36BF">
      <w:pPr>
        <w:spacing w:after="0"/>
        <w:ind w:left="720"/>
        <w:rPr>
          <w:szCs w:val="22"/>
        </w:rPr>
      </w:pPr>
    </w:p>
    <w:p w14:paraId="02B32C4A" w14:textId="0B86C9E1" w:rsidR="00453103" w:rsidRPr="00F867D0" w:rsidRDefault="00453103" w:rsidP="00736989">
      <w:pPr>
        <w:numPr>
          <w:ilvl w:val="0"/>
          <w:numId w:val="74"/>
        </w:numPr>
        <w:spacing w:after="0"/>
        <w:rPr>
          <w:szCs w:val="22"/>
        </w:rPr>
      </w:pPr>
      <w:r w:rsidRPr="00F867D0">
        <w:rPr>
          <w:szCs w:val="22"/>
        </w:rPr>
        <w:t xml:space="preserve">A study from a building in New York City showed that good maintenance and operating practices including coil cleaning significantly improved the </w:t>
      </w:r>
      <w:r w:rsidR="00C9121A">
        <w:rPr>
          <w:szCs w:val="22"/>
        </w:rPr>
        <w:t>EE</w:t>
      </w:r>
      <w:r w:rsidRPr="00F867D0">
        <w:rPr>
          <w:szCs w:val="22"/>
        </w:rPr>
        <w:t xml:space="preserve"> of the RACHP systems by 10% to 15%. The trial also identified other optimization and maintenance processes that will improve </w:t>
      </w:r>
      <w:r w:rsidR="003C37C3">
        <w:rPr>
          <w:szCs w:val="22"/>
        </w:rPr>
        <w:t>EE</w:t>
      </w:r>
      <w:r w:rsidRPr="00F867D0">
        <w:rPr>
          <w:szCs w:val="22"/>
        </w:rPr>
        <w:t xml:space="preserve"> for years to come </w:t>
      </w:r>
      <w:r w:rsidR="00BE6B42" w:rsidRPr="00F867D0">
        <w:rPr>
          <w:szCs w:val="22"/>
        </w:rPr>
        <w:t>[</w:t>
      </w:r>
      <w:r w:rsidRPr="00F867D0">
        <w:rPr>
          <w:szCs w:val="22"/>
        </w:rPr>
        <w:t>Montgomery, 2006</w:t>
      </w:r>
      <w:r w:rsidR="00BE6B42" w:rsidRPr="00F867D0">
        <w:rPr>
          <w:szCs w:val="22"/>
        </w:rPr>
        <w:t>]</w:t>
      </w:r>
      <w:r w:rsidRPr="00F867D0">
        <w:rPr>
          <w:szCs w:val="22"/>
        </w:rPr>
        <w:t>.</w:t>
      </w:r>
    </w:p>
    <w:p w14:paraId="4FDBC27F" w14:textId="77777777" w:rsidR="00AF36BF" w:rsidRDefault="00AF36BF" w:rsidP="00453103">
      <w:pPr>
        <w:rPr>
          <w:b/>
          <w:bCs/>
          <w:szCs w:val="22"/>
        </w:rPr>
      </w:pPr>
    </w:p>
    <w:p w14:paraId="2EB6B461" w14:textId="06D35CF7" w:rsidR="00453103" w:rsidRPr="00F867D0" w:rsidRDefault="00453103" w:rsidP="000F749F">
      <w:pPr>
        <w:keepNext/>
        <w:keepLines/>
        <w:rPr>
          <w:b/>
          <w:bCs/>
          <w:szCs w:val="22"/>
        </w:rPr>
      </w:pPr>
      <w:r w:rsidRPr="00F867D0">
        <w:rPr>
          <w:b/>
          <w:bCs/>
          <w:szCs w:val="22"/>
        </w:rPr>
        <w:t>The refrigerant issue</w:t>
      </w:r>
    </w:p>
    <w:p w14:paraId="3232A823" w14:textId="6488B964" w:rsidR="00453103" w:rsidRDefault="00110165" w:rsidP="00453103">
      <w:pPr>
        <w:rPr>
          <w:szCs w:val="22"/>
        </w:rPr>
      </w:pPr>
      <w:r>
        <w:rPr>
          <w:szCs w:val="22"/>
        </w:rPr>
        <w:t>T</w:t>
      </w:r>
      <w:r w:rsidR="00453103" w:rsidRPr="00F867D0">
        <w:rPr>
          <w:szCs w:val="22"/>
        </w:rPr>
        <w:t xml:space="preserve">he use of refrigerants </w:t>
      </w:r>
      <w:r>
        <w:rPr>
          <w:szCs w:val="22"/>
        </w:rPr>
        <w:t xml:space="preserve">during servicing </w:t>
      </w:r>
      <w:r w:rsidR="00453103" w:rsidRPr="00F867D0">
        <w:rPr>
          <w:szCs w:val="22"/>
        </w:rPr>
        <w:t xml:space="preserve">that are not compatible with the system, </w:t>
      </w:r>
      <w:r>
        <w:rPr>
          <w:szCs w:val="22"/>
        </w:rPr>
        <w:t>either</w:t>
      </w:r>
      <w:r w:rsidR="00453103" w:rsidRPr="00F867D0">
        <w:rPr>
          <w:szCs w:val="22"/>
        </w:rPr>
        <w:t xml:space="preserve"> to top-up the charge or to replace it completely, increases the energy consumption </w:t>
      </w:r>
      <w:r w:rsidR="004D2587" w:rsidRPr="00F867D0">
        <w:rPr>
          <w:szCs w:val="22"/>
        </w:rPr>
        <w:t xml:space="preserve">and reduces system efficiency. </w:t>
      </w:r>
      <w:r w:rsidR="00453103" w:rsidRPr="00F867D0">
        <w:rPr>
          <w:szCs w:val="22"/>
        </w:rPr>
        <w:t xml:space="preserve">The proliferation of </w:t>
      </w:r>
      <w:r>
        <w:rPr>
          <w:szCs w:val="22"/>
        </w:rPr>
        <w:t xml:space="preserve">inappropriate </w:t>
      </w:r>
      <w:r w:rsidR="00453103" w:rsidRPr="00F867D0">
        <w:rPr>
          <w:szCs w:val="22"/>
        </w:rPr>
        <w:t xml:space="preserve">drop-in refrigerants </w:t>
      </w:r>
      <w:r w:rsidR="004D0FDB" w:rsidRPr="00F867D0">
        <w:rPr>
          <w:szCs w:val="22"/>
        </w:rPr>
        <w:t>could reduce EE of old equipment even further</w:t>
      </w:r>
      <w:r w:rsidR="00453103" w:rsidRPr="00F867D0">
        <w:rPr>
          <w:szCs w:val="22"/>
        </w:rPr>
        <w:t>. Illegal refrigerants</w:t>
      </w:r>
      <w:r w:rsidR="004D0FDB" w:rsidRPr="00F867D0">
        <w:rPr>
          <w:szCs w:val="22"/>
        </w:rPr>
        <w:t xml:space="preserve"> </w:t>
      </w:r>
      <w:r w:rsidR="00453103" w:rsidRPr="00F867D0">
        <w:rPr>
          <w:szCs w:val="22"/>
        </w:rPr>
        <w:t xml:space="preserve">that are not suitable for the operation of machines can </w:t>
      </w:r>
      <w:r w:rsidR="00C9121A">
        <w:rPr>
          <w:szCs w:val="22"/>
        </w:rPr>
        <w:t xml:space="preserve">also </w:t>
      </w:r>
      <w:r w:rsidR="00453103" w:rsidRPr="00F867D0">
        <w:rPr>
          <w:szCs w:val="22"/>
        </w:rPr>
        <w:t xml:space="preserve">result in safety issues </w:t>
      </w:r>
      <w:r w:rsidR="00C9121A">
        <w:rPr>
          <w:szCs w:val="22"/>
        </w:rPr>
        <w:t xml:space="preserve">in </w:t>
      </w:r>
      <w:r w:rsidR="00453103" w:rsidRPr="00F867D0">
        <w:rPr>
          <w:szCs w:val="22"/>
        </w:rPr>
        <w:t xml:space="preserve">addition to </w:t>
      </w:r>
      <w:r w:rsidR="00C9121A">
        <w:rPr>
          <w:szCs w:val="22"/>
        </w:rPr>
        <w:t>EE</w:t>
      </w:r>
      <w:r w:rsidR="00453103" w:rsidRPr="00F867D0">
        <w:rPr>
          <w:szCs w:val="22"/>
        </w:rPr>
        <w:t xml:space="preserve"> loss.</w:t>
      </w:r>
    </w:p>
    <w:p w14:paraId="174B5DDC" w14:textId="008EB120" w:rsidR="00F75E83" w:rsidRDefault="000448F7" w:rsidP="00453103">
      <w:pPr>
        <w:rPr>
          <w:b/>
          <w:bCs/>
          <w:szCs w:val="22"/>
        </w:rPr>
      </w:pPr>
      <w:r>
        <w:rPr>
          <w:szCs w:val="22"/>
        </w:rPr>
        <w:t xml:space="preserve">Another important aspect is the introduction of </w:t>
      </w:r>
      <w:r w:rsidR="00E3296D">
        <w:rPr>
          <w:szCs w:val="22"/>
        </w:rPr>
        <w:t xml:space="preserve">zeotropic </w:t>
      </w:r>
      <w:r>
        <w:rPr>
          <w:szCs w:val="22"/>
        </w:rPr>
        <w:t>refrigerants</w:t>
      </w:r>
      <w:r w:rsidR="00E3296D">
        <w:rPr>
          <w:szCs w:val="22"/>
        </w:rPr>
        <w:t>, i.e.</w:t>
      </w:r>
      <w:r>
        <w:rPr>
          <w:szCs w:val="22"/>
        </w:rPr>
        <w:t xml:space="preserve"> with larger difference between the saturation vapor and liquid temperature. In this case, refrigerant leakage will result in refrigerant composition change, fractionation, and potential impact on the performance. Subsequently, systems running with refrigerants with high glide can</w:t>
      </w:r>
      <w:r w:rsidR="00110165">
        <w:rPr>
          <w:szCs w:val="22"/>
        </w:rPr>
        <w:t>not</w:t>
      </w:r>
      <w:r>
        <w:rPr>
          <w:szCs w:val="22"/>
        </w:rPr>
        <w:t xml:space="preserve"> be topped-up and the refrigerant charge must be completely recovered before it any service. The recovered refrigerant can</w:t>
      </w:r>
      <w:r w:rsidR="00110165">
        <w:rPr>
          <w:szCs w:val="22"/>
        </w:rPr>
        <w:t>not</w:t>
      </w:r>
      <w:r>
        <w:rPr>
          <w:szCs w:val="22"/>
        </w:rPr>
        <w:t xml:space="preserve"> be reused and would have to be either reprocessed or destroyed.</w:t>
      </w:r>
      <w:r w:rsidR="00110165">
        <w:rPr>
          <w:szCs w:val="22"/>
        </w:rPr>
        <w:t xml:space="preserve"> The risk is that it would be vented or dumped.</w:t>
      </w:r>
    </w:p>
    <w:p w14:paraId="5C69085A" w14:textId="77777777" w:rsidR="00453103" w:rsidRPr="00F867D0" w:rsidRDefault="00453103" w:rsidP="00453103">
      <w:pPr>
        <w:rPr>
          <w:b/>
          <w:bCs/>
          <w:szCs w:val="22"/>
        </w:rPr>
      </w:pPr>
      <w:r w:rsidRPr="00F867D0">
        <w:rPr>
          <w:b/>
          <w:bCs/>
          <w:szCs w:val="22"/>
        </w:rPr>
        <w:t>Effect of servicing and controls on the efficiency of central and large air conditioning systems</w:t>
      </w:r>
    </w:p>
    <w:p w14:paraId="44724308" w14:textId="2267A66C" w:rsidR="00453103" w:rsidRPr="00F867D0" w:rsidRDefault="00453103" w:rsidP="00453103">
      <w:pPr>
        <w:rPr>
          <w:szCs w:val="22"/>
        </w:rPr>
      </w:pPr>
      <w:r w:rsidRPr="00F867D0">
        <w:rPr>
          <w:szCs w:val="22"/>
        </w:rPr>
        <w:t xml:space="preserve">While this report is limited in scope to four segments of the RACHP industry, it </w:t>
      </w:r>
      <w:r w:rsidR="00C9121A">
        <w:rPr>
          <w:szCs w:val="22"/>
        </w:rPr>
        <w:t xml:space="preserve">is </w:t>
      </w:r>
      <w:r w:rsidRPr="00F867D0">
        <w:rPr>
          <w:szCs w:val="22"/>
        </w:rPr>
        <w:t xml:space="preserve">worth mentioning that maintaining the proper performance and control in large central plants can contribute considerably to energy savings. While large central plants are normally better maintained due to the size of the pant and the impact of size of operation, certain measures that can contribute to further enhancement of performance are often neglected. Keeping logbooks for systems or plants above a certain kW capacity </w:t>
      </w:r>
      <w:r w:rsidR="00C9121A">
        <w:rPr>
          <w:szCs w:val="22"/>
        </w:rPr>
        <w:t>can</w:t>
      </w:r>
      <w:r w:rsidRPr="00F867D0">
        <w:rPr>
          <w:szCs w:val="22"/>
        </w:rPr>
        <w:t xml:space="preserve"> show trends of operation and can predict problems before they occur. An example is by using the logbooks to reduce unnecessary over-charging of refrigerants</w:t>
      </w:r>
      <w:r w:rsidR="004D0FDB" w:rsidRPr="00F867D0">
        <w:rPr>
          <w:szCs w:val="22"/>
        </w:rPr>
        <w:t>,</w:t>
      </w:r>
      <w:r w:rsidRPr="00F867D0">
        <w:rPr>
          <w:szCs w:val="22"/>
        </w:rPr>
        <w:t xml:space="preserve"> which leads to better efficiency and lower consumption.</w:t>
      </w:r>
    </w:p>
    <w:p w14:paraId="6E8257AE" w14:textId="1436B6A3" w:rsidR="00453103" w:rsidRPr="00F867D0" w:rsidRDefault="00453103" w:rsidP="00453103">
      <w:pPr>
        <w:rPr>
          <w:szCs w:val="22"/>
        </w:rPr>
      </w:pPr>
      <w:r w:rsidRPr="00F867D0">
        <w:rPr>
          <w:szCs w:val="22"/>
        </w:rPr>
        <w:t xml:space="preserve">Central Plant management contributes to maintaining or increasing </w:t>
      </w:r>
      <w:r w:rsidR="00C9121A">
        <w:rPr>
          <w:szCs w:val="22"/>
        </w:rPr>
        <w:t>EE</w:t>
      </w:r>
      <w:r w:rsidRPr="00F867D0">
        <w:rPr>
          <w:szCs w:val="22"/>
        </w:rPr>
        <w:t xml:space="preserve">. The industry is quickly approaching the theoretical limit of how much efficiency can be expected from individual components which over the past 25 years have contributed to as much as 40% improvement. Moving forward, engineers and building owners will have to look beyond the component level to reach increasingly aggressive </w:t>
      </w:r>
      <w:r w:rsidR="00C9121A">
        <w:rPr>
          <w:szCs w:val="22"/>
        </w:rPr>
        <w:t>EE</w:t>
      </w:r>
      <w:r w:rsidRPr="00F867D0">
        <w:rPr>
          <w:szCs w:val="22"/>
        </w:rPr>
        <w:t xml:space="preserve"> goals.  Central plant optimization is a process that involves measurement</w:t>
      </w:r>
      <w:r w:rsidR="00C9121A">
        <w:rPr>
          <w:szCs w:val="22"/>
        </w:rPr>
        <w:t xml:space="preserve"> and</w:t>
      </w:r>
      <w:r w:rsidRPr="00F867D0">
        <w:rPr>
          <w:szCs w:val="22"/>
        </w:rPr>
        <w:t xml:space="preserve"> verification, maintenance, optimization, automation of systems, and the selection and application of components.  Once fully implemented, Central Plant Optimization can deliver central plant energy savings of up to 60% </w:t>
      </w:r>
      <w:r w:rsidR="00510B25" w:rsidRPr="00F867D0">
        <w:rPr>
          <w:szCs w:val="22"/>
        </w:rPr>
        <w:t>[</w:t>
      </w:r>
      <w:r w:rsidRPr="00F867D0">
        <w:rPr>
          <w:szCs w:val="22"/>
        </w:rPr>
        <w:t>Klee</w:t>
      </w:r>
      <w:r w:rsidR="00510B25" w:rsidRPr="00F867D0">
        <w:rPr>
          <w:szCs w:val="22"/>
        </w:rPr>
        <w:t xml:space="preserve"> and Gigot,</w:t>
      </w:r>
      <w:r w:rsidRPr="00F867D0">
        <w:rPr>
          <w:szCs w:val="22"/>
        </w:rPr>
        <w:t xml:space="preserve"> 2011</w:t>
      </w:r>
      <w:r w:rsidR="00510B25" w:rsidRPr="00F867D0">
        <w:rPr>
          <w:szCs w:val="22"/>
        </w:rPr>
        <w:t>]</w:t>
      </w:r>
      <w:r w:rsidRPr="00F867D0">
        <w:rPr>
          <w:szCs w:val="22"/>
        </w:rPr>
        <w:t xml:space="preserve">.  </w:t>
      </w:r>
    </w:p>
    <w:p w14:paraId="2A114885" w14:textId="7340F4ED" w:rsidR="00453103" w:rsidRPr="000F749F" w:rsidRDefault="00453103" w:rsidP="000F749F">
      <w:pPr>
        <w:pStyle w:val="Heading3"/>
        <w:rPr>
          <w:b w:val="0"/>
        </w:rPr>
      </w:pPr>
      <w:bookmarkStart w:id="79" w:name="_Toc515454377"/>
      <w:r w:rsidRPr="000F749F">
        <w:t>2.5.2 Benefits achieved through better servicing</w:t>
      </w:r>
      <w:bookmarkEnd w:id="79"/>
    </w:p>
    <w:p w14:paraId="4DE863EC" w14:textId="156DFC69" w:rsidR="00AD4A79" w:rsidRPr="00C9121A" w:rsidRDefault="00453103" w:rsidP="00496828">
      <w:pPr>
        <w:pStyle w:val="CommentText"/>
        <w:rPr>
          <w:rFonts w:ascii="Times New Roman" w:hAnsi="Times New Roman"/>
          <w:sz w:val="22"/>
          <w:szCs w:val="22"/>
        </w:rPr>
      </w:pPr>
      <w:r w:rsidRPr="00C9121A">
        <w:rPr>
          <w:rFonts w:ascii="Times New Roman" w:hAnsi="Times New Roman"/>
          <w:sz w:val="22"/>
          <w:szCs w:val="22"/>
        </w:rPr>
        <w:t>The benefits of proper maintenance are considerable.</w:t>
      </w:r>
      <w:r w:rsidR="00CC2003" w:rsidRPr="00C9121A">
        <w:rPr>
          <w:rFonts w:ascii="Times New Roman" w:hAnsi="Times New Roman"/>
          <w:sz w:val="22"/>
          <w:szCs w:val="22"/>
          <w:lang w:val="en-CA"/>
        </w:rPr>
        <w:t xml:space="preserve"> </w:t>
      </w:r>
      <w:r w:rsidR="00AD4A79" w:rsidRPr="00C9121A">
        <w:rPr>
          <w:rFonts w:ascii="Times New Roman" w:hAnsi="Times New Roman"/>
          <w:sz w:val="22"/>
          <w:szCs w:val="22"/>
        </w:rPr>
        <w:t>Appropriate maintenance and servicing practices can curtail up to 50% reduction in performance and maintain the rated performance over the lifetime</w:t>
      </w:r>
      <w:r w:rsidR="002C5E4A">
        <w:rPr>
          <w:rFonts w:ascii="Times New Roman" w:hAnsi="Times New Roman"/>
          <w:sz w:val="22"/>
          <w:szCs w:val="22"/>
        </w:rPr>
        <w:t xml:space="preserve"> [Usinger, 2016]</w:t>
      </w:r>
      <w:r w:rsidR="00AD4A79" w:rsidRPr="00C9121A">
        <w:rPr>
          <w:rFonts w:ascii="Times New Roman" w:hAnsi="Times New Roman"/>
          <w:sz w:val="22"/>
          <w:szCs w:val="22"/>
        </w:rPr>
        <w:t>.</w:t>
      </w:r>
    </w:p>
    <w:p w14:paraId="7417D58E" w14:textId="674E2714" w:rsidR="00453103" w:rsidRPr="00770398" w:rsidRDefault="00453103" w:rsidP="00496828">
      <w:pPr>
        <w:pStyle w:val="CommentText"/>
        <w:rPr>
          <w:rFonts w:ascii="Times New Roman" w:hAnsi="Times New Roman"/>
          <w:i/>
          <w:sz w:val="22"/>
          <w:szCs w:val="22"/>
        </w:rPr>
      </w:pPr>
      <w:r w:rsidRPr="00C9121A">
        <w:rPr>
          <w:rFonts w:ascii="Times New Roman" w:hAnsi="Times New Roman"/>
          <w:sz w:val="22"/>
          <w:szCs w:val="22"/>
        </w:rPr>
        <w:t xml:space="preserve">In the table below, the effect of not doing the proper maintenance and set point adjustments are shown as percentage of </w:t>
      </w:r>
      <w:r w:rsidR="004D2587" w:rsidRPr="00C9121A">
        <w:rPr>
          <w:rFonts w:ascii="Times New Roman" w:hAnsi="Times New Roman"/>
          <w:sz w:val="22"/>
          <w:szCs w:val="22"/>
        </w:rPr>
        <w:t xml:space="preserve">the rated efficiency. </w:t>
      </w:r>
      <w:r w:rsidRPr="00C9121A">
        <w:rPr>
          <w:rFonts w:ascii="Times New Roman" w:hAnsi="Times New Roman"/>
          <w:sz w:val="22"/>
          <w:szCs w:val="22"/>
        </w:rPr>
        <w:t>While the cost level of doing the work, translated into US</w:t>
      </w:r>
      <w:r w:rsidR="00366D83" w:rsidRPr="00C9121A">
        <w:rPr>
          <w:rFonts w:ascii="Times New Roman" w:hAnsi="Times New Roman"/>
          <w:sz w:val="22"/>
          <w:szCs w:val="22"/>
        </w:rPr>
        <w:t>$</w:t>
      </w:r>
      <w:r w:rsidRPr="00C9121A">
        <w:rPr>
          <w:rFonts w:ascii="Times New Roman" w:hAnsi="Times New Roman"/>
          <w:sz w:val="22"/>
          <w:szCs w:val="22"/>
        </w:rPr>
        <w:t xml:space="preserve"> from the original Euros reported, reflect an industrialized country (non-Article 5) level, it demonstrates a relative cost and the consideration of that cost as compared to other servi</w:t>
      </w:r>
      <w:r w:rsidRPr="00770398">
        <w:rPr>
          <w:rFonts w:ascii="Times New Roman" w:hAnsi="Times New Roman"/>
          <w:sz w:val="22"/>
          <w:szCs w:val="22"/>
        </w:rPr>
        <w:t>ce work done in that country</w:t>
      </w:r>
      <w:r w:rsidRPr="00770398">
        <w:rPr>
          <w:rFonts w:ascii="Times New Roman" w:hAnsi="Times New Roman"/>
          <w:i/>
          <w:sz w:val="22"/>
          <w:szCs w:val="22"/>
        </w:rPr>
        <w:t>.</w:t>
      </w:r>
    </w:p>
    <w:p w14:paraId="360D04E0" w14:textId="77777777" w:rsidR="00F065AC" w:rsidRDefault="00F065AC">
      <w:pPr>
        <w:spacing w:after="0"/>
        <w:rPr>
          <w:b/>
          <w:i/>
          <w:szCs w:val="24"/>
        </w:rPr>
      </w:pPr>
      <w:r>
        <w:rPr>
          <w:b/>
          <w:i/>
          <w:szCs w:val="24"/>
        </w:rPr>
        <w:br w:type="page"/>
      </w:r>
    </w:p>
    <w:p w14:paraId="51688E1D" w14:textId="3075E633" w:rsidR="00453103" w:rsidRPr="00770398" w:rsidRDefault="004D2587" w:rsidP="00407D27">
      <w:pPr>
        <w:spacing w:after="0"/>
        <w:jc w:val="center"/>
        <w:rPr>
          <w:b/>
          <w:i/>
          <w:szCs w:val="24"/>
        </w:rPr>
      </w:pPr>
      <w:r w:rsidRPr="00770398">
        <w:rPr>
          <w:b/>
          <w:i/>
          <w:szCs w:val="24"/>
        </w:rPr>
        <w:t>Table 2.</w:t>
      </w:r>
      <w:r w:rsidR="00366D83" w:rsidRPr="00770398">
        <w:rPr>
          <w:b/>
          <w:i/>
          <w:szCs w:val="24"/>
        </w:rPr>
        <w:t>6</w:t>
      </w:r>
      <w:r w:rsidRPr="00770398">
        <w:rPr>
          <w:b/>
          <w:i/>
          <w:szCs w:val="24"/>
        </w:rPr>
        <w:t xml:space="preserve"> Effects of improper maintenance</w:t>
      </w:r>
    </w:p>
    <w:p w14:paraId="67B27732" w14:textId="77777777" w:rsidR="00AF36BF" w:rsidRPr="00F867D0" w:rsidRDefault="00AF36BF" w:rsidP="00407D27">
      <w:pPr>
        <w:spacing w:after="0"/>
        <w:jc w:val="center"/>
        <w:rPr>
          <w:b/>
          <w:szCs w:val="24"/>
        </w:rPr>
      </w:pPr>
    </w:p>
    <w:tbl>
      <w:tblPr>
        <w:tblStyle w:val="TableGrid"/>
        <w:tblW w:w="0" w:type="auto"/>
        <w:tblLook w:val="04A0" w:firstRow="1" w:lastRow="0" w:firstColumn="1" w:lastColumn="0" w:noHBand="0" w:noVBand="1"/>
      </w:tblPr>
      <w:tblGrid>
        <w:gridCol w:w="3018"/>
        <w:gridCol w:w="2261"/>
        <w:gridCol w:w="1646"/>
        <w:gridCol w:w="2091"/>
      </w:tblGrid>
      <w:tr w:rsidR="00453103" w:rsidRPr="00F867D0" w14:paraId="72EC5CB0" w14:textId="77777777" w:rsidTr="00BF4C57">
        <w:tc>
          <w:tcPr>
            <w:tcW w:w="3018" w:type="dxa"/>
            <w:shd w:val="clear" w:color="auto" w:fill="E5DFEC" w:themeFill="accent4" w:themeFillTint="33"/>
          </w:tcPr>
          <w:p w14:paraId="3320CD2C" w14:textId="77777777" w:rsidR="00453103" w:rsidRPr="00F867D0" w:rsidRDefault="00453103" w:rsidP="00AF36BF">
            <w:pPr>
              <w:spacing w:after="0"/>
              <w:jc w:val="center"/>
              <w:rPr>
                <w:rFonts w:eastAsia="SimSun" w:cs="Times New Roman"/>
                <w:b/>
                <w:bCs/>
                <w:szCs w:val="24"/>
              </w:rPr>
            </w:pPr>
            <w:r w:rsidRPr="00F867D0">
              <w:rPr>
                <w:b/>
                <w:bCs/>
                <w:szCs w:val="24"/>
              </w:rPr>
              <w:t>Improvement</w:t>
            </w:r>
          </w:p>
        </w:tc>
        <w:tc>
          <w:tcPr>
            <w:tcW w:w="2261" w:type="dxa"/>
            <w:shd w:val="clear" w:color="auto" w:fill="E5DFEC" w:themeFill="accent4" w:themeFillTint="33"/>
          </w:tcPr>
          <w:p w14:paraId="0C6BD446" w14:textId="77777777" w:rsidR="00453103" w:rsidRPr="00F867D0" w:rsidRDefault="00453103" w:rsidP="00AF36BF">
            <w:pPr>
              <w:spacing w:after="0"/>
              <w:jc w:val="center"/>
              <w:rPr>
                <w:rFonts w:eastAsia="SimSun" w:cs="Times New Roman"/>
                <w:b/>
                <w:bCs/>
                <w:szCs w:val="24"/>
              </w:rPr>
            </w:pPr>
            <w:r w:rsidRPr="00F867D0">
              <w:rPr>
                <w:b/>
                <w:bCs/>
                <w:szCs w:val="24"/>
              </w:rPr>
              <w:t>Measures to be taken</w:t>
            </w:r>
          </w:p>
        </w:tc>
        <w:tc>
          <w:tcPr>
            <w:tcW w:w="1646" w:type="dxa"/>
            <w:shd w:val="clear" w:color="auto" w:fill="E5DFEC" w:themeFill="accent4" w:themeFillTint="33"/>
          </w:tcPr>
          <w:p w14:paraId="351C7203" w14:textId="77777777" w:rsidR="00453103" w:rsidRDefault="00453103" w:rsidP="00AF36BF">
            <w:pPr>
              <w:spacing w:after="0"/>
              <w:jc w:val="center"/>
              <w:rPr>
                <w:b/>
                <w:bCs/>
                <w:szCs w:val="24"/>
              </w:rPr>
            </w:pPr>
            <w:r w:rsidRPr="00F867D0">
              <w:rPr>
                <w:b/>
                <w:bCs/>
                <w:szCs w:val="24"/>
              </w:rPr>
              <w:t xml:space="preserve">Effect on Rated </w:t>
            </w:r>
            <w:r w:rsidR="00566F5C">
              <w:rPr>
                <w:b/>
                <w:bCs/>
                <w:szCs w:val="24"/>
              </w:rPr>
              <w:t>E</w:t>
            </w:r>
            <w:r w:rsidR="00770398">
              <w:rPr>
                <w:b/>
                <w:bCs/>
                <w:szCs w:val="24"/>
              </w:rPr>
              <w:t>nergy Efficiency</w:t>
            </w:r>
          </w:p>
          <w:p w14:paraId="1FBB3941" w14:textId="6B519DB7" w:rsidR="00770398" w:rsidRPr="00F867D0" w:rsidRDefault="00770398" w:rsidP="00AF36BF">
            <w:pPr>
              <w:spacing w:after="0"/>
              <w:jc w:val="center"/>
              <w:rPr>
                <w:rFonts w:eastAsia="SimSun" w:cs="Times New Roman"/>
                <w:b/>
                <w:bCs/>
                <w:szCs w:val="24"/>
              </w:rPr>
            </w:pPr>
          </w:p>
        </w:tc>
        <w:tc>
          <w:tcPr>
            <w:tcW w:w="2091" w:type="dxa"/>
            <w:shd w:val="clear" w:color="auto" w:fill="E5DFEC" w:themeFill="accent4" w:themeFillTint="33"/>
          </w:tcPr>
          <w:p w14:paraId="6C903273" w14:textId="77777777" w:rsidR="00453103" w:rsidRPr="00F867D0" w:rsidRDefault="00453103" w:rsidP="00AF36BF">
            <w:pPr>
              <w:spacing w:after="0"/>
              <w:jc w:val="center"/>
              <w:rPr>
                <w:rFonts w:eastAsia="SimSun" w:cs="Times New Roman"/>
                <w:b/>
                <w:bCs/>
                <w:szCs w:val="24"/>
              </w:rPr>
            </w:pPr>
            <w:r w:rsidRPr="00F867D0">
              <w:rPr>
                <w:b/>
                <w:bCs/>
                <w:szCs w:val="24"/>
              </w:rPr>
              <w:t>Maintenance Cost Level</w:t>
            </w:r>
          </w:p>
        </w:tc>
      </w:tr>
      <w:tr w:rsidR="00453103" w:rsidRPr="00F867D0" w14:paraId="2B7804D3" w14:textId="77777777" w:rsidTr="00BF4C57">
        <w:tc>
          <w:tcPr>
            <w:tcW w:w="3018" w:type="dxa"/>
          </w:tcPr>
          <w:p w14:paraId="5C8EE5B3" w14:textId="77777777" w:rsidR="00453103" w:rsidRDefault="00453103" w:rsidP="00407D27">
            <w:pPr>
              <w:spacing w:after="0"/>
              <w:rPr>
                <w:szCs w:val="24"/>
              </w:rPr>
            </w:pPr>
            <w:r w:rsidRPr="00F867D0">
              <w:rPr>
                <w:szCs w:val="24"/>
              </w:rPr>
              <w:t>Correct levels of refrigerant and oil</w:t>
            </w:r>
          </w:p>
          <w:p w14:paraId="70ACAFF7" w14:textId="560D7002" w:rsidR="00BF4C57" w:rsidRPr="00F867D0" w:rsidRDefault="00BF4C57" w:rsidP="00407D27">
            <w:pPr>
              <w:spacing w:after="0"/>
              <w:rPr>
                <w:rFonts w:eastAsia="SimSun" w:cs="Times New Roman"/>
                <w:szCs w:val="24"/>
              </w:rPr>
            </w:pPr>
          </w:p>
        </w:tc>
        <w:tc>
          <w:tcPr>
            <w:tcW w:w="2261" w:type="dxa"/>
          </w:tcPr>
          <w:p w14:paraId="2BE78374" w14:textId="77777777" w:rsidR="00453103" w:rsidRPr="00F867D0" w:rsidRDefault="00453103" w:rsidP="00407D27">
            <w:pPr>
              <w:spacing w:after="0"/>
              <w:rPr>
                <w:rFonts w:eastAsia="SimSun" w:cs="Times New Roman"/>
                <w:szCs w:val="24"/>
              </w:rPr>
            </w:pPr>
            <w:r w:rsidRPr="00F867D0">
              <w:rPr>
                <w:szCs w:val="24"/>
              </w:rPr>
              <w:t xml:space="preserve">Check levels periodically and refill </w:t>
            </w:r>
          </w:p>
        </w:tc>
        <w:tc>
          <w:tcPr>
            <w:tcW w:w="1646" w:type="dxa"/>
          </w:tcPr>
          <w:p w14:paraId="6BAAC232" w14:textId="77777777" w:rsidR="00453103" w:rsidRPr="00F867D0" w:rsidRDefault="00453103" w:rsidP="00407D27">
            <w:pPr>
              <w:spacing w:after="0"/>
              <w:rPr>
                <w:rFonts w:eastAsia="SimSun" w:cs="Times New Roman"/>
                <w:szCs w:val="24"/>
              </w:rPr>
            </w:pPr>
            <w:r w:rsidRPr="00F867D0">
              <w:rPr>
                <w:szCs w:val="24"/>
              </w:rPr>
              <w:t>Up to 50%</w:t>
            </w:r>
          </w:p>
        </w:tc>
        <w:tc>
          <w:tcPr>
            <w:tcW w:w="2091" w:type="dxa"/>
          </w:tcPr>
          <w:p w14:paraId="10E8D5D4" w14:textId="77777777" w:rsidR="00453103" w:rsidRPr="00F867D0" w:rsidRDefault="00453103" w:rsidP="00407D27">
            <w:pPr>
              <w:spacing w:after="0"/>
              <w:rPr>
                <w:rFonts w:eastAsia="SimSun" w:cs="Times New Roman"/>
                <w:szCs w:val="24"/>
              </w:rPr>
            </w:pPr>
            <w:r w:rsidRPr="00F867D0">
              <w:rPr>
                <w:szCs w:val="24"/>
              </w:rPr>
              <w:t>Less than USD 300</w:t>
            </w:r>
          </w:p>
          <w:p w14:paraId="4F5FDB97" w14:textId="03A06174" w:rsidR="00453103" w:rsidRPr="00F867D0" w:rsidRDefault="00BF4C57" w:rsidP="00407D27">
            <w:pPr>
              <w:spacing w:after="0"/>
              <w:rPr>
                <w:rFonts w:eastAsia="SimSun" w:cs="Times New Roman"/>
                <w:szCs w:val="24"/>
              </w:rPr>
            </w:pPr>
            <w:r>
              <w:rPr>
                <w:szCs w:val="24"/>
              </w:rPr>
              <w:t>c</w:t>
            </w:r>
            <w:r w:rsidR="00453103" w:rsidRPr="00F867D0">
              <w:rPr>
                <w:szCs w:val="24"/>
              </w:rPr>
              <w:t>onsidered very low</w:t>
            </w:r>
          </w:p>
        </w:tc>
      </w:tr>
      <w:tr w:rsidR="00453103" w:rsidRPr="00F867D0" w14:paraId="29A0AA07" w14:textId="77777777" w:rsidTr="00BF4C57">
        <w:tc>
          <w:tcPr>
            <w:tcW w:w="3018" w:type="dxa"/>
          </w:tcPr>
          <w:p w14:paraId="365DEBBE" w14:textId="77777777" w:rsidR="00453103" w:rsidRPr="00F867D0" w:rsidRDefault="00453103" w:rsidP="00407D27">
            <w:pPr>
              <w:spacing w:after="0"/>
              <w:rPr>
                <w:rFonts w:eastAsia="SimSun" w:cs="Times New Roman"/>
                <w:szCs w:val="24"/>
              </w:rPr>
            </w:pPr>
            <w:r w:rsidRPr="00F867D0">
              <w:rPr>
                <w:szCs w:val="24"/>
              </w:rPr>
              <w:t>Air recirculation into condenser</w:t>
            </w:r>
          </w:p>
        </w:tc>
        <w:tc>
          <w:tcPr>
            <w:tcW w:w="2261" w:type="dxa"/>
          </w:tcPr>
          <w:p w14:paraId="35967A60" w14:textId="77777777" w:rsidR="00453103" w:rsidRDefault="00453103" w:rsidP="00407D27">
            <w:pPr>
              <w:spacing w:after="0"/>
              <w:rPr>
                <w:szCs w:val="24"/>
              </w:rPr>
            </w:pPr>
            <w:r w:rsidRPr="00F867D0">
              <w:rPr>
                <w:szCs w:val="24"/>
              </w:rPr>
              <w:t>Reduce recirculation by cleaning filters and removing obstacles</w:t>
            </w:r>
          </w:p>
          <w:p w14:paraId="4C29B0BD" w14:textId="7C53CAC2" w:rsidR="00BF4C57" w:rsidRPr="00F867D0" w:rsidRDefault="00BF4C57" w:rsidP="00407D27">
            <w:pPr>
              <w:spacing w:after="0"/>
              <w:rPr>
                <w:rFonts w:eastAsia="SimSun" w:cs="Times New Roman"/>
                <w:szCs w:val="24"/>
              </w:rPr>
            </w:pPr>
          </w:p>
        </w:tc>
        <w:tc>
          <w:tcPr>
            <w:tcW w:w="1646" w:type="dxa"/>
          </w:tcPr>
          <w:p w14:paraId="766E1EE5" w14:textId="77777777" w:rsidR="00453103" w:rsidRPr="00F867D0" w:rsidRDefault="00453103" w:rsidP="00407D27">
            <w:pPr>
              <w:spacing w:after="0"/>
              <w:rPr>
                <w:rFonts w:eastAsia="SimSun" w:cs="Times New Roman"/>
                <w:szCs w:val="24"/>
              </w:rPr>
            </w:pPr>
            <w:r w:rsidRPr="00F867D0">
              <w:rPr>
                <w:szCs w:val="24"/>
              </w:rPr>
              <w:t>Up to 25%</w:t>
            </w:r>
          </w:p>
        </w:tc>
        <w:tc>
          <w:tcPr>
            <w:tcW w:w="2091" w:type="dxa"/>
          </w:tcPr>
          <w:p w14:paraId="74CB5926" w14:textId="77777777" w:rsidR="00EE145D" w:rsidRDefault="00453103" w:rsidP="00407D27">
            <w:pPr>
              <w:spacing w:after="0"/>
              <w:rPr>
                <w:rFonts w:eastAsia="SimSun" w:cs="Times New Roman"/>
                <w:szCs w:val="24"/>
              </w:rPr>
            </w:pPr>
            <w:r w:rsidRPr="00F867D0">
              <w:rPr>
                <w:szCs w:val="24"/>
              </w:rPr>
              <w:t xml:space="preserve">Less than USD 300 </w:t>
            </w:r>
          </w:p>
          <w:p w14:paraId="79A42808" w14:textId="242990CF" w:rsidR="00453103" w:rsidRPr="00F867D0" w:rsidRDefault="00BF4C57" w:rsidP="00407D27">
            <w:pPr>
              <w:spacing w:after="0"/>
              <w:rPr>
                <w:rFonts w:eastAsia="SimSun" w:cs="Times New Roman"/>
                <w:szCs w:val="24"/>
              </w:rPr>
            </w:pPr>
            <w:r>
              <w:rPr>
                <w:szCs w:val="24"/>
              </w:rPr>
              <w:t>c</w:t>
            </w:r>
            <w:r w:rsidR="00453103" w:rsidRPr="00F867D0">
              <w:rPr>
                <w:szCs w:val="24"/>
              </w:rPr>
              <w:t>onsidered very low</w:t>
            </w:r>
          </w:p>
        </w:tc>
      </w:tr>
      <w:tr w:rsidR="00453103" w:rsidRPr="00F867D0" w14:paraId="4526FEA1" w14:textId="77777777" w:rsidTr="00BF4C57">
        <w:tc>
          <w:tcPr>
            <w:tcW w:w="3018" w:type="dxa"/>
          </w:tcPr>
          <w:p w14:paraId="2C5F734A" w14:textId="77777777" w:rsidR="00453103" w:rsidRDefault="00453103" w:rsidP="00407D27">
            <w:pPr>
              <w:spacing w:after="0"/>
              <w:rPr>
                <w:szCs w:val="24"/>
              </w:rPr>
            </w:pPr>
            <w:r w:rsidRPr="00F867D0">
              <w:rPr>
                <w:szCs w:val="24"/>
              </w:rPr>
              <w:t>Therm</w:t>
            </w:r>
            <w:r w:rsidR="003741DF" w:rsidRPr="00F867D0">
              <w:rPr>
                <w:szCs w:val="24"/>
              </w:rPr>
              <w:t>ostatic</w:t>
            </w:r>
            <w:r w:rsidRPr="00F867D0">
              <w:rPr>
                <w:szCs w:val="24"/>
              </w:rPr>
              <w:t xml:space="preserve"> expansion valve (TEV) settings</w:t>
            </w:r>
          </w:p>
          <w:p w14:paraId="13A79068" w14:textId="17C99B81" w:rsidR="00BF4C57" w:rsidRPr="00F867D0" w:rsidRDefault="00BF4C57" w:rsidP="00407D27">
            <w:pPr>
              <w:spacing w:after="0"/>
              <w:rPr>
                <w:rFonts w:eastAsia="SimSun" w:cs="Times New Roman"/>
                <w:szCs w:val="24"/>
              </w:rPr>
            </w:pPr>
          </w:p>
        </w:tc>
        <w:tc>
          <w:tcPr>
            <w:tcW w:w="2261" w:type="dxa"/>
          </w:tcPr>
          <w:p w14:paraId="1E5BB2A9" w14:textId="77777777" w:rsidR="00453103" w:rsidRPr="00F867D0" w:rsidRDefault="00453103" w:rsidP="00407D27">
            <w:pPr>
              <w:spacing w:after="0"/>
              <w:rPr>
                <w:rFonts w:eastAsia="SimSun" w:cs="Times New Roman"/>
                <w:szCs w:val="24"/>
              </w:rPr>
            </w:pPr>
            <w:r w:rsidRPr="00F867D0">
              <w:rPr>
                <w:szCs w:val="24"/>
              </w:rPr>
              <w:t>Check and make set point adjustments</w:t>
            </w:r>
          </w:p>
        </w:tc>
        <w:tc>
          <w:tcPr>
            <w:tcW w:w="1646" w:type="dxa"/>
          </w:tcPr>
          <w:p w14:paraId="3EE1BECF" w14:textId="77777777" w:rsidR="00453103" w:rsidRPr="00F867D0" w:rsidRDefault="00453103" w:rsidP="00407D27">
            <w:pPr>
              <w:spacing w:after="0"/>
              <w:rPr>
                <w:rFonts w:eastAsia="SimSun" w:cs="Times New Roman"/>
                <w:szCs w:val="24"/>
              </w:rPr>
            </w:pPr>
            <w:r w:rsidRPr="00F867D0">
              <w:rPr>
                <w:szCs w:val="24"/>
              </w:rPr>
              <w:t>Up to 10%</w:t>
            </w:r>
          </w:p>
        </w:tc>
        <w:tc>
          <w:tcPr>
            <w:tcW w:w="2091" w:type="dxa"/>
          </w:tcPr>
          <w:p w14:paraId="7561D4A0" w14:textId="77777777" w:rsidR="00453103" w:rsidRPr="00F867D0" w:rsidRDefault="00453103" w:rsidP="00407D27">
            <w:pPr>
              <w:spacing w:after="0"/>
              <w:rPr>
                <w:rFonts w:eastAsia="SimSun" w:cs="Times New Roman"/>
                <w:szCs w:val="24"/>
              </w:rPr>
            </w:pPr>
            <w:r w:rsidRPr="00F867D0">
              <w:rPr>
                <w:szCs w:val="24"/>
              </w:rPr>
              <w:t>Up to USD 600 considered low</w:t>
            </w:r>
          </w:p>
        </w:tc>
      </w:tr>
      <w:tr w:rsidR="00453103" w:rsidRPr="00F867D0" w14:paraId="5E8CFBC3" w14:textId="77777777" w:rsidTr="00BF4C57">
        <w:tc>
          <w:tcPr>
            <w:tcW w:w="3018" w:type="dxa"/>
          </w:tcPr>
          <w:p w14:paraId="04032DC0" w14:textId="77777777" w:rsidR="00453103" w:rsidRPr="00F867D0" w:rsidRDefault="00453103" w:rsidP="00407D27">
            <w:pPr>
              <w:spacing w:after="0"/>
              <w:rPr>
                <w:rFonts w:eastAsia="SimSun" w:cs="Times New Roman"/>
                <w:szCs w:val="24"/>
              </w:rPr>
            </w:pPr>
            <w:r w:rsidRPr="00F867D0">
              <w:rPr>
                <w:szCs w:val="24"/>
              </w:rPr>
              <w:t>Condenser pressure control</w:t>
            </w:r>
          </w:p>
        </w:tc>
        <w:tc>
          <w:tcPr>
            <w:tcW w:w="2261" w:type="dxa"/>
          </w:tcPr>
          <w:p w14:paraId="6BD31E59" w14:textId="77777777" w:rsidR="00453103" w:rsidRDefault="00453103" w:rsidP="00407D27">
            <w:pPr>
              <w:spacing w:after="0"/>
              <w:rPr>
                <w:szCs w:val="24"/>
              </w:rPr>
            </w:pPr>
            <w:r w:rsidRPr="00F867D0">
              <w:rPr>
                <w:szCs w:val="24"/>
              </w:rPr>
              <w:t>Check and make set point adjustment</w:t>
            </w:r>
          </w:p>
          <w:p w14:paraId="08FEC844" w14:textId="5F58C6E5" w:rsidR="00BF4C57" w:rsidRPr="00F867D0" w:rsidRDefault="00BF4C57" w:rsidP="00407D27">
            <w:pPr>
              <w:spacing w:after="0"/>
              <w:rPr>
                <w:rFonts w:eastAsia="SimSun" w:cs="Times New Roman"/>
                <w:szCs w:val="24"/>
              </w:rPr>
            </w:pPr>
          </w:p>
        </w:tc>
        <w:tc>
          <w:tcPr>
            <w:tcW w:w="1646" w:type="dxa"/>
          </w:tcPr>
          <w:p w14:paraId="31557DF2" w14:textId="77777777" w:rsidR="00453103" w:rsidRPr="00F867D0" w:rsidRDefault="00453103" w:rsidP="00407D27">
            <w:pPr>
              <w:spacing w:after="0"/>
              <w:rPr>
                <w:rFonts w:eastAsia="SimSun" w:cs="Times New Roman"/>
                <w:szCs w:val="24"/>
              </w:rPr>
            </w:pPr>
            <w:r w:rsidRPr="00F867D0">
              <w:rPr>
                <w:szCs w:val="24"/>
              </w:rPr>
              <w:t>Up to 10%</w:t>
            </w:r>
          </w:p>
        </w:tc>
        <w:tc>
          <w:tcPr>
            <w:tcW w:w="2091" w:type="dxa"/>
          </w:tcPr>
          <w:p w14:paraId="37CD6AF5" w14:textId="77777777" w:rsidR="00453103" w:rsidRPr="00F867D0" w:rsidRDefault="00453103" w:rsidP="00407D27">
            <w:pPr>
              <w:spacing w:after="0"/>
              <w:rPr>
                <w:rFonts w:eastAsia="SimSun" w:cs="Times New Roman"/>
                <w:szCs w:val="24"/>
              </w:rPr>
            </w:pPr>
            <w:r w:rsidRPr="00F867D0">
              <w:rPr>
                <w:szCs w:val="24"/>
              </w:rPr>
              <w:t>Up to USD 600 considered low</w:t>
            </w:r>
          </w:p>
        </w:tc>
      </w:tr>
    </w:tbl>
    <w:p w14:paraId="61A361F9" w14:textId="1C706E34" w:rsidR="00453103" w:rsidRPr="00F867D0" w:rsidRDefault="00453103" w:rsidP="00453103">
      <w:pPr>
        <w:rPr>
          <w:szCs w:val="24"/>
        </w:rPr>
      </w:pPr>
      <w:r w:rsidRPr="00F867D0">
        <w:rPr>
          <w:szCs w:val="24"/>
        </w:rPr>
        <w:t xml:space="preserve">Source: </w:t>
      </w:r>
      <w:r w:rsidR="00510B25" w:rsidRPr="00F867D0">
        <w:rPr>
          <w:szCs w:val="24"/>
        </w:rPr>
        <w:t>[Usinger, 2016]</w:t>
      </w:r>
    </w:p>
    <w:p w14:paraId="53F26A24" w14:textId="78EAF442" w:rsidR="00453103" w:rsidRPr="000F749F" w:rsidRDefault="00453103" w:rsidP="000F749F">
      <w:pPr>
        <w:pStyle w:val="Heading3"/>
        <w:rPr>
          <w:b w:val="0"/>
        </w:rPr>
      </w:pPr>
      <w:bookmarkStart w:id="80" w:name="_Toc515454378"/>
      <w:r w:rsidRPr="000F749F">
        <w:t xml:space="preserve">2.5.3 Maintaining and/or increasing EE in the maintenance and installation </w:t>
      </w:r>
      <w:r w:rsidR="006A16FF" w:rsidRPr="000F749F">
        <w:t>sub-</w:t>
      </w:r>
      <w:r w:rsidRPr="000F749F">
        <w:t>sector</w:t>
      </w:r>
      <w:bookmarkEnd w:id="80"/>
    </w:p>
    <w:p w14:paraId="15DEDB5F" w14:textId="2C43B678" w:rsidR="00453103" w:rsidRPr="00F867D0" w:rsidRDefault="00453103" w:rsidP="00453103">
      <w:pPr>
        <w:rPr>
          <w:szCs w:val="24"/>
        </w:rPr>
      </w:pPr>
      <w:r w:rsidRPr="00F867D0">
        <w:rPr>
          <w:szCs w:val="24"/>
        </w:rPr>
        <w:t xml:space="preserve">In most instances the methods to maintain and/or increase EE are inseparable and indistinguishable from “best practices” for maintenance and installation. For example, ASHRAE’s “Refrigeration Commissioning Guide for Commercial and Industrial Systems” </w:t>
      </w:r>
      <w:r w:rsidR="00510B25" w:rsidRPr="00F867D0">
        <w:rPr>
          <w:szCs w:val="24"/>
        </w:rPr>
        <w:t xml:space="preserve">[ASHRAE, 2013] </w:t>
      </w:r>
      <w:r w:rsidRPr="00F867D0">
        <w:rPr>
          <w:szCs w:val="24"/>
        </w:rPr>
        <w:t xml:space="preserve">presents a number of best practices for design and commissioning of refrigeration systems. </w:t>
      </w:r>
    </w:p>
    <w:p w14:paraId="21927B65" w14:textId="608E6D37" w:rsidR="00453103" w:rsidRDefault="00453103" w:rsidP="00C15055">
      <w:pPr>
        <w:spacing w:after="0"/>
        <w:rPr>
          <w:szCs w:val="24"/>
        </w:rPr>
      </w:pPr>
      <w:r w:rsidRPr="00F867D0">
        <w:rPr>
          <w:szCs w:val="24"/>
        </w:rPr>
        <w:t xml:space="preserve">Some of the ways to achieve better servicing practices to improve </w:t>
      </w:r>
      <w:r w:rsidR="003C37C3">
        <w:rPr>
          <w:szCs w:val="24"/>
        </w:rPr>
        <w:t>EE</w:t>
      </w:r>
      <w:r w:rsidRPr="00F867D0">
        <w:rPr>
          <w:szCs w:val="24"/>
        </w:rPr>
        <w:t xml:space="preserve"> are described below:</w:t>
      </w:r>
    </w:p>
    <w:p w14:paraId="740A684A" w14:textId="77777777" w:rsidR="00157B98" w:rsidRPr="00F867D0" w:rsidRDefault="00157B98" w:rsidP="00C15055">
      <w:pPr>
        <w:spacing w:after="0"/>
        <w:rPr>
          <w:szCs w:val="24"/>
        </w:rPr>
      </w:pPr>
    </w:p>
    <w:p w14:paraId="0B9487CB" w14:textId="790209C2" w:rsidR="00453103" w:rsidRPr="00C15055" w:rsidRDefault="00453103" w:rsidP="00736989">
      <w:pPr>
        <w:numPr>
          <w:ilvl w:val="0"/>
          <w:numId w:val="79"/>
        </w:numPr>
        <w:spacing w:after="0"/>
        <w:rPr>
          <w:szCs w:val="24"/>
        </w:rPr>
      </w:pPr>
      <w:r w:rsidRPr="00F867D0">
        <w:rPr>
          <w:szCs w:val="24"/>
        </w:rPr>
        <w:t xml:space="preserve">Training and education of service technicians, system operators, and refrigerant handlers </w:t>
      </w:r>
      <w:r w:rsidR="00EE145D">
        <w:rPr>
          <w:szCs w:val="24"/>
        </w:rPr>
        <w:t xml:space="preserve">can be </w:t>
      </w:r>
      <w:r w:rsidRPr="00F867D0">
        <w:rPr>
          <w:szCs w:val="24"/>
        </w:rPr>
        <w:t xml:space="preserve">complicated </w:t>
      </w:r>
      <w:r w:rsidR="00EE145D">
        <w:rPr>
          <w:szCs w:val="24"/>
        </w:rPr>
        <w:t>if there is</w:t>
      </w:r>
      <w:r w:rsidRPr="00F867D0">
        <w:rPr>
          <w:szCs w:val="24"/>
        </w:rPr>
        <w:t xml:space="preserve"> the presence of an informal sector that operates outside the scope and reach of both the government and the industry associations. The present concern in most Article-5 countries in the HCFC phase-out process is to train technicians on the use of new refrigerants. </w:t>
      </w:r>
      <w:r w:rsidR="00566F5C">
        <w:rPr>
          <w:szCs w:val="24"/>
        </w:rPr>
        <w:t xml:space="preserve">EE </w:t>
      </w:r>
      <w:r w:rsidRPr="00F867D0">
        <w:rPr>
          <w:szCs w:val="24"/>
        </w:rPr>
        <w:t xml:space="preserve">aspects require additional training and further awareness.  Both issues can be treated together, however, </w:t>
      </w:r>
      <w:r w:rsidR="00C9121A">
        <w:rPr>
          <w:szCs w:val="24"/>
        </w:rPr>
        <w:t xml:space="preserve">and EE </w:t>
      </w:r>
      <w:r w:rsidRPr="00F867D0">
        <w:rPr>
          <w:szCs w:val="24"/>
        </w:rPr>
        <w:t>needs to be incorporated in the curricula of new courses</w:t>
      </w:r>
      <w:r w:rsidRPr="00496828">
        <w:rPr>
          <w:szCs w:val="24"/>
        </w:rPr>
        <w:t>.</w:t>
      </w:r>
      <w:r w:rsidR="006A16FF" w:rsidRPr="00496828">
        <w:rPr>
          <w:color w:val="auto"/>
          <w:kern w:val="2"/>
          <w:szCs w:val="22"/>
        </w:rPr>
        <w:t xml:space="preserve"> </w:t>
      </w:r>
      <w:r w:rsidR="00E3296D" w:rsidRPr="00496828">
        <w:rPr>
          <w:color w:val="auto"/>
          <w:kern w:val="2"/>
          <w:szCs w:val="22"/>
        </w:rPr>
        <w:t xml:space="preserve">Some </w:t>
      </w:r>
      <w:r w:rsidR="00110165">
        <w:rPr>
          <w:color w:val="auto"/>
          <w:kern w:val="2"/>
          <w:szCs w:val="22"/>
        </w:rPr>
        <w:t xml:space="preserve">topics within </w:t>
      </w:r>
      <w:r w:rsidR="00E3296D" w:rsidRPr="00496828">
        <w:rPr>
          <w:color w:val="auto"/>
          <w:kern w:val="2"/>
          <w:szCs w:val="22"/>
        </w:rPr>
        <w:t xml:space="preserve">such </w:t>
      </w:r>
      <w:r w:rsidR="000C361C">
        <w:rPr>
          <w:color w:val="auto"/>
          <w:kern w:val="2"/>
          <w:szCs w:val="22"/>
        </w:rPr>
        <w:t xml:space="preserve">a </w:t>
      </w:r>
      <w:r w:rsidR="00E3296D" w:rsidRPr="00496828">
        <w:rPr>
          <w:color w:val="auto"/>
          <w:kern w:val="2"/>
          <w:szCs w:val="22"/>
        </w:rPr>
        <w:t xml:space="preserve">training module would be handling of flammable refrigerants and refrigerant blends and best practices with handling new zeotropic blends. In case of the former, the need of specialized equipment that are certified to operate with flammable refrigerants is important, while in the case of the zeotropic blends, technicians should be aware that they can’t practice top-up and that that recovered refrigerants is not useable in some cases. </w:t>
      </w:r>
    </w:p>
    <w:p w14:paraId="23D5D943" w14:textId="77777777" w:rsidR="00C15055" w:rsidRPr="00496828" w:rsidRDefault="00C15055" w:rsidP="00C15055">
      <w:pPr>
        <w:spacing w:after="0"/>
        <w:ind w:left="720"/>
        <w:rPr>
          <w:szCs w:val="24"/>
        </w:rPr>
      </w:pPr>
    </w:p>
    <w:p w14:paraId="5C2A2FC4" w14:textId="0AD4313E" w:rsidR="00453103" w:rsidRPr="00F867D0" w:rsidRDefault="00453103" w:rsidP="00736989">
      <w:pPr>
        <w:numPr>
          <w:ilvl w:val="0"/>
          <w:numId w:val="79"/>
        </w:numPr>
        <w:spacing w:after="0"/>
        <w:rPr>
          <w:szCs w:val="24"/>
        </w:rPr>
      </w:pPr>
      <w:r w:rsidRPr="00F867D0">
        <w:rPr>
          <w:szCs w:val="24"/>
        </w:rPr>
        <w:t xml:space="preserve">Certification of technicians and other entities on handling of refrigerants: The requirement is being introduced in many Article 5 </w:t>
      </w:r>
      <w:r w:rsidR="00C9121A">
        <w:rPr>
          <w:szCs w:val="24"/>
        </w:rPr>
        <w:t>parties</w:t>
      </w:r>
      <w:r w:rsidR="00C9121A" w:rsidRPr="00F867D0">
        <w:rPr>
          <w:szCs w:val="24"/>
        </w:rPr>
        <w:t xml:space="preserve"> </w:t>
      </w:r>
      <w:r w:rsidRPr="00F867D0">
        <w:rPr>
          <w:szCs w:val="24"/>
        </w:rPr>
        <w:t xml:space="preserve">as part of their HPMP; however, the degree and extent of application differ and the certification for handling the different types of refrigerants can also be different. Linking certification to the proper handing and operation of systems to maintain </w:t>
      </w:r>
      <w:r w:rsidR="003C37C3">
        <w:rPr>
          <w:szCs w:val="24"/>
        </w:rPr>
        <w:t>EE</w:t>
      </w:r>
      <w:r w:rsidRPr="00F867D0">
        <w:rPr>
          <w:szCs w:val="24"/>
        </w:rPr>
        <w:t xml:space="preserve"> </w:t>
      </w:r>
      <w:r w:rsidR="008B571A">
        <w:rPr>
          <w:szCs w:val="24"/>
        </w:rPr>
        <w:t xml:space="preserve">would </w:t>
      </w:r>
      <w:r w:rsidRPr="00F867D0">
        <w:rPr>
          <w:szCs w:val="24"/>
        </w:rPr>
        <w:t xml:space="preserve">require additional input and coordination between the different stakeholders. It </w:t>
      </w:r>
      <w:r w:rsidR="008B571A">
        <w:rPr>
          <w:szCs w:val="24"/>
        </w:rPr>
        <w:t xml:space="preserve">would </w:t>
      </w:r>
      <w:r w:rsidRPr="00F867D0">
        <w:rPr>
          <w:szCs w:val="24"/>
        </w:rPr>
        <w:t>also require the certification of technicians to service those systems</w:t>
      </w:r>
      <w:r w:rsidR="006A16FF" w:rsidRPr="00F867D0">
        <w:rPr>
          <w:szCs w:val="24"/>
        </w:rPr>
        <w:t>,</w:t>
      </w:r>
      <w:r w:rsidRPr="00F867D0">
        <w:rPr>
          <w:szCs w:val="24"/>
        </w:rPr>
        <w:t xml:space="preserve"> which can be different than the certification for handling refrigerants.</w:t>
      </w:r>
    </w:p>
    <w:p w14:paraId="5A9A96D7" w14:textId="77777777" w:rsidR="00C15055" w:rsidRPr="00C15055" w:rsidRDefault="00C15055" w:rsidP="00C15055">
      <w:pPr>
        <w:spacing w:after="0"/>
        <w:ind w:left="720"/>
        <w:rPr>
          <w:b/>
          <w:bCs/>
          <w:szCs w:val="24"/>
        </w:rPr>
      </w:pPr>
    </w:p>
    <w:p w14:paraId="4FE5600A" w14:textId="11CAF5FF" w:rsidR="00BF4C57" w:rsidRDefault="008B571A" w:rsidP="00736989">
      <w:pPr>
        <w:numPr>
          <w:ilvl w:val="0"/>
          <w:numId w:val="79"/>
        </w:numPr>
        <w:spacing w:after="0"/>
        <w:rPr>
          <w:b/>
          <w:bCs/>
          <w:szCs w:val="24"/>
        </w:rPr>
      </w:pPr>
      <w:r>
        <w:rPr>
          <w:szCs w:val="24"/>
        </w:rPr>
        <w:t>P</w:t>
      </w:r>
      <w:r w:rsidR="00453103" w:rsidRPr="00F867D0">
        <w:rPr>
          <w:szCs w:val="24"/>
        </w:rPr>
        <w:t xml:space="preserve">olicies </w:t>
      </w:r>
      <w:r>
        <w:rPr>
          <w:szCs w:val="24"/>
        </w:rPr>
        <w:t xml:space="preserve">can also be developed </w:t>
      </w:r>
      <w:r w:rsidR="00453103" w:rsidRPr="00F867D0">
        <w:rPr>
          <w:szCs w:val="24"/>
        </w:rPr>
        <w:t>to encourage regular maintenance and servicing</w:t>
      </w:r>
      <w:r w:rsidR="00770398">
        <w:rPr>
          <w:szCs w:val="24"/>
        </w:rPr>
        <w:t>, i.e.</w:t>
      </w:r>
      <w:r w:rsidR="00453103" w:rsidRPr="00F867D0">
        <w:rPr>
          <w:szCs w:val="24"/>
        </w:rPr>
        <w:t xml:space="preserve">, maintenance contracts </w:t>
      </w:r>
      <w:r>
        <w:rPr>
          <w:szCs w:val="24"/>
        </w:rPr>
        <w:t xml:space="preserve">or warranties could be included </w:t>
      </w:r>
      <w:r w:rsidR="00453103" w:rsidRPr="00F867D0">
        <w:rPr>
          <w:szCs w:val="24"/>
        </w:rPr>
        <w:t>as part of government procurement.</w:t>
      </w:r>
    </w:p>
    <w:p w14:paraId="61E5AAFD" w14:textId="77777777" w:rsidR="00BF4C57" w:rsidRDefault="00BF4C57" w:rsidP="00BF4C57">
      <w:pPr>
        <w:spacing w:after="0"/>
        <w:rPr>
          <w:b/>
          <w:bCs/>
          <w:szCs w:val="24"/>
        </w:rPr>
      </w:pPr>
    </w:p>
    <w:p w14:paraId="1C2B52B6" w14:textId="77777777" w:rsidR="00BF4C57" w:rsidRDefault="004D2587" w:rsidP="00BF4C57">
      <w:pPr>
        <w:spacing w:after="0"/>
        <w:rPr>
          <w:b/>
          <w:bCs/>
          <w:szCs w:val="24"/>
        </w:rPr>
      </w:pPr>
      <w:r w:rsidRPr="00BF4C57">
        <w:rPr>
          <w:b/>
          <w:bCs/>
          <w:szCs w:val="24"/>
        </w:rPr>
        <w:t>Sector</w:t>
      </w:r>
      <w:r w:rsidR="00453103" w:rsidRPr="00BF4C57">
        <w:rPr>
          <w:b/>
          <w:bCs/>
          <w:szCs w:val="24"/>
        </w:rPr>
        <w:t>al Requirements</w:t>
      </w:r>
    </w:p>
    <w:p w14:paraId="1013A7E9" w14:textId="77777777" w:rsidR="00BF4C57" w:rsidRDefault="00BF4C57" w:rsidP="004F2620">
      <w:pPr>
        <w:spacing w:after="0"/>
        <w:rPr>
          <w:b/>
          <w:bCs/>
          <w:szCs w:val="24"/>
        </w:rPr>
      </w:pPr>
    </w:p>
    <w:p w14:paraId="7BDBF789" w14:textId="5D89F1F2" w:rsidR="00453103" w:rsidRPr="00BF4C57" w:rsidRDefault="00453103">
      <w:pPr>
        <w:spacing w:after="0"/>
        <w:rPr>
          <w:b/>
          <w:bCs/>
          <w:szCs w:val="24"/>
        </w:rPr>
      </w:pPr>
      <w:r w:rsidRPr="00F867D0">
        <w:rPr>
          <w:szCs w:val="24"/>
        </w:rPr>
        <w:t>The requirements for capacity building in the refrigeration sector are not distinctively different than those in the air conditioning sector. The major difference is that the</w:t>
      </w:r>
      <w:r w:rsidR="008B571A">
        <w:rPr>
          <w:szCs w:val="24"/>
        </w:rPr>
        <w:t xml:space="preserve"> refrigeration</w:t>
      </w:r>
      <w:r w:rsidRPr="00F867D0">
        <w:rPr>
          <w:szCs w:val="24"/>
        </w:rPr>
        <w:t xml:space="preserve"> sector is more defined with mostly established and experienced players</w:t>
      </w:r>
      <w:r w:rsidR="008B571A">
        <w:rPr>
          <w:szCs w:val="24"/>
        </w:rPr>
        <w:t>. H</w:t>
      </w:r>
      <w:r w:rsidRPr="00F867D0">
        <w:rPr>
          <w:szCs w:val="24"/>
        </w:rPr>
        <w:t>owever, the systems and the machines involved are also more complex and use a variety of refrigerants that are not used in the AC and HP sectors.</w:t>
      </w:r>
    </w:p>
    <w:p w14:paraId="2605FE37" w14:textId="77777777" w:rsidR="00BF4C57" w:rsidRDefault="00BF4C57" w:rsidP="000F749F">
      <w:pPr>
        <w:spacing w:after="0"/>
        <w:rPr>
          <w:szCs w:val="24"/>
        </w:rPr>
      </w:pPr>
    </w:p>
    <w:p w14:paraId="40B43EDA" w14:textId="29546727" w:rsidR="00453103" w:rsidRPr="00F867D0" w:rsidRDefault="00453103" w:rsidP="000F749F">
      <w:pPr>
        <w:spacing w:after="0"/>
        <w:rPr>
          <w:szCs w:val="24"/>
        </w:rPr>
      </w:pPr>
      <w:r w:rsidRPr="00F867D0">
        <w:rPr>
          <w:szCs w:val="24"/>
        </w:rPr>
        <w:t>In the refrigeration sector, and to an extent in the AC and HP sector, the requirements differ by the size of the plant</w:t>
      </w:r>
      <w:r w:rsidR="008B571A">
        <w:rPr>
          <w:szCs w:val="24"/>
        </w:rPr>
        <w:t xml:space="preserve"> as follows</w:t>
      </w:r>
      <w:r w:rsidRPr="00F867D0">
        <w:rPr>
          <w:szCs w:val="24"/>
        </w:rPr>
        <w:t>:</w:t>
      </w:r>
    </w:p>
    <w:p w14:paraId="5DDC0EC7" w14:textId="2EFD0612" w:rsidR="00453103" w:rsidRPr="00F867D0" w:rsidRDefault="00453103" w:rsidP="000F749F">
      <w:pPr>
        <w:numPr>
          <w:ilvl w:val="0"/>
          <w:numId w:val="80"/>
        </w:numPr>
        <w:spacing w:after="0"/>
        <w:contextualSpacing/>
        <w:rPr>
          <w:szCs w:val="24"/>
        </w:rPr>
      </w:pPr>
      <w:r w:rsidRPr="00F867D0">
        <w:rPr>
          <w:szCs w:val="24"/>
        </w:rPr>
        <w:t xml:space="preserve">85% of large industrial refrigeration plants use ammonia </w:t>
      </w:r>
      <w:r w:rsidR="00510B25" w:rsidRPr="00F867D0">
        <w:rPr>
          <w:szCs w:val="24"/>
        </w:rPr>
        <w:t>[UNEP</w:t>
      </w:r>
      <w:r w:rsidRPr="00F867D0">
        <w:rPr>
          <w:szCs w:val="24"/>
        </w:rPr>
        <w:t>, 2014</w:t>
      </w:r>
      <w:r w:rsidR="00510B25" w:rsidRPr="00F867D0">
        <w:rPr>
          <w:szCs w:val="24"/>
        </w:rPr>
        <w:t>]</w:t>
      </w:r>
      <w:r w:rsidRPr="00F867D0">
        <w:rPr>
          <w:szCs w:val="24"/>
        </w:rPr>
        <w:t>.  The plants are efficient and the maintenance is usually good since bad maintenance can lead to disastrous consequences due to the toxicity, and to a lesser extent, the flammability of the refrigerant.  This is not to say that all plants are operating at maximum efficiency</w:t>
      </w:r>
      <w:r w:rsidR="008B571A">
        <w:rPr>
          <w:szCs w:val="24"/>
        </w:rPr>
        <w:t>. H</w:t>
      </w:r>
      <w:r w:rsidRPr="00F867D0">
        <w:rPr>
          <w:szCs w:val="24"/>
        </w:rPr>
        <w:t>owever, the cases of inefficient operation due to inefficient servicing are less than in other sub-sectors.</w:t>
      </w:r>
    </w:p>
    <w:p w14:paraId="7622280C" w14:textId="77777777" w:rsidR="004D2587" w:rsidRPr="00F867D0" w:rsidRDefault="004D2587" w:rsidP="000F749F">
      <w:pPr>
        <w:spacing w:after="0"/>
        <w:ind w:left="720"/>
        <w:contextualSpacing/>
        <w:rPr>
          <w:szCs w:val="24"/>
        </w:rPr>
      </w:pPr>
    </w:p>
    <w:p w14:paraId="5E2FE379" w14:textId="36FF64F3" w:rsidR="00453103" w:rsidRPr="00F867D0" w:rsidRDefault="00453103" w:rsidP="000F749F">
      <w:pPr>
        <w:numPr>
          <w:ilvl w:val="0"/>
          <w:numId w:val="80"/>
        </w:numPr>
        <w:spacing w:after="0"/>
        <w:contextualSpacing/>
        <w:rPr>
          <w:szCs w:val="24"/>
        </w:rPr>
      </w:pPr>
      <w:r w:rsidRPr="00F867D0">
        <w:rPr>
          <w:szCs w:val="24"/>
        </w:rPr>
        <w:t xml:space="preserve">Commercial plants </w:t>
      </w:r>
      <w:r w:rsidR="008B571A">
        <w:rPr>
          <w:szCs w:val="24"/>
        </w:rPr>
        <w:t>such as</w:t>
      </w:r>
      <w:r w:rsidRPr="00F867D0">
        <w:rPr>
          <w:szCs w:val="24"/>
        </w:rPr>
        <w:t xml:space="preserve"> </w:t>
      </w:r>
      <w:r w:rsidR="004D0FDB" w:rsidRPr="00F867D0">
        <w:rPr>
          <w:szCs w:val="24"/>
        </w:rPr>
        <w:t xml:space="preserve">field-installed, large </w:t>
      </w:r>
      <w:r w:rsidRPr="00F867D0">
        <w:rPr>
          <w:szCs w:val="24"/>
        </w:rPr>
        <w:t xml:space="preserve">supermarket refrigeration systems are one of the highest leaking systems in the sector due to the nature and complexity of the plants. This contributes to a reduction in </w:t>
      </w:r>
      <w:r w:rsidR="008B571A">
        <w:rPr>
          <w:szCs w:val="24"/>
        </w:rPr>
        <w:t>EE</w:t>
      </w:r>
      <w:r w:rsidRPr="00F867D0">
        <w:rPr>
          <w:szCs w:val="24"/>
        </w:rPr>
        <w:t xml:space="preserve"> that can be controllable. </w:t>
      </w:r>
      <w:r w:rsidR="008B571A">
        <w:rPr>
          <w:szCs w:val="24"/>
        </w:rPr>
        <w:t>P</w:t>
      </w:r>
      <w:r w:rsidRPr="00F867D0">
        <w:rPr>
          <w:szCs w:val="24"/>
        </w:rPr>
        <w:t xml:space="preserve">ricing of utilities </w:t>
      </w:r>
      <w:r w:rsidR="008B571A">
        <w:rPr>
          <w:szCs w:val="24"/>
        </w:rPr>
        <w:t xml:space="preserve">that are disincentives to run plants inefficiently </w:t>
      </w:r>
      <w:r w:rsidRPr="00F867D0">
        <w:rPr>
          <w:szCs w:val="24"/>
        </w:rPr>
        <w:t xml:space="preserve">and </w:t>
      </w:r>
      <w:r w:rsidR="008B571A">
        <w:rPr>
          <w:szCs w:val="24"/>
        </w:rPr>
        <w:t xml:space="preserve">the use of </w:t>
      </w:r>
      <w:r w:rsidRPr="00F867D0">
        <w:rPr>
          <w:szCs w:val="24"/>
        </w:rPr>
        <w:t>incentives for reducing power demand</w:t>
      </w:r>
      <w:r w:rsidR="008B571A">
        <w:rPr>
          <w:szCs w:val="24"/>
        </w:rPr>
        <w:t xml:space="preserve"> can be used to incentivise operators to running plants more efficiently</w:t>
      </w:r>
      <w:r w:rsidRPr="00F867D0">
        <w:rPr>
          <w:szCs w:val="24"/>
        </w:rPr>
        <w:t>.</w:t>
      </w:r>
    </w:p>
    <w:p w14:paraId="0E3E19AA" w14:textId="77777777" w:rsidR="004D2587" w:rsidRPr="00F867D0" w:rsidRDefault="004D2587" w:rsidP="000F749F">
      <w:pPr>
        <w:spacing w:after="0"/>
        <w:ind w:left="720"/>
        <w:contextualSpacing/>
        <w:rPr>
          <w:szCs w:val="24"/>
        </w:rPr>
      </w:pPr>
    </w:p>
    <w:p w14:paraId="6E368A79" w14:textId="29D946D3" w:rsidR="00453103" w:rsidRPr="00F867D0" w:rsidRDefault="00453103" w:rsidP="000F749F">
      <w:pPr>
        <w:numPr>
          <w:ilvl w:val="0"/>
          <w:numId w:val="80"/>
        </w:numPr>
        <w:spacing w:after="0"/>
        <w:contextualSpacing/>
        <w:rPr>
          <w:szCs w:val="24"/>
        </w:rPr>
      </w:pPr>
      <w:r w:rsidRPr="00F867D0">
        <w:rPr>
          <w:szCs w:val="24"/>
        </w:rPr>
        <w:t>The Domestic sector has made big strides through the label</w:t>
      </w:r>
      <w:r w:rsidR="004D2587" w:rsidRPr="00F867D0">
        <w:rPr>
          <w:szCs w:val="24"/>
        </w:rPr>
        <w:t>l</w:t>
      </w:r>
      <w:r w:rsidRPr="00F867D0">
        <w:rPr>
          <w:szCs w:val="24"/>
        </w:rPr>
        <w:t xml:space="preserve">ing system that </w:t>
      </w:r>
      <w:r w:rsidR="008B571A">
        <w:rPr>
          <w:szCs w:val="24"/>
        </w:rPr>
        <w:t>makes</w:t>
      </w:r>
      <w:r w:rsidRPr="00F867D0">
        <w:rPr>
          <w:szCs w:val="24"/>
        </w:rPr>
        <w:t xml:space="preserve"> </w:t>
      </w:r>
      <w:r w:rsidR="008B571A">
        <w:rPr>
          <w:szCs w:val="24"/>
        </w:rPr>
        <w:t>EE</w:t>
      </w:r>
      <w:r w:rsidRPr="00F867D0">
        <w:rPr>
          <w:szCs w:val="24"/>
        </w:rPr>
        <w:t xml:space="preserve"> information </w:t>
      </w:r>
      <w:r w:rsidR="008B571A">
        <w:rPr>
          <w:szCs w:val="24"/>
        </w:rPr>
        <w:t xml:space="preserve">directly in front </w:t>
      </w:r>
      <w:r w:rsidRPr="00F867D0">
        <w:rPr>
          <w:szCs w:val="24"/>
        </w:rPr>
        <w:t xml:space="preserve">of consumers and end-users. </w:t>
      </w:r>
      <w:r w:rsidR="008B571A">
        <w:rPr>
          <w:szCs w:val="24"/>
        </w:rPr>
        <w:t>M</w:t>
      </w:r>
      <w:r w:rsidRPr="00F867D0">
        <w:rPr>
          <w:szCs w:val="24"/>
        </w:rPr>
        <w:t xml:space="preserve">aintenance of </w:t>
      </w:r>
      <w:r w:rsidR="008B571A">
        <w:rPr>
          <w:szCs w:val="24"/>
        </w:rPr>
        <w:t>the systems</w:t>
      </w:r>
      <w:r w:rsidRPr="00F867D0">
        <w:rPr>
          <w:szCs w:val="24"/>
        </w:rPr>
        <w:t xml:space="preserve"> to ensure the continued efficient operation is less evident and more easily neglected by owners of domestic appliances. </w:t>
      </w:r>
      <w:r w:rsidR="008B571A">
        <w:rPr>
          <w:szCs w:val="24"/>
        </w:rPr>
        <w:t xml:space="preserve">Hence, it is often lacking. This can also be exacerbated by </w:t>
      </w:r>
      <w:r w:rsidRPr="00F867D0">
        <w:rPr>
          <w:szCs w:val="24"/>
        </w:rPr>
        <w:t xml:space="preserve">self-employed informal sector technicians who are not aware, or </w:t>
      </w:r>
      <w:r w:rsidR="008B571A">
        <w:rPr>
          <w:szCs w:val="24"/>
        </w:rPr>
        <w:t xml:space="preserve">potentially </w:t>
      </w:r>
      <w:r w:rsidRPr="00F867D0">
        <w:rPr>
          <w:szCs w:val="24"/>
        </w:rPr>
        <w:t xml:space="preserve">not interested </w:t>
      </w:r>
      <w:r w:rsidR="008B571A">
        <w:rPr>
          <w:szCs w:val="24"/>
        </w:rPr>
        <w:t>in</w:t>
      </w:r>
      <w:r w:rsidRPr="00F867D0">
        <w:rPr>
          <w:szCs w:val="24"/>
        </w:rPr>
        <w:t xml:space="preserve"> monitor</w:t>
      </w:r>
      <w:r w:rsidR="008B571A">
        <w:rPr>
          <w:szCs w:val="24"/>
        </w:rPr>
        <w:t>ing</w:t>
      </w:r>
      <w:r w:rsidRPr="00F867D0">
        <w:rPr>
          <w:szCs w:val="24"/>
        </w:rPr>
        <w:t xml:space="preserve"> </w:t>
      </w:r>
      <w:r w:rsidR="008B571A">
        <w:rPr>
          <w:szCs w:val="24"/>
        </w:rPr>
        <w:t>EE</w:t>
      </w:r>
      <w:r w:rsidRPr="00F867D0">
        <w:rPr>
          <w:szCs w:val="24"/>
        </w:rPr>
        <w:t>.</w:t>
      </w:r>
    </w:p>
    <w:p w14:paraId="1EB715A9" w14:textId="77777777" w:rsidR="004D2587" w:rsidRPr="00F867D0" w:rsidRDefault="004D2587" w:rsidP="00453103">
      <w:pPr>
        <w:rPr>
          <w:sz w:val="24"/>
          <w:szCs w:val="24"/>
        </w:rPr>
      </w:pPr>
    </w:p>
    <w:p w14:paraId="75540444" w14:textId="3A69D426" w:rsidR="00A663AA" w:rsidRPr="000F749F" w:rsidRDefault="00A663AA" w:rsidP="000F749F">
      <w:pPr>
        <w:pStyle w:val="Heading2"/>
        <w:rPr>
          <w:b w:val="0"/>
        </w:rPr>
      </w:pPr>
      <w:bookmarkStart w:id="81" w:name="_Toc515454379"/>
      <w:bookmarkStart w:id="82" w:name="_Hlk514683551"/>
      <w:r w:rsidRPr="000F749F">
        <w:t>2.6</w:t>
      </w:r>
      <w:r w:rsidRPr="000F749F">
        <w:tab/>
        <w:t>Capacity building requirements</w:t>
      </w:r>
      <w:bookmarkEnd w:id="81"/>
    </w:p>
    <w:p w14:paraId="542FB325" w14:textId="77777777" w:rsidR="00424CC6" w:rsidRDefault="004F2481" w:rsidP="00A663AA">
      <w:pPr>
        <w:keepNext/>
        <w:widowControl w:val="0"/>
        <w:tabs>
          <w:tab w:val="left" w:pos="720"/>
        </w:tabs>
        <w:autoSpaceDE w:val="0"/>
        <w:autoSpaceDN w:val="0"/>
        <w:adjustRightInd w:val="0"/>
        <w:spacing w:before="240"/>
        <w:ind w:left="720" w:right="28" w:hanging="720"/>
        <w:outlineLvl w:val="1"/>
        <w:rPr>
          <w:rFonts w:eastAsia="MS Mincho"/>
          <w:b/>
          <w:snapToGrid w:val="0"/>
          <w:color w:val="auto"/>
          <w:sz w:val="24"/>
          <w:szCs w:val="22"/>
          <w:lang w:eastAsia="en-US"/>
        </w:rPr>
      </w:pPr>
      <w:r w:rsidRPr="00F867D0">
        <w:rPr>
          <w:rFonts w:eastAsia="MS Mincho"/>
          <w:b/>
          <w:snapToGrid w:val="0"/>
          <w:color w:val="auto"/>
          <w:sz w:val="24"/>
          <w:szCs w:val="22"/>
          <w:lang w:eastAsia="en-US"/>
        </w:rPr>
        <w:t>Summary</w:t>
      </w:r>
    </w:p>
    <w:bookmarkEnd w:id="82"/>
    <w:p w14:paraId="36B87C48" w14:textId="77777777" w:rsidR="00FE106C" w:rsidRPr="005A7023" w:rsidRDefault="00FE106C" w:rsidP="00BF4C57">
      <w:pPr>
        <w:pStyle w:val="ListParagraph"/>
        <w:rPr>
          <w:rFonts w:eastAsia="MS Mincho"/>
          <w:b/>
          <w:snapToGrid w:val="0"/>
          <w:lang w:eastAsia="en-US"/>
        </w:rPr>
      </w:pPr>
      <w:r w:rsidRPr="005A7023">
        <w:t xml:space="preserve">There are enabling activities such as capacity building, institutional strengthening, demonstration projects, and national strategies and plans that help to bridge Montreal Protocol activities under the Kigali Amendment and EE. A number of enabling activities supported by the other funds such as, the Kigali Cooling Efficiency Programme and the Global Environment Facility, have advanced both ozone depletion and </w:t>
      </w:r>
      <w:r>
        <w:t>EE</w:t>
      </w:r>
      <w:r w:rsidRPr="005A7023">
        <w:t xml:space="preserve"> goals</w:t>
      </w:r>
    </w:p>
    <w:p w14:paraId="5E84B22B" w14:textId="77777777" w:rsidR="00FE106C" w:rsidRDefault="00FE106C" w:rsidP="00FE106C">
      <w:pPr>
        <w:spacing w:after="0"/>
        <w:ind w:left="720"/>
        <w:rPr>
          <w:szCs w:val="22"/>
          <w:lang w:val="en-US"/>
        </w:rPr>
      </w:pPr>
    </w:p>
    <w:p w14:paraId="23B3F78F" w14:textId="77777777" w:rsidR="00FE106C" w:rsidRPr="005A7023" w:rsidRDefault="00FE106C" w:rsidP="00736989">
      <w:pPr>
        <w:numPr>
          <w:ilvl w:val="0"/>
          <w:numId w:val="62"/>
        </w:numPr>
        <w:spacing w:after="0"/>
        <w:rPr>
          <w:szCs w:val="22"/>
          <w:lang w:val="en-US"/>
        </w:rPr>
      </w:pPr>
      <w:r w:rsidRPr="005A7023">
        <w:rPr>
          <w:szCs w:val="22"/>
          <w:lang w:val="en-US"/>
        </w:rPr>
        <w:t>Additional enabling activities under the Kigali Amendment can bridge the current Montreal Protocol activities with those destined towards EE and serve as examples of potential synergy between HFC phasedown and EE opportunities.</w:t>
      </w:r>
    </w:p>
    <w:p w14:paraId="0565B40C" w14:textId="77777777" w:rsidR="00A90547" w:rsidRDefault="00A90547" w:rsidP="008B571A">
      <w:pPr>
        <w:rPr>
          <w:rFonts w:eastAsia="MS Mincho"/>
          <w:b/>
          <w:snapToGrid w:val="0"/>
          <w:color w:val="auto"/>
          <w:sz w:val="24"/>
          <w:szCs w:val="24"/>
          <w:lang w:eastAsia="en-US"/>
        </w:rPr>
      </w:pPr>
    </w:p>
    <w:p w14:paraId="3334A86E" w14:textId="0A234048" w:rsidR="00A663AA" w:rsidRPr="000F749F" w:rsidRDefault="00A663AA" w:rsidP="000F749F">
      <w:pPr>
        <w:pStyle w:val="Heading3"/>
        <w:rPr>
          <w:b w:val="0"/>
        </w:rPr>
      </w:pPr>
      <w:bookmarkStart w:id="83" w:name="_Toc515454380"/>
      <w:r w:rsidRPr="000F749F">
        <w:t>2.6.1</w:t>
      </w:r>
      <w:r w:rsidRPr="000F749F">
        <w:tab/>
        <w:t>Bridging enabling activities</w:t>
      </w:r>
      <w:bookmarkEnd w:id="83"/>
    </w:p>
    <w:p w14:paraId="062E4407" w14:textId="6D482C68" w:rsidR="00A663AA" w:rsidRPr="00F867D0" w:rsidRDefault="00A663AA" w:rsidP="00C15055">
      <w:pPr>
        <w:widowControl w:val="0"/>
        <w:spacing w:after="0"/>
        <w:rPr>
          <w:rFonts w:eastAsia="Times New Roman"/>
          <w:color w:val="000000" w:themeColor="text1"/>
          <w:szCs w:val="22"/>
        </w:rPr>
      </w:pPr>
      <w:r w:rsidRPr="00F867D0">
        <w:rPr>
          <w:szCs w:val="22"/>
        </w:rPr>
        <w:t xml:space="preserve">Several categories of enabling activities </w:t>
      </w:r>
      <w:r w:rsidR="00BF4C57">
        <w:rPr>
          <w:szCs w:val="22"/>
        </w:rPr>
        <w:t>can potentially</w:t>
      </w:r>
      <w:r w:rsidR="008B571A">
        <w:rPr>
          <w:szCs w:val="22"/>
        </w:rPr>
        <w:t xml:space="preserve"> </w:t>
      </w:r>
      <w:r w:rsidR="00BF4C57">
        <w:rPr>
          <w:szCs w:val="22"/>
        </w:rPr>
        <w:t xml:space="preserve">serve to </w:t>
      </w:r>
      <w:r w:rsidR="008B571A">
        <w:rPr>
          <w:szCs w:val="22"/>
        </w:rPr>
        <w:t xml:space="preserve">bridge activities related to enhancing or maintaining EE with </w:t>
      </w:r>
      <w:r w:rsidR="00BF4C57">
        <w:rPr>
          <w:szCs w:val="22"/>
        </w:rPr>
        <w:t xml:space="preserve">phasedown </w:t>
      </w:r>
      <w:r w:rsidR="008B571A">
        <w:rPr>
          <w:szCs w:val="22"/>
        </w:rPr>
        <w:t xml:space="preserve">activities. Examples include </w:t>
      </w:r>
      <w:r w:rsidR="008B571A">
        <w:rPr>
          <w:rFonts w:eastAsiaTheme="minorHAnsi"/>
          <w:szCs w:val="22"/>
        </w:rPr>
        <w:t>c</w:t>
      </w:r>
      <w:r w:rsidRPr="00F867D0">
        <w:rPr>
          <w:rFonts w:eastAsiaTheme="minorHAnsi"/>
          <w:szCs w:val="22"/>
        </w:rPr>
        <w:t xml:space="preserve">apacity-building and training for the handling of </w:t>
      </w:r>
      <w:r w:rsidR="003741DF" w:rsidRPr="00F867D0">
        <w:rPr>
          <w:rFonts w:eastAsiaTheme="minorHAnsi"/>
          <w:szCs w:val="22"/>
        </w:rPr>
        <w:t xml:space="preserve">HFC </w:t>
      </w:r>
      <w:r w:rsidRPr="00F867D0">
        <w:rPr>
          <w:rFonts w:eastAsiaTheme="minorHAnsi"/>
          <w:szCs w:val="22"/>
        </w:rPr>
        <w:t xml:space="preserve">alternatives in the servicing, manufacturing and production sectors as well as </w:t>
      </w:r>
      <w:r w:rsidRPr="00F867D0">
        <w:rPr>
          <w:szCs w:val="22"/>
        </w:rPr>
        <w:t>Institutional strengthening: Article 4B licensing; Reporting; Demonstration projects; and Development of national strategies (Decision XXVIII/2</w:t>
      </w:r>
      <w:r w:rsidRPr="00F867D0">
        <w:rPr>
          <w:szCs w:val="22"/>
          <w:vertAlign w:val="superscript"/>
        </w:rPr>
        <w:footnoteReference w:id="12"/>
      </w:r>
      <w:r w:rsidRPr="00F867D0">
        <w:rPr>
          <w:szCs w:val="22"/>
        </w:rPr>
        <w:t xml:space="preserve"> paragraph 20). </w:t>
      </w:r>
      <w:r w:rsidR="005138E4">
        <w:rPr>
          <w:szCs w:val="22"/>
        </w:rPr>
        <w:t>Within these</w:t>
      </w:r>
      <w:r w:rsidRPr="00F867D0">
        <w:rPr>
          <w:rFonts w:eastAsia="Times New Roman"/>
          <w:color w:val="000000" w:themeColor="text1"/>
          <w:szCs w:val="22"/>
        </w:rPr>
        <w:t xml:space="preserve">, some components can be coordinated with complementary activities to advance both </w:t>
      </w:r>
      <w:r w:rsidR="005138E4">
        <w:rPr>
          <w:rFonts w:eastAsia="Times New Roman"/>
          <w:color w:val="000000" w:themeColor="text1"/>
          <w:szCs w:val="22"/>
        </w:rPr>
        <w:t xml:space="preserve">HFC </w:t>
      </w:r>
      <w:r w:rsidRPr="00F867D0">
        <w:rPr>
          <w:rFonts w:eastAsia="Times New Roman"/>
          <w:color w:val="000000" w:themeColor="text1"/>
          <w:szCs w:val="22"/>
        </w:rPr>
        <w:t xml:space="preserve">phase-down and </w:t>
      </w:r>
      <w:r w:rsidR="005138E4">
        <w:rPr>
          <w:rFonts w:eastAsia="Times New Roman"/>
          <w:color w:val="000000" w:themeColor="text1"/>
          <w:szCs w:val="22"/>
        </w:rPr>
        <w:t>EE</w:t>
      </w:r>
      <w:r w:rsidRPr="00F867D0">
        <w:rPr>
          <w:rFonts w:eastAsia="Times New Roman"/>
          <w:color w:val="000000" w:themeColor="text1"/>
          <w:szCs w:val="22"/>
        </w:rPr>
        <w:t xml:space="preserve"> goals.</w:t>
      </w:r>
    </w:p>
    <w:p w14:paraId="37F47FA2" w14:textId="77777777" w:rsidR="00A663AA" w:rsidRPr="00F867D0" w:rsidRDefault="00A663AA" w:rsidP="00A663AA">
      <w:pPr>
        <w:widowControl w:val="0"/>
        <w:spacing w:after="0"/>
        <w:rPr>
          <w:color w:val="auto"/>
          <w:szCs w:val="22"/>
        </w:rPr>
      </w:pPr>
    </w:p>
    <w:p w14:paraId="39D14172" w14:textId="152ACB5D" w:rsidR="00A663AA" w:rsidRPr="000F749F" w:rsidRDefault="00A663AA" w:rsidP="000F749F">
      <w:pPr>
        <w:pStyle w:val="Heading3"/>
        <w:rPr>
          <w:b w:val="0"/>
        </w:rPr>
      </w:pPr>
      <w:bookmarkStart w:id="84" w:name="_Toc515454381"/>
      <w:r w:rsidRPr="000F749F">
        <w:t>2.6.2</w:t>
      </w:r>
      <w:r w:rsidRPr="000F749F">
        <w:tab/>
        <w:t>Capacity building and training</w:t>
      </w:r>
      <w:bookmarkEnd w:id="84"/>
    </w:p>
    <w:p w14:paraId="2BC872DB" w14:textId="401D09F2" w:rsidR="00A663AA" w:rsidRPr="00F867D0" w:rsidRDefault="00A663AA" w:rsidP="00C15055">
      <w:pPr>
        <w:spacing w:after="0"/>
        <w:rPr>
          <w:color w:val="auto"/>
          <w:kern w:val="2"/>
          <w:szCs w:val="22"/>
        </w:rPr>
      </w:pPr>
      <w:r w:rsidRPr="00F867D0">
        <w:rPr>
          <w:color w:val="auto"/>
          <w:kern w:val="2"/>
          <w:szCs w:val="22"/>
        </w:rPr>
        <w:t xml:space="preserve">Technical capacity-building for manufacturing could include information exchange and data sharing, analysis on design options and their costs, efficient component sourcing for maintaining or enhancing equipment energy performance, particularly at HAT </w:t>
      </w:r>
      <w:r w:rsidR="00A90547">
        <w:rPr>
          <w:color w:val="auto"/>
          <w:kern w:val="2"/>
          <w:szCs w:val="22"/>
        </w:rPr>
        <w:t xml:space="preserve">conditions </w:t>
      </w:r>
      <w:r w:rsidRPr="00F867D0">
        <w:rPr>
          <w:color w:val="auto"/>
          <w:kern w:val="2"/>
          <w:szCs w:val="22"/>
        </w:rPr>
        <w:t>and for</w:t>
      </w:r>
      <w:r w:rsidRPr="00F867D0">
        <w:rPr>
          <w:rFonts w:ascii="Times" w:hAnsi="Times" w:cs="Times"/>
          <w:bCs/>
          <w:color w:val="auto"/>
          <w:szCs w:val="22"/>
          <w:lang w:eastAsia="en-US"/>
        </w:rPr>
        <w:t xml:space="preserve"> </w:t>
      </w:r>
      <w:r w:rsidRPr="00F867D0">
        <w:rPr>
          <w:bCs/>
          <w:color w:val="auto"/>
          <w:szCs w:val="22"/>
          <w:lang w:eastAsia="en-US"/>
        </w:rPr>
        <w:t>selection of low</w:t>
      </w:r>
      <w:r w:rsidR="00A90547">
        <w:rPr>
          <w:bCs/>
          <w:color w:val="auto"/>
          <w:szCs w:val="22"/>
          <w:lang w:eastAsia="en-US"/>
        </w:rPr>
        <w:t>-</w:t>
      </w:r>
      <w:r w:rsidRPr="00F867D0">
        <w:rPr>
          <w:bCs/>
          <w:color w:val="auto"/>
          <w:szCs w:val="22"/>
          <w:lang w:eastAsia="en-US"/>
        </w:rPr>
        <w:t>GWP alternatives with significant energy efficient benefits</w:t>
      </w:r>
      <w:r w:rsidRPr="00F867D0">
        <w:rPr>
          <w:b/>
          <w:bCs/>
          <w:color w:val="D90B05"/>
          <w:szCs w:val="22"/>
          <w:lang w:eastAsia="en-US"/>
        </w:rPr>
        <w:t xml:space="preserve">. </w:t>
      </w:r>
      <w:r w:rsidRPr="00F867D0">
        <w:rPr>
          <w:color w:val="auto"/>
          <w:kern w:val="2"/>
          <w:szCs w:val="22"/>
        </w:rPr>
        <w:t xml:space="preserve">Training activities could include the development of train-the-trainer manuals, syllabi for the relevant courses, case studies, and training sessions on integrating </w:t>
      </w:r>
      <w:r w:rsidR="00A90547">
        <w:rPr>
          <w:color w:val="auto"/>
          <w:kern w:val="2"/>
          <w:szCs w:val="22"/>
        </w:rPr>
        <w:t>EE</w:t>
      </w:r>
      <w:r w:rsidRPr="00F867D0">
        <w:rPr>
          <w:color w:val="auto"/>
          <w:kern w:val="2"/>
          <w:szCs w:val="22"/>
        </w:rPr>
        <w:t xml:space="preserve"> best practices into manufacturing. These activities are complementary to training for safety.</w:t>
      </w:r>
    </w:p>
    <w:p w14:paraId="1335611B" w14:textId="77777777" w:rsidR="00A663AA" w:rsidRPr="00F867D0" w:rsidRDefault="00A663AA" w:rsidP="00A663AA">
      <w:pPr>
        <w:widowControl w:val="0"/>
        <w:spacing w:after="0"/>
        <w:rPr>
          <w:color w:val="auto"/>
          <w:szCs w:val="22"/>
        </w:rPr>
      </w:pPr>
    </w:p>
    <w:p w14:paraId="01DAFBFE" w14:textId="57727ADC" w:rsidR="00A663AA" w:rsidRPr="000F749F" w:rsidRDefault="00A663AA" w:rsidP="000F749F">
      <w:pPr>
        <w:pStyle w:val="Heading3"/>
        <w:rPr>
          <w:b w:val="0"/>
        </w:rPr>
      </w:pPr>
      <w:bookmarkStart w:id="85" w:name="_Toc515454382"/>
      <w:r w:rsidRPr="000F749F">
        <w:t>2.6.3</w:t>
      </w:r>
      <w:r w:rsidRPr="000F749F">
        <w:tab/>
        <w:t>Institutional strengthening</w:t>
      </w:r>
      <w:bookmarkEnd w:id="85"/>
    </w:p>
    <w:p w14:paraId="4901E5B6" w14:textId="6DA7261E" w:rsidR="00A663AA" w:rsidRDefault="00A663AA" w:rsidP="00C15055">
      <w:pPr>
        <w:spacing w:after="0"/>
        <w:rPr>
          <w:szCs w:val="22"/>
        </w:rPr>
      </w:pPr>
      <w:r w:rsidRPr="00F867D0">
        <w:rPr>
          <w:szCs w:val="22"/>
        </w:rPr>
        <w:t>It includes a range o</w:t>
      </w:r>
      <w:r w:rsidR="00BF4C57">
        <w:rPr>
          <w:szCs w:val="22"/>
        </w:rPr>
        <w:t>f bridging activities, such as:</w:t>
      </w:r>
    </w:p>
    <w:p w14:paraId="406E4B01" w14:textId="77777777" w:rsidR="00BF4C57" w:rsidRPr="00F867D0" w:rsidRDefault="00BF4C57" w:rsidP="00C15055">
      <w:pPr>
        <w:spacing w:after="0"/>
        <w:rPr>
          <w:szCs w:val="22"/>
        </w:rPr>
      </w:pPr>
    </w:p>
    <w:p w14:paraId="68D657ED" w14:textId="2C26F367" w:rsidR="00A663AA" w:rsidRPr="00F867D0" w:rsidRDefault="00A663AA" w:rsidP="00736989">
      <w:pPr>
        <w:widowControl w:val="0"/>
        <w:numPr>
          <w:ilvl w:val="0"/>
          <w:numId w:val="72"/>
        </w:numPr>
        <w:tabs>
          <w:tab w:val="left" w:pos="220"/>
          <w:tab w:val="left" w:pos="270"/>
        </w:tabs>
        <w:autoSpaceDE w:val="0"/>
        <w:autoSpaceDN w:val="0"/>
        <w:adjustRightInd w:val="0"/>
        <w:spacing w:after="0"/>
        <w:ind w:left="567"/>
        <w:contextualSpacing/>
        <w:rPr>
          <w:color w:val="auto"/>
          <w:kern w:val="2"/>
          <w:szCs w:val="22"/>
        </w:rPr>
      </w:pPr>
      <w:r w:rsidRPr="00F867D0">
        <w:rPr>
          <w:color w:val="auto"/>
          <w:kern w:val="2"/>
          <w:szCs w:val="22"/>
        </w:rPr>
        <w:t xml:space="preserve">Training and networking for ozone officers and policymakers on key </w:t>
      </w:r>
      <w:r w:rsidR="00A90547">
        <w:rPr>
          <w:color w:val="auto"/>
          <w:kern w:val="2"/>
          <w:szCs w:val="22"/>
        </w:rPr>
        <w:t>EE</w:t>
      </w:r>
      <w:r w:rsidRPr="00F867D0">
        <w:rPr>
          <w:color w:val="auto"/>
          <w:kern w:val="2"/>
          <w:szCs w:val="22"/>
        </w:rPr>
        <w:t xml:space="preserve"> concepts to enable enhanced cooperation at the national level between energy and ozone stakeholder groups, and enable governments to integrate </w:t>
      </w:r>
      <w:r w:rsidR="003C37C3">
        <w:rPr>
          <w:color w:val="auto"/>
          <w:kern w:val="2"/>
          <w:szCs w:val="22"/>
        </w:rPr>
        <w:t>EE</w:t>
      </w:r>
      <w:r w:rsidRPr="00F867D0">
        <w:rPr>
          <w:color w:val="auto"/>
          <w:kern w:val="2"/>
          <w:szCs w:val="22"/>
        </w:rPr>
        <w:t xml:space="preserve"> considerations more rapidly into the on-going Montreal Protocol process</w:t>
      </w:r>
      <w:r w:rsidR="005138E4" w:rsidRPr="00A663AA">
        <w:rPr>
          <w:color w:val="auto"/>
          <w:kern w:val="2"/>
          <w:szCs w:val="22"/>
          <w:lang w:val="en-AU"/>
        </w:rPr>
        <w:t xml:space="preserve"> </w:t>
      </w:r>
      <w:r w:rsidR="005138E4" w:rsidRPr="00A663AA">
        <w:rPr>
          <w:color w:val="auto"/>
          <w:kern w:val="2"/>
          <w:szCs w:val="22"/>
          <w:lang w:val="en-US" w:eastAsia="en-US"/>
        </w:rPr>
        <w:t>(</w:t>
      </w:r>
      <w:r w:rsidR="005138E4">
        <w:rPr>
          <w:color w:val="auto"/>
          <w:kern w:val="2"/>
          <w:szCs w:val="22"/>
          <w:lang w:val="en-US" w:eastAsia="en-US"/>
        </w:rPr>
        <w:t xml:space="preserve">e.g., it would be possible </w:t>
      </w:r>
      <w:r w:rsidR="005138E4">
        <w:rPr>
          <w:bCs/>
          <w:color w:val="auto"/>
          <w:kern w:val="2"/>
          <w:szCs w:val="22"/>
          <w:lang w:val="en-US" w:eastAsia="en-US"/>
        </w:rPr>
        <w:t xml:space="preserve">to include </w:t>
      </w:r>
      <w:r w:rsidR="003C37C3">
        <w:rPr>
          <w:bCs/>
          <w:color w:val="auto"/>
          <w:kern w:val="2"/>
          <w:szCs w:val="22"/>
          <w:lang w:val="en-US" w:eastAsia="en-US"/>
        </w:rPr>
        <w:t>EE</w:t>
      </w:r>
      <w:r w:rsidR="005138E4" w:rsidRPr="00A663AA">
        <w:rPr>
          <w:bCs/>
          <w:color w:val="auto"/>
          <w:kern w:val="2"/>
          <w:szCs w:val="22"/>
          <w:lang w:val="en-US" w:eastAsia="en-US"/>
        </w:rPr>
        <w:t xml:space="preserve"> components in regional network meeting agendas)</w:t>
      </w:r>
      <w:r w:rsidR="00A90547">
        <w:rPr>
          <w:bCs/>
          <w:color w:val="auto"/>
          <w:kern w:val="2"/>
          <w:szCs w:val="22"/>
          <w:lang w:val="en-US" w:eastAsia="en-US"/>
        </w:rPr>
        <w:t>;</w:t>
      </w:r>
      <w:r w:rsidRPr="00F867D0">
        <w:rPr>
          <w:color w:val="auto"/>
          <w:kern w:val="2"/>
          <w:szCs w:val="22"/>
        </w:rPr>
        <w:t xml:space="preserve"> </w:t>
      </w:r>
    </w:p>
    <w:p w14:paraId="2A2DEEF5" w14:textId="77777777" w:rsidR="00BF4C57" w:rsidRDefault="00BF4C57" w:rsidP="00BF4C57">
      <w:pPr>
        <w:widowControl w:val="0"/>
        <w:tabs>
          <w:tab w:val="left" w:pos="220"/>
          <w:tab w:val="left" w:pos="270"/>
        </w:tabs>
        <w:autoSpaceDE w:val="0"/>
        <w:autoSpaceDN w:val="0"/>
        <w:adjustRightInd w:val="0"/>
        <w:spacing w:after="0"/>
        <w:ind w:left="567"/>
        <w:contextualSpacing/>
        <w:rPr>
          <w:color w:val="auto"/>
          <w:kern w:val="2"/>
          <w:szCs w:val="22"/>
        </w:rPr>
      </w:pPr>
    </w:p>
    <w:p w14:paraId="01F803A8" w14:textId="4DA7672C" w:rsidR="00A663AA" w:rsidRPr="00F867D0" w:rsidRDefault="00A663AA" w:rsidP="00736989">
      <w:pPr>
        <w:widowControl w:val="0"/>
        <w:numPr>
          <w:ilvl w:val="0"/>
          <w:numId w:val="72"/>
        </w:numPr>
        <w:tabs>
          <w:tab w:val="left" w:pos="220"/>
          <w:tab w:val="left" w:pos="270"/>
        </w:tabs>
        <w:autoSpaceDE w:val="0"/>
        <w:autoSpaceDN w:val="0"/>
        <w:adjustRightInd w:val="0"/>
        <w:spacing w:after="0"/>
        <w:ind w:left="567"/>
        <w:contextualSpacing/>
        <w:rPr>
          <w:color w:val="auto"/>
          <w:kern w:val="2"/>
          <w:szCs w:val="22"/>
        </w:rPr>
      </w:pPr>
      <w:r w:rsidRPr="00F867D0">
        <w:rPr>
          <w:color w:val="auto"/>
          <w:kern w:val="2"/>
          <w:szCs w:val="22"/>
        </w:rPr>
        <w:t xml:space="preserve"> Awareness raising, for example through public communications campaigns directly to manufacturers and consumers or through retailers</w:t>
      </w:r>
      <w:r w:rsidR="00A90547">
        <w:rPr>
          <w:color w:val="auto"/>
          <w:kern w:val="2"/>
          <w:szCs w:val="22"/>
        </w:rPr>
        <w:t>; and</w:t>
      </w:r>
    </w:p>
    <w:p w14:paraId="7622E020" w14:textId="77777777" w:rsidR="00BF4C57" w:rsidRPr="00BF4C57" w:rsidRDefault="00BF4C57" w:rsidP="00BF4C57">
      <w:pPr>
        <w:widowControl w:val="0"/>
        <w:tabs>
          <w:tab w:val="left" w:pos="220"/>
          <w:tab w:val="left" w:pos="270"/>
        </w:tabs>
        <w:autoSpaceDE w:val="0"/>
        <w:autoSpaceDN w:val="0"/>
        <w:adjustRightInd w:val="0"/>
        <w:spacing w:after="0"/>
        <w:ind w:left="567"/>
        <w:contextualSpacing/>
        <w:rPr>
          <w:szCs w:val="22"/>
        </w:rPr>
      </w:pPr>
    </w:p>
    <w:p w14:paraId="22B0EE5E" w14:textId="50C0239B" w:rsidR="00A663AA" w:rsidRPr="00F867D0" w:rsidRDefault="005138E4" w:rsidP="00736989">
      <w:pPr>
        <w:widowControl w:val="0"/>
        <w:numPr>
          <w:ilvl w:val="0"/>
          <w:numId w:val="72"/>
        </w:numPr>
        <w:tabs>
          <w:tab w:val="left" w:pos="220"/>
          <w:tab w:val="left" w:pos="270"/>
        </w:tabs>
        <w:autoSpaceDE w:val="0"/>
        <w:autoSpaceDN w:val="0"/>
        <w:adjustRightInd w:val="0"/>
        <w:spacing w:after="0"/>
        <w:ind w:left="567"/>
        <w:contextualSpacing/>
        <w:rPr>
          <w:szCs w:val="22"/>
        </w:rPr>
      </w:pPr>
      <w:r>
        <w:rPr>
          <w:color w:val="auto"/>
          <w:kern w:val="2"/>
          <w:szCs w:val="22"/>
        </w:rPr>
        <w:t xml:space="preserve">Customs training for </w:t>
      </w:r>
      <w:r w:rsidR="00A663AA" w:rsidRPr="00F867D0">
        <w:rPr>
          <w:color w:val="auto"/>
          <w:kern w:val="2"/>
          <w:szCs w:val="22"/>
        </w:rPr>
        <w:t xml:space="preserve">Article 4B and </w:t>
      </w:r>
      <w:r w:rsidR="00A90547">
        <w:rPr>
          <w:color w:val="auto"/>
          <w:kern w:val="2"/>
          <w:szCs w:val="22"/>
        </w:rPr>
        <w:t>r</w:t>
      </w:r>
      <w:r w:rsidR="00A663AA" w:rsidRPr="00F867D0">
        <w:rPr>
          <w:color w:val="auto"/>
          <w:kern w:val="2"/>
          <w:szCs w:val="22"/>
        </w:rPr>
        <w:t>eporting</w:t>
      </w:r>
      <w:r w:rsidR="00A90547">
        <w:rPr>
          <w:color w:val="auto"/>
          <w:kern w:val="2"/>
          <w:szCs w:val="22"/>
        </w:rPr>
        <w:t xml:space="preserve"> (i.e., a</w:t>
      </w:r>
      <w:r w:rsidR="00A663AA" w:rsidRPr="00F867D0">
        <w:rPr>
          <w:color w:val="auto"/>
          <w:kern w:val="2"/>
          <w:szCs w:val="22"/>
        </w:rPr>
        <w:t xml:space="preserve"> customs manual </w:t>
      </w:r>
      <w:r>
        <w:rPr>
          <w:color w:val="auto"/>
          <w:kern w:val="2"/>
          <w:szCs w:val="22"/>
        </w:rPr>
        <w:t xml:space="preserve">can be </w:t>
      </w:r>
      <w:r w:rsidR="00A663AA" w:rsidRPr="00F867D0">
        <w:rPr>
          <w:color w:val="auto"/>
          <w:kern w:val="2"/>
          <w:szCs w:val="22"/>
        </w:rPr>
        <w:t>important for importing/exporting HFC</w:t>
      </w:r>
      <w:r>
        <w:rPr>
          <w:color w:val="auto"/>
          <w:kern w:val="2"/>
          <w:szCs w:val="22"/>
        </w:rPr>
        <w:t>-</w:t>
      </w:r>
      <w:r w:rsidR="00A663AA" w:rsidRPr="00F867D0">
        <w:rPr>
          <w:color w:val="auto"/>
          <w:kern w:val="2"/>
          <w:szCs w:val="22"/>
        </w:rPr>
        <w:t>free</w:t>
      </w:r>
      <w:r>
        <w:rPr>
          <w:color w:val="auto"/>
          <w:kern w:val="2"/>
          <w:szCs w:val="22"/>
        </w:rPr>
        <w:t>,</w:t>
      </w:r>
      <w:r w:rsidR="00A663AA" w:rsidRPr="00F867D0">
        <w:rPr>
          <w:color w:val="auto"/>
          <w:kern w:val="2"/>
          <w:szCs w:val="22"/>
        </w:rPr>
        <w:t xml:space="preserve"> energy efficient items</w:t>
      </w:r>
      <w:r w:rsidR="00A90547">
        <w:rPr>
          <w:color w:val="auto"/>
          <w:kern w:val="2"/>
          <w:szCs w:val="22"/>
        </w:rPr>
        <w:t>)</w:t>
      </w:r>
      <w:r w:rsidR="00A663AA" w:rsidRPr="00F867D0">
        <w:rPr>
          <w:color w:val="auto"/>
          <w:kern w:val="2"/>
          <w:szCs w:val="22"/>
        </w:rPr>
        <w:t xml:space="preserve">. </w:t>
      </w:r>
    </w:p>
    <w:p w14:paraId="78B557AD" w14:textId="77777777" w:rsidR="00A663AA" w:rsidRPr="00F867D0" w:rsidRDefault="00A663AA" w:rsidP="00A663AA">
      <w:pPr>
        <w:widowControl w:val="0"/>
        <w:spacing w:after="0"/>
        <w:rPr>
          <w:color w:val="auto"/>
          <w:szCs w:val="22"/>
        </w:rPr>
      </w:pPr>
    </w:p>
    <w:p w14:paraId="5FF17C49" w14:textId="129BC82F" w:rsidR="00A663AA" w:rsidRPr="000F749F" w:rsidRDefault="00A663AA" w:rsidP="000F749F">
      <w:pPr>
        <w:pStyle w:val="Heading3"/>
        <w:rPr>
          <w:b w:val="0"/>
        </w:rPr>
      </w:pPr>
      <w:bookmarkStart w:id="86" w:name="_Toc515454383"/>
      <w:r w:rsidRPr="000F749F">
        <w:t>2.6.4</w:t>
      </w:r>
      <w:r w:rsidRPr="000F749F">
        <w:tab/>
        <w:t>Demonstration projects</w:t>
      </w:r>
      <w:bookmarkEnd w:id="86"/>
    </w:p>
    <w:p w14:paraId="4E39E0D9" w14:textId="7F3FD4C9" w:rsidR="00A663AA" w:rsidRPr="00F867D0" w:rsidRDefault="00A663AA" w:rsidP="00C15055">
      <w:pPr>
        <w:widowControl w:val="0"/>
        <w:tabs>
          <w:tab w:val="left" w:pos="220"/>
          <w:tab w:val="left" w:pos="270"/>
        </w:tabs>
        <w:autoSpaceDE w:val="0"/>
        <w:autoSpaceDN w:val="0"/>
        <w:adjustRightInd w:val="0"/>
        <w:spacing w:after="0"/>
        <w:contextualSpacing/>
        <w:rPr>
          <w:color w:val="auto"/>
          <w:kern w:val="2"/>
          <w:szCs w:val="22"/>
        </w:rPr>
      </w:pPr>
      <w:r w:rsidRPr="00F867D0">
        <w:rPr>
          <w:color w:val="auto"/>
          <w:kern w:val="2"/>
          <w:szCs w:val="22"/>
        </w:rPr>
        <w:t>Projects can include development of national rebate and exchange programs, integrating environmentally sound management practices and new sources of finance; procurement or buyers</w:t>
      </w:r>
      <w:r w:rsidR="00385CFE" w:rsidRPr="00F867D0">
        <w:rPr>
          <w:color w:val="auto"/>
          <w:kern w:val="2"/>
          <w:szCs w:val="22"/>
        </w:rPr>
        <w:t>’</w:t>
      </w:r>
      <w:r w:rsidRPr="00F867D0">
        <w:rPr>
          <w:color w:val="auto"/>
          <w:kern w:val="2"/>
          <w:szCs w:val="22"/>
        </w:rPr>
        <w:t xml:space="preserve"> clubs for high-efficiency and low-GWP equipment; testing new technologies with low GWP alternative refrigerants and designs that enhance </w:t>
      </w:r>
      <w:r w:rsidR="00A90547">
        <w:rPr>
          <w:color w:val="auto"/>
          <w:kern w:val="2"/>
          <w:szCs w:val="22"/>
        </w:rPr>
        <w:t>EE</w:t>
      </w:r>
      <w:r w:rsidRPr="00F867D0">
        <w:rPr>
          <w:color w:val="auto"/>
          <w:kern w:val="2"/>
          <w:szCs w:val="22"/>
        </w:rPr>
        <w:t>.</w:t>
      </w:r>
      <w:r w:rsidRPr="00F867D0">
        <w:rPr>
          <w:rFonts w:ascii="Helvetica" w:hAnsi="Helvetica" w:cs="Helvetica"/>
          <w:b/>
          <w:bCs/>
          <w:color w:val="FC2712"/>
          <w:szCs w:val="22"/>
          <w:lang w:eastAsia="en-US"/>
        </w:rPr>
        <w:t xml:space="preserve"> </w:t>
      </w:r>
    </w:p>
    <w:p w14:paraId="1D73C6FE" w14:textId="77777777" w:rsidR="00A663AA" w:rsidRPr="00F867D0" w:rsidRDefault="00A663AA" w:rsidP="00A663AA">
      <w:pPr>
        <w:widowControl w:val="0"/>
        <w:spacing w:after="0"/>
        <w:rPr>
          <w:color w:val="auto"/>
          <w:szCs w:val="22"/>
        </w:rPr>
      </w:pPr>
    </w:p>
    <w:p w14:paraId="7DA5AFCC" w14:textId="2A7B8C16" w:rsidR="00A663AA" w:rsidRPr="000F749F" w:rsidRDefault="00A663AA" w:rsidP="000F749F">
      <w:pPr>
        <w:pStyle w:val="Heading3"/>
        <w:rPr>
          <w:b w:val="0"/>
        </w:rPr>
      </w:pPr>
      <w:bookmarkStart w:id="87" w:name="_Toc515454384"/>
      <w:r w:rsidRPr="000F749F">
        <w:t>2.6.5</w:t>
      </w:r>
      <w:r w:rsidRPr="000F749F">
        <w:tab/>
        <w:t>Development of national strategies and plans</w:t>
      </w:r>
      <w:bookmarkEnd w:id="87"/>
    </w:p>
    <w:p w14:paraId="585627C8" w14:textId="530B596F" w:rsidR="00A663AA" w:rsidRPr="00F867D0" w:rsidRDefault="005138E4" w:rsidP="00C15055">
      <w:pPr>
        <w:widowControl w:val="0"/>
        <w:tabs>
          <w:tab w:val="left" w:pos="220"/>
          <w:tab w:val="left" w:pos="270"/>
        </w:tabs>
        <w:autoSpaceDE w:val="0"/>
        <w:autoSpaceDN w:val="0"/>
        <w:adjustRightInd w:val="0"/>
        <w:spacing w:after="0"/>
        <w:contextualSpacing/>
        <w:rPr>
          <w:color w:val="auto"/>
          <w:kern w:val="2"/>
          <w:szCs w:val="22"/>
        </w:rPr>
      </w:pPr>
      <w:r>
        <w:rPr>
          <w:rFonts w:eastAsia="Times New Roman"/>
          <w:color w:val="auto"/>
          <w:kern w:val="2"/>
          <w:szCs w:val="22"/>
        </w:rPr>
        <w:t xml:space="preserve">Direct </w:t>
      </w:r>
      <w:r w:rsidR="00A663AA" w:rsidRPr="00F867D0">
        <w:rPr>
          <w:rFonts w:eastAsia="Times New Roman"/>
          <w:color w:val="auto"/>
          <w:kern w:val="2"/>
          <w:szCs w:val="22"/>
        </w:rPr>
        <w:t xml:space="preserve">dialogues and </w:t>
      </w:r>
      <w:r>
        <w:rPr>
          <w:rFonts w:eastAsia="Times New Roman"/>
          <w:color w:val="auto"/>
          <w:kern w:val="2"/>
          <w:szCs w:val="22"/>
        </w:rPr>
        <w:t xml:space="preserve">meetings </w:t>
      </w:r>
      <w:r>
        <w:rPr>
          <w:color w:val="auto"/>
          <w:kern w:val="2"/>
          <w:szCs w:val="22"/>
        </w:rPr>
        <w:t>of</w:t>
      </w:r>
      <w:r w:rsidR="00A663AA" w:rsidRPr="00F867D0">
        <w:rPr>
          <w:color w:val="auto"/>
          <w:kern w:val="2"/>
          <w:szCs w:val="22"/>
        </w:rPr>
        <w:t xml:space="preserve"> relevant government, industry and other stakeholders</w:t>
      </w:r>
      <w:r>
        <w:rPr>
          <w:color w:val="auto"/>
          <w:kern w:val="2"/>
          <w:szCs w:val="22"/>
        </w:rPr>
        <w:t xml:space="preserve"> could be made</w:t>
      </w:r>
      <w:r w:rsidR="00A663AA" w:rsidRPr="00F867D0">
        <w:rPr>
          <w:color w:val="auto"/>
          <w:kern w:val="2"/>
          <w:szCs w:val="22"/>
        </w:rPr>
        <w:t xml:space="preserve"> to assess opportunities to integrate </w:t>
      </w:r>
      <w:r w:rsidR="00A90547">
        <w:rPr>
          <w:color w:val="auto"/>
          <w:kern w:val="2"/>
          <w:szCs w:val="22"/>
        </w:rPr>
        <w:t>EE</w:t>
      </w:r>
      <w:r w:rsidR="00A663AA" w:rsidRPr="00F867D0">
        <w:rPr>
          <w:color w:val="auto"/>
          <w:kern w:val="2"/>
          <w:szCs w:val="22"/>
        </w:rPr>
        <w:t xml:space="preserve"> into HCFC phase-out and HFC phase-down planning, identify mechanisms, inform prioritization of sectors and interventions, and develop strategies and roadmaps. This could include coordination on: </w:t>
      </w:r>
    </w:p>
    <w:p w14:paraId="01C1900B" w14:textId="77777777" w:rsidR="00BF4C57" w:rsidRDefault="00BF4C57" w:rsidP="00BF4C57">
      <w:pPr>
        <w:widowControl w:val="0"/>
        <w:tabs>
          <w:tab w:val="left" w:pos="220"/>
          <w:tab w:val="left" w:pos="270"/>
        </w:tabs>
        <w:autoSpaceDE w:val="0"/>
        <w:autoSpaceDN w:val="0"/>
        <w:adjustRightInd w:val="0"/>
        <w:spacing w:after="0"/>
        <w:ind w:left="709"/>
        <w:contextualSpacing/>
        <w:rPr>
          <w:color w:val="auto"/>
          <w:kern w:val="2"/>
          <w:szCs w:val="22"/>
        </w:rPr>
      </w:pPr>
    </w:p>
    <w:p w14:paraId="7C411B77" w14:textId="3784EE95" w:rsidR="00A663AA" w:rsidRPr="00F867D0" w:rsidRDefault="00A663AA" w:rsidP="00736989">
      <w:pPr>
        <w:widowControl w:val="0"/>
        <w:numPr>
          <w:ilvl w:val="0"/>
          <w:numId w:val="73"/>
        </w:numPr>
        <w:tabs>
          <w:tab w:val="left" w:pos="220"/>
          <w:tab w:val="left" w:pos="270"/>
        </w:tabs>
        <w:autoSpaceDE w:val="0"/>
        <w:autoSpaceDN w:val="0"/>
        <w:adjustRightInd w:val="0"/>
        <w:spacing w:after="0"/>
        <w:ind w:left="709"/>
        <w:contextualSpacing/>
        <w:rPr>
          <w:color w:val="auto"/>
          <w:kern w:val="2"/>
          <w:szCs w:val="22"/>
        </w:rPr>
      </w:pPr>
      <w:r w:rsidRPr="00F867D0">
        <w:rPr>
          <w:color w:val="auto"/>
          <w:kern w:val="2"/>
          <w:szCs w:val="22"/>
        </w:rPr>
        <w:t>Funding proposals informed by the national strategy within the Montreal Protocol context and outside sources</w:t>
      </w:r>
      <w:r w:rsidR="00AB0702" w:rsidRPr="00F867D0">
        <w:rPr>
          <w:color w:val="auto"/>
          <w:kern w:val="2"/>
          <w:szCs w:val="22"/>
        </w:rPr>
        <w:t>;</w:t>
      </w:r>
    </w:p>
    <w:p w14:paraId="5BA712FB" w14:textId="77777777" w:rsidR="00BF4C57" w:rsidRDefault="00BF4C57" w:rsidP="00BF4C57">
      <w:pPr>
        <w:widowControl w:val="0"/>
        <w:tabs>
          <w:tab w:val="left" w:pos="220"/>
          <w:tab w:val="left" w:pos="270"/>
        </w:tabs>
        <w:autoSpaceDE w:val="0"/>
        <w:autoSpaceDN w:val="0"/>
        <w:adjustRightInd w:val="0"/>
        <w:spacing w:after="0"/>
        <w:ind w:left="709"/>
        <w:contextualSpacing/>
        <w:rPr>
          <w:color w:val="auto"/>
          <w:kern w:val="2"/>
          <w:szCs w:val="22"/>
        </w:rPr>
      </w:pPr>
    </w:p>
    <w:p w14:paraId="68C78F13" w14:textId="5D031E1C" w:rsidR="00A663AA" w:rsidRPr="00F867D0" w:rsidRDefault="00A663AA" w:rsidP="00736989">
      <w:pPr>
        <w:widowControl w:val="0"/>
        <w:numPr>
          <w:ilvl w:val="0"/>
          <w:numId w:val="73"/>
        </w:numPr>
        <w:tabs>
          <w:tab w:val="left" w:pos="220"/>
          <w:tab w:val="left" w:pos="270"/>
        </w:tabs>
        <w:autoSpaceDE w:val="0"/>
        <w:autoSpaceDN w:val="0"/>
        <w:adjustRightInd w:val="0"/>
        <w:spacing w:after="0"/>
        <w:ind w:left="709"/>
        <w:contextualSpacing/>
        <w:rPr>
          <w:color w:val="auto"/>
          <w:kern w:val="2"/>
          <w:szCs w:val="22"/>
        </w:rPr>
      </w:pPr>
      <w:r w:rsidRPr="00F867D0">
        <w:rPr>
          <w:color w:val="auto"/>
          <w:kern w:val="2"/>
          <w:szCs w:val="22"/>
        </w:rPr>
        <w:t xml:space="preserve">Program design and implementation, including </w:t>
      </w:r>
      <w:r w:rsidR="005138E4">
        <w:rPr>
          <w:color w:val="auto"/>
          <w:kern w:val="2"/>
          <w:szCs w:val="22"/>
        </w:rPr>
        <w:t>for example,</w:t>
      </w:r>
      <w:r w:rsidR="00407D27">
        <w:rPr>
          <w:color w:val="auto"/>
          <w:kern w:val="2"/>
          <w:szCs w:val="22"/>
        </w:rPr>
        <w:t xml:space="preserve"> </w:t>
      </w:r>
      <w:r w:rsidRPr="00F867D0">
        <w:rPr>
          <w:color w:val="auto"/>
          <w:kern w:val="2"/>
          <w:szCs w:val="22"/>
        </w:rPr>
        <w:t>design of labels integrating efficiency and refrigerant information, and coordinated strategies for promoting efficient, clean cooling</w:t>
      </w:r>
      <w:r w:rsidR="00AB0702" w:rsidRPr="00F867D0">
        <w:rPr>
          <w:color w:val="auto"/>
          <w:kern w:val="2"/>
          <w:szCs w:val="22"/>
        </w:rPr>
        <w:t>;</w:t>
      </w:r>
      <w:r w:rsidRPr="00F867D0">
        <w:rPr>
          <w:color w:val="auto"/>
          <w:kern w:val="2"/>
          <w:szCs w:val="22"/>
        </w:rPr>
        <w:t xml:space="preserve"> </w:t>
      </w:r>
    </w:p>
    <w:p w14:paraId="6B1D5D8A" w14:textId="77777777" w:rsidR="00BF4C57" w:rsidRDefault="00BF4C57" w:rsidP="00BF4C57">
      <w:pPr>
        <w:widowControl w:val="0"/>
        <w:tabs>
          <w:tab w:val="left" w:pos="220"/>
          <w:tab w:val="left" w:pos="270"/>
        </w:tabs>
        <w:autoSpaceDE w:val="0"/>
        <w:autoSpaceDN w:val="0"/>
        <w:adjustRightInd w:val="0"/>
        <w:spacing w:after="0"/>
        <w:ind w:left="709"/>
        <w:contextualSpacing/>
        <w:rPr>
          <w:color w:val="auto"/>
          <w:kern w:val="2"/>
          <w:szCs w:val="22"/>
        </w:rPr>
      </w:pPr>
    </w:p>
    <w:p w14:paraId="4AC8CD01" w14:textId="20B216B2" w:rsidR="00A663AA" w:rsidRPr="00F867D0" w:rsidRDefault="00A663AA" w:rsidP="00736989">
      <w:pPr>
        <w:widowControl w:val="0"/>
        <w:numPr>
          <w:ilvl w:val="0"/>
          <w:numId w:val="73"/>
        </w:numPr>
        <w:tabs>
          <w:tab w:val="left" w:pos="220"/>
          <w:tab w:val="left" w:pos="270"/>
        </w:tabs>
        <w:autoSpaceDE w:val="0"/>
        <w:autoSpaceDN w:val="0"/>
        <w:adjustRightInd w:val="0"/>
        <w:spacing w:after="0"/>
        <w:ind w:left="709"/>
        <w:contextualSpacing/>
        <w:rPr>
          <w:color w:val="auto"/>
          <w:kern w:val="2"/>
          <w:szCs w:val="22"/>
        </w:rPr>
      </w:pPr>
      <w:r w:rsidRPr="00F867D0">
        <w:rPr>
          <w:color w:val="auto"/>
          <w:kern w:val="2"/>
          <w:szCs w:val="22"/>
        </w:rPr>
        <w:t>Defining national testing and certification procedures, training inspectors, monitoring proper label</w:t>
      </w:r>
      <w:r w:rsidR="00AB0702" w:rsidRPr="00F867D0">
        <w:rPr>
          <w:color w:val="auto"/>
          <w:kern w:val="2"/>
          <w:szCs w:val="22"/>
        </w:rPr>
        <w:t>l</w:t>
      </w:r>
      <w:r w:rsidRPr="00F867D0">
        <w:rPr>
          <w:color w:val="auto"/>
          <w:kern w:val="2"/>
          <w:szCs w:val="22"/>
        </w:rPr>
        <w:t>ing, and coordination on enforcement</w:t>
      </w:r>
      <w:r w:rsidR="00AB0702" w:rsidRPr="00F867D0">
        <w:rPr>
          <w:color w:val="auto"/>
          <w:kern w:val="2"/>
          <w:szCs w:val="22"/>
        </w:rPr>
        <w:t>;</w:t>
      </w:r>
      <w:r w:rsidRPr="00F867D0">
        <w:rPr>
          <w:color w:val="auto"/>
          <w:kern w:val="2"/>
          <w:szCs w:val="22"/>
        </w:rPr>
        <w:t xml:space="preserve"> </w:t>
      </w:r>
    </w:p>
    <w:p w14:paraId="6EACEAE4" w14:textId="77777777" w:rsidR="00BF4C57" w:rsidRDefault="00BF4C57" w:rsidP="00BF4C57">
      <w:pPr>
        <w:widowControl w:val="0"/>
        <w:tabs>
          <w:tab w:val="left" w:pos="220"/>
          <w:tab w:val="left" w:pos="270"/>
        </w:tabs>
        <w:autoSpaceDE w:val="0"/>
        <w:autoSpaceDN w:val="0"/>
        <w:adjustRightInd w:val="0"/>
        <w:spacing w:after="0"/>
        <w:ind w:left="709"/>
        <w:contextualSpacing/>
        <w:rPr>
          <w:color w:val="auto"/>
          <w:kern w:val="2"/>
          <w:szCs w:val="22"/>
        </w:rPr>
      </w:pPr>
    </w:p>
    <w:p w14:paraId="146D77EE" w14:textId="4C3A2BBE" w:rsidR="00A663AA" w:rsidRPr="00F867D0" w:rsidRDefault="00A663AA" w:rsidP="00736989">
      <w:pPr>
        <w:widowControl w:val="0"/>
        <w:numPr>
          <w:ilvl w:val="0"/>
          <w:numId w:val="73"/>
        </w:numPr>
        <w:tabs>
          <w:tab w:val="left" w:pos="220"/>
          <w:tab w:val="left" w:pos="270"/>
        </w:tabs>
        <w:autoSpaceDE w:val="0"/>
        <w:autoSpaceDN w:val="0"/>
        <w:adjustRightInd w:val="0"/>
        <w:spacing w:after="0"/>
        <w:ind w:left="709"/>
        <w:contextualSpacing/>
        <w:rPr>
          <w:color w:val="auto"/>
          <w:kern w:val="2"/>
          <w:szCs w:val="22"/>
        </w:rPr>
      </w:pPr>
      <w:r w:rsidRPr="00F867D0">
        <w:rPr>
          <w:color w:val="auto"/>
          <w:kern w:val="2"/>
          <w:szCs w:val="22"/>
        </w:rPr>
        <w:t>Program design</w:t>
      </w:r>
      <w:r w:rsidR="005138E4">
        <w:rPr>
          <w:color w:val="auto"/>
          <w:kern w:val="2"/>
          <w:szCs w:val="22"/>
        </w:rPr>
        <w:t xml:space="preserve"> considerations</w:t>
      </w:r>
      <w:r w:rsidRPr="00F867D0">
        <w:rPr>
          <w:color w:val="auto"/>
          <w:kern w:val="2"/>
          <w:szCs w:val="22"/>
        </w:rPr>
        <w:t>, including financial mechanisms for implementing replacement programs, including bulk procurement/ buyers</w:t>
      </w:r>
      <w:r w:rsidR="00AB0702" w:rsidRPr="00F867D0">
        <w:rPr>
          <w:color w:val="auto"/>
          <w:kern w:val="2"/>
          <w:szCs w:val="22"/>
        </w:rPr>
        <w:t>’</w:t>
      </w:r>
      <w:r w:rsidRPr="00F867D0">
        <w:rPr>
          <w:color w:val="auto"/>
          <w:kern w:val="2"/>
          <w:szCs w:val="22"/>
        </w:rPr>
        <w:t xml:space="preserve"> clubs</w:t>
      </w:r>
      <w:r w:rsidR="00AB0702" w:rsidRPr="00F867D0">
        <w:rPr>
          <w:color w:val="auto"/>
          <w:kern w:val="2"/>
          <w:szCs w:val="22"/>
        </w:rPr>
        <w:t>;</w:t>
      </w:r>
    </w:p>
    <w:p w14:paraId="18DBEF64" w14:textId="77777777" w:rsidR="00BF4C57" w:rsidRDefault="00BF4C57" w:rsidP="00BF4C57">
      <w:pPr>
        <w:widowControl w:val="0"/>
        <w:tabs>
          <w:tab w:val="left" w:pos="220"/>
          <w:tab w:val="left" w:pos="270"/>
        </w:tabs>
        <w:autoSpaceDE w:val="0"/>
        <w:autoSpaceDN w:val="0"/>
        <w:adjustRightInd w:val="0"/>
        <w:spacing w:after="0"/>
        <w:ind w:left="709"/>
        <w:contextualSpacing/>
        <w:rPr>
          <w:color w:val="auto"/>
          <w:kern w:val="2"/>
          <w:szCs w:val="22"/>
        </w:rPr>
      </w:pPr>
    </w:p>
    <w:p w14:paraId="469EB3C3" w14:textId="64728818" w:rsidR="00A663AA" w:rsidRPr="00F867D0" w:rsidRDefault="00A663AA" w:rsidP="00736989">
      <w:pPr>
        <w:widowControl w:val="0"/>
        <w:numPr>
          <w:ilvl w:val="0"/>
          <w:numId w:val="73"/>
        </w:numPr>
        <w:tabs>
          <w:tab w:val="left" w:pos="220"/>
          <w:tab w:val="left" w:pos="270"/>
        </w:tabs>
        <w:autoSpaceDE w:val="0"/>
        <w:autoSpaceDN w:val="0"/>
        <w:adjustRightInd w:val="0"/>
        <w:spacing w:after="0"/>
        <w:ind w:left="709"/>
        <w:contextualSpacing/>
        <w:rPr>
          <w:color w:val="auto"/>
          <w:kern w:val="2"/>
          <w:szCs w:val="22"/>
        </w:rPr>
      </w:pPr>
      <w:r w:rsidRPr="00F867D0">
        <w:rPr>
          <w:color w:val="auto"/>
          <w:kern w:val="2"/>
          <w:szCs w:val="22"/>
        </w:rPr>
        <w:t xml:space="preserve">Consideration of implications </w:t>
      </w:r>
      <w:r w:rsidR="00AB0702" w:rsidRPr="00F867D0">
        <w:rPr>
          <w:color w:val="auto"/>
          <w:kern w:val="2"/>
          <w:szCs w:val="22"/>
        </w:rPr>
        <w:t xml:space="preserve">to </w:t>
      </w:r>
      <w:r w:rsidRPr="00F867D0">
        <w:rPr>
          <w:color w:val="auto"/>
          <w:kern w:val="2"/>
          <w:szCs w:val="22"/>
        </w:rPr>
        <w:t>electricity grid, peak load</w:t>
      </w:r>
      <w:r w:rsidR="00AB0702" w:rsidRPr="00F867D0">
        <w:rPr>
          <w:color w:val="auto"/>
          <w:kern w:val="2"/>
          <w:szCs w:val="22"/>
        </w:rPr>
        <w:t>;</w:t>
      </w:r>
    </w:p>
    <w:p w14:paraId="5784B475" w14:textId="77777777" w:rsidR="00BF4C57" w:rsidRDefault="00BF4C57" w:rsidP="00BF4C57">
      <w:pPr>
        <w:widowControl w:val="0"/>
        <w:tabs>
          <w:tab w:val="left" w:pos="220"/>
          <w:tab w:val="left" w:pos="270"/>
        </w:tabs>
        <w:autoSpaceDE w:val="0"/>
        <w:autoSpaceDN w:val="0"/>
        <w:adjustRightInd w:val="0"/>
        <w:spacing w:after="0"/>
        <w:ind w:left="709"/>
        <w:contextualSpacing/>
        <w:rPr>
          <w:color w:val="auto"/>
          <w:kern w:val="2"/>
          <w:szCs w:val="22"/>
        </w:rPr>
      </w:pPr>
    </w:p>
    <w:p w14:paraId="5163128F" w14:textId="4FC87030" w:rsidR="00A663AA" w:rsidRPr="00F867D0" w:rsidRDefault="00A663AA" w:rsidP="00736989">
      <w:pPr>
        <w:widowControl w:val="0"/>
        <w:numPr>
          <w:ilvl w:val="0"/>
          <w:numId w:val="73"/>
        </w:numPr>
        <w:tabs>
          <w:tab w:val="left" w:pos="220"/>
          <w:tab w:val="left" w:pos="270"/>
        </w:tabs>
        <w:autoSpaceDE w:val="0"/>
        <w:autoSpaceDN w:val="0"/>
        <w:adjustRightInd w:val="0"/>
        <w:spacing w:after="0"/>
        <w:ind w:left="709"/>
        <w:contextualSpacing/>
        <w:rPr>
          <w:color w:val="auto"/>
          <w:kern w:val="2"/>
          <w:szCs w:val="22"/>
        </w:rPr>
      </w:pPr>
      <w:r w:rsidRPr="00F867D0">
        <w:rPr>
          <w:color w:val="auto"/>
          <w:kern w:val="2"/>
          <w:szCs w:val="22"/>
        </w:rPr>
        <w:t>Input into Nationally Determined Contributions</w:t>
      </w:r>
      <w:r w:rsidR="00AB0702" w:rsidRPr="00F867D0">
        <w:rPr>
          <w:color w:val="auto"/>
          <w:kern w:val="2"/>
          <w:szCs w:val="22"/>
        </w:rPr>
        <w:t>;</w:t>
      </w:r>
    </w:p>
    <w:p w14:paraId="520DEDCE" w14:textId="77777777" w:rsidR="00BF4C57" w:rsidRDefault="00BF4C57" w:rsidP="00BF4C57">
      <w:pPr>
        <w:widowControl w:val="0"/>
        <w:tabs>
          <w:tab w:val="left" w:pos="220"/>
          <w:tab w:val="left" w:pos="270"/>
        </w:tabs>
        <w:autoSpaceDE w:val="0"/>
        <w:autoSpaceDN w:val="0"/>
        <w:adjustRightInd w:val="0"/>
        <w:spacing w:after="0"/>
        <w:ind w:left="709"/>
        <w:contextualSpacing/>
        <w:rPr>
          <w:color w:val="auto"/>
          <w:kern w:val="2"/>
          <w:szCs w:val="22"/>
        </w:rPr>
      </w:pPr>
    </w:p>
    <w:p w14:paraId="60CBE62B" w14:textId="5627DB1E" w:rsidR="00A663AA" w:rsidRPr="00F867D0" w:rsidRDefault="00A663AA" w:rsidP="00736989">
      <w:pPr>
        <w:widowControl w:val="0"/>
        <w:numPr>
          <w:ilvl w:val="0"/>
          <w:numId w:val="73"/>
        </w:numPr>
        <w:tabs>
          <w:tab w:val="left" w:pos="220"/>
          <w:tab w:val="left" w:pos="270"/>
        </w:tabs>
        <w:autoSpaceDE w:val="0"/>
        <w:autoSpaceDN w:val="0"/>
        <w:adjustRightInd w:val="0"/>
        <w:spacing w:after="0"/>
        <w:ind w:left="709"/>
        <w:contextualSpacing/>
        <w:rPr>
          <w:color w:val="auto"/>
          <w:kern w:val="2"/>
          <w:szCs w:val="22"/>
        </w:rPr>
      </w:pPr>
      <w:r w:rsidRPr="00F867D0">
        <w:rPr>
          <w:color w:val="auto"/>
          <w:kern w:val="2"/>
          <w:szCs w:val="22"/>
        </w:rPr>
        <w:t xml:space="preserve">Input for reporting into </w:t>
      </w:r>
      <w:r w:rsidR="00A90547">
        <w:rPr>
          <w:color w:val="auto"/>
          <w:kern w:val="2"/>
          <w:szCs w:val="22"/>
        </w:rPr>
        <w:t>Sustainable Development Goals (</w:t>
      </w:r>
      <w:r w:rsidRPr="00F867D0">
        <w:rPr>
          <w:color w:val="auto"/>
          <w:kern w:val="2"/>
          <w:szCs w:val="22"/>
        </w:rPr>
        <w:t>SDGs</w:t>
      </w:r>
      <w:r w:rsidR="00A90547">
        <w:rPr>
          <w:color w:val="auto"/>
          <w:kern w:val="2"/>
          <w:szCs w:val="22"/>
        </w:rPr>
        <w:t>)</w:t>
      </w:r>
      <w:r w:rsidRPr="00F867D0">
        <w:rPr>
          <w:color w:val="auto"/>
          <w:kern w:val="2"/>
          <w:szCs w:val="22"/>
        </w:rPr>
        <w:t xml:space="preserve"> progress</w:t>
      </w:r>
      <w:r w:rsidR="00AB0702" w:rsidRPr="00F867D0">
        <w:rPr>
          <w:color w:val="auto"/>
          <w:kern w:val="2"/>
          <w:szCs w:val="22"/>
        </w:rPr>
        <w:t>;</w:t>
      </w:r>
    </w:p>
    <w:p w14:paraId="12D4DB65" w14:textId="77777777" w:rsidR="00BF4C57" w:rsidRDefault="00BF4C57" w:rsidP="00BF4C57">
      <w:pPr>
        <w:widowControl w:val="0"/>
        <w:tabs>
          <w:tab w:val="left" w:pos="220"/>
          <w:tab w:val="left" w:pos="270"/>
        </w:tabs>
        <w:autoSpaceDE w:val="0"/>
        <w:autoSpaceDN w:val="0"/>
        <w:adjustRightInd w:val="0"/>
        <w:spacing w:after="0"/>
        <w:ind w:left="709"/>
        <w:contextualSpacing/>
        <w:rPr>
          <w:color w:val="auto"/>
          <w:kern w:val="2"/>
          <w:szCs w:val="22"/>
        </w:rPr>
      </w:pPr>
    </w:p>
    <w:p w14:paraId="0949E0E2" w14:textId="78CE064E" w:rsidR="00A663AA" w:rsidRPr="00F867D0" w:rsidRDefault="00A663AA" w:rsidP="00736989">
      <w:pPr>
        <w:widowControl w:val="0"/>
        <w:numPr>
          <w:ilvl w:val="0"/>
          <w:numId w:val="73"/>
        </w:numPr>
        <w:tabs>
          <w:tab w:val="left" w:pos="220"/>
          <w:tab w:val="left" w:pos="270"/>
        </w:tabs>
        <w:autoSpaceDE w:val="0"/>
        <w:autoSpaceDN w:val="0"/>
        <w:adjustRightInd w:val="0"/>
        <w:spacing w:after="0"/>
        <w:ind w:left="709"/>
        <w:contextualSpacing/>
        <w:rPr>
          <w:color w:val="auto"/>
          <w:kern w:val="2"/>
          <w:szCs w:val="22"/>
        </w:rPr>
      </w:pPr>
      <w:r w:rsidRPr="00F867D0">
        <w:rPr>
          <w:color w:val="auto"/>
          <w:kern w:val="2"/>
          <w:szCs w:val="22"/>
        </w:rPr>
        <w:t xml:space="preserve">Data collection and analysis complementing existing data collection efforts to include information needed to incorporate </w:t>
      </w:r>
      <w:r w:rsidR="00D6603E">
        <w:rPr>
          <w:color w:val="auto"/>
          <w:kern w:val="2"/>
          <w:szCs w:val="22"/>
        </w:rPr>
        <w:t>EE</w:t>
      </w:r>
      <w:r w:rsidRPr="00F867D0">
        <w:rPr>
          <w:color w:val="auto"/>
          <w:kern w:val="2"/>
          <w:szCs w:val="22"/>
        </w:rPr>
        <w:t xml:space="preserve"> into planning, inform policies and programs, and support program evaluation and monitoring. </w:t>
      </w:r>
    </w:p>
    <w:p w14:paraId="7244E8BC" w14:textId="77777777" w:rsidR="00A663AA" w:rsidRPr="00F867D0" w:rsidRDefault="00A663AA" w:rsidP="00A663AA">
      <w:pPr>
        <w:widowControl w:val="0"/>
        <w:spacing w:after="0"/>
        <w:rPr>
          <w:color w:val="auto"/>
          <w:kern w:val="2"/>
          <w:szCs w:val="22"/>
        </w:rPr>
      </w:pPr>
      <w:r w:rsidRPr="00F867D0">
        <w:rPr>
          <w:color w:val="auto"/>
          <w:kern w:val="2"/>
          <w:szCs w:val="22"/>
        </w:rPr>
        <w:t xml:space="preserve"> </w:t>
      </w:r>
    </w:p>
    <w:p w14:paraId="58A15BB2" w14:textId="10A2AC6D" w:rsidR="00A663AA" w:rsidRPr="000F749F" w:rsidRDefault="00A663AA" w:rsidP="000F749F">
      <w:pPr>
        <w:pStyle w:val="Heading3"/>
        <w:rPr>
          <w:b w:val="0"/>
        </w:rPr>
      </w:pPr>
      <w:bookmarkStart w:id="88" w:name="_Toc515454385"/>
      <w:r w:rsidRPr="000F749F">
        <w:t>2.6.6</w:t>
      </w:r>
      <w:r w:rsidRPr="000F749F">
        <w:tab/>
        <w:t>Cost estimates</w:t>
      </w:r>
      <w:bookmarkEnd w:id="88"/>
    </w:p>
    <w:p w14:paraId="4147AEFB" w14:textId="5E3ADC26" w:rsidR="00A663AA" w:rsidRPr="00F867D0" w:rsidRDefault="00A663AA" w:rsidP="00C15055">
      <w:pPr>
        <w:spacing w:after="0"/>
        <w:rPr>
          <w:szCs w:val="22"/>
        </w:rPr>
      </w:pPr>
      <w:r w:rsidRPr="00F867D0">
        <w:rPr>
          <w:szCs w:val="22"/>
        </w:rPr>
        <w:t xml:space="preserve">Some projects supported by the Kigali Cooling Efficiency Programme </w:t>
      </w:r>
      <w:r w:rsidR="00A90547">
        <w:rPr>
          <w:szCs w:val="22"/>
        </w:rPr>
        <w:t>(</w:t>
      </w:r>
      <w:r w:rsidRPr="00F867D0">
        <w:rPr>
          <w:szCs w:val="22"/>
        </w:rPr>
        <w:t>K</w:t>
      </w:r>
      <w:r w:rsidR="00A90547">
        <w:rPr>
          <w:szCs w:val="22"/>
        </w:rPr>
        <w:t>-</w:t>
      </w:r>
      <w:r w:rsidRPr="00F867D0">
        <w:rPr>
          <w:szCs w:val="22"/>
        </w:rPr>
        <w:t>CEP</w:t>
      </w:r>
      <w:r w:rsidR="00A90547">
        <w:rPr>
          <w:szCs w:val="22"/>
        </w:rPr>
        <w:t>)</w:t>
      </w:r>
      <w:r w:rsidRPr="00F867D0">
        <w:rPr>
          <w:szCs w:val="22"/>
        </w:rPr>
        <w:t xml:space="preserve"> and the Global Environment Facility</w:t>
      </w:r>
      <w:r w:rsidR="00A76A30">
        <w:rPr>
          <w:szCs w:val="22"/>
        </w:rPr>
        <w:t xml:space="preserve"> (GEF)</w:t>
      </w:r>
      <w:r w:rsidR="00A90547">
        <w:rPr>
          <w:rStyle w:val="FootnoteReference"/>
          <w:szCs w:val="22"/>
        </w:rPr>
        <w:footnoteReference w:id="13"/>
      </w:r>
      <w:r w:rsidRPr="00F867D0">
        <w:rPr>
          <w:szCs w:val="22"/>
        </w:rPr>
        <w:t xml:space="preserve">  were reviewed and </w:t>
      </w:r>
      <w:r w:rsidR="00385CFE" w:rsidRPr="00F867D0">
        <w:rPr>
          <w:szCs w:val="22"/>
        </w:rPr>
        <w:t xml:space="preserve">components were </w:t>
      </w:r>
      <w:r w:rsidRPr="00F867D0">
        <w:rPr>
          <w:szCs w:val="22"/>
        </w:rPr>
        <w:t>mapped to the framework to provide cost estimates for each type of enabling activity linked to</w:t>
      </w:r>
      <w:r w:rsidR="00A90547">
        <w:rPr>
          <w:szCs w:val="22"/>
        </w:rPr>
        <w:t xml:space="preserve"> EE</w:t>
      </w:r>
      <w:r w:rsidRPr="00F867D0">
        <w:rPr>
          <w:szCs w:val="22"/>
        </w:rPr>
        <w:t>. As mentioned before, several components can be complementary</w:t>
      </w:r>
      <w:r w:rsidR="004D0FDB" w:rsidRPr="00F867D0">
        <w:rPr>
          <w:szCs w:val="22"/>
        </w:rPr>
        <w:t xml:space="preserve"> with marginal costs</w:t>
      </w:r>
      <w:r w:rsidRPr="00F867D0">
        <w:rPr>
          <w:szCs w:val="22"/>
        </w:rPr>
        <w:t xml:space="preserve">, for instance, current train-the-trainer sessions in HPMPs can be revised to add </w:t>
      </w:r>
      <w:r w:rsidR="00D6603E">
        <w:rPr>
          <w:szCs w:val="22"/>
        </w:rPr>
        <w:t>EE</w:t>
      </w:r>
      <w:r w:rsidRPr="00F867D0">
        <w:rPr>
          <w:szCs w:val="22"/>
        </w:rPr>
        <w:t xml:space="preserve"> aspects. Costs are provided as ranges based on the information publicly available. The table presents only some examples</w:t>
      </w:r>
      <w:r w:rsidR="00385CFE" w:rsidRPr="00F867D0">
        <w:rPr>
          <w:szCs w:val="22"/>
        </w:rPr>
        <w:t xml:space="preserve"> for a very limited number of countries. It is important to note that by the end of 2015, the GEF had invested in 1,000 climate mitigation projects, including more than 200 </w:t>
      </w:r>
      <w:r w:rsidR="00A76A30">
        <w:rPr>
          <w:szCs w:val="22"/>
        </w:rPr>
        <w:t>EE</w:t>
      </w:r>
      <w:r w:rsidR="00385CFE" w:rsidRPr="00F867D0">
        <w:rPr>
          <w:szCs w:val="22"/>
        </w:rPr>
        <w:t xml:space="preserve"> projects</w:t>
      </w:r>
      <w:r w:rsidRPr="00F867D0">
        <w:rPr>
          <w:szCs w:val="22"/>
        </w:rPr>
        <w:t>.</w:t>
      </w:r>
    </w:p>
    <w:p w14:paraId="06FF58B2" w14:textId="77777777" w:rsidR="00366D83" w:rsidRPr="00F867D0" w:rsidRDefault="00366D83" w:rsidP="00A663AA">
      <w:pPr>
        <w:spacing w:after="0"/>
        <w:rPr>
          <w:szCs w:val="22"/>
        </w:rPr>
      </w:pPr>
    </w:p>
    <w:p w14:paraId="76109B90" w14:textId="02A6E528" w:rsidR="00A663AA" w:rsidRPr="00F867D0" w:rsidRDefault="00A76A30" w:rsidP="00A663AA">
      <w:pPr>
        <w:spacing w:after="0"/>
        <w:rPr>
          <w:szCs w:val="22"/>
        </w:rPr>
      </w:pPr>
      <w:r>
        <w:rPr>
          <w:szCs w:val="22"/>
        </w:rPr>
        <w:t>S</w:t>
      </w:r>
      <w:r w:rsidR="00A663AA" w:rsidRPr="00F867D0">
        <w:rPr>
          <w:szCs w:val="22"/>
        </w:rPr>
        <w:t xml:space="preserve">ome of the activities in the table below for building institutional capacity include activities to support the design and implementation of </w:t>
      </w:r>
      <w:r>
        <w:rPr>
          <w:szCs w:val="22"/>
        </w:rPr>
        <w:t>MEPS</w:t>
      </w:r>
      <w:r w:rsidR="00A663AA" w:rsidRPr="00F867D0">
        <w:rPr>
          <w:szCs w:val="22"/>
        </w:rPr>
        <w:t xml:space="preserve"> and labels. While these programs are generally under the jurisdiction of energy ministries, the data collection, label</w:t>
      </w:r>
      <w:r w:rsidR="00A56185" w:rsidRPr="00F867D0">
        <w:rPr>
          <w:szCs w:val="22"/>
        </w:rPr>
        <w:t>l</w:t>
      </w:r>
      <w:r w:rsidR="00A663AA" w:rsidRPr="00F867D0">
        <w:rPr>
          <w:szCs w:val="22"/>
        </w:rPr>
        <w:t xml:space="preserve">ing, monitoring, and verification and enforcement activities that support successful implementation of these programs in many cases </w:t>
      </w:r>
      <w:r w:rsidR="005138E4">
        <w:rPr>
          <w:szCs w:val="22"/>
        </w:rPr>
        <w:t xml:space="preserve">can </w:t>
      </w:r>
      <w:r w:rsidR="00A663AA" w:rsidRPr="00F867D0">
        <w:rPr>
          <w:szCs w:val="22"/>
        </w:rPr>
        <w:t xml:space="preserve">have relevance to ozone stakeholders. Some initiatives </w:t>
      </w:r>
      <w:r w:rsidR="005138E4">
        <w:rPr>
          <w:szCs w:val="22"/>
        </w:rPr>
        <w:t xml:space="preserve">can </w:t>
      </w:r>
      <w:r w:rsidR="00A663AA" w:rsidRPr="00F867D0">
        <w:rPr>
          <w:szCs w:val="22"/>
        </w:rPr>
        <w:t xml:space="preserve">be done </w:t>
      </w:r>
      <w:r w:rsidR="005138E4">
        <w:rPr>
          <w:szCs w:val="22"/>
        </w:rPr>
        <w:t xml:space="preserve">with </w:t>
      </w:r>
      <w:r w:rsidR="00A663AA" w:rsidRPr="00F867D0">
        <w:rPr>
          <w:szCs w:val="22"/>
        </w:rPr>
        <w:t xml:space="preserve">coordination between the NOU and energy bodies if one is to integrate </w:t>
      </w:r>
      <w:r>
        <w:rPr>
          <w:szCs w:val="22"/>
        </w:rPr>
        <w:t>EE</w:t>
      </w:r>
      <w:r w:rsidR="00A663AA" w:rsidRPr="00F867D0">
        <w:rPr>
          <w:szCs w:val="22"/>
        </w:rPr>
        <w:t xml:space="preserve"> in future HFC phasedown management plans.</w:t>
      </w:r>
    </w:p>
    <w:p w14:paraId="762CCEFB" w14:textId="77777777" w:rsidR="00A663AA" w:rsidRPr="00F867D0" w:rsidRDefault="00A663AA" w:rsidP="00A663AA">
      <w:pPr>
        <w:spacing w:after="0"/>
        <w:rPr>
          <w:rFonts w:eastAsia="MS Mincho"/>
          <w:b/>
          <w:snapToGrid w:val="0"/>
          <w:color w:val="auto"/>
          <w:szCs w:val="22"/>
          <w:lang w:eastAsia="en-US"/>
        </w:rPr>
      </w:pPr>
    </w:p>
    <w:p w14:paraId="551154B2" w14:textId="77777777" w:rsidR="00F065AC" w:rsidRDefault="00F065AC">
      <w:pPr>
        <w:spacing w:after="0"/>
        <w:rPr>
          <w:b/>
          <w:i/>
          <w:szCs w:val="22"/>
        </w:rPr>
      </w:pPr>
      <w:r>
        <w:rPr>
          <w:b/>
          <w:i/>
          <w:szCs w:val="22"/>
        </w:rPr>
        <w:br w:type="page"/>
      </w:r>
    </w:p>
    <w:p w14:paraId="5AE2E9CA" w14:textId="205E19D2" w:rsidR="009B0EE4" w:rsidRPr="003D5FEE" w:rsidRDefault="00A663AA" w:rsidP="009B0EE4">
      <w:pPr>
        <w:spacing w:after="0"/>
        <w:jc w:val="center"/>
        <w:rPr>
          <w:b/>
          <w:i/>
          <w:szCs w:val="22"/>
        </w:rPr>
      </w:pPr>
      <w:r w:rsidRPr="003D5FEE">
        <w:rPr>
          <w:b/>
          <w:i/>
          <w:szCs w:val="22"/>
        </w:rPr>
        <w:t>Table 2.</w:t>
      </w:r>
      <w:r w:rsidR="00366D83" w:rsidRPr="003D5FEE">
        <w:rPr>
          <w:b/>
          <w:i/>
          <w:szCs w:val="22"/>
        </w:rPr>
        <w:t>7</w:t>
      </w:r>
      <w:r w:rsidRPr="003D5FEE">
        <w:rPr>
          <w:b/>
          <w:i/>
          <w:szCs w:val="22"/>
        </w:rPr>
        <w:t>: Activities and associated cost examples</w:t>
      </w:r>
    </w:p>
    <w:p w14:paraId="78525CED" w14:textId="77777777" w:rsidR="00BF4C57" w:rsidRPr="00F867D0" w:rsidRDefault="00BF4C57" w:rsidP="009B0EE4">
      <w:pPr>
        <w:spacing w:after="0"/>
        <w:jc w:val="center"/>
        <w:rPr>
          <w:rFonts w:eastAsia="MS Mincho"/>
          <w:b/>
          <w:snapToGrid w:val="0"/>
          <w:color w:val="auto"/>
          <w:szCs w:val="22"/>
          <w:lang w:eastAsia="en-US"/>
        </w:rPr>
      </w:pPr>
    </w:p>
    <w:tbl>
      <w:tblPr>
        <w:tblStyle w:val="TableGrid"/>
        <w:tblW w:w="9445" w:type="dxa"/>
        <w:tblLook w:val="04A0" w:firstRow="1" w:lastRow="0" w:firstColumn="1" w:lastColumn="0" w:noHBand="0" w:noVBand="1"/>
      </w:tblPr>
      <w:tblGrid>
        <w:gridCol w:w="1694"/>
        <w:gridCol w:w="4241"/>
        <w:gridCol w:w="1170"/>
        <w:gridCol w:w="2340"/>
      </w:tblGrid>
      <w:tr w:rsidR="00496828" w:rsidRPr="00F867D0" w14:paraId="0145590B" w14:textId="77777777" w:rsidTr="00C15055">
        <w:tc>
          <w:tcPr>
            <w:tcW w:w="1694" w:type="dxa"/>
          </w:tcPr>
          <w:p w14:paraId="4E2FDAED" w14:textId="77777777" w:rsidR="009B0EE4" w:rsidRPr="00F867D0" w:rsidRDefault="009B0EE4" w:rsidP="009B0EE4">
            <w:pPr>
              <w:spacing w:after="0"/>
              <w:rPr>
                <w:rFonts w:eastAsia="MS Mincho"/>
                <w:b/>
                <w:snapToGrid w:val="0"/>
                <w:color w:val="auto"/>
                <w:lang w:eastAsia="en-US"/>
              </w:rPr>
            </w:pPr>
            <w:r w:rsidRPr="00F867D0">
              <w:rPr>
                <w:rFonts w:eastAsia="MS Mincho"/>
                <w:b/>
                <w:snapToGrid w:val="0"/>
                <w:color w:val="auto"/>
                <w:lang w:eastAsia="en-US"/>
              </w:rPr>
              <w:t>Bridging Enabling Activities</w:t>
            </w:r>
          </w:p>
        </w:tc>
        <w:tc>
          <w:tcPr>
            <w:tcW w:w="4241" w:type="dxa"/>
          </w:tcPr>
          <w:p w14:paraId="1CEE8932" w14:textId="77777777" w:rsidR="009B0EE4" w:rsidRPr="00F867D0" w:rsidRDefault="009B0EE4" w:rsidP="009B0EE4">
            <w:pPr>
              <w:spacing w:after="0"/>
              <w:rPr>
                <w:rFonts w:eastAsia="MS Mincho"/>
                <w:b/>
                <w:snapToGrid w:val="0"/>
                <w:color w:val="auto"/>
                <w:lang w:eastAsia="en-US"/>
              </w:rPr>
            </w:pPr>
            <w:r w:rsidRPr="00F867D0">
              <w:rPr>
                <w:rFonts w:eastAsia="MS Mincho"/>
                <w:b/>
                <w:snapToGrid w:val="0"/>
                <w:color w:val="auto"/>
                <w:lang w:eastAsia="en-US"/>
              </w:rPr>
              <w:t>Country/Description</w:t>
            </w:r>
          </w:p>
        </w:tc>
        <w:tc>
          <w:tcPr>
            <w:tcW w:w="1170" w:type="dxa"/>
          </w:tcPr>
          <w:p w14:paraId="06120781" w14:textId="77777777" w:rsidR="009B0EE4" w:rsidRPr="00F867D0" w:rsidRDefault="009B0EE4" w:rsidP="009B0EE4">
            <w:pPr>
              <w:spacing w:after="0"/>
              <w:rPr>
                <w:rFonts w:eastAsia="MS Mincho"/>
                <w:b/>
                <w:snapToGrid w:val="0"/>
                <w:color w:val="auto"/>
                <w:lang w:eastAsia="en-US"/>
              </w:rPr>
            </w:pPr>
            <w:r w:rsidRPr="00F867D0">
              <w:rPr>
                <w:rFonts w:eastAsia="MS Mincho"/>
                <w:b/>
                <w:snapToGrid w:val="0"/>
                <w:color w:val="auto"/>
                <w:lang w:eastAsia="en-US"/>
              </w:rPr>
              <w:t>Source of Funding</w:t>
            </w:r>
          </w:p>
        </w:tc>
        <w:tc>
          <w:tcPr>
            <w:tcW w:w="2340" w:type="dxa"/>
          </w:tcPr>
          <w:p w14:paraId="43241AD2" w14:textId="77777777" w:rsidR="00496828" w:rsidRDefault="009B0EE4" w:rsidP="009B0EE4">
            <w:pPr>
              <w:spacing w:after="0"/>
              <w:rPr>
                <w:rFonts w:eastAsia="MS Mincho"/>
                <w:b/>
                <w:snapToGrid w:val="0"/>
                <w:color w:val="auto"/>
                <w:lang w:eastAsia="en-US"/>
              </w:rPr>
            </w:pPr>
            <w:r w:rsidRPr="00F867D0">
              <w:rPr>
                <w:rFonts w:eastAsia="MS Mincho"/>
                <w:b/>
                <w:snapToGrid w:val="0"/>
                <w:color w:val="auto"/>
                <w:lang w:eastAsia="en-US"/>
              </w:rPr>
              <w:t xml:space="preserve">Cost Example in USD </w:t>
            </w:r>
          </w:p>
          <w:p w14:paraId="7CB68626" w14:textId="5B25C5A0" w:rsidR="009B0EE4" w:rsidRPr="00F867D0" w:rsidRDefault="009B0EE4" w:rsidP="009B0EE4">
            <w:pPr>
              <w:spacing w:after="0"/>
              <w:rPr>
                <w:rFonts w:eastAsia="MS Mincho"/>
                <w:b/>
                <w:snapToGrid w:val="0"/>
                <w:color w:val="auto"/>
                <w:lang w:eastAsia="en-US"/>
              </w:rPr>
            </w:pPr>
            <w:r w:rsidRPr="00F867D0">
              <w:rPr>
                <w:rFonts w:eastAsia="MS Mincho"/>
                <w:b/>
                <w:snapToGrid w:val="0"/>
                <w:color w:val="auto"/>
                <w:lang w:eastAsia="en-US"/>
              </w:rPr>
              <w:t>(co-finance)</w:t>
            </w:r>
          </w:p>
        </w:tc>
      </w:tr>
      <w:tr w:rsidR="00496828" w:rsidRPr="00F867D0" w14:paraId="28BD3D56" w14:textId="77777777" w:rsidTr="00C15055">
        <w:tc>
          <w:tcPr>
            <w:tcW w:w="1694" w:type="dxa"/>
          </w:tcPr>
          <w:p w14:paraId="5C75AA93"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Capacity building and training</w:t>
            </w:r>
          </w:p>
        </w:tc>
        <w:tc>
          <w:tcPr>
            <w:tcW w:w="4241" w:type="dxa"/>
          </w:tcPr>
          <w:p w14:paraId="291DB05B" w14:textId="131C91B9"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 xml:space="preserve">Lebanon, Nigeria / integration into servicing sector training manuals, syllabi, and courses of </w:t>
            </w:r>
            <w:r w:rsidR="00D6603E">
              <w:rPr>
                <w:rFonts w:eastAsia="MS Mincho"/>
                <w:snapToGrid w:val="0"/>
                <w:color w:val="auto"/>
                <w:lang w:eastAsia="en-US"/>
              </w:rPr>
              <w:t>EE</w:t>
            </w:r>
            <w:r w:rsidRPr="00F867D0">
              <w:rPr>
                <w:rFonts w:eastAsia="MS Mincho"/>
                <w:snapToGrid w:val="0"/>
                <w:color w:val="auto"/>
                <w:lang w:eastAsia="en-US"/>
              </w:rPr>
              <w:t xml:space="preserve"> best practices; conduct trainings.</w:t>
            </w:r>
          </w:p>
          <w:p w14:paraId="73036806" w14:textId="77777777" w:rsidR="009B0EE4" w:rsidRPr="00F867D0" w:rsidRDefault="009B0EE4" w:rsidP="009B0EE4">
            <w:pPr>
              <w:spacing w:after="0"/>
              <w:rPr>
                <w:rFonts w:eastAsia="MS Mincho"/>
                <w:snapToGrid w:val="0"/>
                <w:color w:val="auto"/>
                <w:lang w:eastAsia="en-US"/>
              </w:rPr>
            </w:pPr>
          </w:p>
          <w:p w14:paraId="64BAADA1"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Bangladesh, Thailand, Vietnam, Philippines, Mexico / technical assistance to industry on design options and their capital costs, efficient component sourcing.</w:t>
            </w:r>
          </w:p>
          <w:p w14:paraId="68A3F8A4" w14:textId="77777777" w:rsidR="009B0EE4" w:rsidRPr="00F867D0" w:rsidRDefault="009B0EE4" w:rsidP="009B0EE4">
            <w:pPr>
              <w:spacing w:after="0"/>
              <w:rPr>
                <w:rFonts w:eastAsia="MS Mincho"/>
                <w:snapToGrid w:val="0"/>
                <w:color w:val="auto"/>
                <w:lang w:eastAsia="en-US"/>
              </w:rPr>
            </w:pPr>
          </w:p>
          <w:p w14:paraId="7E151540" w14:textId="4A0F199C"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 xml:space="preserve">Guatemala, Ecuador, Uganda, Lebanon, Jordan, Morocco, Tunisia / technical assistance to businesses to assess potential incremental capital and operating costs for improved </w:t>
            </w:r>
            <w:r w:rsidR="00D6603E">
              <w:rPr>
                <w:rFonts w:eastAsia="MS Mincho"/>
                <w:snapToGrid w:val="0"/>
                <w:color w:val="auto"/>
                <w:lang w:eastAsia="en-US"/>
              </w:rPr>
              <w:t>EE</w:t>
            </w:r>
            <w:r w:rsidRPr="00F867D0">
              <w:rPr>
                <w:rFonts w:eastAsia="MS Mincho"/>
                <w:snapToGrid w:val="0"/>
                <w:color w:val="auto"/>
                <w:lang w:eastAsia="en-US"/>
              </w:rPr>
              <w:t xml:space="preserve"> in commercial refrigeration.</w:t>
            </w:r>
          </w:p>
          <w:p w14:paraId="75868EC8" w14:textId="298212B9" w:rsidR="009B0EE4" w:rsidRPr="00F867D0" w:rsidRDefault="009B0EE4" w:rsidP="009B0EE4">
            <w:pPr>
              <w:spacing w:after="0"/>
              <w:rPr>
                <w:rFonts w:eastAsia="MS Mincho"/>
                <w:snapToGrid w:val="0"/>
                <w:color w:val="auto"/>
                <w:lang w:eastAsia="en-US"/>
              </w:rPr>
            </w:pPr>
          </w:p>
        </w:tc>
        <w:tc>
          <w:tcPr>
            <w:tcW w:w="1170" w:type="dxa"/>
          </w:tcPr>
          <w:p w14:paraId="2FA17E7D" w14:textId="77777777" w:rsidR="00385CFE"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K-CEP</w:t>
            </w:r>
          </w:p>
          <w:p w14:paraId="174FDA33" w14:textId="77777777" w:rsidR="00385CFE" w:rsidRPr="00F867D0" w:rsidRDefault="00385CFE" w:rsidP="009B0EE4">
            <w:pPr>
              <w:spacing w:after="0"/>
              <w:rPr>
                <w:rFonts w:eastAsia="MS Mincho"/>
                <w:snapToGrid w:val="0"/>
                <w:color w:val="auto"/>
                <w:lang w:eastAsia="en-US"/>
              </w:rPr>
            </w:pPr>
          </w:p>
          <w:p w14:paraId="25B50B5B" w14:textId="77777777" w:rsidR="00385CFE" w:rsidRPr="00F867D0" w:rsidRDefault="00385CFE" w:rsidP="009B0EE4">
            <w:pPr>
              <w:spacing w:after="0"/>
              <w:rPr>
                <w:rFonts w:eastAsia="MS Mincho"/>
                <w:snapToGrid w:val="0"/>
                <w:color w:val="auto"/>
                <w:lang w:eastAsia="en-US"/>
              </w:rPr>
            </w:pPr>
          </w:p>
          <w:p w14:paraId="1620E4DE" w14:textId="77777777" w:rsidR="00385CFE" w:rsidRPr="00F867D0" w:rsidRDefault="00385CFE" w:rsidP="009B0EE4">
            <w:pPr>
              <w:spacing w:after="0"/>
              <w:rPr>
                <w:rFonts w:eastAsia="MS Mincho"/>
                <w:snapToGrid w:val="0"/>
                <w:color w:val="auto"/>
                <w:lang w:eastAsia="en-US"/>
              </w:rPr>
            </w:pPr>
          </w:p>
          <w:p w14:paraId="37971CE6" w14:textId="77777777" w:rsidR="00385CFE" w:rsidRPr="00F867D0" w:rsidRDefault="00385CFE" w:rsidP="009B0EE4">
            <w:pPr>
              <w:spacing w:after="0"/>
              <w:rPr>
                <w:rFonts w:eastAsia="MS Mincho"/>
                <w:snapToGrid w:val="0"/>
                <w:color w:val="auto"/>
                <w:lang w:eastAsia="en-US"/>
              </w:rPr>
            </w:pPr>
          </w:p>
          <w:p w14:paraId="48B2D67A" w14:textId="011FAF5C"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K-CEP</w:t>
            </w:r>
          </w:p>
          <w:p w14:paraId="0FDAE99B" w14:textId="77777777" w:rsidR="009B0EE4" w:rsidRPr="00F867D0" w:rsidRDefault="009B0EE4" w:rsidP="009B0EE4">
            <w:pPr>
              <w:spacing w:after="0"/>
              <w:rPr>
                <w:rFonts w:eastAsia="MS Mincho"/>
                <w:snapToGrid w:val="0"/>
                <w:color w:val="auto"/>
                <w:lang w:eastAsia="en-US"/>
              </w:rPr>
            </w:pPr>
          </w:p>
          <w:p w14:paraId="5C408645" w14:textId="77777777" w:rsidR="009B0EE4" w:rsidRPr="00F867D0" w:rsidRDefault="009B0EE4" w:rsidP="009B0EE4">
            <w:pPr>
              <w:spacing w:after="0"/>
              <w:rPr>
                <w:rFonts w:eastAsia="MS Mincho"/>
                <w:snapToGrid w:val="0"/>
                <w:color w:val="auto"/>
                <w:lang w:eastAsia="en-US"/>
              </w:rPr>
            </w:pPr>
          </w:p>
          <w:p w14:paraId="326BF04A" w14:textId="77777777" w:rsidR="009B0EE4" w:rsidRPr="00F867D0" w:rsidRDefault="009B0EE4" w:rsidP="009B0EE4">
            <w:pPr>
              <w:spacing w:after="0"/>
              <w:rPr>
                <w:rFonts w:eastAsia="MS Mincho"/>
                <w:snapToGrid w:val="0"/>
                <w:color w:val="auto"/>
                <w:lang w:eastAsia="en-US"/>
              </w:rPr>
            </w:pPr>
          </w:p>
          <w:p w14:paraId="71EE1DF2" w14:textId="77777777" w:rsidR="009B0EE4" w:rsidRPr="00F867D0" w:rsidRDefault="009B0EE4" w:rsidP="009B0EE4">
            <w:pPr>
              <w:spacing w:after="0"/>
              <w:rPr>
                <w:rFonts w:eastAsia="MS Mincho"/>
                <w:snapToGrid w:val="0"/>
                <w:color w:val="auto"/>
                <w:lang w:eastAsia="en-US"/>
              </w:rPr>
            </w:pPr>
          </w:p>
          <w:p w14:paraId="2ECE8540" w14:textId="1C6F6864"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K-CEP</w:t>
            </w:r>
          </w:p>
        </w:tc>
        <w:tc>
          <w:tcPr>
            <w:tcW w:w="2340" w:type="dxa"/>
          </w:tcPr>
          <w:p w14:paraId="43DAAF95"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Average: 212,500</w:t>
            </w:r>
          </w:p>
          <w:p w14:paraId="378EBDF9" w14:textId="77777777" w:rsidR="009B0EE4" w:rsidRPr="00F867D0" w:rsidRDefault="009B0EE4" w:rsidP="009B0EE4">
            <w:pPr>
              <w:spacing w:after="0"/>
              <w:rPr>
                <w:rFonts w:eastAsia="MS Mincho"/>
                <w:snapToGrid w:val="0"/>
                <w:color w:val="auto"/>
                <w:lang w:eastAsia="en-US"/>
              </w:rPr>
            </w:pPr>
          </w:p>
          <w:p w14:paraId="7A1AC0EF" w14:textId="77777777" w:rsidR="009B0EE4" w:rsidRPr="00F867D0" w:rsidRDefault="009B0EE4" w:rsidP="009B0EE4">
            <w:pPr>
              <w:spacing w:after="0"/>
              <w:rPr>
                <w:rFonts w:eastAsia="MS Mincho"/>
                <w:snapToGrid w:val="0"/>
                <w:color w:val="auto"/>
                <w:lang w:eastAsia="en-US"/>
              </w:rPr>
            </w:pPr>
          </w:p>
          <w:p w14:paraId="6F689BF7" w14:textId="77777777" w:rsidR="009B0EE4" w:rsidRPr="00F867D0" w:rsidRDefault="009B0EE4" w:rsidP="009B0EE4">
            <w:pPr>
              <w:spacing w:after="0"/>
              <w:rPr>
                <w:rFonts w:eastAsia="MS Mincho"/>
                <w:snapToGrid w:val="0"/>
                <w:color w:val="auto"/>
                <w:lang w:eastAsia="en-US"/>
              </w:rPr>
            </w:pPr>
          </w:p>
          <w:p w14:paraId="1B343869" w14:textId="77777777" w:rsidR="009B0EE4" w:rsidRPr="00F867D0" w:rsidRDefault="009B0EE4" w:rsidP="009B0EE4">
            <w:pPr>
              <w:spacing w:after="0"/>
              <w:rPr>
                <w:rFonts w:eastAsia="MS Mincho"/>
                <w:snapToGrid w:val="0"/>
                <w:color w:val="auto"/>
                <w:lang w:eastAsia="en-US"/>
              </w:rPr>
            </w:pPr>
          </w:p>
          <w:p w14:paraId="6119901A"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156,000 – 430,000 per enterprise</w:t>
            </w:r>
          </w:p>
          <w:p w14:paraId="2CBA1462"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(475,000 – 1,500,000)</w:t>
            </w:r>
          </w:p>
          <w:p w14:paraId="79ACAC65" w14:textId="77777777" w:rsidR="009B0EE4" w:rsidRPr="00F867D0" w:rsidRDefault="009B0EE4" w:rsidP="009B0EE4">
            <w:pPr>
              <w:spacing w:after="0"/>
              <w:rPr>
                <w:rFonts w:eastAsia="MS Mincho"/>
                <w:snapToGrid w:val="0"/>
                <w:color w:val="auto"/>
                <w:lang w:eastAsia="en-US"/>
              </w:rPr>
            </w:pPr>
          </w:p>
          <w:p w14:paraId="4B0E0F0F" w14:textId="77777777" w:rsidR="00C15055" w:rsidRDefault="00C15055" w:rsidP="009B0EE4">
            <w:pPr>
              <w:spacing w:after="0"/>
              <w:rPr>
                <w:rFonts w:eastAsia="MS Mincho"/>
                <w:snapToGrid w:val="0"/>
                <w:color w:val="auto"/>
                <w:lang w:eastAsia="en-US"/>
              </w:rPr>
            </w:pPr>
          </w:p>
          <w:p w14:paraId="7730DDE3" w14:textId="6E62456B"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Average: 44,000 per enterprise</w:t>
            </w:r>
          </w:p>
        </w:tc>
      </w:tr>
      <w:tr w:rsidR="00496828" w:rsidRPr="00F867D0" w14:paraId="3CDF162D" w14:textId="77777777" w:rsidTr="00C15055">
        <w:tc>
          <w:tcPr>
            <w:tcW w:w="1694" w:type="dxa"/>
          </w:tcPr>
          <w:p w14:paraId="7EE6C70F"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Institutional strengthening</w:t>
            </w:r>
          </w:p>
        </w:tc>
        <w:tc>
          <w:tcPr>
            <w:tcW w:w="4241" w:type="dxa"/>
          </w:tcPr>
          <w:p w14:paraId="766F7AD7" w14:textId="2C88ED21"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147 A5 countries / UN Environment “Twinning” project / UN Environment’s OzonAction and United for Efficiency initiatives are organi</w:t>
            </w:r>
            <w:r w:rsidR="000A31D6">
              <w:rPr>
                <w:rFonts w:eastAsia="MS Mincho"/>
                <w:snapToGrid w:val="0"/>
                <w:color w:val="auto"/>
                <w:lang w:eastAsia="en-US"/>
              </w:rPr>
              <w:t>s</w:t>
            </w:r>
            <w:r w:rsidRPr="00F867D0">
              <w:rPr>
                <w:rFonts w:eastAsia="MS Mincho"/>
                <w:snapToGrid w:val="0"/>
                <w:color w:val="auto"/>
                <w:lang w:eastAsia="en-US"/>
              </w:rPr>
              <w:t xml:space="preserve">ing voluntary capacity building events to jointly build the capacity of National Ozone Officers (NOOs) and national energy policymakers (NEPs) for linking </w:t>
            </w:r>
            <w:r w:rsidR="00D6603E">
              <w:rPr>
                <w:rFonts w:eastAsia="MS Mincho"/>
                <w:snapToGrid w:val="0"/>
                <w:color w:val="auto"/>
                <w:lang w:eastAsia="en-US"/>
              </w:rPr>
              <w:t>EE</w:t>
            </w:r>
            <w:r w:rsidRPr="00F867D0">
              <w:rPr>
                <w:rFonts w:eastAsia="MS Mincho"/>
                <w:snapToGrid w:val="0"/>
                <w:color w:val="auto"/>
                <w:lang w:eastAsia="en-US"/>
              </w:rPr>
              <w:t xml:space="preserve"> with Montreal Protocol objectives in support of the Kigali Amendment.</w:t>
            </w:r>
          </w:p>
          <w:p w14:paraId="2DC875A1" w14:textId="77777777" w:rsidR="009B0EE4" w:rsidRPr="00F867D0" w:rsidRDefault="009B0EE4" w:rsidP="009B0EE4">
            <w:pPr>
              <w:spacing w:after="0"/>
              <w:rPr>
                <w:rFonts w:eastAsia="MS Mincho"/>
                <w:snapToGrid w:val="0"/>
                <w:color w:val="auto"/>
                <w:lang w:eastAsia="en-US"/>
              </w:rPr>
            </w:pPr>
          </w:p>
          <w:p w14:paraId="7E556E23"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 xml:space="preserve">Chile / Enhance Awareness among consumers and market players to understand, afford and purchase EE refrigerators and freezers </w:t>
            </w:r>
          </w:p>
          <w:p w14:paraId="2E6F2DF3" w14:textId="77777777" w:rsidR="009B0EE4" w:rsidRPr="00F867D0" w:rsidRDefault="009B0EE4" w:rsidP="009B0EE4">
            <w:pPr>
              <w:spacing w:after="0"/>
              <w:rPr>
                <w:rFonts w:eastAsia="MS Mincho"/>
                <w:snapToGrid w:val="0"/>
                <w:color w:val="auto"/>
                <w:lang w:eastAsia="en-US"/>
              </w:rPr>
            </w:pPr>
          </w:p>
          <w:p w14:paraId="7A429938"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 xml:space="preserve">Ghana/ Awareness among importers and distributors, consumers and business byers </w:t>
            </w:r>
          </w:p>
          <w:p w14:paraId="67FCE04B" w14:textId="77777777" w:rsidR="009B0EE4" w:rsidRPr="00F867D0" w:rsidRDefault="009B0EE4" w:rsidP="009B0EE4">
            <w:pPr>
              <w:spacing w:after="0"/>
              <w:rPr>
                <w:rFonts w:eastAsia="MS Mincho"/>
                <w:snapToGrid w:val="0"/>
                <w:color w:val="auto"/>
                <w:lang w:eastAsia="en-US"/>
              </w:rPr>
            </w:pPr>
          </w:p>
          <w:p w14:paraId="6B358D43"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Customs officials training</w:t>
            </w:r>
          </w:p>
        </w:tc>
        <w:tc>
          <w:tcPr>
            <w:tcW w:w="1170" w:type="dxa"/>
          </w:tcPr>
          <w:p w14:paraId="00793263"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K-CEP</w:t>
            </w:r>
          </w:p>
          <w:p w14:paraId="448EBAEF" w14:textId="77777777" w:rsidR="009B0EE4" w:rsidRPr="00F867D0" w:rsidRDefault="009B0EE4" w:rsidP="009B0EE4">
            <w:pPr>
              <w:spacing w:after="0"/>
              <w:rPr>
                <w:rFonts w:eastAsia="MS Mincho"/>
                <w:snapToGrid w:val="0"/>
                <w:color w:val="auto"/>
                <w:lang w:eastAsia="en-US"/>
              </w:rPr>
            </w:pPr>
          </w:p>
          <w:p w14:paraId="32A63ACB" w14:textId="77777777" w:rsidR="009B0EE4" w:rsidRPr="00F867D0" w:rsidRDefault="009B0EE4" w:rsidP="009B0EE4">
            <w:pPr>
              <w:spacing w:after="0"/>
              <w:rPr>
                <w:rFonts w:eastAsia="MS Mincho"/>
                <w:snapToGrid w:val="0"/>
                <w:color w:val="auto"/>
                <w:lang w:eastAsia="en-US"/>
              </w:rPr>
            </w:pPr>
          </w:p>
          <w:p w14:paraId="2E2A4621" w14:textId="77777777" w:rsidR="009B0EE4" w:rsidRPr="00F867D0" w:rsidRDefault="009B0EE4" w:rsidP="009B0EE4">
            <w:pPr>
              <w:spacing w:after="0"/>
              <w:rPr>
                <w:rFonts w:eastAsia="MS Mincho"/>
                <w:snapToGrid w:val="0"/>
                <w:color w:val="auto"/>
                <w:lang w:eastAsia="en-US"/>
              </w:rPr>
            </w:pPr>
          </w:p>
          <w:p w14:paraId="26D1254C" w14:textId="77777777" w:rsidR="009B0EE4" w:rsidRPr="00F867D0" w:rsidRDefault="009B0EE4" w:rsidP="009B0EE4">
            <w:pPr>
              <w:spacing w:after="0"/>
              <w:rPr>
                <w:rFonts w:eastAsia="MS Mincho"/>
                <w:snapToGrid w:val="0"/>
                <w:color w:val="auto"/>
                <w:lang w:eastAsia="en-US"/>
              </w:rPr>
            </w:pPr>
          </w:p>
          <w:p w14:paraId="4090AF1F" w14:textId="77777777" w:rsidR="009B0EE4" w:rsidRPr="00F867D0" w:rsidRDefault="009B0EE4" w:rsidP="009B0EE4">
            <w:pPr>
              <w:spacing w:after="0"/>
              <w:rPr>
                <w:rFonts w:eastAsia="MS Mincho"/>
                <w:snapToGrid w:val="0"/>
                <w:color w:val="auto"/>
                <w:lang w:eastAsia="en-US"/>
              </w:rPr>
            </w:pPr>
          </w:p>
          <w:p w14:paraId="099B224A" w14:textId="77777777" w:rsidR="009B0EE4" w:rsidRPr="00F867D0" w:rsidRDefault="009B0EE4" w:rsidP="009B0EE4">
            <w:pPr>
              <w:spacing w:after="0"/>
              <w:rPr>
                <w:rFonts w:eastAsia="MS Mincho"/>
                <w:snapToGrid w:val="0"/>
                <w:color w:val="auto"/>
                <w:lang w:eastAsia="en-US"/>
              </w:rPr>
            </w:pPr>
          </w:p>
          <w:p w14:paraId="1F7F252F" w14:textId="77777777" w:rsidR="009B0EE4" w:rsidRPr="00F867D0" w:rsidRDefault="009B0EE4" w:rsidP="009B0EE4">
            <w:pPr>
              <w:spacing w:after="0"/>
              <w:rPr>
                <w:rFonts w:eastAsia="MS Mincho"/>
                <w:snapToGrid w:val="0"/>
                <w:color w:val="auto"/>
                <w:lang w:eastAsia="en-US"/>
              </w:rPr>
            </w:pPr>
          </w:p>
          <w:p w14:paraId="6BC24DAB" w14:textId="77777777" w:rsidR="009B0EE4" w:rsidRPr="00F867D0" w:rsidRDefault="009B0EE4" w:rsidP="009B0EE4">
            <w:pPr>
              <w:spacing w:after="0"/>
              <w:rPr>
                <w:rFonts w:eastAsia="MS Mincho"/>
                <w:snapToGrid w:val="0"/>
                <w:color w:val="auto"/>
                <w:lang w:eastAsia="en-US"/>
              </w:rPr>
            </w:pPr>
          </w:p>
          <w:p w14:paraId="182A91E9" w14:textId="77777777" w:rsidR="009B0EE4" w:rsidRPr="00F867D0" w:rsidRDefault="009B0EE4" w:rsidP="009B0EE4">
            <w:pPr>
              <w:spacing w:after="0"/>
              <w:rPr>
                <w:rFonts w:eastAsia="MS Mincho"/>
                <w:snapToGrid w:val="0"/>
                <w:color w:val="auto"/>
                <w:lang w:eastAsia="en-US"/>
              </w:rPr>
            </w:pPr>
          </w:p>
          <w:p w14:paraId="0A7896EF" w14:textId="0911133C"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GEFTF</w:t>
            </w:r>
          </w:p>
          <w:p w14:paraId="4F42FB1B" w14:textId="77777777" w:rsidR="009B0EE4" w:rsidRPr="00F867D0" w:rsidRDefault="009B0EE4" w:rsidP="009B0EE4">
            <w:pPr>
              <w:spacing w:after="0"/>
              <w:rPr>
                <w:rFonts w:eastAsia="MS Mincho"/>
                <w:snapToGrid w:val="0"/>
                <w:color w:val="auto"/>
                <w:lang w:eastAsia="en-US"/>
              </w:rPr>
            </w:pPr>
          </w:p>
          <w:p w14:paraId="57A8220F" w14:textId="77777777" w:rsidR="009B0EE4" w:rsidRPr="00F867D0" w:rsidRDefault="009B0EE4" w:rsidP="009B0EE4">
            <w:pPr>
              <w:spacing w:after="0"/>
              <w:rPr>
                <w:rFonts w:eastAsia="MS Mincho"/>
                <w:snapToGrid w:val="0"/>
                <w:color w:val="auto"/>
                <w:lang w:eastAsia="en-US"/>
              </w:rPr>
            </w:pPr>
          </w:p>
          <w:p w14:paraId="3A715234" w14:textId="6AD47A2B" w:rsidR="009B0EE4" w:rsidRPr="00F867D0" w:rsidRDefault="009B0EE4" w:rsidP="009B0EE4">
            <w:pPr>
              <w:spacing w:after="0"/>
              <w:rPr>
                <w:rFonts w:eastAsia="MS Mincho"/>
                <w:snapToGrid w:val="0"/>
                <w:color w:val="auto"/>
                <w:lang w:eastAsia="en-US"/>
              </w:rPr>
            </w:pPr>
          </w:p>
          <w:p w14:paraId="79FC5B3D" w14:textId="77777777" w:rsidR="00385CFE" w:rsidRPr="00F867D0" w:rsidRDefault="00385CFE" w:rsidP="009B0EE4">
            <w:pPr>
              <w:spacing w:after="0"/>
              <w:rPr>
                <w:rFonts w:eastAsia="MS Mincho"/>
                <w:snapToGrid w:val="0"/>
                <w:color w:val="auto"/>
                <w:lang w:eastAsia="en-US"/>
              </w:rPr>
            </w:pPr>
          </w:p>
          <w:p w14:paraId="77C56722" w14:textId="484E2C0A"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GEFTF</w:t>
            </w:r>
          </w:p>
          <w:p w14:paraId="6B128B45" w14:textId="77777777" w:rsidR="009B0EE4" w:rsidRPr="00F867D0" w:rsidRDefault="009B0EE4" w:rsidP="009B0EE4">
            <w:pPr>
              <w:spacing w:after="0"/>
              <w:rPr>
                <w:rFonts w:eastAsia="MS Mincho"/>
                <w:snapToGrid w:val="0"/>
                <w:color w:val="auto"/>
                <w:lang w:eastAsia="en-US"/>
              </w:rPr>
            </w:pPr>
          </w:p>
          <w:p w14:paraId="4175CE7A" w14:textId="77777777" w:rsidR="009B0EE4" w:rsidRPr="00F867D0" w:rsidRDefault="009B0EE4" w:rsidP="009B0EE4">
            <w:pPr>
              <w:spacing w:after="0"/>
              <w:rPr>
                <w:rFonts w:eastAsia="MS Mincho"/>
                <w:snapToGrid w:val="0"/>
                <w:color w:val="auto"/>
                <w:lang w:eastAsia="en-US"/>
              </w:rPr>
            </w:pPr>
          </w:p>
          <w:p w14:paraId="246D954B"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K-CEP</w:t>
            </w:r>
          </w:p>
        </w:tc>
        <w:tc>
          <w:tcPr>
            <w:tcW w:w="2340" w:type="dxa"/>
          </w:tcPr>
          <w:p w14:paraId="1B0527C1"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Average: 12,000 per country</w:t>
            </w:r>
          </w:p>
          <w:p w14:paraId="2FD2D1DC" w14:textId="77777777" w:rsidR="009B0EE4" w:rsidRPr="00F867D0" w:rsidRDefault="009B0EE4" w:rsidP="009B0EE4">
            <w:pPr>
              <w:spacing w:after="0"/>
              <w:rPr>
                <w:rFonts w:eastAsia="MS Mincho"/>
                <w:snapToGrid w:val="0"/>
                <w:color w:val="auto"/>
                <w:lang w:eastAsia="en-US"/>
              </w:rPr>
            </w:pPr>
          </w:p>
          <w:p w14:paraId="45C9A7FC" w14:textId="77777777" w:rsidR="009B0EE4" w:rsidRPr="00F867D0" w:rsidRDefault="009B0EE4" w:rsidP="009B0EE4">
            <w:pPr>
              <w:spacing w:after="0"/>
              <w:rPr>
                <w:rFonts w:eastAsia="MS Mincho"/>
                <w:snapToGrid w:val="0"/>
                <w:color w:val="auto"/>
                <w:lang w:eastAsia="en-US"/>
              </w:rPr>
            </w:pPr>
          </w:p>
          <w:p w14:paraId="643E37D3" w14:textId="77777777" w:rsidR="009B0EE4" w:rsidRPr="00F867D0" w:rsidRDefault="009B0EE4" w:rsidP="009B0EE4">
            <w:pPr>
              <w:spacing w:after="0"/>
              <w:rPr>
                <w:rFonts w:eastAsia="MS Mincho"/>
                <w:snapToGrid w:val="0"/>
                <w:color w:val="auto"/>
                <w:lang w:eastAsia="en-US"/>
              </w:rPr>
            </w:pPr>
          </w:p>
          <w:p w14:paraId="41F08C38" w14:textId="77777777" w:rsidR="009B0EE4" w:rsidRPr="00F867D0" w:rsidRDefault="009B0EE4" w:rsidP="009B0EE4">
            <w:pPr>
              <w:spacing w:after="0"/>
              <w:rPr>
                <w:rFonts w:eastAsia="MS Mincho"/>
                <w:snapToGrid w:val="0"/>
                <w:color w:val="auto"/>
                <w:lang w:eastAsia="en-US"/>
              </w:rPr>
            </w:pPr>
          </w:p>
          <w:p w14:paraId="44400FC5" w14:textId="77777777" w:rsidR="009B0EE4" w:rsidRPr="00F867D0" w:rsidRDefault="009B0EE4" w:rsidP="009B0EE4">
            <w:pPr>
              <w:spacing w:after="0"/>
              <w:rPr>
                <w:rFonts w:eastAsia="MS Mincho"/>
                <w:snapToGrid w:val="0"/>
                <w:color w:val="auto"/>
                <w:lang w:eastAsia="en-US"/>
              </w:rPr>
            </w:pPr>
          </w:p>
          <w:p w14:paraId="68A9C0B8" w14:textId="77777777" w:rsidR="009B0EE4" w:rsidRPr="00F867D0" w:rsidRDefault="009B0EE4" w:rsidP="009B0EE4">
            <w:pPr>
              <w:spacing w:after="0"/>
              <w:rPr>
                <w:rFonts w:eastAsia="MS Mincho"/>
                <w:snapToGrid w:val="0"/>
                <w:color w:val="auto"/>
                <w:lang w:eastAsia="en-US"/>
              </w:rPr>
            </w:pPr>
          </w:p>
          <w:p w14:paraId="53534FF9" w14:textId="77777777" w:rsidR="009B0EE4" w:rsidRPr="00F867D0" w:rsidRDefault="009B0EE4" w:rsidP="009B0EE4">
            <w:pPr>
              <w:spacing w:after="0"/>
              <w:rPr>
                <w:rFonts w:eastAsia="MS Mincho"/>
                <w:snapToGrid w:val="0"/>
                <w:color w:val="auto"/>
                <w:lang w:eastAsia="en-US"/>
              </w:rPr>
            </w:pPr>
          </w:p>
          <w:p w14:paraId="3E2FEA56" w14:textId="77777777" w:rsidR="009B0EE4" w:rsidRPr="00F867D0" w:rsidRDefault="009B0EE4" w:rsidP="009B0EE4">
            <w:pPr>
              <w:spacing w:after="0"/>
              <w:rPr>
                <w:rFonts w:eastAsia="MS Mincho"/>
                <w:snapToGrid w:val="0"/>
                <w:color w:val="auto"/>
                <w:lang w:eastAsia="en-US"/>
              </w:rPr>
            </w:pPr>
          </w:p>
          <w:p w14:paraId="1843EFF4" w14:textId="4B01AB32"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Chile: 446,341 (1,806,000)</w:t>
            </w:r>
          </w:p>
          <w:p w14:paraId="01591E17" w14:textId="77777777" w:rsidR="009B0EE4" w:rsidRPr="00F867D0" w:rsidRDefault="009B0EE4" w:rsidP="009B0EE4">
            <w:pPr>
              <w:spacing w:after="0"/>
              <w:rPr>
                <w:rFonts w:eastAsia="MS Mincho"/>
                <w:snapToGrid w:val="0"/>
                <w:color w:val="auto"/>
                <w:lang w:eastAsia="en-US"/>
              </w:rPr>
            </w:pPr>
          </w:p>
          <w:p w14:paraId="52E3FF8B" w14:textId="77777777" w:rsidR="009B0EE4" w:rsidRPr="00F867D0" w:rsidRDefault="009B0EE4" w:rsidP="009B0EE4">
            <w:pPr>
              <w:spacing w:after="0"/>
              <w:rPr>
                <w:rFonts w:eastAsia="MS Mincho"/>
                <w:snapToGrid w:val="0"/>
                <w:color w:val="auto"/>
                <w:lang w:eastAsia="en-US"/>
              </w:rPr>
            </w:pPr>
          </w:p>
          <w:p w14:paraId="0FCF5144" w14:textId="77777777" w:rsidR="009B0EE4" w:rsidRPr="00F867D0" w:rsidRDefault="009B0EE4" w:rsidP="009B0EE4">
            <w:pPr>
              <w:spacing w:after="0"/>
              <w:rPr>
                <w:rFonts w:eastAsia="MS Mincho"/>
                <w:snapToGrid w:val="0"/>
                <w:color w:val="auto"/>
                <w:lang w:eastAsia="en-US"/>
              </w:rPr>
            </w:pPr>
          </w:p>
          <w:p w14:paraId="1F6D4D82" w14:textId="408E9E73"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Ghana: 150,000 (500,000)</w:t>
            </w:r>
          </w:p>
          <w:p w14:paraId="3F4349B8" w14:textId="77777777" w:rsidR="009B0EE4" w:rsidRPr="00F867D0" w:rsidRDefault="009B0EE4" w:rsidP="009B0EE4">
            <w:pPr>
              <w:spacing w:after="0"/>
              <w:rPr>
                <w:rFonts w:eastAsia="MS Mincho"/>
                <w:snapToGrid w:val="0"/>
                <w:color w:val="auto"/>
                <w:lang w:eastAsia="en-US"/>
              </w:rPr>
            </w:pPr>
          </w:p>
          <w:p w14:paraId="4A0A6790" w14:textId="183A07FD" w:rsidR="009B0EE4" w:rsidRPr="00F867D0" w:rsidRDefault="00863BF9" w:rsidP="009B0EE4">
            <w:pPr>
              <w:spacing w:after="0"/>
              <w:rPr>
                <w:rFonts w:eastAsia="MS Mincho"/>
                <w:snapToGrid w:val="0"/>
                <w:color w:val="auto"/>
                <w:lang w:eastAsia="en-US"/>
              </w:rPr>
            </w:pPr>
            <w:r>
              <w:rPr>
                <w:rFonts w:eastAsia="MS Mincho"/>
                <w:snapToGrid w:val="0"/>
                <w:color w:val="auto"/>
                <w:lang w:eastAsia="en-US"/>
              </w:rPr>
              <w:t xml:space="preserve">Average </w:t>
            </w:r>
            <w:r w:rsidR="009B0EE4" w:rsidRPr="00F867D0">
              <w:rPr>
                <w:rFonts w:eastAsia="MS Mincho"/>
                <w:snapToGrid w:val="0"/>
                <w:color w:val="auto"/>
                <w:lang w:eastAsia="en-US"/>
              </w:rPr>
              <w:t>55,000 per country</w:t>
            </w:r>
          </w:p>
          <w:p w14:paraId="0C33DE2D" w14:textId="77777777" w:rsidR="009B0EE4" w:rsidRPr="00F867D0" w:rsidRDefault="009B0EE4" w:rsidP="009B0EE4">
            <w:pPr>
              <w:spacing w:after="0"/>
              <w:rPr>
                <w:rFonts w:eastAsia="MS Mincho"/>
                <w:snapToGrid w:val="0"/>
                <w:color w:val="auto"/>
                <w:lang w:eastAsia="en-US"/>
              </w:rPr>
            </w:pPr>
          </w:p>
        </w:tc>
      </w:tr>
      <w:tr w:rsidR="00496828" w:rsidRPr="00F867D0" w14:paraId="4FB7702C" w14:textId="77777777" w:rsidTr="00C15055">
        <w:tc>
          <w:tcPr>
            <w:tcW w:w="1694" w:type="dxa"/>
          </w:tcPr>
          <w:p w14:paraId="55628E2B"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Demonstration projects</w:t>
            </w:r>
          </w:p>
        </w:tc>
        <w:tc>
          <w:tcPr>
            <w:tcW w:w="4241" w:type="dxa"/>
          </w:tcPr>
          <w:p w14:paraId="40F4EEF3"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Chile / Voluntary implementation of the national framework for environmentally sound management of refrigerators/freezers.</w:t>
            </w:r>
          </w:p>
          <w:p w14:paraId="0F7FA643" w14:textId="77777777" w:rsidR="009B0EE4" w:rsidRPr="00F867D0" w:rsidRDefault="009B0EE4" w:rsidP="009B0EE4">
            <w:pPr>
              <w:spacing w:after="0"/>
              <w:rPr>
                <w:rFonts w:eastAsia="MS Mincho"/>
                <w:snapToGrid w:val="0"/>
                <w:color w:val="auto"/>
                <w:lang w:eastAsia="en-US"/>
              </w:rPr>
            </w:pPr>
          </w:p>
          <w:p w14:paraId="2F1A24D8"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Ghana / Pilot test for an accelerated market transformation through innovative economic incentives/pilot rebate turn in programmes for efficient refrigeration appliances demonstrated.</w:t>
            </w:r>
          </w:p>
          <w:p w14:paraId="19043768" w14:textId="77777777" w:rsidR="009B0EE4" w:rsidRPr="00F867D0" w:rsidRDefault="009B0EE4" w:rsidP="009B0EE4">
            <w:pPr>
              <w:spacing w:after="0"/>
              <w:rPr>
                <w:rFonts w:eastAsia="MS Mincho"/>
                <w:snapToGrid w:val="0"/>
                <w:color w:val="auto"/>
                <w:lang w:eastAsia="en-US"/>
              </w:rPr>
            </w:pPr>
          </w:p>
          <w:p w14:paraId="3D0074FA" w14:textId="3E3BF69B"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12 countries / Demonstration projects including replacement programs, procurement, buyers</w:t>
            </w:r>
            <w:r w:rsidR="00B24C1A" w:rsidRPr="00F867D0">
              <w:rPr>
                <w:rFonts w:eastAsia="MS Mincho"/>
                <w:snapToGrid w:val="0"/>
                <w:color w:val="auto"/>
                <w:lang w:eastAsia="en-US"/>
              </w:rPr>
              <w:t>’</w:t>
            </w:r>
            <w:r w:rsidRPr="00F867D0">
              <w:rPr>
                <w:rFonts w:eastAsia="MS Mincho"/>
                <w:snapToGrid w:val="0"/>
                <w:color w:val="auto"/>
                <w:lang w:eastAsia="en-US"/>
              </w:rPr>
              <w:t xml:space="preserve"> clubs, and development of novel financial mechanisms.</w:t>
            </w:r>
          </w:p>
          <w:p w14:paraId="51CE4874" w14:textId="3BEE38A9" w:rsidR="009B0EE4" w:rsidRPr="00F867D0" w:rsidRDefault="009B0EE4" w:rsidP="009B0EE4">
            <w:pPr>
              <w:spacing w:after="0"/>
              <w:rPr>
                <w:rFonts w:eastAsia="MS Mincho"/>
                <w:snapToGrid w:val="0"/>
                <w:color w:val="auto"/>
                <w:lang w:eastAsia="en-US"/>
              </w:rPr>
            </w:pPr>
          </w:p>
        </w:tc>
        <w:tc>
          <w:tcPr>
            <w:tcW w:w="1170" w:type="dxa"/>
          </w:tcPr>
          <w:p w14:paraId="71BE6267" w14:textId="77777777" w:rsidR="009B0EE4" w:rsidRPr="00CE7E5C" w:rsidRDefault="009B0EE4" w:rsidP="009B0EE4">
            <w:pPr>
              <w:spacing w:after="0"/>
              <w:rPr>
                <w:rFonts w:eastAsia="MS Mincho"/>
                <w:snapToGrid w:val="0"/>
                <w:color w:val="auto"/>
                <w:lang w:eastAsia="en-US"/>
              </w:rPr>
            </w:pPr>
            <w:r w:rsidRPr="00CE7E5C">
              <w:rPr>
                <w:rFonts w:eastAsia="MS Mincho"/>
                <w:snapToGrid w:val="0"/>
                <w:color w:val="auto"/>
                <w:lang w:eastAsia="en-US"/>
              </w:rPr>
              <w:t>GEFTF</w:t>
            </w:r>
          </w:p>
          <w:p w14:paraId="2FD20893" w14:textId="77777777" w:rsidR="009B0EE4" w:rsidRPr="00F867D0" w:rsidRDefault="009B0EE4" w:rsidP="009B0EE4">
            <w:pPr>
              <w:spacing w:after="0"/>
              <w:rPr>
                <w:rFonts w:eastAsia="MS Mincho"/>
                <w:i/>
                <w:snapToGrid w:val="0"/>
                <w:color w:val="auto"/>
                <w:lang w:eastAsia="en-US"/>
              </w:rPr>
            </w:pPr>
          </w:p>
          <w:p w14:paraId="279FAC52" w14:textId="77777777" w:rsidR="009B0EE4" w:rsidRPr="00F867D0" w:rsidRDefault="009B0EE4" w:rsidP="009B0EE4">
            <w:pPr>
              <w:spacing w:after="0"/>
              <w:rPr>
                <w:rFonts w:eastAsia="MS Mincho"/>
                <w:i/>
                <w:snapToGrid w:val="0"/>
                <w:color w:val="auto"/>
                <w:lang w:eastAsia="en-US"/>
              </w:rPr>
            </w:pPr>
          </w:p>
          <w:p w14:paraId="33A2931E" w14:textId="77777777" w:rsidR="009B0EE4" w:rsidRPr="00F867D0" w:rsidRDefault="009B0EE4" w:rsidP="009B0EE4">
            <w:pPr>
              <w:spacing w:after="0"/>
              <w:rPr>
                <w:rFonts w:eastAsia="MS Mincho"/>
                <w:i/>
                <w:snapToGrid w:val="0"/>
                <w:color w:val="auto"/>
                <w:lang w:eastAsia="en-US"/>
              </w:rPr>
            </w:pPr>
          </w:p>
          <w:p w14:paraId="5BFAD008"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GEFTF</w:t>
            </w:r>
          </w:p>
          <w:p w14:paraId="400BA942" w14:textId="77777777" w:rsidR="009B0EE4" w:rsidRPr="00F867D0" w:rsidRDefault="009B0EE4" w:rsidP="009B0EE4">
            <w:pPr>
              <w:spacing w:after="0"/>
              <w:rPr>
                <w:rFonts w:eastAsia="MS Mincho"/>
                <w:snapToGrid w:val="0"/>
                <w:color w:val="auto"/>
                <w:lang w:eastAsia="en-US"/>
              </w:rPr>
            </w:pPr>
          </w:p>
          <w:p w14:paraId="1A692777" w14:textId="77777777" w:rsidR="009B0EE4" w:rsidRPr="00F867D0" w:rsidRDefault="009B0EE4" w:rsidP="009B0EE4">
            <w:pPr>
              <w:spacing w:after="0"/>
              <w:rPr>
                <w:rFonts w:eastAsia="MS Mincho"/>
                <w:snapToGrid w:val="0"/>
                <w:color w:val="auto"/>
                <w:lang w:eastAsia="en-US"/>
              </w:rPr>
            </w:pPr>
          </w:p>
          <w:p w14:paraId="4F1BB594" w14:textId="77777777" w:rsidR="009B0EE4" w:rsidRPr="00F867D0" w:rsidRDefault="009B0EE4" w:rsidP="009B0EE4">
            <w:pPr>
              <w:spacing w:after="0"/>
              <w:rPr>
                <w:rFonts w:eastAsia="MS Mincho"/>
                <w:snapToGrid w:val="0"/>
                <w:color w:val="auto"/>
                <w:lang w:eastAsia="en-US"/>
              </w:rPr>
            </w:pPr>
          </w:p>
          <w:p w14:paraId="7511D531" w14:textId="77777777" w:rsidR="009B0EE4" w:rsidRPr="00F867D0" w:rsidRDefault="009B0EE4" w:rsidP="009B0EE4">
            <w:pPr>
              <w:spacing w:after="0"/>
              <w:rPr>
                <w:rFonts w:eastAsia="MS Mincho"/>
                <w:snapToGrid w:val="0"/>
                <w:color w:val="auto"/>
                <w:lang w:eastAsia="en-US"/>
              </w:rPr>
            </w:pPr>
          </w:p>
          <w:p w14:paraId="482C9E41" w14:textId="77777777" w:rsidR="009B0EE4" w:rsidRPr="00F867D0" w:rsidRDefault="009B0EE4" w:rsidP="009B0EE4">
            <w:pPr>
              <w:spacing w:after="0"/>
              <w:rPr>
                <w:rFonts w:eastAsia="MS Mincho"/>
                <w:snapToGrid w:val="0"/>
                <w:color w:val="auto"/>
                <w:lang w:eastAsia="en-US"/>
              </w:rPr>
            </w:pPr>
          </w:p>
          <w:p w14:paraId="72BFFB5A" w14:textId="68D0E5A3"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K-CEP</w:t>
            </w:r>
          </w:p>
        </w:tc>
        <w:tc>
          <w:tcPr>
            <w:tcW w:w="2340" w:type="dxa"/>
          </w:tcPr>
          <w:p w14:paraId="4A1AA06F"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Chile: 351,299 (1,283,000)</w:t>
            </w:r>
          </w:p>
          <w:p w14:paraId="7A899C29" w14:textId="77777777" w:rsidR="009B0EE4" w:rsidRPr="00F867D0" w:rsidRDefault="009B0EE4" w:rsidP="009B0EE4">
            <w:pPr>
              <w:spacing w:after="0"/>
              <w:rPr>
                <w:rFonts w:eastAsia="MS Mincho"/>
                <w:snapToGrid w:val="0"/>
                <w:color w:val="auto"/>
                <w:lang w:eastAsia="en-US"/>
              </w:rPr>
            </w:pPr>
          </w:p>
          <w:p w14:paraId="0C38C8EF" w14:textId="77777777" w:rsidR="009B0EE4" w:rsidRPr="00F867D0" w:rsidRDefault="009B0EE4" w:rsidP="009B0EE4">
            <w:pPr>
              <w:spacing w:after="0"/>
              <w:rPr>
                <w:rFonts w:eastAsia="MS Mincho"/>
                <w:snapToGrid w:val="0"/>
                <w:color w:val="auto"/>
                <w:lang w:eastAsia="en-US"/>
              </w:rPr>
            </w:pPr>
          </w:p>
          <w:p w14:paraId="6F4E86EA" w14:textId="084E9BED"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Ghana: 400,000 (600,000)</w:t>
            </w:r>
          </w:p>
          <w:p w14:paraId="329AC01C" w14:textId="77777777" w:rsidR="009B0EE4" w:rsidRPr="00F867D0" w:rsidRDefault="009B0EE4" w:rsidP="009B0EE4">
            <w:pPr>
              <w:spacing w:after="0"/>
              <w:rPr>
                <w:rFonts w:eastAsia="MS Mincho"/>
                <w:snapToGrid w:val="0"/>
                <w:color w:val="auto"/>
                <w:lang w:eastAsia="en-US"/>
              </w:rPr>
            </w:pPr>
          </w:p>
          <w:p w14:paraId="75C8CACF" w14:textId="77777777" w:rsidR="009B0EE4" w:rsidRPr="00F867D0" w:rsidRDefault="009B0EE4" w:rsidP="009B0EE4">
            <w:pPr>
              <w:spacing w:after="0"/>
              <w:rPr>
                <w:rFonts w:eastAsia="MS Mincho"/>
                <w:snapToGrid w:val="0"/>
                <w:color w:val="auto"/>
                <w:lang w:eastAsia="en-US"/>
              </w:rPr>
            </w:pPr>
          </w:p>
          <w:p w14:paraId="331962D5" w14:textId="77777777" w:rsidR="009B0EE4" w:rsidRPr="00F867D0" w:rsidRDefault="009B0EE4" w:rsidP="009B0EE4">
            <w:pPr>
              <w:spacing w:after="0"/>
              <w:rPr>
                <w:rFonts w:eastAsia="MS Mincho"/>
                <w:snapToGrid w:val="0"/>
                <w:color w:val="auto"/>
                <w:lang w:eastAsia="en-US"/>
              </w:rPr>
            </w:pPr>
          </w:p>
          <w:p w14:paraId="7159CFB1" w14:textId="77777777" w:rsidR="00C15055" w:rsidRDefault="00C15055" w:rsidP="009B0EE4">
            <w:pPr>
              <w:spacing w:after="0"/>
              <w:rPr>
                <w:rFonts w:eastAsia="MS Mincho"/>
                <w:snapToGrid w:val="0"/>
                <w:color w:val="auto"/>
                <w:lang w:eastAsia="en-US"/>
              </w:rPr>
            </w:pPr>
          </w:p>
          <w:p w14:paraId="18354C29" w14:textId="76DF58AD"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Average: 208,000 per country</w:t>
            </w:r>
          </w:p>
        </w:tc>
      </w:tr>
      <w:tr w:rsidR="00496828" w:rsidRPr="00F867D0" w14:paraId="2DECF6C7" w14:textId="77777777" w:rsidTr="00C15055">
        <w:tc>
          <w:tcPr>
            <w:tcW w:w="1694" w:type="dxa"/>
          </w:tcPr>
          <w:p w14:paraId="4B57396D"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Development of national strategies</w:t>
            </w:r>
          </w:p>
        </w:tc>
        <w:tc>
          <w:tcPr>
            <w:tcW w:w="4241" w:type="dxa"/>
          </w:tcPr>
          <w:p w14:paraId="6C42E496"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 xml:space="preserve">27 countries / Convene relevant government, industry and other stakeholders to assess opportunities to integrate efficiency into refrigerant transition, identify mechanism, inform prioritization of sectors and interventions; may provide basis for funding proposals. </w:t>
            </w:r>
          </w:p>
          <w:p w14:paraId="5D482E19" w14:textId="77777777" w:rsidR="009B0EE4" w:rsidRPr="00F867D0" w:rsidRDefault="009B0EE4" w:rsidP="009B0EE4">
            <w:pPr>
              <w:spacing w:after="0"/>
              <w:rPr>
                <w:rFonts w:eastAsia="MS Mincho"/>
                <w:snapToGrid w:val="0"/>
                <w:color w:val="auto"/>
                <w:lang w:eastAsia="en-US"/>
              </w:rPr>
            </w:pPr>
          </w:p>
          <w:p w14:paraId="351D6C98"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12 countries / Design procurement, awareness, incentives or other market transformation programs.</w:t>
            </w:r>
          </w:p>
          <w:p w14:paraId="44DBD231" w14:textId="77777777" w:rsidR="009B0EE4" w:rsidRPr="00F867D0" w:rsidRDefault="009B0EE4" w:rsidP="009B0EE4">
            <w:pPr>
              <w:spacing w:after="0"/>
              <w:rPr>
                <w:rFonts w:eastAsia="MS Mincho"/>
                <w:snapToGrid w:val="0"/>
                <w:color w:val="auto"/>
                <w:lang w:eastAsia="en-US"/>
              </w:rPr>
            </w:pPr>
          </w:p>
          <w:p w14:paraId="401B8CE0"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 xml:space="preserve">Ghana/Design of certification, labelling and enforcement mechanisms </w:t>
            </w:r>
          </w:p>
          <w:p w14:paraId="7BF83680" w14:textId="77777777" w:rsidR="009B0EE4" w:rsidRPr="00F867D0" w:rsidRDefault="009B0EE4" w:rsidP="009B0EE4">
            <w:pPr>
              <w:spacing w:after="0"/>
              <w:rPr>
                <w:rFonts w:eastAsia="MS Mincho"/>
                <w:snapToGrid w:val="0"/>
                <w:color w:val="auto"/>
                <w:lang w:eastAsia="en-US"/>
              </w:rPr>
            </w:pPr>
          </w:p>
          <w:p w14:paraId="7C4FD77D" w14:textId="707A23D0"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 xml:space="preserve">Chile / Monitoring, Verification and enforcement of </w:t>
            </w:r>
            <w:r w:rsidR="002845EE">
              <w:rPr>
                <w:rFonts w:eastAsia="MS Mincho"/>
                <w:snapToGrid w:val="0"/>
                <w:color w:val="auto"/>
                <w:lang w:eastAsia="en-US"/>
              </w:rPr>
              <w:t>EE</w:t>
            </w:r>
            <w:r w:rsidRPr="00F867D0">
              <w:rPr>
                <w:rFonts w:eastAsia="MS Mincho"/>
                <w:snapToGrid w:val="0"/>
                <w:color w:val="auto"/>
                <w:lang w:eastAsia="en-US"/>
              </w:rPr>
              <w:t xml:space="preserve"> labelling regulations, testing protocols and methodologies for residential refrigerator/freezers </w:t>
            </w:r>
          </w:p>
          <w:p w14:paraId="1E0AD484" w14:textId="77777777" w:rsidR="009B0EE4" w:rsidRPr="00F867D0" w:rsidRDefault="009B0EE4" w:rsidP="009B0EE4">
            <w:pPr>
              <w:spacing w:after="0"/>
              <w:rPr>
                <w:rFonts w:eastAsia="MS Mincho"/>
                <w:snapToGrid w:val="0"/>
                <w:color w:val="auto"/>
                <w:lang w:eastAsia="en-US"/>
              </w:rPr>
            </w:pPr>
          </w:p>
          <w:p w14:paraId="20879A68"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4 countries and 2 regions / build testing, certification, and enforcement capacity.</w:t>
            </w:r>
          </w:p>
          <w:p w14:paraId="0D3B4214" w14:textId="77777777" w:rsidR="009B0EE4" w:rsidRPr="00F867D0" w:rsidRDefault="009B0EE4" w:rsidP="009B0EE4">
            <w:pPr>
              <w:spacing w:after="0"/>
              <w:rPr>
                <w:rFonts w:eastAsia="MS Mincho"/>
                <w:snapToGrid w:val="0"/>
                <w:color w:val="auto"/>
                <w:lang w:eastAsia="en-US"/>
              </w:rPr>
            </w:pPr>
          </w:p>
          <w:p w14:paraId="6EB8CDAE"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13 countries / improve data collection and analysis.</w:t>
            </w:r>
          </w:p>
          <w:p w14:paraId="3562B8E1" w14:textId="04273214" w:rsidR="008C578A" w:rsidRPr="00F867D0" w:rsidRDefault="008C578A" w:rsidP="009B0EE4">
            <w:pPr>
              <w:spacing w:after="0"/>
              <w:rPr>
                <w:rFonts w:eastAsia="MS Mincho"/>
                <w:snapToGrid w:val="0"/>
                <w:color w:val="auto"/>
                <w:lang w:eastAsia="en-US"/>
              </w:rPr>
            </w:pPr>
          </w:p>
        </w:tc>
        <w:tc>
          <w:tcPr>
            <w:tcW w:w="1170" w:type="dxa"/>
          </w:tcPr>
          <w:p w14:paraId="275B71BF"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K-CEP</w:t>
            </w:r>
          </w:p>
          <w:p w14:paraId="7A277656" w14:textId="77777777" w:rsidR="009B0EE4" w:rsidRPr="00F867D0" w:rsidRDefault="009B0EE4" w:rsidP="009B0EE4">
            <w:pPr>
              <w:spacing w:after="0"/>
              <w:rPr>
                <w:rFonts w:eastAsia="MS Mincho"/>
                <w:snapToGrid w:val="0"/>
                <w:color w:val="auto"/>
                <w:lang w:eastAsia="en-US"/>
              </w:rPr>
            </w:pPr>
          </w:p>
          <w:p w14:paraId="56F3CC28" w14:textId="77777777" w:rsidR="009B0EE4" w:rsidRPr="00F867D0" w:rsidRDefault="009B0EE4" w:rsidP="009B0EE4">
            <w:pPr>
              <w:spacing w:after="0"/>
              <w:rPr>
                <w:rFonts w:eastAsia="MS Mincho"/>
                <w:snapToGrid w:val="0"/>
                <w:color w:val="auto"/>
                <w:lang w:eastAsia="en-US"/>
              </w:rPr>
            </w:pPr>
          </w:p>
          <w:p w14:paraId="61EC11BE" w14:textId="77777777" w:rsidR="009B0EE4" w:rsidRPr="00F867D0" w:rsidRDefault="009B0EE4" w:rsidP="009B0EE4">
            <w:pPr>
              <w:spacing w:after="0"/>
              <w:rPr>
                <w:rFonts w:eastAsia="MS Mincho"/>
                <w:snapToGrid w:val="0"/>
                <w:color w:val="auto"/>
                <w:lang w:eastAsia="en-US"/>
              </w:rPr>
            </w:pPr>
          </w:p>
          <w:p w14:paraId="38717F7D" w14:textId="77777777" w:rsidR="009B0EE4" w:rsidRPr="00F867D0" w:rsidRDefault="009B0EE4" w:rsidP="009B0EE4">
            <w:pPr>
              <w:spacing w:after="0"/>
              <w:rPr>
                <w:rFonts w:eastAsia="MS Mincho"/>
                <w:snapToGrid w:val="0"/>
                <w:color w:val="auto"/>
                <w:lang w:eastAsia="en-US"/>
              </w:rPr>
            </w:pPr>
          </w:p>
          <w:p w14:paraId="7534B39A" w14:textId="77777777" w:rsidR="009B0EE4" w:rsidRPr="00F867D0" w:rsidRDefault="009B0EE4" w:rsidP="009B0EE4">
            <w:pPr>
              <w:spacing w:after="0"/>
              <w:rPr>
                <w:rFonts w:eastAsia="MS Mincho"/>
                <w:snapToGrid w:val="0"/>
                <w:color w:val="auto"/>
                <w:lang w:eastAsia="en-US"/>
              </w:rPr>
            </w:pPr>
          </w:p>
          <w:p w14:paraId="01DB08F2" w14:textId="77777777" w:rsidR="009B0EE4" w:rsidRPr="00F867D0" w:rsidRDefault="009B0EE4" w:rsidP="009B0EE4">
            <w:pPr>
              <w:spacing w:after="0"/>
              <w:rPr>
                <w:rFonts w:eastAsia="MS Mincho"/>
                <w:snapToGrid w:val="0"/>
                <w:color w:val="auto"/>
                <w:lang w:eastAsia="en-US"/>
              </w:rPr>
            </w:pPr>
          </w:p>
          <w:p w14:paraId="4AF2D1E7" w14:textId="77777777" w:rsidR="009B0EE4" w:rsidRPr="00F867D0" w:rsidRDefault="009B0EE4" w:rsidP="009B0EE4">
            <w:pPr>
              <w:spacing w:after="0"/>
              <w:rPr>
                <w:rFonts w:eastAsia="MS Mincho"/>
                <w:snapToGrid w:val="0"/>
                <w:color w:val="auto"/>
                <w:lang w:eastAsia="en-US"/>
              </w:rPr>
            </w:pPr>
          </w:p>
          <w:p w14:paraId="138C6913" w14:textId="392E6B73"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K-CEP</w:t>
            </w:r>
          </w:p>
          <w:p w14:paraId="0CA7CC5B" w14:textId="77777777" w:rsidR="009B0EE4" w:rsidRPr="00F867D0" w:rsidRDefault="009B0EE4" w:rsidP="009B0EE4">
            <w:pPr>
              <w:spacing w:after="0"/>
              <w:rPr>
                <w:rFonts w:eastAsia="MS Mincho"/>
                <w:snapToGrid w:val="0"/>
                <w:color w:val="auto"/>
                <w:lang w:eastAsia="en-US"/>
              </w:rPr>
            </w:pPr>
          </w:p>
          <w:p w14:paraId="1C57795B" w14:textId="77777777" w:rsidR="009B0EE4" w:rsidRPr="00F867D0" w:rsidRDefault="009B0EE4" w:rsidP="009B0EE4">
            <w:pPr>
              <w:spacing w:after="0"/>
              <w:rPr>
                <w:rFonts w:eastAsia="MS Mincho"/>
                <w:snapToGrid w:val="0"/>
                <w:color w:val="auto"/>
                <w:lang w:eastAsia="en-US"/>
              </w:rPr>
            </w:pPr>
          </w:p>
          <w:p w14:paraId="037D7D6A" w14:textId="77777777" w:rsidR="00373DCB" w:rsidRDefault="00373DCB" w:rsidP="009B0EE4">
            <w:pPr>
              <w:spacing w:after="0"/>
              <w:rPr>
                <w:rFonts w:eastAsia="MS Mincho"/>
                <w:snapToGrid w:val="0"/>
                <w:color w:val="auto"/>
                <w:lang w:eastAsia="en-US"/>
              </w:rPr>
            </w:pPr>
          </w:p>
          <w:p w14:paraId="7A4B437D" w14:textId="096BB14D"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GEFTF</w:t>
            </w:r>
          </w:p>
          <w:p w14:paraId="346902BB" w14:textId="77777777" w:rsidR="009B0EE4" w:rsidRPr="00F867D0" w:rsidRDefault="009B0EE4" w:rsidP="009B0EE4">
            <w:pPr>
              <w:spacing w:after="0"/>
              <w:rPr>
                <w:rFonts w:eastAsia="MS Mincho"/>
                <w:snapToGrid w:val="0"/>
                <w:color w:val="auto"/>
                <w:lang w:eastAsia="en-US"/>
              </w:rPr>
            </w:pPr>
          </w:p>
          <w:p w14:paraId="3B9A7E33" w14:textId="77777777" w:rsidR="009B0EE4" w:rsidRPr="00F867D0" w:rsidRDefault="009B0EE4" w:rsidP="009B0EE4">
            <w:pPr>
              <w:spacing w:after="0"/>
              <w:rPr>
                <w:rFonts w:eastAsia="MS Mincho"/>
                <w:snapToGrid w:val="0"/>
                <w:color w:val="auto"/>
                <w:lang w:eastAsia="en-US"/>
              </w:rPr>
            </w:pPr>
          </w:p>
          <w:p w14:paraId="59403F92"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GEFTF</w:t>
            </w:r>
          </w:p>
          <w:p w14:paraId="10D3A1DA" w14:textId="77777777" w:rsidR="009B0EE4" w:rsidRPr="00F867D0" w:rsidRDefault="009B0EE4" w:rsidP="009B0EE4">
            <w:pPr>
              <w:spacing w:after="0"/>
              <w:rPr>
                <w:rFonts w:eastAsia="MS Mincho"/>
                <w:snapToGrid w:val="0"/>
                <w:color w:val="auto"/>
                <w:lang w:eastAsia="en-US"/>
              </w:rPr>
            </w:pPr>
          </w:p>
          <w:p w14:paraId="21F4EB8F" w14:textId="77777777" w:rsidR="009B0EE4" w:rsidRPr="00F867D0" w:rsidRDefault="009B0EE4" w:rsidP="009B0EE4">
            <w:pPr>
              <w:spacing w:after="0"/>
              <w:rPr>
                <w:rFonts w:eastAsia="MS Mincho"/>
                <w:snapToGrid w:val="0"/>
                <w:color w:val="auto"/>
                <w:lang w:eastAsia="en-US"/>
              </w:rPr>
            </w:pPr>
          </w:p>
          <w:p w14:paraId="4BFD8BBD" w14:textId="77777777" w:rsidR="009B0EE4" w:rsidRPr="00F867D0" w:rsidRDefault="009B0EE4" w:rsidP="009B0EE4">
            <w:pPr>
              <w:spacing w:after="0"/>
              <w:rPr>
                <w:rFonts w:eastAsia="MS Mincho"/>
                <w:snapToGrid w:val="0"/>
                <w:color w:val="auto"/>
                <w:lang w:eastAsia="en-US"/>
              </w:rPr>
            </w:pPr>
          </w:p>
          <w:p w14:paraId="58E6B3BD" w14:textId="77777777" w:rsidR="009B0EE4" w:rsidRPr="00F867D0" w:rsidRDefault="009B0EE4" w:rsidP="009B0EE4">
            <w:pPr>
              <w:spacing w:after="0"/>
              <w:rPr>
                <w:rFonts w:eastAsia="MS Mincho"/>
                <w:snapToGrid w:val="0"/>
                <w:color w:val="auto"/>
                <w:lang w:eastAsia="en-US"/>
              </w:rPr>
            </w:pPr>
          </w:p>
          <w:p w14:paraId="46503459" w14:textId="06DF2425"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K-CEP</w:t>
            </w:r>
          </w:p>
          <w:p w14:paraId="0DF50B68" w14:textId="77777777" w:rsidR="009B0EE4" w:rsidRPr="00F867D0" w:rsidRDefault="009B0EE4" w:rsidP="009B0EE4">
            <w:pPr>
              <w:spacing w:after="0"/>
              <w:rPr>
                <w:rFonts w:eastAsia="MS Mincho"/>
                <w:snapToGrid w:val="0"/>
                <w:color w:val="auto"/>
                <w:lang w:eastAsia="en-US"/>
              </w:rPr>
            </w:pPr>
          </w:p>
          <w:p w14:paraId="0CC35CCA" w14:textId="77777777" w:rsidR="009B0EE4" w:rsidRPr="00F867D0" w:rsidRDefault="009B0EE4" w:rsidP="009B0EE4">
            <w:pPr>
              <w:spacing w:after="0"/>
              <w:rPr>
                <w:rFonts w:eastAsia="MS Mincho"/>
                <w:snapToGrid w:val="0"/>
                <w:color w:val="auto"/>
                <w:lang w:eastAsia="en-US"/>
              </w:rPr>
            </w:pPr>
          </w:p>
          <w:p w14:paraId="421C58BC" w14:textId="223FAAA9"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K-CEP</w:t>
            </w:r>
          </w:p>
        </w:tc>
        <w:tc>
          <w:tcPr>
            <w:tcW w:w="2340" w:type="dxa"/>
          </w:tcPr>
          <w:p w14:paraId="54850C72"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Average: 139,000 per country</w:t>
            </w:r>
          </w:p>
          <w:p w14:paraId="0F3B5DB0" w14:textId="77777777" w:rsidR="009B0EE4" w:rsidRPr="00F867D0" w:rsidRDefault="009B0EE4" w:rsidP="009B0EE4">
            <w:pPr>
              <w:spacing w:after="0"/>
              <w:rPr>
                <w:rFonts w:eastAsia="MS Mincho"/>
                <w:snapToGrid w:val="0"/>
                <w:color w:val="auto"/>
                <w:lang w:eastAsia="en-US"/>
              </w:rPr>
            </w:pPr>
          </w:p>
          <w:p w14:paraId="7385EE78" w14:textId="77777777" w:rsidR="009B0EE4" w:rsidRPr="00F867D0" w:rsidRDefault="009B0EE4" w:rsidP="009B0EE4">
            <w:pPr>
              <w:spacing w:after="0"/>
              <w:rPr>
                <w:rFonts w:eastAsia="MS Mincho"/>
                <w:snapToGrid w:val="0"/>
                <w:color w:val="auto"/>
                <w:lang w:eastAsia="en-US"/>
              </w:rPr>
            </w:pPr>
          </w:p>
          <w:p w14:paraId="741A6102" w14:textId="77777777" w:rsidR="009B0EE4" w:rsidRPr="00F867D0" w:rsidRDefault="009B0EE4" w:rsidP="009B0EE4">
            <w:pPr>
              <w:spacing w:after="0"/>
              <w:rPr>
                <w:rFonts w:eastAsia="MS Mincho"/>
                <w:snapToGrid w:val="0"/>
                <w:color w:val="auto"/>
                <w:lang w:eastAsia="en-US"/>
              </w:rPr>
            </w:pPr>
          </w:p>
          <w:p w14:paraId="33088DD4" w14:textId="77777777" w:rsidR="009B0EE4" w:rsidRPr="00F867D0" w:rsidRDefault="009B0EE4" w:rsidP="009B0EE4">
            <w:pPr>
              <w:spacing w:after="0"/>
              <w:rPr>
                <w:rFonts w:eastAsia="MS Mincho"/>
                <w:snapToGrid w:val="0"/>
                <w:color w:val="auto"/>
                <w:lang w:eastAsia="en-US"/>
              </w:rPr>
            </w:pPr>
          </w:p>
          <w:p w14:paraId="6A35BA7B" w14:textId="77777777" w:rsidR="009B0EE4" w:rsidRPr="00F867D0" w:rsidRDefault="009B0EE4" w:rsidP="009B0EE4">
            <w:pPr>
              <w:spacing w:after="0"/>
              <w:rPr>
                <w:rFonts w:eastAsia="MS Mincho"/>
                <w:snapToGrid w:val="0"/>
                <w:color w:val="auto"/>
                <w:lang w:eastAsia="en-US"/>
              </w:rPr>
            </w:pPr>
          </w:p>
          <w:p w14:paraId="10A202B6" w14:textId="77777777" w:rsidR="00496828" w:rsidRDefault="00496828" w:rsidP="009B0EE4">
            <w:pPr>
              <w:spacing w:after="0"/>
              <w:rPr>
                <w:rFonts w:eastAsia="MS Mincho"/>
                <w:snapToGrid w:val="0"/>
                <w:color w:val="auto"/>
                <w:lang w:eastAsia="en-US"/>
              </w:rPr>
            </w:pPr>
          </w:p>
          <w:p w14:paraId="1A83BB65" w14:textId="55B5B8A2"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Average: 226,750</w:t>
            </w:r>
          </w:p>
          <w:p w14:paraId="4AB8DCD8" w14:textId="77777777" w:rsidR="009B0EE4" w:rsidRPr="00F867D0" w:rsidRDefault="009B0EE4" w:rsidP="009B0EE4">
            <w:pPr>
              <w:spacing w:after="0"/>
              <w:rPr>
                <w:rFonts w:eastAsia="MS Mincho"/>
                <w:snapToGrid w:val="0"/>
                <w:color w:val="auto"/>
                <w:lang w:eastAsia="en-US"/>
              </w:rPr>
            </w:pPr>
          </w:p>
          <w:p w14:paraId="7B77D015" w14:textId="77777777" w:rsidR="009B0EE4" w:rsidRPr="00F867D0" w:rsidRDefault="009B0EE4" w:rsidP="009B0EE4">
            <w:pPr>
              <w:spacing w:after="0"/>
              <w:rPr>
                <w:rFonts w:eastAsia="MS Mincho"/>
                <w:snapToGrid w:val="0"/>
                <w:color w:val="auto"/>
                <w:lang w:eastAsia="en-US"/>
              </w:rPr>
            </w:pPr>
          </w:p>
          <w:p w14:paraId="6318C9EB" w14:textId="77777777" w:rsidR="00373DCB" w:rsidRDefault="00373DCB" w:rsidP="009B0EE4">
            <w:pPr>
              <w:spacing w:after="0"/>
              <w:rPr>
                <w:rFonts w:eastAsia="MS Mincho"/>
                <w:snapToGrid w:val="0"/>
                <w:color w:val="auto"/>
                <w:lang w:eastAsia="en-US"/>
              </w:rPr>
            </w:pPr>
          </w:p>
          <w:p w14:paraId="3E76AD84" w14:textId="00CA11C8"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Ghana: 100,000 (250,000)</w:t>
            </w:r>
          </w:p>
          <w:p w14:paraId="69EB6C67" w14:textId="77777777" w:rsidR="009B0EE4" w:rsidRPr="00F867D0" w:rsidRDefault="009B0EE4" w:rsidP="009B0EE4">
            <w:pPr>
              <w:spacing w:after="0"/>
              <w:rPr>
                <w:rFonts w:eastAsia="MS Mincho"/>
                <w:snapToGrid w:val="0"/>
                <w:color w:val="auto"/>
                <w:lang w:eastAsia="en-US"/>
              </w:rPr>
            </w:pPr>
          </w:p>
          <w:p w14:paraId="39056A41" w14:textId="1E5F9D86"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Chile: 283,853 (823,000)</w:t>
            </w:r>
          </w:p>
          <w:p w14:paraId="1FCA12A3" w14:textId="77777777" w:rsidR="009B0EE4" w:rsidRPr="00F867D0" w:rsidRDefault="009B0EE4" w:rsidP="009B0EE4">
            <w:pPr>
              <w:spacing w:after="0"/>
              <w:rPr>
                <w:rFonts w:eastAsia="MS Mincho"/>
                <w:snapToGrid w:val="0"/>
                <w:color w:val="auto"/>
                <w:lang w:eastAsia="en-US"/>
              </w:rPr>
            </w:pPr>
          </w:p>
          <w:p w14:paraId="2639B495" w14:textId="77777777" w:rsidR="009B0EE4" w:rsidRPr="00F867D0" w:rsidRDefault="009B0EE4" w:rsidP="009B0EE4">
            <w:pPr>
              <w:spacing w:after="0"/>
              <w:rPr>
                <w:rFonts w:eastAsia="MS Mincho"/>
                <w:snapToGrid w:val="0"/>
                <w:color w:val="auto"/>
                <w:lang w:eastAsia="en-US"/>
              </w:rPr>
            </w:pPr>
          </w:p>
          <w:p w14:paraId="0ED188E8" w14:textId="77777777" w:rsidR="009B0EE4" w:rsidRPr="00F867D0" w:rsidRDefault="009B0EE4" w:rsidP="009B0EE4">
            <w:pPr>
              <w:spacing w:after="0"/>
              <w:rPr>
                <w:rFonts w:eastAsia="MS Mincho"/>
                <w:snapToGrid w:val="0"/>
                <w:color w:val="auto"/>
                <w:lang w:eastAsia="en-US"/>
              </w:rPr>
            </w:pPr>
          </w:p>
          <w:p w14:paraId="51E433D2" w14:textId="5742B87A"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Average: 319,000 per country/region</w:t>
            </w:r>
          </w:p>
          <w:p w14:paraId="3AA4ECE9" w14:textId="77777777" w:rsidR="009B0EE4" w:rsidRPr="00F867D0" w:rsidRDefault="009B0EE4" w:rsidP="009B0EE4">
            <w:pPr>
              <w:spacing w:after="0"/>
              <w:rPr>
                <w:rFonts w:eastAsia="MS Mincho"/>
                <w:snapToGrid w:val="0"/>
                <w:color w:val="auto"/>
                <w:lang w:eastAsia="en-US"/>
              </w:rPr>
            </w:pPr>
          </w:p>
          <w:p w14:paraId="72CC97EB"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Average: 93,000 per country</w:t>
            </w:r>
          </w:p>
        </w:tc>
      </w:tr>
      <w:tr w:rsidR="00496828" w:rsidRPr="00F867D0" w14:paraId="4A3EB9ED" w14:textId="77777777" w:rsidTr="00C15055">
        <w:tc>
          <w:tcPr>
            <w:tcW w:w="1694" w:type="dxa"/>
          </w:tcPr>
          <w:p w14:paraId="76C3F30D"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Activities related to MEPS [included for information only]</w:t>
            </w:r>
          </w:p>
        </w:tc>
        <w:tc>
          <w:tcPr>
            <w:tcW w:w="4241" w:type="dxa"/>
          </w:tcPr>
          <w:p w14:paraId="565033DB"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Chile/ Market transformation of the EE residential refrigerators/freezers via MEPs implementation and EE labelling in line with international best practices and provision of associated capacity building.</w:t>
            </w:r>
          </w:p>
          <w:p w14:paraId="5DE23565" w14:textId="77777777" w:rsidR="009B0EE4" w:rsidRPr="00F867D0" w:rsidRDefault="009B0EE4" w:rsidP="009B0EE4">
            <w:pPr>
              <w:spacing w:after="0"/>
              <w:rPr>
                <w:rFonts w:eastAsia="MS Mincho"/>
                <w:snapToGrid w:val="0"/>
                <w:color w:val="auto"/>
                <w:lang w:eastAsia="en-US"/>
              </w:rPr>
            </w:pPr>
          </w:p>
          <w:p w14:paraId="4A273F8E" w14:textId="18BCD834"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 xml:space="preserve">Ghana/ Strengthening of regulatory and institutional framework for S&amp;L program / mechanisms for implementation of appliance </w:t>
            </w:r>
            <w:r w:rsidR="002845EE">
              <w:rPr>
                <w:rFonts w:eastAsia="MS Mincho"/>
                <w:snapToGrid w:val="0"/>
                <w:color w:val="auto"/>
                <w:lang w:eastAsia="en-US"/>
              </w:rPr>
              <w:t>EE</w:t>
            </w:r>
            <w:r w:rsidRPr="00F867D0">
              <w:rPr>
                <w:rFonts w:eastAsia="MS Mincho"/>
                <w:snapToGrid w:val="0"/>
                <w:color w:val="auto"/>
                <w:lang w:eastAsia="en-US"/>
              </w:rPr>
              <w:t xml:space="preserve"> standards and labels (S&amp;L).</w:t>
            </w:r>
          </w:p>
          <w:p w14:paraId="5EBDF896" w14:textId="77777777" w:rsidR="009B0EE4" w:rsidRPr="00F867D0" w:rsidRDefault="009B0EE4" w:rsidP="009B0EE4">
            <w:pPr>
              <w:spacing w:after="0"/>
              <w:rPr>
                <w:rFonts w:eastAsia="MS Mincho"/>
                <w:snapToGrid w:val="0"/>
                <w:color w:val="auto"/>
                <w:lang w:eastAsia="en-US"/>
              </w:rPr>
            </w:pPr>
          </w:p>
          <w:p w14:paraId="62DB7D97" w14:textId="1FBEFD43"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 xml:space="preserve">21 countries / support for </w:t>
            </w:r>
            <w:r w:rsidR="002845EE">
              <w:rPr>
                <w:rFonts w:eastAsia="MS Mincho"/>
                <w:snapToGrid w:val="0"/>
                <w:color w:val="auto"/>
                <w:lang w:eastAsia="en-US"/>
              </w:rPr>
              <w:t>EE</w:t>
            </w:r>
            <w:r w:rsidRPr="00F867D0">
              <w:rPr>
                <w:rFonts w:eastAsia="MS Mincho"/>
                <w:snapToGrid w:val="0"/>
                <w:color w:val="auto"/>
                <w:lang w:eastAsia="en-US"/>
              </w:rPr>
              <w:t xml:space="preserve"> MEPS for refrigerators and/or air conditioners and supporting analysis and policies.</w:t>
            </w:r>
          </w:p>
          <w:p w14:paraId="38F66FB4" w14:textId="4655C10A" w:rsidR="008C578A" w:rsidRPr="00F867D0" w:rsidRDefault="008C578A" w:rsidP="009B0EE4">
            <w:pPr>
              <w:spacing w:after="0"/>
              <w:rPr>
                <w:rFonts w:eastAsia="MS Mincho"/>
                <w:snapToGrid w:val="0"/>
                <w:color w:val="auto"/>
                <w:lang w:eastAsia="en-US"/>
              </w:rPr>
            </w:pPr>
          </w:p>
        </w:tc>
        <w:tc>
          <w:tcPr>
            <w:tcW w:w="1170" w:type="dxa"/>
          </w:tcPr>
          <w:p w14:paraId="612824BB"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GEFTF</w:t>
            </w:r>
          </w:p>
          <w:p w14:paraId="5C15F9B1" w14:textId="77777777" w:rsidR="009B0EE4" w:rsidRPr="00F867D0" w:rsidRDefault="009B0EE4" w:rsidP="009B0EE4">
            <w:pPr>
              <w:spacing w:after="0"/>
              <w:rPr>
                <w:rFonts w:eastAsia="MS Mincho"/>
                <w:i/>
                <w:snapToGrid w:val="0"/>
                <w:color w:val="auto"/>
                <w:lang w:eastAsia="en-US"/>
              </w:rPr>
            </w:pPr>
          </w:p>
          <w:p w14:paraId="5218DA62" w14:textId="77777777" w:rsidR="009B0EE4" w:rsidRPr="00F867D0" w:rsidRDefault="009B0EE4" w:rsidP="009B0EE4">
            <w:pPr>
              <w:spacing w:after="0"/>
              <w:rPr>
                <w:rFonts w:eastAsia="MS Mincho"/>
                <w:i/>
                <w:snapToGrid w:val="0"/>
                <w:color w:val="auto"/>
                <w:lang w:eastAsia="en-US"/>
              </w:rPr>
            </w:pPr>
          </w:p>
          <w:p w14:paraId="1E7ECEB3" w14:textId="77777777" w:rsidR="009B0EE4" w:rsidRPr="00F867D0" w:rsidRDefault="009B0EE4" w:rsidP="009B0EE4">
            <w:pPr>
              <w:spacing w:after="0"/>
              <w:rPr>
                <w:rFonts w:eastAsia="MS Mincho"/>
                <w:i/>
                <w:snapToGrid w:val="0"/>
                <w:color w:val="auto"/>
                <w:lang w:eastAsia="en-US"/>
              </w:rPr>
            </w:pPr>
          </w:p>
          <w:p w14:paraId="01CC6E7D" w14:textId="77777777" w:rsidR="009B0EE4" w:rsidRPr="00F867D0" w:rsidRDefault="009B0EE4" w:rsidP="009B0EE4">
            <w:pPr>
              <w:spacing w:after="0"/>
              <w:rPr>
                <w:rFonts w:eastAsia="MS Mincho"/>
                <w:i/>
                <w:snapToGrid w:val="0"/>
                <w:color w:val="auto"/>
                <w:lang w:eastAsia="en-US"/>
              </w:rPr>
            </w:pPr>
          </w:p>
          <w:p w14:paraId="1AB77380" w14:textId="77777777" w:rsidR="009B0EE4" w:rsidRPr="00F867D0" w:rsidRDefault="009B0EE4" w:rsidP="009B0EE4">
            <w:pPr>
              <w:spacing w:after="0"/>
              <w:rPr>
                <w:rFonts w:eastAsia="MS Mincho"/>
                <w:i/>
                <w:snapToGrid w:val="0"/>
                <w:color w:val="auto"/>
                <w:lang w:eastAsia="en-US"/>
              </w:rPr>
            </w:pPr>
          </w:p>
          <w:p w14:paraId="694E19C9" w14:textId="78037DDD"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GEFTF</w:t>
            </w:r>
          </w:p>
          <w:p w14:paraId="74401BDE" w14:textId="77777777" w:rsidR="009B0EE4" w:rsidRPr="00F867D0" w:rsidRDefault="009B0EE4" w:rsidP="009B0EE4">
            <w:pPr>
              <w:spacing w:after="0"/>
              <w:rPr>
                <w:rFonts w:eastAsia="MS Mincho"/>
                <w:i/>
                <w:snapToGrid w:val="0"/>
                <w:color w:val="auto"/>
                <w:lang w:eastAsia="en-US"/>
              </w:rPr>
            </w:pPr>
          </w:p>
          <w:p w14:paraId="5A7A0A69" w14:textId="77777777" w:rsidR="009B0EE4" w:rsidRPr="00F867D0" w:rsidRDefault="009B0EE4" w:rsidP="009B0EE4">
            <w:pPr>
              <w:spacing w:after="0"/>
              <w:rPr>
                <w:rFonts w:eastAsia="MS Mincho"/>
                <w:i/>
                <w:snapToGrid w:val="0"/>
                <w:color w:val="auto"/>
                <w:lang w:eastAsia="en-US"/>
              </w:rPr>
            </w:pPr>
          </w:p>
          <w:p w14:paraId="16EE343D" w14:textId="77777777" w:rsidR="009B0EE4" w:rsidRPr="00F867D0" w:rsidRDefault="009B0EE4" w:rsidP="009B0EE4">
            <w:pPr>
              <w:spacing w:after="0"/>
              <w:rPr>
                <w:rFonts w:eastAsia="MS Mincho"/>
                <w:i/>
                <w:snapToGrid w:val="0"/>
                <w:color w:val="auto"/>
                <w:lang w:eastAsia="en-US"/>
              </w:rPr>
            </w:pPr>
          </w:p>
          <w:p w14:paraId="4B56D6AF" w14:textId="77777777" w:rsidR="009B0EE4" w:rsidRPr="00F867D0" w:rsidRDefault="009B0EE4" w:rsidP="009B0EE4">
            <w:pPr>
              <w:spacing w:after="0"/>
              <w:rPr>
                <w:rFonts w:eastAsia="MS Mincho"/>
                <w:i/>
                <w:snapToGrid w:val="0"/>
                <w:color w:val="auto"/>
                <w:lang w:eastAsia="en-US"/>
              </w:rPr>
            </w:pPr>
          </w:p>
          <w:p w14:paraId="036C56FD" w14:textId="2D1F44F5"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K-CEP</w:t>
            </w:r>
          </w:p>
        </w:tc>
        <w:tc>
          <w:tcPr>
            <w:tcW w:w="2340" w:type="dxa"/>
          </w:tcPr>
          <w:p w14:paraId="6E51C7FA" w14:textId="77777777"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Chile: 106,334 (1,572,550)</w:t>
            </w:r>
          </w:p>
          <w:p w14:paraId="5271B822" w14:textId="77777777" w:rsidR="009B0EE4" w:rsidRPr="00F867D0" w:rsidRDefault="009B0EE4" w:rsidP="009B0EE4">
            <w:pPr>
              <w:spacing w:after="0"/>
              <w:rPr>
                <w:rFonts w:eastAsia="MS Mincho"/>
                <w:snapToGrid w:val="0"/>
                <w:color w:val="auto"/>
                <w:lang w:eastAsia="en-US"/>
              </w:rPr>
            </w:pPr>
          </w:p>
          <w:p w14:paraId="6FB1C2FF" w14:textId="77777777" w:rsidR="009B0EE4" w:rsidRPr="00F867D0" w:rsidRDefault="009B0EE4" w:rsidP="009B0EE4">
            <w:pPr>
              <w:spacing w:after="0"/>
              <w:rPr>
                <w:rFonts w:eastAsia="MS Mincho"/>
                <w:snapToGrid w:val="0"/>
                <w:color w:val="auto"/>
                <w:lang w:eastAsia="en-US"/>
              </w:rPr>
            </w:pPr>
          </w:p>
          <w:p w14:paraId="119297E4" w14:textId="77777777" w:rsidR="009B0EE4" w:rsidRPr="00F867D0" w:rsidRDefault="009B0EE4" w:rsidP="009B0EE4">
            <w:pPr>
              <w:spacing w:after="0"/>
              <w:rPr>
                <w:rFonts w:eastAsia="MS Mincho"/>
                <w:snapToGrid w:val="0"/>
                <w:color w:val="auto"/>
                <w:lang w:eastAsia="en-US"/>
              </w:rPr>
            </w:pPr>
          </w:p>
          <w:p w14:paraId="3FD9C4FE" w14:textId="77777777" w:rsidR="009B0EE4" w:rsidRPr="00F867D0" w:rsidRDefault="009B0EE4" w:rsidP="009B0EE4">
            <w:pPr>
              <w:spacing w:after="0"/>
              <w:rPr>
                <w:rFonts w:eastAsia="MS Mincho"/>
                <w:snapToGrid w:val="0"/>
                <w:color w:val="auto"/>
                <w:lang w:eastAsia="en-US"/>
              </w:rPr>
            </w:pPr>
          </w:p>
          <w:p w14:paraId="2FB02810" w14:textId="7BD69B25"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Ghana: 50,000 (250,000)</w:t>
            </w:r>
          </w:p>
          <w:p w14:paraId="13FDA9C2" w14:textId="77777777" w:rsidR="009B0EE4" w:rsidRPr="00F867D0" w:rsidRDefault="009B0EE4" w:rsidP="009B0EE4">
            <w:pPr>
              <w:spacing w:after="0"/>
              <w:rPr>
                <w:rFonts w:eastAsia="MS Mincho"/>
                <w:snapToGrid w:val="0"/>
                <w:color w:val="auto"/>
                <w:lang w:eastAsia="en-US"/>
              </w:rPr>
            </w:pPr>
          </w:p>
          <w:p w14:paraId="056636F2" w14:textId="77777777" w:rsidR="009B0EE4" w:rsidRPr="00F867D0" w:rsidRDefault="009B0EE4" w:rsidP="009B0EE4">
            <w:pPr>
              <w:spacing w:after="0"/>
              <w:rPr>
                <w:rFonts w:eastAsia="MS Mincho"/>
                <w:snapToGrid w:val="0"/>
                <w:color w:val="auto"/>
                <w:lang w:eastAsia="en-US"/>
              </w:rPr>
            </w:pPr>
          </w:p>
          <w:p w14:paraId="3D568F9F" w14:textId="77777777" w:rsidR="009B0EE4" w:rsidRPr="00F867D0" w:rsidRDefault="009B0EE4" w:rsidP="009B0EE4">
            <w:pPr>
              <w:spacing w:after="0"/>
              <w:rPr>
                <w:rFonts w:eastAsia="MS Mincho"/>
                <w:snapToGrid w:val="0"/>
                <w:color w:val="auto"/>
                <w:lang w:eastAsia="en-US"/>
              </w:rPr>
            </w:pPr>
          </w:p>
          <w:p w14:paraId="010C26F2" w14:textId="6EC221D8" w:rsidR="009B0EE4" w:rsidRPr="00F867D0" w:rsidRDefault="009B0EE4" w:rsidP="009B0EE4">
            <w:pPr>
              <w:spacing w:after="0"/>
              <w:rPr>
                <w:rFonts w:eastAsia="MS Mincho"/>
                <w:snapToGrid w:val="0"/>
                <w:color w:val="auto"/>
                <w:lang w:eastAsia="en-US"/>
              </w:rPr>
            </w:pPr>
            <w:r w:rsidRPr="00F867D0">
              <w:rPr>
                <w:rFonts w:eastAsia="MS Mincho"/>
                <w:snapToGrid w:val="0"/>
                <w:color w:val="auto"/>
                <w:lang w:eastAsia="en-US"/>
              </w:rPr>
              <w:t>Average: 222,500</w:t>
            </w:r>
          </w:p>
        </w:tc>
      </w:tr>
    </w:tbl>
    <w:p w14:paraId="636F92C9" w14:textId="77777777" w:rsidR="009B0EE4" w:rsidRPr="00F867D0" w:rsidRDefault="009B0EE4" w:rsidP="009B0EE4">
      <w:pPr>
        <w:spacing w:after="0"/>
        <w:rPr>
          <w:rFonts w:eastAsia="MS Mincho"/>
          <w:b/>
          <w:snapToGrid w:val="0"/>
          <w:color w:val="auto"/>
          <w:szCs w:val="22"/>
          <w:lang w:eastAsia="en-US"/>
        </w:rPr>
      </w:pPr>
    </w:p>
    <w:p w14:paraId="3A918ABF" w14:textId="2B72B2EA" w:rsidR="00A663AA" w:rsidRPr="000F749F" w:rsidRDefault="00A663AA" w:rsidP="000F749F">
      <w:pPr>
        <w:pStyle w:val="Heading2"/>
        <w:rPr>
          <w:b w:val="0"/>
        </w:rPr>
      </w:pPr>
      <w:bookmarkStart w:id="89" w:name="_Toc515454386"/>
      <w:bookmarkStart w:id="90" w:name="_Hlk514683638"/>
      <w:r w:rsidRPr="000F749F">
        <w:t>2.7</w:t>
      </w:r>
      <w:r w:rsidRPr="000F749F">
        <w:tab/>
        <w:t>Costs related to technology options for energy efficiency</w:t>
      </w:r>
      <w:bookmarkEnd w:id="89"/>
    </w:p>
    <w:p w14:paraId="2D51D2D4" w14:textId="1AA47E9A" w:rsidR="004F2481" w:rsidRPr="00F867D0" w:rsidRDefault="004F2481" w:rsidP="00A663AA">
      <w:pPr>
        <w:keepNext/>
        <w:widowControl w:val="0"/>
        <w:tabs>
          <w:tab w:val="left" w:pos="720"/>
        </w:tabs>
        <w:autoSpaceDE w:val="0"/>
        <w:autoSpaceDN w:val="0"/>
        <w:adjustRightInd w:val="0"/>
        <w:spacing w:before="240"/>
        <w:ind w:left="720" w:right="28" w:hanging="720"/>
        <w:outlineLvl w:val="1"/>
        <w:rPr>
          <w:rFonts w:eastAsia="MS Mincho"/>
          <w:b/>
          <w:snapToGrid w:val="0"/>
          <w:color w:val="auto"/>
          <w:sz w:val="24"/>
          <w:szCs w:val="22"/>
          <w:lang w:eastAsia="en-US"/>
        </w:rPr>
      </w:pPr>
      <w:r w:rsidRPr="00F867D0">
        <w:rPr>
          <w:rFonts w:eastAsia="MS Mincho"/>
          <w:b/>
          <w:snapToGrid w:val="0"/>
          <w:color w:val="auto"/>
          <w:sz w:val="24"/>
          <w:szCs w:val="22"/>
          <w:lang w:eastAsia="en-US"/>
        </w:rPr>
        <w:t>Summary</w:t>
      </w:r>
    </w:p>
    <w:bookmarkEnd w:id="90"/>
    <w:p w14:paraId="50E38B2C" w14:textId="77777777" w:rsidR="00373DCB" w:rsidRPr="005A7023" w:rsidRDefault="00373DCB" w:rsidP="00736989">
      <w:pPr>
        <w:numPr>
          <w:ilvl w:val="0"/>
          <w:numId w:val="88"/>
        </w:numPr>
        <w:spacing w:after="0"/>
        <w:rPr>
          <w:snapToGrid w:val="0"/>
          <w:szCs w:val="22"/>
          <w:lang w:eastAsia="en-US"/>
        </w:rPr>
      </w:pPr>
      <w:r w:rsidRPr="005A7023">
        <w:rPr>
          <w:snapToGrid w:val="0"/>
          <w:szCs w:val="22"/>
          <w:lang w:eastAsia="en-US"/>
        </w:rPr>
        <w:t>A summary is presented of methods</w:t>
      </w:r>
      <w:r>
        <w:rPr>
          <w:snapToGrid w:val="0"/>
          <w:szCs w:val="22"/>
          <w:lang w:eastAsia="en-US"/>
        </w:rPr>
        <w:t xml:space="preserve"> developed</w:t>
      </w:r>
      <w:r w:rsidRPr="005A7023">
        <w:rPr>
          <w:snapToGrid w:val="0"/>
          <w:szCs w:val="22"/>
          <w:lang w:eastAsia="en-US"/>
        </w:rPr>
        <w:t xml:space="preserve"> by various </w:t>
      </w:r>
      <w:r>
        <w:rPr>
          <w:snapToGrid w:val="0"/>
          <w:szCs w:val="22"/>
          <w:lang w:eastAsia="en-US"/>
        </w:rPr>
        <w:t>countries</w:t>
      </w:r>
      <w:r w:rsidRPr="005A7023">
        <w:rPr>
          <w:snapToGrid w:val="0"/>
          <w:szCs w:val="22"/>
          <w:lang w:eastAsia="en-US"/>
        </w:rPr>
        <w:t xml:space="preserve"> with established market transformation programs for promoting EE including MEPS programs and labelling programs.</w:t>
      </w:r>
    </w:p>
    <w:p w14:paraId="445EF34C" w14:textId="77777777" w:rsidR="00373DCB" w:rsidRPr="00803E1D" w:rsidRDefault="00373DCB" w:rsidP="00373DCB">
      <w:pPr>
        <w:spacing w:after="0"/>
        <w:ind w:left="720"/>
        <w:rPr>
          <w:rFonts w:eastAsia="Times New Roman"/>
          <w:szCs w:val="22"/>
        </w:rPr>
      </w:pPr>
    </w:p>
    <w:p w14:paraId="09A87C0F" w14:textId="77777777" w:rsidR="00373DCB" w:rsidRPr="005A7023" w:rsidRDefault="00373DCB" w:rsidP="00736989">
      <w:pPr>
        <w:numPr>
          <w:ilvl w:val="0"/>
          <w:numId w:val="88"/>
        </w:numPr>
        <w:spacing w:after="0"/>
        <w:rPr>
          <w:rFonts w:eastAsia="Times New Roman"/>
          <w:szCs w:val="22"/>
        </w:rPr>
      </w:pPr>
      <w:r w:rsidRPr="005A7023">
        <w:rPr>
          <w:szCs w:val="22"/>
          <w:shd w:val="clear" w:color="auto" w:fill="FFFFFF"/>
        </w:rPr>
        <w:t xml:space="preserve">It should be noted that </w:t>
      </w:r>
      <w:r>
        <w:rPr>
          <w:szCs w:val="22"/>
          <w:shd w:val="clear" w:color="auto" w:fill="FFFFFF"/>
        </w:rPr>
        <w:t>the presented</w:t>
      </w:r>
      <w:r w:rsidRPr="005A7023">
        <w:rPr>
          <w:szCs w:val="22"/>
          <w:shd w:val="clear" w:color="auto" w:fill="FFFFFF"/>
        </w:rPr>
        <w:t xml:space="preserve"> methodology offers a “snapshot” of the cost of efficiency improvement at any given time and will tend to provide a conservative (i.e. higher) estimate of the cost of efficiency improvement. In actual practice, the prices of higher efficiency equipment have been found to decline over time in various markets as higher efficiency equipment begins to be produced at scale. </w:t>
      </w:r>
      <w:r w:rsidRPr="005A7023">
        <w:rPr>
          <w:rFonts w:eastAsia="Times New Roman"/>
          <w:szCs w:val="22"/>
        </w:rPr>
        <w:t>This applies especially for small mass-produced equipment where manufacturers quickly absorb the initial development costs and try to get to certain “price points” that help them sell their equipment. </w:t>
      </w:r>
    </w:p>
    <w:p w14:paraId="1FAC0FF0" w14:textId="77777777" w:rsidR="00373DCB" w:rsidRDefault="00373DCB" w:rsidP="00373DCB">
      <w:pPr>
        <w:spacing w:after="0"/>
        <w:ind w:left="720"/>
        <w:rPr>
          <w:snapToGrid w:val="0"/>
          <w:szCs w:val="22"/>
          <w:lang w:eastAsia="en-US"/>
        </w:rPr>
      </w:pPr>
    </w:p>
    <w:p w14:paraId="26EC1E6A" w14:textId="3558069A" w:rsidR="00373DCB" w:rsidRDefault="00373DCB" w:rsidP="00736989">
      <w:pPr>
        <w:numPr>
          <w:ilvl w:val="0"/>
          <w:numId w:val="88"/>
        </w:numPr>
        <w:spacing w:after="0"/>
        <w:rPr>
          <w:snapToGrid w:val="0"/>
          <w:szCs w:val="22"/>
          <w:lang w:eastAsia="en-US"/>
        </w:rPr>
      </w:pPr>
      <w:r w:rsidRPr="005A7023">
        <w:rPr>
          <w:snapToGrid w:val="0"/>
          <w:szCs w:val="22"/>
          <w:lang w:eastAsia="en-US"/>
        </w:rPr>
        <w:t>Retail price of products is not an adequate indicator for the costs of maintaining or enhancing EE in new equipment due to:</w:t>
      </w:r>
    </w:p>
    <w:p w14:paraId="0D021592" w14:textId="77777777" w:rsidR="00BF4C57" w:rsidRPr="005A7023" w:rsidRDefault="00BF4C57" w:rsidP="00BF4C57">
      <w:pPr>
        <w:spacing w:after="0"/>
        <w:ind w:left="360"/>
        <w:rPr>
          <w:snapToGrid w:val="0"/>
          <w:szCs w:val="22"/>
          <w:lang w:eastAsia="en-US"/>
        </w:rPr>
      </w:pPr>
    </w:p>
    <w:p w14:paraId="4B579323" w14:textId="77777777" w:rsidR="00373DCB" w:rsidRPr="005A7023" w:rsidRDefault="00373DCB" w:rsidP="00736989">
      <w:pPr>
        <w:pStyle w:val="ListParagraph"/>
        <w:numPr>
          <w:ilvl w:val="1"/>
          <w:numId w:val="87"/>
        </w:numPr>
        <w:rPr>
          <w:snapToGrid w:val="0"/>
          <w:lang w:eastAsia="en-US"/>
        </w:rPr>
      </w:pPr>
      <w:r w:rsidRPr="005A7023">
        <w:rPr>
          <w:snapToGrid w:val="0"/>
          <w:lang w:eastAsia="en-US"/>
        </w:rPr>
        <w:t xml:space="preserve">bundling of various non-energy related features with higher efficiency equipment, </w:t>
      </w:r>
    </w:p>
    <w:p w14:paraId="1D327D1C" w14:textId="77777777" w:rsidR="00BF4C57" w:rsidRDefault="00BF4C57" w:rsidP="00BF4C57">
      <w:pPr>
        <w:pStyle w:val="ListParagraph"/>
        <w:numPr>
          <w:ilvl w:val="0"/>
          <w:numId w:val="0"/>
        </w:numPr>
        <w:ind w:left="1440"/>
        <w:rPr>
          <w:snapToGrid w:val="0"/>
          <w:lang w:eastAsia="en-US"/>
        </w:rPr>
      </w:pPr>
    </w:p>
    <w:p w14:paraId="79B47C41" w14:textId="7B9BA5BF" w:rsidR="00373DCB" w:rsidRPr="005A7023" w:rsidRDefault="00373DCB" w:rsidP="00736989">
      <w:pPr>
        <w:pStyle w:val="ListParagraph"/>
        <w:numPr>
          <w:ilvl w:val="1"/>
          <w:numId w:val="87"/>
        </w:numPr>
        <w:rPr>
          <w:snapToGrid w:val="0"/>
          <w:lang w:eastAsia="en-US"/>
        </w:rPr>
      </w:pPr>
      <w:r w:rsidRPr="005A7023">
        <w:rPr>
          <w:snapToGrid w:val="0"/>
          <w:lang w:eastAsia="en-US"/>
        </w:rPr>
        <w:t xml:space="preserve">variation of manufacturer’s skills and know-how, </w:t>
      </w:r>
    </w:p>
    <w:p w14:paraId="4564CA35" w14:textId="77777777" w:rsidR="00BF4C57" w:rsidRDefault="00BF4C57" w:rsidP="00BF4C57">
      <w:pPr>
        <w:pStyle w:val="ListParagraph"/>
        <w:numPr>
          <w:ilvl w:val="0"/>
          <w:numId w:val="0"/>
        </w:numPr>
        <w:ind w:left="1440"/>
        <w:rPr>
          <w:snapToGrid w:val="0"/>
          <w:lang w:eastAsia="en-US"/>
        </w:rPr>
      </w:pPr>
    </w:p>
    <w:p w14:paraId="1C0FC1F3" w14:textId="69C1A85C" w:rsidR="00373DCB" w:rsidRPr="005A7023" w:rsidRDefault="00373DCB" w:rsidP="00736989">
      <w:pPr>
        <w:pStyle w:val="ListParagraph"/>
        <w:numPr>
          <w:ilvl w:val="1"/>
          <w:numId w:val="87"/>
        </w:numPr>
        <w:rPr>
          <w:snapToGrid w:val="0"/>
          <w:lang w:eastAsia="en-US"/>
        </w:rPr>
      </w:pPr>
      <w:r w:rsidRPr="005A7023">
        <w:rPr>
          <w:snapToGrid w:val="0"/>
          <w:lang w:eastAsia="en-US"/>
        </w:rPr>
        <w:t xml:space="preserve">variation in manufacturer’s pricing, marketing and branding strategies, and </w:t>
      </w:r>
    </w:p>
    <w:p w14:paraId="3B8DA10D" w14:textId="77777777" w:rsidR="00BF4C57" w:rsidRPr="00BF4C57" w:rsidRDefault="00BF4C57" w:rsidP="00BF4C57">
      <w:pPr>
        <w:pStyle w:val="ListParagraph"/>
        <w:numPr>
          <w:ilvl w:val="0"/>
          <w:numId w:val="0"/>
        </w:numPr>
        <w:ind w:left="1440"/>
        <w:rPr>
          <w:rFonts w:eastAsia="Times New Roman"/>
        </w:rPr>
      </w:pPr>
    </w:p>
    <w:p w14:paraId="55BE438A" w14:textId="20F66FD3" w:rsidR="00BF4C57" w:rsidRDefault="00373DCB" w:rsidP="00736989">
      <w:pPr>
        <w:pStyle w:val="ListParagraph"/>
        <w:numPr>
          <w:ilvl w:val="1"/>
          <w:numId w:val="87"/>
        </w:numPr>
        <w:rPr>
          <w:snapToGrid w:val="0"/>
          <w:lang w:eastAsia="en-US"/>
        </w:rPr>
      </w:pPr>
      <w:r w:rsidRPr="005A7023">
        <w:rPr>
          <w:snapToGrid w:val="0"/>
          <w:lang w:eastAsia="en-US"/>
        </w:rPr>
        <w:t>the idea that efficiency can be marketed as a “premium” feature.</w:t>
      </w:r>
    </w:p>
    <w:p w14:paraId="292CA73A" w14:textId="77777777" w:rsidR="00BF4C57" w:rsidRPr="00BF4C57" w:rsidRDefault="00BF4C57" w:rsidP="00BF4C57">
      <w:pPr>
        <w:pStyle w:val="ListParagraph"/>
        <w:numPr>
          <w:ilvl w:val="0"/>
          <w:numId w:val="0"/>
        </w:numPr>
        <w:ind w:left="1440"/>
        <w:rPr>
          <w:snapToGrid w:val="0"/>
          <w:lang w:eastAsia="en-US"/>
        </w:rPr>
      </w:pPr>
    </w:p>
    <w:p w14:paraId="5DAA632C" w14:textId="666F4531" w:rsidR="00373DCB" w:rsidRPr="005A7023" w:rsidRDefault="00373DCB" w:rsidP="00736989">
      <w:pPr>
        <w:numPr>
          <w:ilvl w:val="0"/>
          <w:numId w:val="89"/>
        </w:numPr>
      </w:pPr>
      <w:r w:rsidRPr="005A7023">
        <w:t xml:space="preserve">Rigorous cost analysis may be needed to fully understand the impact of EE improvements. These types of analyses are relevant when setting MEPS as several </w:t>
      </w:r>
      <w:r>
        <w:t>EE</w:t>
      </w:r>
      <w:r w:rsidRPr="005A7023">
        <w:t xml:space="preserve"> levels need to be evaluated compared with the baseline. These studies can take more than 1 year to conclude for a single product category. As such, in this report we would like to refer parties to the corresponding methodologies and present simplified examples based on products already introduced on the market.</w:t>
      </w:r>
    </w:p>
    <w:p w14:paraId="2DF9BA25" w14:textId="1FDB8CB3" w:rsidR="00A663AA" w:rsidRPr="000F749F" w:rsidRDefault="00A663AA" w:rsidP="000F749F">
      <w:pPr>
        <w:pStyle w:val="Heading3"/>
        <w:rPr>
          <w:b w:val="0"/>
        </w:rPr>
      </w:pPr>
      <w:bookmarkStart w:id="91" w:name="_Toc515454387"/>
      <w:r w:rsidRPr="000F749F">
        <w:t>2.7.1</w:t>
      </w:r>
      <w:r w:rsidRPr="000F749F">
        <w:tab/>
        <w:t>Methodology to calculate capital and operating cost</w:t>
      </w:r>
      <w:r w:rsidR="00554D03" w:rsidRPr="000F749F">
        <w:t>s</w:t>
      </w:r>
      <w:bookmarkEnd w:id="91"/>
    </w:p>
    <w:p w14:paraId="077EBA0D" w14:textId="6F3783F6" w:rsidR="001C6792" w:rsidRPr="00F867D0" w:rsidRDefault="001C6792" w:rsidP="001C6792">
      <w:pPr>
        <w:spacing w:after="0"/>
        <w:rPr>
          <w:color w:val="222222"/>
          <w:szCs w:val="22"/>
          <w:shd w:val="clear" w:color="auto" w:fill="FFFFFF"/>
        </w:rPr>
      </w:pPr>
      <w:r w:rsidRPr="00F867D0">
        <w:rPr>
          <w:color w:val="222222"/>
          <w:szCs w:val="22"/>
          <w:shd w:val="clear" w:color="auto" w:fill="FFFFFF"/>
        </w:rPr>
        <w:t xml:space="preserve">Various parties have established market transformation programs for promoting </w:t>
      </w:r>
      <w:r w:rsidR="00A76A30">
        <w:rPr>
          <w:color w:val="222222"/>
          <w:szCs w:val="22"/>
          <w:shd w:val="clear" w:color="auto" w:fill="FFFFFF"/>
        </w:rPr>
        <w:t>EE</w:t>
      </w:r>
      <w:r w:rsidRPr="00F867D0">
        <w:rPr>
          <w:color w:val="222222"/>
          <w:szCs w:val="22"/>
          <w:shd w:val="clear" w:color="auto" w:fill="FFFFFF"/>
        </w:rPr>
        <w:t xml:space="preserve"> including</w:t>
      </w:r>
      <w:r w:rsidR="00C15055">
        <w:rPr>
          <w:color w:val="222222"/>
          <w:szCs w:val="22"/>
          <w:shd w:val="clear" w:color="auto" w:fill="FFFFFF"/>
        </w:rPr>
        <w:t xml:space="preserve"> </w:t>
      </w:r>
      <w:r w:rsidRPr="00F867D0">
        <w:rPr>
          <w:color w:val="222222"/>
          <w:szCs w:val="22"/>
          <w:shd w:val="clear" w:color="auto" w:fill="FFFFFF"/>
        </w:rPr>
        <w:t>MEPS programs and labelling programs. For example, the United States Department of Energy (DOE)’s Appliance and Equipment Standards Program [DOE, 2016] and the preparatory studies for the EU Eco</w:t>
      </w:r>
      <w:r w:rsidR="001D147C">
        <w:rPr>
          <w:color w:val="222222"/>
          <w:szCs w:val="22"/>
          <w:shd w:val="clear" w:color="auto" w:fill="FFFFFF"/>
        </w:rPr>
        <w:t>d</w:t>
      </w:r>
      <w:r w:rsidRPr="00F867D0">
        <w:rPr>
          <w:color w:val="222222"/>
          <w:szCs w:val="22"/>
          <w:shd w:val="clear" w:color="auto" w:fill="FFFFFF"/>
        </w:rPr>
        <w:t xml:space="preserve">esign Directive [EuP, 2009] both use “bottom-up” engineering analysis based on detailed data collection, testing and modelling of the more efficient equipment to identify the actual </w:t>
      </w:r>
      <w:r w:rsidR="00863BF9">
        <w:rPr>
          <w:color w:val="222222"/>
          <w:szCs w:val="22"/>
          <w:shd w:val="clear" w:color="auto" w:fill="FFFFFF"/>
        </w:rPr>
        <w:t xml:space="preserve">manufacturing </w:t>
      </w:r>
      <w:r w:rsidRPr="00F867D0">
        <w:rPr>
          <w:color w:val="222222"/>
          <w:szCs w:val="22"/>
          <w:shd w:val="clear" w:color="auto" w:fill="FFFFFF"/>
        </w:rPr>
        <w:t xml:space="preserve">cost (as opposed to the retail price) of efficiency improvement. Similar processes have also been used to a more limited degree to support </w:t>
      </w:r>
      <w:r w:rsidR="00A76A30">
        <w:rPr>
          <w:color w:val="222222"/>
          <w:szCs w:val="22"/>
          <w:shd w:val="clear" w:color="auto" w:fill="FFFFFF"/>
        </w:rPr>
        <w:t>EE</w:t>
      </w:r>
      <w:r w:rsidRPr="00F867D0">
        <w:rPr>
          <w:color w:val="222222"/>
          <w:szCs w:val="22"/>
          <w:shd w:val="clear" w:color="auto" w:fill="FFFFFF"/>
        </w:rPr>
        <w:t xml:space="preserve"> standards processes in countries such as India and China (see [Shah et al., 2016; Lin and Rosenquist, 2008; Fridley et al., 2001]). While this methodology can be used generally to estimate the costs to the manufacturers of maintaining and/or enhancing </w:t>
      </w:r>
      <w:r w:rsidR="00A76A30">
        <w:rPr>
          <w:color w:val="222222"/>
          <w:szCs w:val="22"/>
          <w:shd w:val="clear" w:color="auto" w:fill="FFFFFF"/>
        </w:rPr>
        <w:t>EE</w:t>
      </w:r>
      <w:r w:rsidRPr="00F867D0">
        <w:rPr>
          <w:color w:val="222222"/>
          <w:szCs w:val="22"/>
          <w:shd w:val="clear" w:color="auto" w:fill="FFFFFF"/>
        </w:rPr>
        <w:t xml:space="preserve"> for both A5 and non-A5 </w:t>
      </w:r>
      <w:r w:rsidR="005138E4">
        <w:rPr>
          <w:color w:val="222222"/>
          <w:szCs w:val="22"/>
          <w:shd w:val="clear" w:color="auto" w:fill="FFFFFF"/>
        </w:rPr>
        <w:t>p</w:t>
      </w:r>
      <w:r w:rsidRPr="00F867D0">
        <w:rPr>
          <w:color w:val="222222"/>
          <w:szCs w:val="22"/>
          <w:shd w:val="clear" w:color="auto" w:fill="FFFFFF"/>
        </w:rPr>
        <w:t xml:space="preserve">arties with manufacturing capacity, the costs to the consumer of maintaining and/or enhancing </w:t>
      </w:r>
      <w:r w:rsidR="00A76A30">
        <w:rPr>
          <w:color w:val="222222"/>
          <w:szCs w:val="22"/>
          <w:shd w:val="clear" w:color="auto" w:fill="FFFFFF"/>
        </w:rPr>
        <w:t>EE</w:t>
      </w:r>
      <w:r w:rsidRPr="00F867D0">
        <w:rPr>
          <w:color w:val="222222"/>
          <w:szCs w:val="22"/>
          <w:shd w:val="clear" w:color="auto" w:fill="FFFFFF"/>
        </w:rPr>
        <w:t xml:space="preserve"> are likely to be similar for all Parties with the additional costs of shipping for importing Parties.</w:t>
      </w:r>
    </w:p>
    <w:p w14:paraId="4B43EA42" w14:textId="77777777" w:rsidR="001C6792" w:rsidRDefault="001C6792" w:rsidP="00A663AA">
      <w:pPr>
        <w:spacing w:after="0"/>
        <w:rPr>
          <w:color w:val="222222"/>
          <w:szCs w:val="22"/>
          <w:shd w:val="clear" w:color="auto" w:fill="FFFFFF"/>
        </w:rPr>
      </w:pPr>
    </w:p>
    <w:p w14:paraId="6066D82F" w14:textId="3FCE72FF" w:rsidR="00A663AA" w:rsidRPr="00F867D0" w:rsidRDefault="00A663AA" w:rsidP="00A663AA">
      <w:pPr>
        <w:spacing w:after="0"/>
        <w:rPr>
          <w:color w:val="222222"/>
          <w:szCs w:val="22"/>
          <w:shd w:val="clear" w:color="auto" w:fill="FFFFFF"/>
        </w:rPr>
      </w:pPr>
      <w:r w:rsidRPr="00F867D0">
        <w:rPr>
          <w:color w:val="222222"/>
          <w:szCs w:val="22"/>
          <w:shd w:val="clear" w:color="auto" w:fill="FFFFFF"/>
        </w:rPr>
        <w:t>Figure 2.</w:t>
      </w:r>
      <w:r w:rsidR="005138E4">
        <w:rPr>
          <w:color w:val="222222"/>
          <w:szCs w:val="22"/>
          <w:shd w:val="clear" w:color="auto" w:fill="FFFFFF"/>
        </w:rPr>
        <w:t>5</w:t>
      </w:r>
      <w:r w:rsidRPr="00F867D0">
        <w:rPr>
          <w:color w:val="222222"/>
          <w:szCs w:val="22"/>
          <w:shd w:val="clear" w:color="auto" w:fill="FFFFFF"/>
        </w:rPr>
        <w:t xml:space="preserve"> shows a simplified overview of the typical analytical approach followed by the US DOE and EU Eco</w:t>
      </w:r>
      <w:r w:rsidR="006161BF">
        <w:rPr>
          <w:color w:val="222222"/>
          <w:szCs w:val="22"/>
          <w:shd w:val="clear" w:color="auto" w:fill="FFFFFF"/>
        </w:rPr>
        <w:t>d</w:t>
      </w:r>
      <w:r w:rsidRPr="00F867D0">
        <w:rPr>
          <w:color w:val="222222"/>
          <w:szCs w:val="22"/>
          <w:shd w:val="clear" w:color="auto" w:fill="FFFFFF"/>
        </w:rPr>
        <w:t>esign using this engineering analysis. This “bottom-up” approach usually uses industry standard equipment design software</w:t>
      </w:r>
      <w:r w:rsidRPr="00F867D0">
        <w:rPr>
          <w:color w:val="222222"/>
          <w:szCs w:val="22"/>
          <w:shd w:val="clear" w:color="auto" w:fill="FFFFFF"/>
          <w:vertAlign w:val="superscript"/>
        </w:rPr>
        <w:footnoteReference w:id="14"/>
      </w:r>
      <w:r w:rsidRPr="00F867D0">
        <w:rPr>
          <w:color w:val="222222"/>
          <w:szCs w:val="22"/>
          <w:shd w:val="clear" w:color="auto" w:fill="FFFFFF"/>
        </w:rPr>
        <w:t xml:space="preserve"> and test data of higher efficiency equipment to identify design options for higher efficiency equipment from a “base case” model representing low or average efficiency on the market in question. Subsequently, the costs of these higher efficiency design options are surveyed by interviewing industry experts, manufacturers and component suppliers to build up a picture of the costs of higher efficiency equipment. </w:t>
      </w:r>
    </w:p>
    <w:p w14:paraId="4F4EF305" w14:textId="77777777" w:rsidR="00C93833" w:rsidRPr="00F867D0" w:rsidRDefault="00C93833" w:rsidP="00A663AA">
      <w:pPr>
        <w:spacing w:after="0"/>
        <w:rPr>
          <w:color w:val="222222"/>
          <w:szCs w:val="22"/>
          <w:shd w:val="clear" w:color="auto" w:fill="FFFFFF"/>
        </w:rPr>
      </w:pPr>
    </w:p>
    <w:p w14:paraId="648077FF" w14:textId="153B8C0E" w:rsidR="00A663AA" w:rsidRPr="00F867D0" w:rsidRDefault="00A663AA" w:rsidP="00A663AA">
      <w:pPr>
        <w:spacing w:after="0"/>
        <w:rPr>
          <w:rFonts w:eastAsia="Times New Roman"/>
          <w:szCs w:val="22"/>
        </w:rPr>
      </w:pPr>
      <w:r w:rsidRPr="00F867D0">
        <w:rPr>
          <w:color w:val="222222"/>
          <w:szCs w:val="22"/>
          <w:shd w:val="clear" w:color="auto" w:fill="FFFFFF"/>
        </w:rPr>
        <w:t xml:space="preserve">It should be noted that this above methodology offers a “snapshot” of the cost of efficiency improvement at any given time and will tend to </w:t>
      </w:r>
      <w:r w:rsidR="004D0FDB" w:rsidRPr="00F867D0">
        <w:rPr>
          <w:color w:val="222222"/>
          <w:szCs w:val="22"/>
          <w:shd w:val="clear" w:color="auto" w:fill="FFFFFF"/>
        </w:rPr>
        <w:t xml:space="preserve">provide </w:t>
      </w:r>
      <w:r w:rsidRPr="00F867D0">
        <w:rPr>
          <w:color w:val="222222"/>
          <w:szCs w:val="22"/>
          <w:shd w:val="clear" w:color="auto" w:fill="FFFFFF"/>
        </w:rPr>
        <w:t xml:space="preserve">a conservative (i.e. higher) estimate of the cost of efficiency improvement. In actual practice, the prices of higher efficiency equipment have been found to decline over time in various markets as higher efficiency equipment begins to be produced at scale. </w:t>
      </w:r>
      <w:r w:rsidRPr="00F867D0">
        <w:rPr>
          <w:rFonts w:eastAsia="Times New Roman"/>
          <w:szCs w:val="22"/>
        </w:rPr>
        <w:t>This applies especially for small mass</w:t>
      </w:r>
      <w:r w:rsidR="00C93833" w:rsidRPr="00F867D0">
        <w:rPr>
          <w:rFonts w:eastAsia="Times New Roman"/>
          <w:szCs w:val="22"/>
        </w:rPr>
        <w:t>-</w:t>
      </w:r>
      <w:r w:rsidRPr="00F867D0">
        <w:rPr>
          <w:rFonts w:eastAsia="Times New Roman"/>
          <w:szCs w:val="22"/>
        </w:rPr>
        <w:t>produced equipment where manufacturers quickly absorb the initial development costs and try to get to certain “price points” that help them sell their equipment. Figure 2.</w:t>
      </w:r>
      <w:r w:rsidR="00366D83" w:rsidRPr="00F867D0">
        <w:rPr>
          <w:rFonts w:eastAsia="Times New Roman"/>
          <w:szCs w:val="22"/>
        </w:rPr>
        <w:t>5</w:t>
      </w:r>
      <w:r w:rsidRPr="00F867D0">
        <w:rPr>
          <w:rFonts w:eastAsia="Times New Roman"/>
          <w:szCs w:val="22"/>
        </w:rPr>
        <w:t xml:space="preserve"> below shows such a trend in the US residential AC market.</w:t>
      </w:r>
    </w:p>
    <w:p w14:paraId="2F886FF8" w14:textId="77777777" w:rsidR="00A663AA" w:rsidRPr="00F867D0" w:rsidRDefault="00A663AA" w:rsidP="00A663AA">
      <w:pPr>
        <w:spacing w:after="0"/>
        <w:jc w:val="center"/>
        <w:rPr>
          <w:szCs w:val="22"/>
        </w:rPr>
      </w:pPr>
      <w:r w:rsidRPr="00F867D0">
        <w:rPr>
          <w:noProof/>
          <w:szCs w:val="22"/>
          <w:lang w:val="en-US" w:eastAsia="en-US"/>
        </w:rPr>
        <w:drawing>
          <wp:inline distT="0" distB="0" distL="0" distR="0" wp14:anchorId="7185DD6D" wp14:editId="497CBC8B">
            <wp:extent cx="5587626" cy="3143250"/>
            <wp:effectExtent l="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588724" cy="3143868"/>
                    </a:xfrm>
                    <a:prstGeom prst="rect">
                      <a:avLst/>
                    </a:prstGeom>
                  </pic:spPr>
                </pic:pic>
              </a:graphicData>
            </a:graphic>
          </wp:inline>
        </w:drawing>
      </w:r>
    </w:p>
    <w:p w14:paraId="203C3A03" w14:textId="6E1E796D" w:rsidR="00A663AA" w:rsidRPr="003D5FEE" w:rsidRDefault="00A663AA" w:rsidP="00BF4C57">
      <w:pPr>
        <w:spacing w:after="0"/>
        <w:jc w:val="center"/>
        <w:rPr>
          <w:b/>
          <w:i/>
          <w:szCs w:val="22"/>
          <w:shd w:val="clear" w:color="auto" w:fill="FFFFFF"/>
        </w:rPr>
      </w:pPr>
      <w:r w:rsidRPr="003D5FEE">
        <w:rPr>
          <w:b/>
          <w:i/>
          <w:szCs w:val="22"/>
        </w:rPr>
        <w:t xml:space="preserve">Figure </w:t>
      </w:r>
      <w:r w:rsidR="00B36B27" w:rsidRPr="003D5FEE">
        <w:rPr>
          <w:b/>
          <w:i/>
          <w:szCs w:val="22"/>
        </w:rPr>
        <w:t>2.</w:t>
      </w:r>
      <w:r w:rsidR="00366D83" w:rsidRPr="003D5FEE">
        <w:rPr>
          <w:b/>
          <w:i/>
          <w:szCs w:val="22"/>
        </w:rPr>
        <w:t>5</w:t>
      </w:r>
      <w:r w:rsidRPr="003D5FEE">
        <w:rPr>
          <w:b/>
          <w:i/>
          <w:szCs w:val="22"/>
        </w:rPr>
        <w:t xml:space="preserve"> </w:t>
      </w:r>
      <w:r w:rsidRPr="003D5FEE">
        <w:rPr>
          <w:b/>
          <w:i/>
          <w:szCs w:val="22"/>
          <w:shd w:val="clear" w:color="auto" w:fill="FFFFFF"/>
        </w:rPr>
        <w:t xml:space="preserve">Overview of typical analytical approach used to evaluate capital and operating costs associated with MEPS program efforts to improve </w:t>
      </w:r>
      <w:r w:rsidR="00A76A30" w:rsidRPr="003D5FEE">
        <w:rPr>
          <w:b/>
          <w:i/>
          <w:szCs w:val="22"/>
          <w:shd w:val="clear" w:color="auto" w:fill="FFFFFF"/>
        </w:rPr>
        <w:t>EE</w:t>
      </w:r>
      <w:r w:rsidRPr="003D5FEE">
        <w:rPr>
          <w:b/>
          <w:i/>
          <w:szCs w:val="22"/>
          <w:shd w:val="clear" w:color="auto" w:fill="FFFFFF"/>
        </w:rPr>
        <w:t xml:space="preserve">, simplified from the </w:t>
      </w:r>
      <w:r w:rsidR="00A76A30" w:rsidRPr="003D5FEE">
        <w:rPr>
          <w:b/>
          <w:i/>
          <w:szCs w:val="22"/>
          <w:shd w:val="clear" w:color="auto" w:fill="FFFFFF"/>
        </w:rPr>
        <w:t>DOE</w:t>
      </w:r>
      <w:r w:rsidRPr="003D5FEE">
        <w:rPr>
          <w:b/>
          <w:i/>
          <w:szCs w:val="22"/>
          <w:shd w:val="clear" w:color="auto" w:fill="FFFFFF"/>
        </w:rPr>
        <w:t xml:space="preserve"> Appliance and Equipment Standards Program and the EU Eco</w:t>
      </w:r>
      <w:r w:rsidR="006161BF">
        <w:rPr>
          <w:b/>
          <w:i/>
          <w:szCs w:val="22"/>
          <w:shd w:val="clear" w:color="auto" w:fill="FFFFFF"/>
        </w:rPr>
        <w:t>d</w:t>
      </w:r>
      <w:r w:rsidRPr="003D5FEE">
        <w:rPr>
          <w:b/>
          <w:i/>
          <w:szCs w:val="22"/>
          <w:shd w:val="clear" w:color="auto" w:fill="FFFFFF"/>
        </w:rPr>
        <w:t>esign Program.</w:t>
      </w:r>
    </w:p>
    <w:p w14:paraId="418A526B" w14:textId="29394686" w:rsidR="00A663AA" w:rsidRPr="00BF4C57" w:rsidRDefault="00A663AA" w:rsidP="00B36B27">
      <w:pPr>
        <w:spacing w:after="0"/>
        <w:rPr>
          <w:szCs w:val="22"/>
          <w:shd w:val="clear" w:color="auto" w:fill="FFFFFF"/>
        </w:rPr>
      </w:pPr>
      <w:r w:rsidRPr="00BF4C57">
        <w:rPr>
          <w:szCs w:val="22"/>
          <w:shd w:val="clear" w:color="auto" w:fill="FFFFFF"/>
        </w:rPr>
        <w:t>Source:</w:t>
      </w:r>
      <w:r w:rsidRPr="00BF4C57">
        <w:rPr>
          <w:rFonts w:ascii="Arial" w:hAnsi="Arial" w:cs="Arial"/>
          <w:sz w:val="19"/>
          <w:szCs w:val="19"/>
          <w:shd w:val="clear" w:color="auto" w:fill="FFFFFF"/>
        </w:rPr>
        <w:t xml:space="preserve"> </w:t>
      </w:r>
      <w:r w:rsidR="00D41EAD" w:rsidRPr="00BF4C57">
        <w:t>[</w:t>
      </w:r>
      <w:r w:rsidRPr="00BF4C57">
        <w:t>DOE</w:t>
      </w:r>
      <w:r w:rsidR="00D41EAD" w:rsidRPr="00BF4C57">
        <w:t>,</w:t>
      </w:r>
      <w:r w:rsidRPr="00BF4C57">
        <w:t xml:space="preserve"> 201</w:t>
      </w:r>
      <w:r w:rsidR="0093187B" w:rsidRPr="00BF4C57">
        <w:t>6</w:t>
      </w:r>
      <w:r w:rsidR="00D41EAD" w:rsidRPr="00BF4C57">
        <w:t>]</w:t>
      </w:r>
      <w:r w:rsidRPr="00BF4C57">
        <w:t xml:space="preserve"> and </w:t>
      </w:r>
      <w:r w:rsidR="00D41EAD" w:rsidRPr="00BF4C57">
        <w:t>[</w:t>
      </w:r>
      <w:r w:rsidRPr="00BF4C57">
        <w:t>EU</w:t>
      </w:r>
      <w:r w:rsidR="00D41EAD" w:rsidRPr="00BF4C57">
        <w:t>,</w:t>
      </w:r>
      <w:r w:rsidRPr="00BF4C57">
        <w:t xml:space="preserve"> 2015</w:t>
      </w:r>
      <w:r w:rsidR="00D41EAD" w:rsidRPr="00BF4C57">
        <w:t>]</w:t>
      </w:r>
    </w:p>
    <w:p w14:paraId="728897BA" w14:textId="77777777" w:rsidR="00A663AA" w:rsidRPr="00F867D0" w:rsidRDefault="00A663AA" w:rsidP="00A663AA">
      <w:pPr>
        <w:spacing w:after="0"/>
        <w:rPr>
          <w:color w:val="222222"/>
          <w:szCs w:val="22"/>
          <w:shd w:val="clear" w:color="auto" w:fill="FFFFFF"/>
        </w:rPr>
      </w:pPr>
    </w:p>
    <w:p w14:paraId="7D31B7FF" w14:textId="52B8C827" w:rsidR="00A663AA" w:rsidRPr="00F867D0" w:rsidRDefault="00A663AA" w:rsidP="00A663AA">
      <w:pPr>
        <w:spacing w:after="0"/>
        <w:rPr>
          <w:rFonts w:eastAsia="Times New Roman"/>
          <w:szCs w:val="22"/>
        </w:rPr>
      </w:pPr>
      <w:r w:rsidRPr="00F867D0">
        <w:rPr>
          <w:rFonts w:eastAsia="Times New Roman"/>
          <w:szCs w:val="22"/>
        </w:rPr>
        <w:t xml:space="preserve">Rigorous cost analysis as presented above (DOE and EU Ecodesign) may be needed to fully understand the impact of </w:t>
      </w:r>
      <w:r w:rsidR="002845EE">
        <w:rPr>
          <w:rFonts w:eastAsia="Times New Roman"/>
          <w:szCs w:val="22"/>
        </w:rPr>
        <w:t>EE</w:t>
      </w:r>
      <w:r w:rsidRPr="00F867D0">
        <w:rPr>
          <w:rFonts w:eastAsia="Times New Roman"/>
          <w:szCs w:val="22"/>
        </w:rPr>
        <w:t xml:space="preserve"> improvements. These types of analyses are relevant when setting MEPS as several </w:t>
      </w:r>
      <w:r w:rsidR="002845EE">
        <w:rPr>
          <w:rFonts w:eastAsia="Times New Roman"/>
          <w:szCs w:val="22"/>
        </w:rPr>
        <w:t>EE</w:t>
      </w:r>
      <w:r w:rsidRPr="00F867D0">
        <w:rPr>
          <w:rFonts w:eastAsia="Times New Roman"/>
          <w:szCs w:val="22"/>
        </w:rPr>
        <w:t xml:space="preserve"> levels need to be evaluated compared with the baseline. As shown in Figure 2.</w:t>
      </w:r>
      <w:r w:rsidR="00D07E69" w:rsidRPr="00F867D0">
        <w:rPr>
          <w:rFonts w:eastAsia="Times New Roman"/>
          <w:szCs w:val="22"/>
        </w:rPr>
        <w:t>5</w:t>
      </w:r>
      <w:r w:rsidRPr="00F867D0">
        <w:rPr>
          <w:rFonts w:eastAsia="Times New Roman"/>
          <w:szCs w:val="22"/>
        </w:rPr>
        <w:t xml:space="preserve">, these studies can take more than 1 year to conclude for a single product category. As such, in this report we would like to refer </w:t>
      </w:r>
      <w:r w:rsidR="00A76A30">
        <w:rPr>
          <w:rFonts w:eastAsia="Times New Roman"/>
          <w:szCs w:val="22"/>
        </w:rPr>
        <w:t>p</w:t>
      </w:r>
      <w:r w:rsidRPr="00F867D0">
        <w:rPr>
          <w:rFonts w:eastAsia="Times New Roman"/>
          <w:szCs w:val="22"/>
        </w:rPr>
        <w:t>arties to the corresponding methodologies and present simplified examples based on products already introduced on the market.</w:t>
      </w:r>
    </w:p>
    <w:p w14:paraId="776CB489" w14:textId="77777777" w:rsidR="00A663AA" w:rsidRPr="00F867D0" w:rsidRDefault="00A663AA" w:rsidP="00A663AA">
      <w:pPr>
        <w:spacing w:after="0"/>
        <w:rPr>
          <w:rFonts w:eastAsia="Times New Roman"/>
          <w:szCs w:val="22"/>
        </w:rPr>
      </w:pPr>
    </w:p>
    <w:p w14:paraId="2056D233" w14:textId="003DF950" w:rsidR="00A663AA" w:rsidRPr="000F749F" w:rsidRDefault="00A663AA" w:rsidP="000F749F">
      <w:pPr>
        <w:pStyle w:val="Heading3"/>
        <w:rPr>
          <w:b w:val="0"/>
        </w:rPr>
      </w:pPr>
      <w:bookmarkStart w:id="92" w:name="_Toc515454388"/>
      <w:r w:rsidRPr="000F749F">
        <w:t>2.7.2</w:t>
      </w:r>
      <w:r w:rsidRPr="000F749F">
        <w:tab/>
        <w:t>Data collection</w:t>
      </w:r>
      <w:bookmarkEnd w:id="92"/>
    </w:p>
    <w:p w14:paraId="3DCAADB1" w14:textId="3940AC78" w:rsidR="00A663AA" w:rsidRPr="00F867D0" w:rsidRDefault="00A663AA" w:rsidP="00A663AA">
      <w:pPr>
        <w:spacing w:after="0"/>
        <w:rPr>
          <w:color w:val="222222"/>
          <w:szCs w:val="22"/>
          <w:shd w:val="clear" w:color="auto" w:fill="FFFFFF"/>
        </w:rPr>
      </w:pPr>
      <w:r w:rsidRPr="00F867D0">
        <w:rPr>
          <w:color w:val="222222"/>
          <w:szCs w:val="22"/>
          <w:shd w:val="clear" w:color="auto" w:fill="FFFFFF"/>
        </w:rPr>
        <w:t xml:space="preserve">Due to the proprietary nature of business operations, there is limited publicly available data on capital and operating costs </w:t>
      </w:r>
      <w:r w:rsidR="00863BF9">
        <w:rPr>
          <w:color w:val="222222"/>
          <w:szCs w:val="22"/>
          <w:shd w:val="clear" w:color="auto" w:fill="FFFFFF"/>
        </w:rPr>
        <w:t xml:space="preserve">to the manufacturer </w:t>
      </w:r>
      <w:r w:rsidRPr="00F867D0">
        <w:rPr>
          <w:color w:val="222222"/>
          <w:szCs w:val="22"/>
          <w:shd w:val="clear" w:color="auto" w:fill="FFFFFF"/>
        </w:rPr>
        <w:t xml:space="preserve">attributable to improvements in </w:t>
      </w:r>
      <w:r w:rsidR="002845EE">
        <w:rPr>
          <w:color w:val="222222"/>
          <w:szCs w:val="22"/>
          <w:shd w:val="clear" w:color="auto" w:fill="FFFFFF"/>
        </w:rPr>
        <w:t>EE</w:t>
      </w:r>
      <w:r w:rsidRPr="00F867D0">
        <w:rPr>
          <w:color w:val="222222"/>
          <w:szCs w:val="22"/>
          <w:shd w:val="clear" w:color="auto" w:fill="FFFFFF"/>
        </w:rPr>
        <w:t xml:space="preserve"> for air conditioning and refrigeration equipment. Furthermore, a glance at retail prices and efficiencies of equipment on the global market shows a wide variation in the prices of equipment at similar efficiency levels, as discussed earlier in the introduction to this section, indicating that retail prices alone are not a good indicator of the cost of maintaining and/or enhancing </w:t>
      </w:r>
      <w:r w:rsidR="002845EE">
        <w:rPr>
          <w:color w:val="222222"/>
          <w:szCs w:val="22"/>
          <w:shd w:val="clear" w:color="auto" w:fill="FFFFFF"/>
        </w:rPr>
        <w:t>EE</w:t>
      </w:r>
      <w:r w:rsidR="004D0FDB" w:rsidRPr="00F867D0">
        <w:rPr>
          <w:color w:val="222222"/>
          <w:szCs w:val="22"/>
          <w:shd w:val="clear" w:color="auto" w:fill="FFFFFF"/>
        </w:rPr>
        <w:t xml:space="preserve"> in new equipment</w:t>
      </w:r>
      <w:r w:rsidRPr="00F867D0">
        <w:rPr>
          <w:color w:val="222222"/>
          <w:szCs w:val="22"/>
          <w:shd w:val="clear" w:color="auto" w:fill="FFFFFF"/>
        </w:rPr>
        <w:t>.</w:t>
      </w:r>
    </w:p>
    <w:p w14:paraId="3FCD1710" w14:textId="77777777" w:rsidR="004D0FDB" w:rsidRPr="00F867D0" w:rsidRDefault="004D0FDB" w:rsidP="00A663AA">
      <w:pPr>
        <w:spacing w:after="0"/>
        <w:rPr>
          <w:color w:val="222222"/>
          <w:szCs w:val="22"/>
          <w:shd w:val="clear" w:color="auto" w:fill="FFFFFF"/>
        </w:rPr>
      </w:pPr>
    </w:p>
    <w:p w14:paraId="23763DDD" w14:textId="3BEDF844" w:rsidR="00A663AA" w:rsidRPr="00F867D0" w:rsidRDefault="004D0FDB" w:rsidP="00A663AA">
      <w:pPr>
        <w:spacing w:after="0"/>
        <w:rPr>
          <w:color w:val="222222"/>
          <w:szCs w:val="22"/>
          <w:shd w:val="clear" w:color="auto" w:fill="FFFFFF"/>
        </w:rPr>
      </w:pPr>
      <w:r w:rsidRPr="00F867D0">
        <w:rPr>
          <w:color w:val="222222"/>
          <w:szCs w:val="22"/>
          <w:shd w:val="clear" w:color="auto" w:fill="FFFFFF"/>
        </w:rPr>
        <w:t xml:space="preserve">Several </w:t>
      </w:r>
      <w:r w:rsidR="00A663AA" w:rsidRPr="00F867D0">
        <w:rPr>
          <w:color w:val="222222"/>
          <w:szCs w:val="22"/>
          <w:shd w:val="clear" w:color="auto" w:fill="FFFFFF"/>
        </w:rPr>
        <w:t>examples of data collected in order to develop the methodology presented here follow.</w:t>
      </w:r>
    </w:p>
    <w:p w14:paraId="0A30039B" w14:textId="77777777" w:rsidR="00A663AA" w:rsidRPr="00F867D0" w:rsidRDefault="00A663AA" w:rsidP="00A663AA">
      <w:pPr>
        <w:spacing w:after="0"/>
        <w:rPr>
          <w:highlight w:val="yellow"/>
          <w:lang w:eastAsia="en-US"/>
        </w:rPr>
      </w:pPr>
    </w:p>
    <w:p w14:paraId="6F070D40" w14:textId="01253AE2" w:rsidR="00A663AA" w:rsidRPr="00F867D0" w:rsidRDefault="00B36B27" w:rsidP="000F749F">
      <w:pPr>
        <w:keepNext/>
        <w:keepLines/>
        <w:widowControl w:val="0"/>
        <w:tabs>
          <w:tab w:val="left" w:pos="0"/>
        </w:tabs>
        <w:spacing w:after="0" w:line="276" w:lineRule="auto"/>
        <w:ind w:left="851" w:hanging="851"/>
        <w:outlineLvl w:val="3"/>
        <w:rPr>
          <w:rFonts w:eastAsia="MS Mincho"/>
          <w:b/>
          <w:i/>
          <w:snapToGrid w:val="0"/>
          <w:color w:val="000000" w:themeColor="text1"/>
          <w:szCs w:val="22"/>
          <w:shd w:val="clear" w:color="auto" w:fill="FFFFFF"/>
          <w:lang w:eastAsia="en-US"/>
        </w:rPr>
      </w:pPr>
      <w:bookmarkStart w:id="93" w:name="_Toc510377958"/>
      <w:r w:rsidRPr="00F867D0">
        <w:rPr>
          <w:rFonts w:eastAsia="MS Mincho"/>
          <w:b/>
          <w:i/>
          <w:snapToGrid w:val="0"/>
          <w:color w:val="000000" w:themeColor="text1"/>
          <w:szCs w:val="22"/>
          <w:shd w:val="clear" w:color="auto" w:fill="FFFFFF"/>
          <w:lang w:eastAsia="en-US"/>
        </w:rPr>
        <w:t xml:space="preserve">Example </w:t>
      </w:r>
      <w:r w:rsidR="00A663AA" w:rsidRPr="00F867D0">
        <w:rPr>
          <w:rFonts w:eastAsia="MS Mincho"/>
          <w:b/>
          <w:i/>
          <w:snapToGrid w:val="0"/>
          <w:color w:val="000000" w:themeColor="text1"/>
          <w:szCs w:val="22"/>
          <w:shd w:val="clear" w:color="auto" w:fill="FFFFFF"/>
          <w:lang w:eastAsia="en-US"/>
        </w:rPr>
        <w:t>1</w:t>
      </w:r>
      <w:bookmarkEnd w:id="93"/>
      <w:r w:rsidR="00A663AA" w:rsidRPr="00F867D0">
        <w:rPr>
          <w:rFonts w:eastAsia="MS Mincho"/>
          <w:b/>
          <w:i/>
          <w:snapToGrid w:val="0"/>
          <w:color w:val="000000" w:themeColor="text1"/>
          <w:szCs w:val="22"/>
          <w:shd w:val="clear" w:color="auto" w:fill="FFFFFF"/>
          <w:lang w:eastAsia="en-US"/>
        </w:rPr>
        <w:t xml:space="preserve">: </w:t>
      </w:r>
      <w:r w:rsidRPr="00F867D0">
        <w:rPr>
          <w:rFonts w:eastAsia="MS Mincho"/>
          <w:b/>
          <w:i/>
          <w:snapToGrid w:val="0"/>
          <w:color w:val="000000" w:themeColor="text1"/>
          <w:szCs w:val="22"/>
          <w:shd w:val="clear" w:color="auto" w:fill="FFFFFF"/>
          <w:lang w:eastAsia="en-US"/>
        </w:rPr>
        <w:t>R</w:t>
      </w:r>
      <w:r w:rsidR="00A663AA" w:rsidRPr="00F867D0">
        <w:rPr>
          <w:rFonts w:eastAsia="MS Mincho"/>
          <w:b/>
          <w:i/>
          <w:snapToGrid w:val="0"/>
          <w:color w:val="000000" w:themeColor="text1"/>
          <w:szCs w:val="22"/>
          <w:shd w:val="clear" w:color="auto" w:fill="FFFFFF"/>
          <w:lang w:eastAsia="en-US"/>
        </w:rPr>
        <w:t xml:space="preserve">etail prices are not sufficient to understand the cost of maintaining and/or enhancing </w:t>
      </w:r>
      <w:r w:rsidR="002845EE">
        <w:rPr>
          <w:rFonts w:eastAsia="MS Mincho"/>
          <w:b/>
          <w:i/>
          <w:snapToGrid w:val="0"/>
          <w:color w:val="000000" w:themeColor="text1"/>
          <w:szCs w:val="22"/>
          <w:shd w:val="clear" w:color="auto" w:fill="FFFFFF"/>
          <w:lang w:eastAsia="en-US"/>
        </w:rPr>
        <w:t>EE</w:t>
      </w:r>
    </w:p>
    <w:p w14:paraId="5D4C6FD5" w14:textId="77777777" w:rsidR="004D52BA" w:rsidRDefault="004D52BA" w:rsidP="000F749F">
      <w:pPr>
        <w:keepNext/>
        <w:keepLines/>
        <w:spacing w:after="0"/>
        <w:rPr>
          <w:color w:val="222222"/>
          <w:szCs w:val="22"/>
          <w:shd w:val="clear" w:color="auto" w:fill="FFFFFF"/>
        </w:rPr>
      </w:pPr>
    </w:p>
    <w:p w14:paraId="7C943613" w14:textId="0C50A7ED" w:rsidR="00A663AA" w:rsidRPr="00F867D0" w:rsidRDefault="00A663AA" w:rsidP="00A663AA">
      <w:pPr>
        <w:spacing w:after="0"/>
        <w:rPr>
          <w:i/>
          <w:color w:val="auto"/>
          <w:szCs w:val="22"/>
          <w:shd w:val="clear" w:color="auto" w:fill="FFFFFF"/>
        </w:rPr>
      </w:pPr>
      <w:r w:rsidRPr="00F867D0">
        <w:rPr>
          <w:color w:val="222222"/>
          <w:szCs w:val="22"/>
          <w:shd w:val="clear" w:color="auto" w:fill="FFFFFF"/>
        </w:rPr>
        <w:t>See Fig 2.</w:t>
      </w:r>
      <w:r w:rsidR="00366D83" w:rsidRPr="00F867D0">
        <w:rPr>
          <w:color w:val="222222"/>
          <w:szCs w:val="22"/>
          <w:shd w:val="clear" w:color="auto" w:fill="FFFFFF"/>
        </w:rPr>
        <w:t>6</w:t>
      </w:r>
      <w:r w:rsidRPr="00F867D0">
        <w:rPr>
          <w:color w:val="222222"/>
          <w:szCs w:val="22"/>
          <w:shd w:val="clear" w:color="auto" w:fill="FFFFFF"/>
        </w:rPr>
        <w:t xml:space="preserve"> for an example </w:t>
      </w:r>
      <w:r w:rsidR="004D0FDB" w:rsidRPr="00F867D0">
        <w:rPr>
          <w:color w:val="222222"/>
          <w:szCs w:val="22"/>
          <w:shd w:val="clear" w:color="auto" w:fill="FFFFFF"/>
        </w:rPr>
        <w:t xml:space="preserve">of </w:t>
      </w:r>
      <w:r w:rsidRPr="00F867D0">
        <w:rPr>
          <w:color w:val="222222"/>
          <w:szCs w:val="22"/>
          <w:shd w:val="clear" w:color="auto" w:fill="FFFFFF"/>
        </w:rPr>
        <w:t xml:space="preserve">the </w:t>
      </w:r>
      <w:r w:rsidR="004D0FDB" w:rsidRPr="00F867D0">
        <w:rPr>
          <w:color w:val="222222"/>
          <w:szCs w:val="22"/>
          <w:shd w:val="clear" w:color="auto" w:fill="FFFFFF"/>
        </w:rPr>
        <w:t xml:space="preserve">retail </w:t>
      </w:r>
      <w:r w:rsidRPr="00F867D0">
        <w:rPr>
          <w:color w:val="222222"/>
          <w:szCs w:val="22"/>
          <w:shd w:val="clear" w:color="auto" w:fill="FFFFFF"/>
        </w:rPr>
        <w:t>price</w:t>
      </w:r>
      <w:r w:rsidR="004D0FDB" w:rsidRPr="00F867D0">
        <w:rPr>
          <w:color w:val="222222"/>
          <w:szCs w:val="22"/>
          <w:shd w:val="clear" w:color="auto" w:fill="FFFFFF"/>
        </w:rPr>
        <w:t>s</w:t>
      </w:r>
      <w:r w:rsidRPr="00F867D0">
        <w:rPr>
          <w:color w:val="222222"/>
          <w:szCs w:val="22"/>
          <w:shd w:val="clear" w:color="auto" w:fill="FFFFFF"/>
        </w:rPr>
        <w:t xml:space="preserve"> of </w:t>
      </w:r>
      <w:r w:rsidR="00863BF9">
        <w:rPr>
          <w:color w:val="222222"/>
          <w:szCs w:val="22"/>
          <w:shd w:val="clear" w:color="auto" w:fill="FFFFFF"/>
        </w:rPr>
        <w:t xml:space="preserve">small unitary </w:t>
      </w:r>
      <w:r w:rsidRPr="00F867D0">
        <w:rPr>
          <w:color w:val="222222"/>
          <w:szCs w:val="22"/>
          <w:shd w:val="clear" w:color="auto" w:fill="FFFFFF"/>
        </w:rPr>
        <w:t xml:space="preserve">variable speed ACs in China </w:t>
      </w:r>
      <w:r w:rsidR="00863BF9">
        <w:rPr>
          <w:color w:val="222222"/>
          <w:szCs w:val="22"/>
          <w:shd w:val="clear" w:color="auto" w:fill="FFFFFF"/>
        </w:rPr>
        <w:t xml:space="preserve">that have a cooling capacity of 3.5KW and </w:t>
      </w:r>
      <w:r w:rsidR="002845EE">
        <w:rPr>
          <w:color w:val="222222"/>
          <w:szCs w:val="22"/>
          <w:shd w:val="clear" w:color="auto" w:fill="FFFFFF"/>
        </w:rPr>
        <w:t>EE</w:t>
      </w:r>
      <w:r w:rsidR="00863BF9">
        <w:rPr>
          <w:color w:val="222222"/>
          <w:szCs w:val="22"/>
          <w:shd w:val="clear" w:color="auto" w:fill="FFFFFF"/>
        </w:rPr>
        <w:t xml:space="preserve"> level </w:t>
      </w:r>
      <w:r w:rsidRPr="00F867D0">
        <w:rPr>
          <w:color w:val="222222"/>
          <w:szCs w:val="22"/>
          <w:shd w:val="clear" w:color="auto" w:fill="FFFFFF"/>
        </w:rPr>
        <w:t xml:space="preserve">of about 4.5 W/W </w:t>
      </w:r>
      <w:r w:rsidR="00863BF9">
        <w:rPr>
          <w:color w:val="222222"/>
          <w:szCs w:val="22"/>
          <w:shd w:val="clear" w:color="auto" w:fill="FFFFFF"/>
        </w:rPr>
        <w:t xml:space="preserve">(measured according to the Annual Performance Factor (APF) metric) </w:t>
      </w:r>
      <w:r w:rsidR="004D0FDB" w:rsidRPr="00F867D0">
        <w:rPr>
          <w:color w:val="222222"/>
          <w:szCs w:val="22"/>
          <w:shd w:val="clear" w:color="auto" w:fill="FFFFFF"/>
        </w:rPr>
        <w:t xml:space="preserve">which </w:t>
      </w:r>
      <w:r w:rsidRPr="00F867D0">
        <w:rPr>
          <w:color w:val="222222"/>
          <w:szCs w:val="22"/>
          <w:shd w:val="clear" w:color="auto" w:fill="FFFFFF"/>
        </w:rPr>
        <w:t xml:space="preserve">varies from </w:t>
      </w:r>
      <w:r w:rsidR="004D0FDB" w:rsidRPr="00F867D0">
        <w:rPr>
          <w:color w:val="222222"/>
          <w:szCs w:val="22"/>
          <w:shd w:val="clear" w:color="auto" w:fill="FFFFFF"/>
        </w:rPr>
        <w:t xml:space="preserve">approximately </w:t>
      </w:r>
      <w:r w:rsidRPr="00F867D0">
        <w:rPr>
          <w:color w:val="222222"/>
          <w:szCs w:val="22"/>
          <w:shd w:val="clear" w:color="auto" w:fill="FFFFFF"/>
        </w:rPr>
        <w:t>US</w:t>
      </w:r>
      <w:r w:rsidR="00B5050B" w:rsidRPr="00F867D0">
        <w:rPr>
          <w:color w:val="222222"/>
          <w:szCs w:val="22"/>
          <w:shd w:val="clear" w:color="auto" w:fill="FFFFFF"/>
        </w:rPr>
        <w:t>$</w:t>
      </w:r>
      <w:r w:rsidRPr="00F867D0">
        <w:rPr>
          <w:color w:val="222222"/>
          <w:szCs w:val="22"/>
          <w:shd w:val="clear" w:color="auto" w:fill="FFFFFF"/>
        </w:rPr>
        <w:t xml:space="preserve"> 500 to 2000, i.e. a four-fold (400%) variation. This effect of wide price variation at a single efficiency level holds for multiple cooling capacities, multiple efficiency levels and across both fixed-speed and variable speed ACs. </w:t>
      </w:r>
    </w:p>
    <w:p w14:paraId="5CEB7169" w14:textId="77777777" w:rsidR="00A663AA" w:rsidRPr="00F867D0" w:rsidRDefault="00A663AA" w:rsidP="00A663AA">
      <w:pPr>
        <w:spacing w:after="0"/>
        <w:rPr>
          <w:color w:val="222222"/>
          <w:szCs w:val="22"/>
          <w:shd w:val="clear" w:color="auto" w:fill="FFFFFF"/>
        </w:rPr>
      </w:pPr>
    </w:p>
    <w:p w14:paraId="4F6AA262" w14:textId="77777777" w:rsidR="00A663AA" w:rsidRPr="00F867D0" w:rsidRDefault="00A663AA" w:rsidP="00A663AA">
      <w:pPr>
        <w:spacing w:after="0"/>
        <w:jc w:val="center"/>
        <w:rPr>
          <w:szCs w:val="22"/>
        </w:rPr>
      </w:pPr>
      <w:r w:rsidRPr="00F867D0">
        <w:rPr>
          <w:noProof/>
          <w:lang w:val="en-US" w:eastAsia="en-US"/>
        </w:rPr>
        <w:drawing>
          <wp:inline distT="0" distB="0" distL="0" distR="0" wp14:anchorId="269B6855" wp14:editId="3E315150">
            <wp:extent cx="5274945" cy="3309620"/>
            <wp:effectExtent l="0" t="0" r="1905" b="5080"/>
            <wp:docPr id="1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8E47041" w14:textId="643B05D9" w:rsidR="00A663AA" w:rsidRPr="003D5FEE" w:rsidRDefault="00A663AA" w:rsidP="00BF4C57">
      <w:pPr>
        <w:spacing w:after="0"/>
        <w:jc w:val="center"/>
        <w:rPr>
          <w:b/>
          <w:i/>
          <w:szCs w:val="22"/>
        </w:rPr>
      </w:pPr>
      <w:r w:rsidRPr="003D5FEE">
        <w:rPr>
          <w:b/>
          <w:i/>
          <w:szCs w:val="22"/>
        </w:rPr>
        <w:t>Figure 2.</w:t>
      </w:r>
      <w:r w:rsidR="00366D83" w:rsidRPr="003D5FEE">
        <w:rPr>
          <w:b/>
          <w:i/>
          <w:szCs w:val="22"/>
        </w:rPr>
        <w:t>6</w:t>
      </w:r>
      <w:r w:rsidRPr="003D5FEE">
        <w:rPr>
          <w:b/>
          <w:i/>
          <w:szCs w:val="22"/>
        </w:rPr>
        <w:t xml:space="preserve"> </w:t>
      </w:r>
      <w:r w:rsidR="00A76A30" w:rsidRPr="003D5FEE">
        <w:rPr>
          <w:b/>
          <w:i/>
          <w:szCs w:val="22"/>
        </w:rPr>
        <w:t>R</w:t>
      </w:r>
      <w:r w:rsidRPr="003D5FEE">
        <w:rPr>
          <w:b/>
          <w:i/>
          <w:szCs w:val="22"/>
        </w:rPr>
        <w:t>etail price v</w:t>
      </w:r>
      <w:r w:rsidR="00A76A30" w:rsidRPr="003D5FEE">
        <w:rPr>
          <w:b/>
          <w:i/>
          <w:szCs w:val="22"/>
        </w:rPr>
        <w:t>ersu</w:t>
      </w:r>
      <w:r w:rsidRPr="003D5FEE">
        <w:rPr>
          <w:b/>
          <w:i/>
          <w:szCs w:val="22"/>
        </w:rPr>
        <w:t>s efficiency of 3.5kW mini-split ACs on the Chinese market</w:t>
      </w:r>
    </w:p>
    <w:p w14:paraId="35AFAC5F" w14:textId="11AEE6D4" w:rsidR="00BF4C57" w:rsidRDefault="001C1D72" w:rsidP="00BF4C57">
      <w:pPr>
        <w:spacing w:after="0"/>
        <w:jc w:val="center"/>
        <w:rPr>
          <w:b/>
          <w:color w:val="auto"/>
          <w:szCs w:val="22"/>
          <w:shd w:val="clear" w:color="auto" w:fill="FFFFFF"/>
        </w:rPr>
      </w:pPr>
      <w:r w:rsidRPr="003D5FEE">
        <w:rPr>
          <w:b/>
          <w:i/>
          <w:color w:val="auto"/>
          <w:szCs w:val="22"/>
          <w:shd w:val="clear" w:color="auto" w:fill="FFFFFF"/>
        </w:rPr>
        <w:t xml:space="preserve">[Shah, </w:t>
      </w:r>
      <w:r w:rsidR="00A663AA" w:rsidRPr="003D5FEE">
        <w:rPr>
          <w:b/>
          <w:i/>
          <w:color w:val="auto"/>
          <w:szCs w:val="22"/>
          <w:shd w:val="clear" w:color="auto" w:fill="FFFFFF"/>
        </w:rPr>
        <w:t>Park and Gerke, 2017</w:t>
      </w:r>
      <w:r w:rsidRPr="003D5FEE">
        <w:rPr>
          <w:b/>
          <w:i/>
          <w:color w:val="auto"/>
          <w:szCs w:val="22"/>
          <w:shd w:val="clear" w:color="auto" w:fill="FFFFFF"/>
        </w:rPr>
        <w:t>]</w:t>
      </w:r>
      <w:r w:rsidR="00A663AA" w:rsidRPr="003D5FEE">
        <w:rPr>
          <w:b/>
          <w:i/>
          <w:color w:val="auto"/>
          <w:szCs w:val="22"/>
          <w:shd w:val="clear" w:color="auto" w:fill="FFFFFF"/>
        </w:rPr>
        <w:t>)</w:t>
      </w:r>
    </w:p>
    <w:p w14:paraId="7EB3419B" w14:textId="6EA7C7FA" w:rsidR="00A663AA" w:rsidRPr="00BF4C57" w:rsidRDefault="00A663AA" w:rsidP="00BF4C57">
      <w:pPr>
        <w:spacing w:after="0"/>
        <w:rPr>
          <w:color w:val="auto"/>
          <w:szCs w:val="22"/>
          <w:shd w:val="clear" w:color="auto" w:fill="FFFFFF"/>
        </w:rPr>
      </w:pPr>
      <w:r w:rsidRPr="00BF4C57">
        <w:rPr>
          <w:color w:val="222222"/>
          <w:szCs w:val="22"/>
          <w:shd w:val="clear" w:color="auto" w:fill="FFFFFF"/>
        </w:rPr>
        <w:t>Source: LBNL’s IDEA database and the Chinese National Institute of Standardization database</w:t>
      </w:r>
    </w:p>
    <w:p w14:paraId="3DE8C8E6" w14:textId="77777777" w:rsidR="00A663AA" w:rsidRPr="00F867D0" w:rsidRDefault="00A663AA" w:rsidP="00A663AA">
      <w:pPr>
        <w:spacing w:after="0"/>
      </w:pPr>
    </w:p>
    <w:p w14:paraId="2670077B" w14:textId="01B87962" w:rsidR="00A663AA" w:rsidRDefault="00A663AA" w:rsidP="00A663AA">
      <w:pPr>
        <w:spacing w:after="0"/>
      </w:pPr>
      <w:r w:rsidRPr="00F867D0">
        <w:t xml:space="preserve">A review of the Japanese AC market shows that </w:t>
      </w:r>
      <w:r w:rsidR="00CD5B45" w:rsidRPr="00F867D0">
        <w:t xml:space="preserve">ACs on the market have a higher range of </w:t>
      </w:r>
      <w:r w:rsidR="00A76A30">
        <w:t>EE</w:t>
      </w:r>
      <w:r w:rsidR="00CD5B45" w:rsidRPr="00F867D0">
        <w:t xml:space="preserve">. Whilst </w:t>
      </w:r>
      <w:r w:rsidRPr="00F867D0">
        <w:t xml:space="preserve">there </w:t>
      </w:r>
      <w:r w:rsidR="00CD5B45" w:rsidRPr="00F867D0">
        <w:t>is</w:t>
      </w:r>
      <w:r w:rsidRPr="00F867D0">
        <w:t xml:space="preserve"> a strong underlying </w:t>
      </w:r>
      <w:r w:rsidR="00CD5B45" w:rsidRPr="00F867D0">
        <w:t xml:space="preserve">association </w:t>
      </w:r>
      <w:r w:rsidRPr="00F867D0">
        <w:t>between the</w:t>
      </w:r>
      <w:r w:rsidR="00A76A30">
        <w:t>EE</w:t>
      </w:r>
      <w:r w:rsidRPr="00F867D0">
        <w:t xml:space="preserve"> and the unit price (</w:t>
      </w:r>
      <w:r w:rsidR="00EE145D">
        <w:t>Okada, 2018</w:t>
      </w:r>
      <w:r w:rsidRPr="00F867D0">
        <w:t xml:space="preserve">), there </w:t>
      </w:r>
      <w:r w:rsidR="00CD5B45" w:rsidRPr="00F867D0">
        <w:t>remain</w:t>
      </w:r>
      <w:r w:rsidR="00863BF9">
        <w:t>s</w:t>
      </w:r>
      <w:r w:rsidRPr="00F867D0">
        <w:t xml:space="preserve"> a </w:t>
      </w:r>
      <w:r w:rsidR="00CD5B45" w:rsidRPr="00F867D0">
        <w:t>wide</w:t>
      </w:r>
      <w:r w:rsidRPr="00F867D0">
        <w:t xml:space="preserve"> variation in price at a particular efficiency level. Figure 2.</w:t>
      </w:r>
      <w:r w:rsidR="00B36B27" w:rsidRPr="00F867D0">
        <w:t>7</w:t>
      </w:r>
      <w:r w:rsidRPr="00F867D0">
        <w:t xml:space="preserve"> depicts the correlation between price and </w:t>
      </w:r>
      <w:r w:rsidR="00A76A30">
        <w:t>EE</w:t>
      </w:r>
      <w:r w:rsidRPr="00F867D0">
        <w:t xml:space="preserve"> for </w:t>
      </w:r>
      <w:r w:rsidR="00863BF9">
        <w:t>all 3.5 kW models</w:t>
      </w:r>
      <w:r w:rsidRPr="00F867D0">
        <w:t xml:space="preserve"> operating with HFC-32 as </w:t>
      </w:r>
      <w:r w:rsidR="00EF030B" w:rsidRPr="00F867D0">
        <w:t>the</w:t>
      </w:r>
      <w:r w:rsidR="00B44576">
        <w:t xml:space="preserve"> </w:t>
      </w:r>
      <w:r w:rsidRPr="00F867D0">
        <w:t xml:space="preserve">refrigerant. The rate of price increase is roughly $603 per </w:t>
      </w:r>
      <w:r w:rsidR="002845EE">
        <w:t>EE</w:t>
      </w:r>
      <w:r w:rsidR="00863BF9">
        <w:t xml:space="preserve"> (</w:t>
      </w:r>
      <w:r w:rsidRPr="00F867D0">
        <w:t>APF</w:t>
      </w:r>
      <w:r w:rsidR="00863BF9">
        <w:t>)</w:t>
      </w:r>
      <w:r w:rsidRPr="00F867D0">
        <w:t xml:space="preserve"> point. </w:t>
      </w:r>
    </w:p>
    <w:p w14:paraId="1D155C93" w14:textId="77777777" w:rsidR="00BF4C57" w:rsidRPr="00F867D0" w:rsidRDefault="00BF4C57" w:rsidP="00A663AA">
      <w:pPr>
        <w:spacing w:after="0"/>
      </w:pPr>
    </w:p>
    <w:p w14:paraId="32DBD10D" w14:textId="77777777" w:rsidR="00A663AA" w:rsidRPr="00F867D0" w:rsidRDefault="00A663AA" w:rsidP="00A663AA">
      <w:pPr>
        <w:spacing w:after="0"/>
        <w:jc w:val="center"/>
      </w:pPr>
      <w:r w:rsidRPr="00F867D0">
        <w:rPr>
          <w:noProof/>
          <w:lang w:val="en-US" w:eastAsia="en-US"/>
        </w:rPr>
        <w:drawing>
          <wp:inline distT="0" distB="0" distL="0" distR="0" wp14:anchorId="5E34E7AF" wp14:editId="40A99E62">
            <wp:extent cx="4642830" cy="3609975"/>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67403" cy="3629081"/>
                    </a:xfrm>
                    <a:prstGeom prst="rect">
                      <a:avLst/>
                    </a:prstGeom>
                    <a:noFill/>
                    <a:ln>
                      <a:noFill/>
                    </a:ln>
                  </pic:spPr>
                </pic:pic>
              </a:graphicData>
            </a:graphic>
          </wp:inline>
        </w:drawing>
      </w:r>
    </w:p>
    <w:p w14:paraId="35EFB19F" w14:textId="7549493C" w:rsidR="00A663AA" w:rsidRPr="003D5FEE" w:rsidRDefault="00A663AA" w:rsidP="00BF4C57">
      <w:pPr>
        <w:spacing w:after="0"/>
        <w:jc w:val="center"/>
        <w:rPr>
          <w:b/>
          <w:i/>
          <w:color w:val="222222"/>
          <w:szCs w:val="22"/>
          <w:shd w:val="clear" w:color="auto" w:fill="FFFFFF"/>
        </w:rPr>
      </w:pPr>
      <w:r w:rsidRPr="003D5FEE">
        <w:rPr>
          <w:b/>
          <w:i/>
          <w:szCs w:val="22"/>
        </w:rPr>
        <w:t>Figure 2.</w:t>
      </w:r>
      <w:r w:rsidR="00B36B27" w:rsidRPr="003D5FEE">
        <w:rPr>
          <w:b/>
          <w:i/>
          <w:szCs w:val="22"/>
        </w:rPr>
        <w:t>7</w:t>
      </w:r>
      <w:r w:rsidRPr="003D5FEE">
        <w:rPr>
          <w:b/>
          <w:i/>
          <w:szCs w:val="22"/>
        </w:rPr>
        <w:t xml:space="preserve"> Survey of retail price vs </w:t>
      </w:r>
      <w:r w:rsidR="002845EE" w:rsidRPr="003D5FEE">
        <w:rPr>
          <w:b/>
          <w:i/>
          <w:szCs w:val="22"/>
        </w:rPr>
        <w:t>EE</w:t>
      </w:r>
      <w:r w:rsidR="00863BF9" w:rsidRPr="003D5FEE">
        <w:rPr>
          <w:b/>
          <w:i/>
          <w:szCs w:val="22"/>
        </w:rPr>
        <w:t xml:space="preserve"> in </w:t>
      </w:r>
      <w:r w:rsidRPr="003D5FEE">
        <w:rPr>
          <w:b/>
          <w:i/>
          <w:szCs w:val="22"/>
        </w:rPr>
        <w:t>APF of mini-split AC in the Japanese</w:t>
      </w:r>
      <w:r w:rsidRPr="003D5FEE">
        <w:rPr>
          <w:b/>
          <w:i/>
          <w:color w:val="222222"/>
          <w:szCs w:val="22"/>
          <w:shd w:val="clear" w:color="auto" w:fill="FFFFFF"/>
        </w:rPr>
        <w:t xml:space="preserve"> market</w:t>
      </w:r>
    </w:p>
    <w:p w14:paraId="477DE8B1" w14:textId="77777777" w:rsidR="00A663AA" w:rsidRPr="00F867D0" w:rsidRDefault="00A663AA" w:rsidP="00A663AA">
      <w:pPr>
        <w:spacing w:after="0"/>
        <w:rPr>
          <w:color w:val="222222"/>
          <w:szCs w:val="22"/>
          <w:shd w:val="clear" w:color="auto" w:fill="FFFFFF"/>
        </w:rPr>
      </w:pPr>
    </w:p>
    <w:p w14:paraId="4454B687" w14:textId="22252DCE" w:rsidR="00A663AA" w:rsidRPr="00F867D0" w:rsidRDefault="00A663AA" w:rsidP="00A663AA">
      <w:pPr>
        <w:spacing w:after="0"/>
        <w:rPr>
          <w:color w:val="222222"/>
          <w:szCs w:val="22"/>
          <w:shd w:val="clear" w:color="auto" w:fill="FFFFFF"/>
        </w:rPr>
      </w:pPr>
      <w:r w:rsidRPr="00F867D0">
        <w:rPr>
          <w:color w:val="222222"/>
          <w:szCs w:val="22"/>
          <w:shd w:val="clear" w:color="auto" w:fill="FFFFFF"/>
        </w:rPr>
        <w:t xml:space="preserve">The limited publicly available data on the cost of </w:t>
      </w:r>
      <w:r w:rsidR="00CD5B45" w:rsidRPr="00F867D0">
        <w:rPr>
          <w:color w:val="222222"/>
          <w:szCs w:val="22"/>
          <w:shd w:val="clear" w:color="auto" w:fill="FFFFFF"/>
        </w:rPr>
        <w:t>EE</w:t>
      </w:r>
      <w:r w:rsidRPr="00F867D0">
        <w:rPr>
          <w:color w:val="222222"/>
          <w:szCs w:val="22"/>
          <w:shd w:val="clear" w:color="auto" w:fill="FFFFFF"/>
        </w:rPr>
        <w:t xml:space="preserve"> improvement is published in some larger markets during the process of setting of MEPS for </w:t>
      </w:r>
      <w:r w:rsidR="00063E0F">
        <w:rPr>
          <w:color w:val="222222"/>
          <w:szCs w:val="22"/>
          <w:shd w:val="clear" w:color="auto" w:fill="FFFFFF"/>
        </w:rPr>
        <w:t>RAC</w:t>
      </w:r>
      <w:r w:rsidRPr="00F867D0">
        <w:rPr>
          <w:color w:val="222222"/>
          <w:szCs w:val="22"/>
          <w:shd w:val="clear" w:color="auto" w:fill="FFFFFF"/>
        </w:rPr>
        <w:t xml:space="preserve"> equipment. As part of this process, the DOE’s Appliance and Equipment Standards Program </w:t>
      </w:r>
      <w:r w:rsidR="001C1D72" w:rsidRPr="00F867D0">
        <w:rPr>
          <w:color w:val="222222"/>
          <w:szCs w:val="22"/>
          <w:shd w:val="clear" w:color="auto" w:fill="FFFFFF"/>
        </w:rPr>
        <w:t>[</w:t>
      </w:r>
      <w:r w:rsidRPr="00F867D0">
        <w:rPr>
          <w:color w:val="222222"/>
          <w:szCs w:val="22"/>
          <w:shd w:val="clear" w:color="auto" w:fill="FFFFFF"/>
        </w:rPr>
        <w:t>DOE, 201</w:t>
      </w:r>
      <w:r w:rsidR="001C1D72" w:rsidRPr="00F867D0">
        <w:rPr>
          <w:color w:val="222222"/>
          <w:szCs w:val="22"/>
          <w:shd w:val="clear" w:color="auto" w:fill="FFFFFF"/>
        </w:rPr>
        <w:t>6]</w:t>
      </w:r>
      <w:r w:rsidRPr="00F867D0">
        <w:rPr>
          <w:color w:val="222222"/>
          <w:szCs w:val="22"/>
          <w:shd w:val="clear" w:color="auto" w:fill="FFFFFF"/>
        </w:rPr>
        <w:t xml:space="preserve"> and the preparatory studies for the EU Eco</w:t>
      </w:r>
      <w:r w:rsidR="001D147C">
        <w:rPr>
          <w:color w:val="222222"/>
          <w:szCs w:val="22"/>
          <w:shd w:val="clear" w:color="auto" w:fill="FFFFFF"/>
        </w:rPr>
        <w:t>d</w:t>
      </w:r>
      <w:r w:rsidRPr="00F867D0">
        <w:rPr>
          <w:color w:val="222222"/>
          <w:szCs w:val="22"/>
          <w:shd w:val="clear" w:color="auto" w:fill="FFFFFF"/>
        </w:rPr>
        <w:t xml:space="preserve">esign Directive </w:t>
      </w:r>
      <w:r w:rsidR="001C1D72" w:rsidRPr="00F867D0">
        <w:rPr>
          <w:color w:val="222222"/>
          <w:szCs w:val="22"/>
          <w:shd w:val="clear" w:color="auto" w:fill="FFFFFF"/>
        </w:rPr>
        <w:t>[</w:t>
      </w:r>
      <w:r w:rsidRPr="00F867D0">
        <w:rPr>
          <w:color w:val="222222"/>
          <w:szCs w:val="22"/>
          <w:shd w:val="clear" w:color="auto" w:fill="FFFFFF"/>
        </w:rPr>
        <w:t>EuP, 2009</w:t>
      </w:r>
      <w:r w:rsidR="001C1D72" w:rsidRPr="00F867D0">
        <w:rPr>
          <w:color w:val="222222"/>
          <w:szCs w:val="22"/>
          <w:shd w:val="clear" w:color="auto" w:fill="FFFFFF"/>
        </w:rPr>
        <w:t>]</w:t>
      </w:r>
      <w:r w:rsidRPr="00F867D0">
        <w:rPr>
          <w:color w:val="222222"/>
          <w:szCs w:val="22"/>
          <w:shd w:val="clear" w:color="auto" w:fill="FFFFFF"/>
        </w:rPr>
        <w:t xml:space="preserve"> both use “bottom-up” engineering analys</w:t>
      </w:r>
      <w:r w:rsidR="00CD5B45" w:rsidRPr="00F867D0">
        <w:rPr>
          <w:color w:val="222222"/>
          <w:szCs w:val="22"/>
          <w:shd w:val="clear" w:color="auto" w:fill="FFFFFF"/>
        </w:rPr>
        <w:t>e</w:t>
      </w:r>
      <w:r w:rsidRPr="00F867D0">
        <w:rPr>
          <w:color w:val="222222"/>
          <w:szCs w:val="22"/>
          <w:shd w:val="clear" w:color="auto" w:fill="FFFFFF"/>
        </w:rPr>
        <w:t xml:space="preserve">s to identify the actual </w:t>
      </w:r>
      <w:r w:rsidR="00863BF9">
        <w:rPr>
          <w:color w:val="222222"/>
          <w:szCs w:val="22"/>
          <w:shd w:val="clear" w:color="auto" w:fill="FFFFFF"/>
        </w:rPr>
        <w:t xml:space="preserve">manufacturing </w:t>
      </w:r>
      <w:r w:rsidRPr="00F867D0">
        <w:rPr>
          <w:color w:val="222222"/>
          <w:szCs w:val="22"/>
          <w:shd w:val="clear" w:color="auto" w:fill="FFFFFF"/>
        </w:rPr>
        <w:t xml:space="preserve">cost (as opposed to the retail price) of efficiency improvement. Similar processes have also been used to a more limited degree to support </w:t>
      </w:r>
      <w:r w:rsidR="00063E0F">
        <w:rPr>
          <w:color w:val="222222"/>
          <w:szCs w:val="22"/>
          <w:shd w:val="clear" w:color="auto" w:fill="FFFFFF"/>
        </w:rPr>
        <w:t>EE</w:t>
      </w:r>
      <w:r w:rsidRPr="00F867D0">
        <w:rPr>
          <w:color w:val="222222"/>
          <w:szCs w:val="22"/>
          <w:shd w:val="clear" w:color="auto" w:fill="FFFFFF"/>
        </w:rPr>
        <w:t xml:space="preserve"> standards processes in countries such as India and China</w:t>
      </w:r>
      <w:r w:rsidR="001C1D72" w:rsidRPr="00F867D0">
        <w:rPr>
          <w:color w:val="222222"/>
          <w:szCs w:val="22"/>
          <w:shd w:val="clear" w:color="auto" w:fill="FFFFFF"/>
        </w:rPr>
        <w:t xml:space="preserve"> (see [Shah et al., 2016</w:t>
      </w:r>
      <w:r w:rsidR="00D41EAD" w:rsidRPr="00F867D0">
        <w:rPr>
          <w:color w:val="222222"/>
          <w:szCs w:val="22"/>
          <w:shd w:val="clear" w:color="auto" w:fill="FFFFFF"/>
        </w:rPr>
        <w:t>;</w:t>
      </w:r>
      <w:r w:rsidR="001C1D72" w:rsidRPr="00F867D0">
        <w:rPr>
          <w:color w:val="222222"/>
          <w:szCs w:val="22"/>
          <w:shd w:val="clear" w:color="auto" w:fill="FFFFFF"/>
        </w:rPr>
        <w:t xml:space="preserve"> Lin and Rosenquist, 2008</w:t>
      </w:r>
      <w:r w:rsidR="00D41EAD" w:rsidRPr="00F867D0">
        <w:rPr>
          <w:color w:val="222222"/>
          <w:szCs w:val="22"/>
          <w:shd w:val="clear" w:color="auto" w:fill="FFFFFF"/>
        </w:rPr>
        <w:t>;</w:t>
      </w:r>
      <w:r w:rsidR="001C1D72" w:rsidRPr="00F867D0">
        <w:rPr>
          <w:color w:val="222222"/>
          <w:szCs w:val="22"/>
          <w:shd w:val="clear" w:color="auto" w:fill="FFFFFF"/>
        </w:rPr>
        <w:t xml:space="preserve"> Fridley et al., 2001]).</w:t>
      </w:r>
    </w:p>
    <w:p w14:paraId="00EB25EC" w14:textId="77777777" w:rsidR="00A663AA" w:rsidRPr="00F867D0" w:rsidRDefault="00A663AA" w:rsidP="00A663AA">
      <w:pPr>
        <w:spacing w:after="0"/>
        <w:rPr>
          <w:lang w:eastAsia="en-US"/>
        </w:rPr>
      </w:pPr>
    </w:p>
    <w:p w14:paraId="581A9025" w14:textId="0991B8C7" w:rsidR="00A663AA" w:rsidRPr="00F867D0" w:rsidRDefault="00A663AA" w:rsidP="00A663AA">
      <w:pPr>
        <w:keepNext/>
        <w:widowControl w:val="0"/>
        <w:tabs>
          <w:tab w:val="left" w:pos="0"/>
        </w:tabs>
        <w:spacing w:after="0" w:line="276" w:lineRule="auto"/>
        <w:ind w:left="851" w:hanging="851"/>
        <w:outlineLvl w:val="3"/>
        <w:rPr>
          <w:rFonts w:eastAsia="MS Mincho"/>
          <w:b/>
          <w:i/>
          <w:snapToGrid w:val="0"/>
          <w:color w:val="000000" w:themeColor="text1"/>
          <w:szCs w:val="22"/>
          <w:shd w:val="clear" w:color="auto" w:fill="FFFFFF"/>
          <w:lang w:eastAsia="en-US"/>
        </w:rPr>
      </w:pPr>
      <w:r w:rsidRPr="00F867D0">
        <w:rPr>
          <w:rFonts w:eastAsia="MS Mincho"/>
          <w:b/>
          <w:i/>
          <w:snapToGrid w:val="0"/>
          <w:color w:val="000000" w:themeColor="text1"/>
          <w:szCs w:val="22"/>
          <w:shd w:val="clear" w:color="auto" w:fill="FFFFFF"/>
          <w:lang w:eastAsia="en-US"/>
        </w:rPr>
        <w:t>Example</w:t>
      </w:r>
      <w:r w:rsidR="00B36B27" w:rsidRPr="00F867D0">
        <w:rPr>
          <w:rFonts w:eastAsia="MS Mincho"/>
          <w:b/>
          <w:i/>
          <w:snapToGrid w:val="0"/>
          <w:color w:val="000000" w:themeColor="text1"/>
          <w:szCs w:val="22"/>
          <w:shd w:val="clear" w:color="auto" w:fill="FFFFFF"/>
          <w:lang w:eastAsia="en-US"/>
        </w:rPr>
        <w:t xml:space="preserve"> 2: </w:t>
      </w:r>
      <w:r w:rsidRPr="00F867D0">
        <w:rPr>
          <w:rFonts w:eastAsia="MS Mincho"/>
          <w:b/>
          <w:i/>
          <w:snapToGrid w:val="0"/>
          <w:color w:val="000000" w:themeColor="text1"/>
          <w:szCs w:val="22"/>
          <w:shd w:val="clear" w:color="auto" w:fill="FFFFFF"/>
          <w:lang w:eastAsia="en-US"/>
        </w:rPr>
        <w:t>Costs and energy savings of various efficiency improvement options</w:t>
      </w:r>
    </w:p>
    <w:p w14:paraId="76346B2F" w14:textId="77777777" w:rsidR="004D52BA" w:rsidRDefault="004D52BA" w:rsidP="00A663AA">
      <w:pPr>
        <w:spacing w:after="0"/>
        <w:rPr>
          <w:color w:val="222222"/>
          <w:szCs w:val="22"/>
          <w:shd w:val="clear" w:color="auto" w:fill="FFFFFF"/>
        </w:rPr>
      </w:pPr>
    </w:p>
    <w:p w14:paraId="0E18CB3D" w14:textId="178B7567" w:rsidR="00A663AA" w:rsidRPr="00F867D0" w:rsidRDefault="00A663AA" w:rsidP="00A663AA">
      <w:pPr>
        <w:spacing w:after="0"/>
        <w:rPr>
          <w:color w:val="222222"/>
          <w:szCs w:val="22"/>
          <w:shd w:val="clear" w:color="auto" w:fill="FFFFFF"/>
        </w:rPr>
      </w:pPr>
      <w:r w:rsidRPr="00F867D0">
        <w:rPr>
          <w:color w:val="222222"/>
          <w:szCs w:val="22"/>
          <w:shd w:val="clear" w:color="auto" w:fill="FFFFFF"/>
        </w:rPr>
        <w:t>Table 2.</w:t>
      </w:r>
      <w:r w:rsidR="006A5238" w:rsidRPr="00F867D0">
        <w:rPr>
          <w:color w:val="222222"/>
          <w:szCs w:val="22"/>
          <w:shd w:val="clear" w:color="auto" w:fill="FFFFFF"/>
        </w:rPr>
        <w:t>8</w:t>
      </w:r>
      <w:r w:rsidRPr="00F867D0">
        <w:rPr>
          <w:color w:val="222222"/>
          <w:szCs w:val="22"/>
          <w:shd w:val="clear" w:color="auto" w:fill="FFFFFF"/>
        </w:rPr>
        <w:t xml:space="preserve"> shows a recent example </w:t>
      </w:r>
      <w:r w:rsidR="00CD5B45" w:rsidRPr="00F867D0">
        <w:rPr>
          <w:color w:val="222222"/>
          <w:szCs w:val="22"/>
          <w:shd w:val="clear" w:color="auto" w:fill="FFFFFF"/>
        </w:rPr>
        <w:t xml:space="preserve">from India, </w:t>
      </w:r>
      <w:r w:rsidRPr="00F867D0">
        <w:rPr>
          <w:color w:val="222222"/>
          <w:szCs w:val="22"/>
          <w:shd w:val="clear" w:color="auto" w:fill="FFFFFF"/>
        </w:rPr>
        <w:t xml:space="preserve">of efficiency improvement options for various components for a </w:t>
      </w:r>
      <w:r w:rsidR="00863BF9">
        <w:rPr>
          <w:color w:val="222222"/>
          <w:szCs w:val="22"/>
          <w:shd w:val="clear" w:color="auto" w:fill="FFFFFF"/>
        </w:rPr>
        <w:t>5.27</w:t>
      </w:r>
      <w:r w:rsidR="00F85D8C">
        <w:rPr>
          <w:color w:val="222222"/>
          <w:szCs w:val="22"/>
          <w:shd w:val="clear" w:color="auto" w:fill="FFFFFF"/>
        </w:rPr>
        <w:t xml:space="preserve"> </w:t>
      </w:r>
      <w:r w:rsidR="00863BF9">
        <w:rPr>
          <w:color w:val="222222"/>
          <w:szCs w:val="22"/>
          <w:shd w:val="clear" w:color="auto" w:fill="FFFFFF"/>
        </w:rPr>
        <w:t>kW</w:t>
      </w:r>
      <w:r w:rsidRPr="00F867D0">
        <w:rPr>
          <w:color w:val="222222"/>
          <w:szCs w:val="22"/>
          <w:shd w:val="clear" w:color="auto" w:fill="FFFFFF"/>
        </w:rPr>
        <w:t xml:space="preserve"> mini-split AC with the expected energy savings from the “base case” model and their corresponding costs </w:t>
      </w:r>
      <w:r w:rsidR="00CD5B45" w:rsidRPr="00F867D0">
        <w:rPr>
          <w:color w:val="222222"/>
          <w:szCs w:val="22"/>
          <w:shd w:val="clear" w:color="auto" w:fill="FFFFFF"/>
        </w:rPr>
        <w:t xml:space="preserve">per </w:t>
      </w:r>
      <w:r w:rsidRPr="00F867D0">
        <w:rPr>
          <w:color w:val="222222"/>
          <w:szCs w:val="22"/>
          <w:shd w:val="clear" w:color="auto" w:fill="FFFFFF"/>
        </w:rPr>
        <w:t xml:space="preserve">unit </w:t>
      </w:r>
      <w:r w:rsidR="00CD5B45" w:rsidRPr="00F867D0">
        <w:rPr>
          <w:color w:val="222222"/>
          <w:szCs w:val="22"/>
          <w:shd w:val="clear" w:color="auto" w:fill="FFFFFF"/>
        </w:rPr>
        <w:t>(</w:t>
      </w:r>
      <w:r w:rsidRPr="00F867D0">
        <w:rPr>
          <w:color w:val="222222"/>
          <w:szCs w:val="22"/>
          <w:shd w:val="clear" w:color="auto" w:fill="FFFFFF"/>
        </w:rPr>
        <w:t xml:space="preserve">in Indian </w:t>
      </w:r>
      <w:r w:rsidR="00CD5B45" w:rsidRPr="00F867D0">
        <w:rPr>
          <w:color w:val="222222"/>
          <w:szCs w:val="22"/>
          <w:shd w:val="clear" w:color="auto" w:fill="FFFFFF"/>
        </w:rPr>
        <w:t>r</w:t>
      </w:r>
      <w:r w:rsidRPr="00F867D0">
        <w:rPr>
          <w:color w:val="222222"/>
          <w:szCs w:val="22"/>
          <w:shd w:val="clear" w:color="auto" w:fill="FFFFFF"/>
        </w:rPr>
        <w:t>upees</w:t>
      </w:r>
      <w:r w:rsidR="00CD5B45" w:rsidRPr="00F867D0">
        <w:rPr>
          <w:color w:val="222222"/>
          <w:szCs w:val="22"/>
          <w:shd w:val="clear" w:color="auto" w:fill="FFFFFF"/>
        </w:rPr>
        <w:t>)</w:t>
      </w:r>
      <w:r w:rsidRPr="00F867D0">
        <w:rPr>
          <w:color w:val="222222"/>
          <w:szCs w:val="22"/>
          <w:shd w:val="clear" w:color="auto" w:fill="FFFFFF"/>
        </w:rPr>
        <w:t>. Next, a manufacturing cost v</w:t>
      </w:r>
      <w:r w:rsidR="00CD5B45" w:rsidRPr="00F867D0">
        <w:rPr>
          <w:color w:val="222222"/>
          <w:szCs w:val="22"/>
          <w:shd w:val="clear" w:color="auto" w:fill="FFFFFF"/>
        </w:rPr>
        <w:t>er</w:t>
      </w:r>
      <w:r w:rsidRPr="00F867D0">
        <w:rPr>
          <w:color w:val="222222"/>
          <w:szCs w:val="22"/>
          <w:shd w:val="clear" w:color="auto" w:fill="FFFFFF"/>
        </w:rPr>
        <w:t>s</w:t>
      </w:r>
      <w:r w:rsidR="00CD5B45" w:rsidRPr="00F867D0">
        <w:rPr>
          <w:color w:val="222222"/>
          <w:szCs w:val="22"/>
          <w:shd w:val="clear" w:color="auto" w:fill="FFFFFF"/>
        </w:rPr>
        <w:t>us</w:t>
      </w:r>
      <w:r w:rsidRPr="00F867D0">
        <w:rPr>
          <w:color w:val="222222"/>
          <w:szCs w:val="22"/>
          <w:shd w:val="clear" w:color="auto" w:fill="FFFFFF"/>
        </w:rPr>
        <w:t xml:space="preserve"> </w:t>
      </w:r>
      <w:r w:rsidR="00CD5B45" w:rsidRPr="00F867D0">
        <w:rPr>
          <w:color w:val="222222"/>
          <w:szCs w:val="22"/>
          <w:shd w:val="clear" w:color="auto" w:fill="FFFFFF"/>
        </w:rPr>
        <w:t>EE</w:t>
      </w:r>
      <w:r w:rsidRPr="00F867D0">
        <w:rPr>
          <w:color w:val="222222"/>
          <w:szCs w:val="22"/>
          <w:shd w:val="clear" w:color="auto" w:fill="FFFFFF"/>
        </w:rPr>
        <w:t xml:space="preserve"> </w:t>
      </w:r>
      <w:r w:rsidR="00CD5B45" w:rsidRPr="00F867D0">
        <w:rPr>
          <w:color w:val="222222"/>
          <w:szCs w:val="22"/>
          <w:shd w:val="clear" w:color="auto" w:fill="FFFFFF"/>
        </w:rPr>
        <w:t>model</w:t>
      </w:r>
      <w:r w:rsidRPr="00F867D0">
        <w:rPr>
          <w:color w:val="222222"/>
          <w:szCs w:val="22"/>
          <w:shd w:val="clear" w:color="auto" w:fill="FFFFFF"/>
        </w:rPr>
        <w:t xml:space="preserve"> is created based on the most feasible and least expensive design options available. Retail and wholesale mark</w:t>
      </w:r>
      <w:r w:rsidR="00CD5B45" w:rsidRPr="00F867D0">
        <w:rPr>
          <w:color w:val="222222"/>
          <w:szCs w:val="22"/>
          <w:shd w:val="clear" w:color="auto" w:fill="FFFFFF"/>
        </w:rPr>
        <w:t>-</w:t>
      </w:r>
      <w:r w:rsidRPr="00F867D0">
        <w:rPr>
          <w:color w:val="222222"/>
          <w:szCs w:val="22"/>
          <w:shd w:val="clear" w:color="auto" w:fill="FFFFFF"/>
        </w:rPr>
        <w:t xml:space="preserve">ups are estimated based on this estimated manufacturing cost and the available retail price data on the market to arrive at a retail price versus </w:t>
      </w:r>
      <w:r w:rsidR="002845EE">
        <w:rPr>
          <w:color w:val="222222"/>
          <w:szCs w:val="22"/>
          <w:shd w:val="clear" w:color="auto" w:fill="FFFFFF"/>
        </w:rPr>
        <w:t>EE</w:t>
      </w:r>
      <w:r w:rsidRPr="00F867D0">
        <w:rPr>
          <w:color w:val="222222"/>
          <w:szCs w:val="22"/>
          <w:shd w:val="clear" w:color="auto" w:fill="FFFFFF"/>
        </w:rPr>
        <w:t xml:space="preserve"> curve.</w:t>
      </w:r>
    </w:p>
    <w:p w14:paraId="6839A266" w14:textId="77777777" w:rsidR="00A663AA" w:rsidRPr="00F867D0" w:rsidRDefault="00A663AA" w:rsidP="00A663AA">
      <w:pPr>
        <w:spacing w:after="0"/>
        <w:rPr>
          <w:color w:val="222222"/>
          <w:szCs w:val="22"/>
          <w:shd w:val="clear" w:color="auto" w:fill="FFFFFF"/>
        </w:rPr>
      </w:pPr>
    </w:p>
    <w:p w14:paraId="06180896" w14:textId="5C9CE8D9" w:rsidR="00A663AA" w:rsidRPr="00860876" w:rsidRDefault="00A663AA" w:rsidP="00A663AA">
      <w:pPr>
        <w:spacing w:after="0"/>
        <w:jc w:val="center"/>
        <w:rPr>
          <w:b/>
          <w:i/>
          <w:szCs w:val="22"/>
        </w:rPr>
      </w:pPr>
      <w:r w:rsidRPr="00860876">
        <w:rPr>
          <w:b/>
          <w:i/>
          <w:szCs w:val="22"/>
        </w:rPr>
        <w:t>Table 2.</w:t>
      </w:r>
      <w:r w:rsidR="006A5238" w:rsidRPr="00860876">
        <w:rPr>
          <w:b/>
          <w:i/>
          <w:szCs w:val="22"/>
        </w:rPr>
        <w:t>8</w:t>
      </w:r>
      <w:r w:rsidRPr="00860876">
        <w:rPr>
          <w:b/>
          <w:i/>
          <w:szCs w:val="22"/>
        </w:rPr>
        <w:t xml:space="preserve"> Efficiency improvement options, energy savings and manufacturing cost</w:t>
      </w:r>
    </w:p>
    <w:p w14:paraId="630E1AB0" w14:textId="18E2F468" w:rsidR="00A663AA" w:rsidRDefault="00A663AA" w:rsidP="00A663AA">
      <w:pPr>
        <w:spacing w:after="0"/>
        <w:jc w:val="center"/>
        <w:rPr>
          <w:b/>
          <w:i/>
          <w:szCs w:val="22"/>
        </w:rPr>
      </w:pPr>
      <w:r w:rsidRPr="00860876">
        <w:rPr>
          <w:b/>
          <w:i/>
          <w:szCs w:val="22"/>
        </w:rPr>
        <w:t xml:space="preserve">for a </w:t>
      </w:r>
      <w:r w:rsidR="00863BF9" w:rsidRPr="00860876">
        <w:rPr>
          <w:b/>
          <w:i/>
          <w:szCs w:val="22"/>
        </w:rPr>
        <w:t>5.27</w:t>
      </w:r>
      <w:r w:rsidR="00F85D8C" w:rsidRPr="00860876">
        <w:rPr>
          <w:b/>
          <w:i/>
          <w:szCs w:val="22"/>
        </w:rPr>
        <w:t xml:space="preserve"> </w:t>
      </w:r>
      <w:r w:rsidR="00863BF9" w:rsidRPr="00860876">
        <w:rPr>
          <w:b/>
          <w:i/>
          <w:szCs w:val="22"/>
        </w:rPr>
        <w:t>kW</w:t>
      </w:r>
      <w:r w:rsidRPr="00860876">
        <w:rPr>
          <w:b/>
          <w:i/>
          <w:szCs w:val="22"/>
        </w:rPr>
        <w:t xml:space="preserve"> mini-split AC in India </w:t>
      </w:r>
      <w:r w:rsidR="001C1D72" w:rsidRPr="00860876">
        <w:rPr>
          <w:b/>
          <w:i/>
          <w:szCs w:val="22"/>
        </w:rPr>
        <w:t>[</w:t>
      </w:r>
      <w:r w:rsidRPr="00860876">
        <w:rPr>
          <w:b/>
          <w:i/>
          <w:szCs w:val="22"/>
        </w:rPr>
        <w:t>Shah et al</w:t>
      </w:r>
      <w:r w:rsidR="00D07E69" w:rsidRPr="00860876">
        <w:rPr>
          <w:b/>
          <w:i/>
          <w:szCs w:val="22"/>
        </w:rPr>
        <w:t>,</w:t>
      </w:r>
      <w:r w:rsidRPr="00860876">
        <w:rPr>
          <w:b/>
          <w:i/>
          <w:szCs w:val="22"/>
        </w:rPr>
        <w:t xml:space="preserve"> 2016</w:t>
      </w:r>
      <w:r w:rsidR="001C1D72" w:rsidRPr="00860876">
        <w:rPr>
          <w:b/>
          <w:i/>
          <w:szCs w:val="22"/>
        </w:rPr>
        <w:t>]</w:t>
      </w:r>
    </w:p>
    <w:p w14:paraId="55C70682" w14:textId="77777777" w:rsidR="00860876" w:rsidRPr="00860876" w:rsidRDefault="00860876" w:rsidP="00A663AA">
      <w:pPr>
        <w:spacing w:after="0"/>
        <w:jc w:val="center"/>
        <w:rPr>
          <w:b/>
          <w:i/>
          <w:szCs w:val="22"/>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65"/>
        <w:gridCol w:w="2766"/>
        <w:gridCol w:w="2766"/>
      </w:tblGrid>
      <w:tr w:rsidR="00A663AA" w:rsidRPr="00F867D0" w14:paraId="4640066A" w14:textId="77777777" w:rsidTr="00453103">
        <w:trPr>
          <w:jc w:val="center"/>
        </w:trPr>
        <w:tc>
          <w:tcPr>
            <w:tcW w:w="2765" w:type="dxa"/>
          </w:tcPr>
          <w:p w14:paraId="2F22B49F" w14:textId="77777777" w:rsidR="00A663AA" w:rsidRPr="00F867D0" w:rsidRDefault="00A663AA" w:rsidP="00A663AA">
            <w:pPr>
              <w:spacing w:after="0"/>
              <w:rPr>
                <w:color w:val="222222"/>
                <w:shd w:val="clear" w:color="auto" w:fill="FFFFFF"/>
              </w:rPr>
            </w:pPr>
            <w:r w:rsidRPr="00F867D0">
              <w:rPr>
                <w:color w:val="222222"/>
                <w:shd w:val="clear" w:color="auto" w:fill="FFFFFF"/>
              </w:rPr>
              <w:t>Technology</w:t>
            </w:r>
          </w:p>
        </w:tc>
        <w:tc>
          <w:tcPr>
            <w:tcW w:w="2766" w:type="dxa"/>
          </w:tcPr>
          <w:p w14:paraId="6177F3B4" w14:textId="77777777" w:rsidR="00A663AA" w:rsidRPr="00F867D0" w:rsidRDefault="00A663AA" w:rsidP="00A663AA">
            <w:pPr>
              <w:spacing w:after="0"/>
              <w:rPr>
                <w:color w:val="222222"/>
                <w:shd w:val="clear" w:color="auto" w:fill="FFFFFF"/>
              </w:rPr>
            </w:pPr>
            <w:r w:rsidRPr="00F867D0">
              <w:rPr>
                <w:color w:val="222222"/>
                <w:shd w:val="clear" w:color="auto" w:fill="FFFFFF"/>
              </w:rPr>
              <w:t>Energy Saving Compared with Baseline</w:t>
            </w:r>
          </w:p>
        </w:tc>
        <w:tc>
          <w:tcPr>
            <w:tcW w:w="2766" w:type="dxa"/>
          </w:tcPr>
          <w:p w14:paraId="51CD2638" w14:textId="77777777" w:rsidR="00A663AA" w:rsidRPr="00F867D0" w:rsidRDefault="00A663AA" w:rsidP="00A663AA">
            <w:pPr>
              <w:spacing w:after="0"/>
              <w:rPr>
                <w:color w:val="222222"/>
                <w:shd w:val="clear" w:color="auto" w:fill="FFFFFF"/>
              </w:rPr>
            </w:pPr>
            <w:r w:rsidRPr="00F867D0">
              <w:rPr>
                <w:color w:val="222222"/>
                <w:shd w:val="clear" w:color="auto" w:fill="FFFFFF"/>
              </w:rPr>
              <w:t>Incremental Manufacturing cost (Rs)</w:t>
            </w:r>
          </w:p>
        </w:tc>
      </w:tr>
      <w:tr w:rsidR="00A663AA" w:rsidRPr="00F867D0" w14:paraId="468462A8" w14:textId="77777777" w:rsidTr="00453103">
        <w:trPr>
          <w:jc w:val="center"/>
        </w:trPr>
        <w:tc>
          <w:tcPr>
            <w:tcW w:w="2765" w:type="dxa"/>
          </w:tcPr>
          <w:p w14:paraId="2142E2B5" w14:textId="77777777" w:rsidR="00A663AA" w:rsidRPr="00F867D0" w:rsidRDefault="00A663AA" w:rsidP="00A663AA">
            <w:pPr>
              <w:spacing w:after="0"/>
              <w:rPr>
                <w:color w:val="222222"/>
                <w:shd w:val="clear" w:color="auto" w:fill="FFFFFF"/>
              </w:rPr>
            </w:pPr>
            <w:r w:rsidRPr="00F867D0">
              <w:rPr>
                <w:color w:val="222222"/>
                <w:shd w:val="clear" w:color="auto" w:fill="FFFFFF"/>
              </w:rPr>
              <w:t>Improved compressors</w:t>
            </w:r>
          </w:p>
        </w:tc>
        <w:tc>
          <w:tcPr>
            <w:tcW w:w="2766" w:type="dxa"/>
          </w:tcPr>
          <w:p w14:paraId="1DFFF733" w14:textId="77777777" w:rsidR="00A663AA" w:rsidRPr="00F867D0" w:rsidRDefault="00A663AA" w:rsidP="00A663AA">
            <w:pPr>
              <w:spacing w:after="0"/>
              <w:rPr>
                <w:color w:val="222222"/>
                <w:shd w:val="clear" w:color="auto" w:fill="FFFFFF"/>
              </w:rPr>
            </w:pPr>
            <w:r w:rsidRPr="00F867D0">
              <w:rPr>
                <w:color w:val="222222"/>
                <w:shd w:val="clear" w:color="auto" w:fill="FFFFFF"/>
              </w:rPr>
              <w:t>5.5% – 15%</w:t>
            </w:r>
          </w:p>
        </w:tc>
        <w:tc>
          <w:tcPr>
            <w:tcW w:w="2766" w:type="dxa"/>
          </w:tcPr>
          <w:p w14:paraId="7FBB10E7" w14:textId="77777777" w:rsidR="00A663AA" w:rsidRPr="00F867D0" w:rsidRDefault="00A663AA" w:rsidP="00A663AA">
            <w:pPr>
              <w:spacing w:after="0"/>
              <w:rPr>
                <w:color w:val="222222"/>
                <w:shd w:val="clear" w:color="auto" w:fill="FFFFFF"/>
              </w:rPr>
            </w:pPr>
            <w:r w:rsidRPr="00F867D0">
              <w:rPr>
                <w:color w:val="222222"/>
                <w:shd w:val="clear" w:color="auto" w:fill="FFFFFF"/>
              </w:rPr>
              <w:t>100 – 860</w:t>
            </w:r>
          </w:p>
        </w:tc>
      </w:tr>
      <w:tr w:rsidR="00A663AA" w:rsidRPr="00F867D0" w14:paraId="469897F5" w14:textId="77777777" w:rsidTr="00453103">
        <w:trPr>
          <w:jc w:val="center"/>
        </w:trPr>
        <w:tc>
          <w:tcPr>
            <w:tcW w:w="2765" w:type="dxa"/>
          </w:tcPr>
          <w:p w14:paraId="5FC9A0DE" w14:textId="77777777" w:rsidR="00A663AA" w:rsidRPr="00F867D0" w:rsidRDefault="00A663AA" w:rsidP="00A663AA">
            <w:pPr>
              <w:spacing w:after="0"/>
              <w:rPr>
                <w:color w:val="222222"/>
                <w:shd w:val="clear" w:color="auto" w:fill="FFFFFF"/>
              </w:rPr>
            </w:pPr>
            <w:r w:rsidRPr="00F867D0">
              <w:rPr>
                <w:color w:val="222222"/>
                <w:shd w:val="clear" w:color="auto" w:fill="FFFFFF"/>
              </w:rPr>
              <w:t>Variable speed compressors</w:t>
            </w:r>
          </w:p>
        </w:tc>
        <w:tc>
          <w:tcPr>
            <w:tcW w:w="2766" w:type="dxa"/>
          </w:tcPr>
          <w:p w14:paraId="552D5CAF" w14:textId="77777777" w:rsidR="00A663AA" w:rsidRPr="00F867D0" w:rsidRDefault="00A663AA" w:rsidP="00A663AA">
            <w:pPr>
              <w:spacing w:after="0"/>
              <w:rPr>
                <w:color w:val="222222"/>
                <w:shd w:val="clear" w:color="auto" w:fill="FFFFFF"/>
              </w:rPr>
            </w:pPr>
            <w:r w:rsidRPr="00F867D0">
              <w:rPr>
                <w:color w:val="222222"/>
                <w:shd w:val="clear" w:color="auto" w:fill="FFFFFF"/>
              </w:rPr>
              <w:t xml:space="preserve">21% – 23% </w:t>
            </w:r>
          </w:p>
        </w:tc>
        <w:tc>
          <w:tcPr>
            <w:tcW w:w="2766" w:type="dxa"/>
          </w:tcPr>
          <w:p w14:paraId="48497EF7" w14:textId="77777777" w:rsidR="00A663AA" w:rsidRPr="00F867D0" w:rsidRDefault="00A663AA" w:rsidP="00A663AA">
            <w:pPr>
              <w:spacing w:after="0"/>
              <w:rPr>
                <w:color w:val="222222"/>
                <w:shd w:val="clear" w:color="auto" w:fill="FFFFFF"/>
              </w:rPr>
            </w:pPr>
            <w:r w:rsidRPr="00F867D0">
              <w:rPr>
                <w:color w:val="222222"/>
                <w:shd w:val="clear" w:color="auto" w:fill="FFFFFF"/>
              </w:rPr>
              <w:t>1,800 – 8,100</w:t>
            </w:r>
          </w:p>
        </w:tc>
      </w:tr>
      <w:tr w:rsidR="00A663AA" w:rsidRPr="00F867D0" w14:paraId="149F30B4" w14:textId="77777777" w:rsidTr="00453103">
        <w:trPr>
          <w:jc w:val="center"/>
        </w:trPr>
        <w:tc>
          <w:tcPr>
            <w:tcW w:w="2765" w:type="dxa"/>
          </w:tcPr>
          <w:p w14:paraId="670A5DC1" w14:textId="77777777" w:rsidR="00A663AA" w:rsidRPr="00F867D0" w:rsidRDefault="00A663AA" w:rsidP="00A663AA">
            <w:pPr>
              <w:spacing w:after="0"/>
              <w:rPr>
                <w:color w:val="222222"/>
                <w:shd w:val="clear" w:color="auto" w:fill="FFFFFF"/>
              </w:rPr>
            </w:pPr>
            <w:r w:rsidRPr="00F867D0">
              <w:rPr>
                <w:color w:val="222222"/>
                <w:shd w:val="clear" w:color="auto" w:fill="FFFFFF"/>
              </w:rPr>
              <w:t>Variable speed drives for fans and compressors</w:t>
            </w:r>
          </w:p>
        </w:tc>
        <w:tc>
          <w:tcPr>
            <w:tcW w:w="2766" w:type="dxa"/>
          </w:tcPr>
          <w:p w14:paraId="13BBA775" w14:textId="77777777" w:rsidR="00A663AA" w:rsidRPr="00F867D0" w:rsidRDefault="00A663AA" w:rsidP="00A663AA">
            <w:pPr>
              <w:spacing w:after="0"/>
              <w:rPr>
                <w:color w:val="222222"/>
                <w:shd w:val="clear" w:color="auto" w:fill="FFFFFF"/>
              </w:rPr>
            </w:pPr>
            <w:r w:rsidRPr="00F867D0">
              <w:rPr>
                <w:color w:val="222222"/>
                <w:shd w:val="clear" w:color="auto" w:fill="FFFFFF"/>
              </w:rPr>
              <w:t>26%</w:t>
            </w:r>
          </w:p>
        </w:tc>
        <w:tc>
          <w:tcPr>
            <w:tcW w:w="2766" w:type="dxa"/>
          </w:tcPr>
          <w:p w14:paraId="2113EE06" w14:textId="77777777" w:rsidR="00A663AA" w:rsidRPr="00F867D0" w:rsidRDefault="00A663AA" w:rsidP="00A663AA">
            <w:pPr>
              <w:spacing w:after="0"/>
              <w:rPr>
                <w:color w:val="222222"/>
                <w:shd w:val="clear" w:color="auto" w:fill="FFFFFF"/>
              </w:rPr>
            </w:pPr>
            <w:r w:rsidRPr="00F867D0">
              <w:rPr>
                <w:color w:val="222222"/>
                <w:shd w:val="clear" w:color="auto" w:fill="FFFFFF"/>
              </w:rPr>
              <w:t>3,150 – 9,450</w:t>
            </w:r>
          </w:p>
        </w:tc>
      </w:tr>
      <w:tr w:rsidR="00A663AA" w:rsidRPr="00F867D0" w14:paraId="698FB094" w14:textId="77777777" w:rsidTr="00453103">
        <w:trPr>
          <w:jc w:val="center"/>
        </w:trPr>
        <w:tc>
          <w:tcPr>
            <w:tcW w:w="2765" w:type="dxa"/>
          </w:tcPr>
          <w:p w14:paraId="3A1C18AC" w14:textId="77777777" w:rsidR="00A663AA" w:rsidRPr="00F867D0" w:rsidRDefault="00A663AA" w:rsidP="00A663AA">
            <w:pPr>
              <w:spacing w:after="0"/>
              <w:rPr>
                <w:color w:val="222222"/>
                <w:shd w:val="clear" w:color="auto" w:fill="FFFFFF"/>
              </w:rPr>
            </w:pPr>
            <w:r w:rsidRPr="00F867D0">
              <w:rPr>
                <w:color w:val="222222"/>
                <w:shd w:val="clear" w:color="auto" w:fill="FFFFFF"/>
              </w:rPr>
              <w:t>Heat Exchanger improvement</w:t>
            </w:r>
          </w:p>
        </w:tc>
        <w:tc>
          <w:tcPr>
            <w:tcW w:w="2766" w:type="dxa"/>
          </w:tcPr>
          <w:p w14:paraId="62EB4990" w14:textId="77777777" w:rsidR="00A663AA" w:rsidRPr="00F867D0" w:rsidRDefault="00A663AA" w:rsidP="00A663AA">
            <w:pPr>
              <w:spacing w:after="0"/>
              <w:rPr>
                <w:color w:val="222222"/>
                <w:shd w:val="clear" w:color="auto" w:fill="FFFFFF"/>
              </w:rPr>
            </w:pPr>
            <w:r w:rsidRPr="00F867D0">
              <w:rPr>
                <w:color w:val="222222"/>
                <w:shd w:val="clear" w:color="auto" w:fill="FFFFFF"/>
              </w:rPr>
              <w:t xml:space="preserve">7.5% – 24% </w:t>
            </w:r>
          </w:p>
        </w:tc>
        <w:tc>
          <w:tcPr>
            <w:tcW w:w="2766" w:type="dxa"/>
          </w:tcPr>
          <w:p w14:paraId="7771F34C" w14:textId="77777777" w:rsidR="00A663AA" w:rsidRPr="00F867D0" w:rsidRDefault="00A663AA" w:rsidP="00A663AA">
            <w:pPr>
              <w:spacing w:after="0"/>
              <w:rPr>
                <w:color w:val="222222"/>
                <w:shd w:val="clear" w:color="auto" w:fill="FFFFFF"/>
              </w:rPr>
            </w:pPr>
            <w:r w:rsidRPr="00F867D0">
              <w:rPr>
                <w:color w:val="222222"/>
                <w:shd w:val="clear" w:color="auto" w:fill="FFFFFF"/>
              </w:rPr>
              <w:t>735 – 11,000</w:t>
            </w:r>
          </w:p>
        </w:tc>
      </w:tr>
      <w:tr w:rsidR="00A663AA" w:rsidRPr="00F867D0" w14:paraId="5CB939FF" w14:textId="77777777" w:rsidTr="00453103">
        <w:trPr>
          <w:jc w:val="center"/>
        </w:trPr>
        <w:tc>
          <w:tcPr>
            <w:tcW w:w="2765" w:type="dxa"/>
          </w:tcPr>
          <w:p w14:paraId="48761547" w14:textId="77777777" w:rsidR="00A663AA" w:rsidRPr="00F867D0" w:rsidRDefault="00A663AA" w:rsidP="00A663AA">
            <w:pPr>
              <w:spacing w:after="0"/>
              <w:rPr>
                <w:color w:val="222222"/>
                <w:shd w:val="clear" w:color="auto" w:fill="FFFFFF"/>
              </w:rPr>
            </w:pPr>
            <w:r w:rsidRPr="00F867D0">
              <w:rPr>
                <w:color w:val="222222"/>
                <w:shd w:val="clear" w:color="auto" w:fill="FFFFFF"/>
              </w:rPr>
              <w:t>Expansion valve</w:t>
            </w:r>
          </w:p>
        </w:tc>
        <w:tc>
          <w:tcPr>
            <w:tcW w:w="2766" w:type="dxa"/>
          </w:tcPr>
          <w:p w14:paraId="751B13C4" w14:textId="77777777" w:rsidR="00A663AA" w:rsidRPr="00F867D0" w:rsidRDefault="00A663AA" w:rsidP="00A663AA">
            <w:pPr>
              <w:spacing w:after="0"/>
              <w:rPr>
                <w:color w:val="222222"/>
                <w:shd w:val="clear" w:color="auto" w:fill="FFFFFF"/>
              </w:rPr>
            </w:pPr>
            <w:r w:rsidRPr="00F867D0">
              <w:rPr>
                <w:color w:val="222222"/>
                <w:shd w:val="clear" w:color="auto" w:fill="FFFFFF"/>
              </w:rPr>
              <w:t xml:space="preserve">3.5% – 6.5% </w:t>
            </w:r>
          </w:p>
        </w:tc>
        <w:tc>
          <w:tcPr>
            <w:tcW w:w="2766" w:type="dxa"/>
          </w:tcPr>
          <w:p w14:paraId="2AD23147" w14:textId="77777777" w:rsidR="00A663AA" w:rsidRPr="00F867D0" w:rsidRDefault="00A663AA" w:rsidP="00A663AA">
            <w:pPr>
              <w:spacing w:after="0"/>
              <w:rPr>
                <w:color w:val="222222"/>
                <w:shd w:val="clear" w:color="auto" w:fill="FFFFFF"/>
              </w:rPr>
            </w:pPr>
            <w:r w:rsidRPr="00F867D0">
              <w:rPr>
                <w:color w:val="222222"/>
                <w:shd w:val="clear" w:color="auto" w:fill="FFFFFF"/>
              </w:rPr>
              <w:t xml:space="preserve">125 – 2250 </w:t>
            </w:r>
          </w:p>
        </w:tc>
      </w:tr>
    </w:tbl>
    <w:p w14:paraId="48F2D73C" w14:textId="77777777" w:rsidR="00A663AA" w:rsidRPr="00F867D0" w:rsidRDefault="00A663AA" w:rsidP="00A663AA">
      <w:pPr>
        <w:spacing w:after="0"/>
        <w:rPr>
          <w:highlight w:val="yellow"/>
          <w:lang w:eastAsia="en-US"/>
        </w:rPr>
      </w:pPr>
    </w:p>
    <w:p w14:paraId="2737EC58" w14:textId="38DA7380" w:rsidR="00A663AA" w:rsidRPr="00F867D0" w:rsidRDefault="00A663AA" w:rsidP="00A663AA">
      <w:pPr>
        <w:keepNext/>
        <w:widowControl w:val="0"/>
        <w:tabs>
          <w:tab w:val="left" w:pos="0"/>
        </w:tabs>
        <w:spacing w:after="0" w:line="276" w:lineRule="auto"/>
        <w:ind w:left="851" w:hanging="851"/>
        <w:outlineLvl w:val="3"/>
        <w:rPr>
          <w:rFonts w:eastAsia="MS Mincho"/>
          <w:b/>
          <w:i/>
          <w:snapToGrid w:val="0"/>
          <w:color w:val="000000" w:themeColor="text1"/>
          <w:szCs w:val="22"/>
          <w:shd w:val="clear" w:color="auto" w:fill="FFFFFF"/>
          <w:lang w:eastAsia="en-US"/>
        </w:rPr>
      </w:pPr>
      <w:bookmarkStart w:id="94" w:name="_Toc510377959"/>
      <w:r w:rsidRPr="00F867D0">
        <w:rPr>
          <w:rFonts w:eastAsia="MS Mincho"/>
          <w:b/>
          <w:i/>
          <w:snapToGrid w:val="0"/>
          <w:color w:val="000000" w:themeColor="text1"/>
          <w:szCs w:val="22"/>
          <w:shd w:val="clear" w:color="auto" w:fill="FFFFFF"/>
          <w:lang w:eastAsia="en-US"/>
        </w:rPr>
        <w:t>Example</w:t>
      </w:r>
      <w:bookmarkEnd w:id="94"/>
      <w:r w:rsidR="00B36B27" w:rsidRPr="00F867D0">
        <w:rPr>
          <w:rFonts w:eastAsia="MS Mincho"/>
          <w:b/>
          <w:i/>
          <w:snapToGrid w:val="0"/>
          <w:color w:val="000000" w:themeColor="text1"/>
          <w:szCs w:val="22"/>
          <w:shd w:val="clear" w:color="auto" w:fill="FFFFFF"/>
          <w:lang w:eastAsia="en-US"/>
        </w:rPr>
        <w:t xml:space="preserve"> </w:t>
      </w:r>
      <w:r w:rsidRPr="00F867D0">
        <w:rPr>
          <w:rFonts w:eastAsia="MS Mincho"/>
          <w:b/>
          <w:i/>
          <w:snapToGrid w:val="0"/>
          <w:color w:val="000000" w:themeColor="text1"/>
          <w:szCs w:val="22"/>
          <w:shd w:val="clear" w:color="auto" w:fill="FFFFFF"/>
          <w:lang w:eastAsia="en-US"/>
        </w:rPr>
        <w:t>3</w:t>
      </w:r>
      <w:r w:rsidR="00B36B27" w:rsidRPr="00F867D0">
        <w:rPr>
          <w:rFonts w:eastAsia="MS Mincho"/>
          <w:b/>
          <w:i/>
          <w:snapToGrid w:val="0"/>
          <w:color w:val="000000" w:themeColor="text1"/>
          <w:szCs w:val="22"/>
          <w:shd w:val="clear" w:color="auto" w:fill="FFFFFF"/>
          <w:lang w:eastAsia="en-US"/>
        </w:rPr>
        <w:t>:</w:t>
      </w:r>
      <w:r w:rsidRPr="00F867D0">
        <w:rPr>
          <w:rFonts w:eastAsia="MS Mincho"/>
          <w:b/>
          <w:i/>
          <w:snapToGrid w:val="0"/>
          <w:color w:val="000000" w:themeColor="text1"/>
          <w:szCs w:val="22"/>
          <w:shd w:val="clear" w:color="auto" w:fill="FFFFFF"/>
          <w:lang w:eastAsia="en-US"/>
        </w:rPr>
        <w:t xml:space="preserve"> Price increase of efficiency with and without change in refrigerant</w:t>
      </w:r>
    </w:p>
    <w:p w14:paraId="07A1B028" w14:textId="77777777" w:rsidR="004D52BA" w:rsidRDefault="004D52BA" w:rsidP="00A663AA">
      <w:pPr>
        <w:spacing w:after="0"/>
      </w:pPr>
    </w:p>
    <w:p w14:paraId="2772B3C0" w14:textId="075AFE33" w:rsidR="00A663AA" w:rsidRPr="00F867D0" w:rsidRDefault="00A663AA" w:rsidP="00A663AA">
      <w:pPr>
        <w:spacing w:after="0"/>
      </w:pPr>
      <w:r w:rsidRPr="00F867D0">
        <w:t xml:space="preserve">For one Chinese brand, the price increase </w:t>
      </w:r>
      <w:r w:rsidR="00F85D8C">
        <w:t xml:space="preserve">for an approximately 13-15% efficiency improvement for a 3.5 kW variable-speed AC using </w:t>
      </w:r>
      <w:r w:rsidRPr="00F867D0">
        <w:t xml:space="preserve">R-410A is about 6%. However, when both the efficiency and refrigerant were updated (i.e. from </w:t>
      </w:r>
      <w:r w:rsidR="00C7275E">
        <w:t>5-8</w:t>
      </w:r>
      <w:r w:rsidR="00F85D8C">
        <w:t xml:space="preserve">% improvement </w:t>
      </w:r>
      <w:r w:rsidRPr="00F867D0">
        <w:t>and from R-410A to HFC-32), the price increase was about 11% (</w:t>
      </w:r>
      <w:r w:rsidR="002C5E4A">
        <w:t>Li, 2018.</w:t>
      </w:r>
      <w:r w:rsidRPr="00F867D0">
        <w:t xml:space="preserve">). </w:t>
      </w:r>
    </w:p>
    <w:p w14:paraId="7666A709" w14:textId="77777777" w:rsidR="00A663AA" w:rsidRPr="00F867D0" w:rsidRDefault="00A663AA" w:rsidP="00A663AA">
      <w:pPr>
        <w:spacing w:after="0"/>
      </w:pPr>
    </w:p>
    <w:p w14:paraId="5B22FFC0" w14:textId="2620B7E2" w:rsidR="00A663AA" w:rsidRPr="00F867D0" w:rsidRDefault="00A663AA" w:rsidP="00A663AA">
      <w:pPr>
        <w:keepNext/>
        <w:widowControl w:val="0"/>
        <w:tabs>
          <w:tab w:val="left" w:pos="0"/>
        </w:tabs>
        <w:spacing w:after="0" w:line="276" w:lineRule="auto"/>
        <w:ind w:left="851" w:hanging="851"/>
        <w:outlineLvl w:val="3"/>
        <w:rPr>
          <w:rFonts w:eastAsia="MS Mincho"/>
          <w:b/>
          <w:i/>
          <w:snapToGrid w:val="0"/>
          <w:color w:val="000000" w:themeColor="text1"/>
          <w:szCs w:val="22"/>
          <w:shd w:val="clear" w:color="auto" w:fill="FFFFFF"/>
          <w:lang w:eastAsia="en-US"/>
        </w:rPr>
      </w:pPr>
      <w:bookmarkStart w:id="95" w:name="_Toc510377961"/>
      <w:r w:rsidRPr="00F867D0">
        <w:rPr>
          <w:rFonts w:eastAsia="MS Mincho"/>
          <w:b/>
          <w:i/>
          <w:snapToGrid w:val="0"/>
          <w:color w:val="000000" w:themeColor="text1"/>
          <w:szCs w:val="22"/>
          <w:shd w:val="clear" w:color="auto" w:fill="FFFFFF"/>
          <w:lang w:eastAsia="en-US"/>
        </w:rPr>
        <w:t>Example</w:t>
      </w:r>
      <w:r w:rsidR="00B36B27" w:rsidRPr="00F867D0">
        <w:rPr>
          <w:rFonts w:eastAsia="MS Mincho"/>
          <w:b/>
          <w:i/>
          <w:snapToGrid w:val="0"/>
          <w:color w:val="000000" w:themeColor="text1"/>
          <w:szCs w:val="22"/>
          <w:shd w:val="clear" w:color="auto" w:fill="FFFFFF"/>
          <w:lang w:eastAsia="en-US"/>
        </w:rPr>
        <w:t xml:space="preserve"> </w:t>
      </w:r>
      <w:r w:rsidRPr="00F867D0">
        <w:rPr>
          <w:rFonts w:eastAsia="MS Mincho"/>
          <w:b/>
          <w:i/>
          <w:snapToGrid w:val="0"/>
          <w:color w:val="000000" w:themeColor="text1"/>
          <w:szCs w:val="22"/>
          <w:shd w:val="clear" w:color="auto" w:fill="FFFFFF"/>
          <w:lang w:eastAsia="en-US"/>
        </w:rPr>
        <w:t>4</w:t>
      </w:r>
      <w:bookmarkEnd w:id="95"/>
      <w:r w:rsidR="00B36B27" w:rsidRPr="00F867D0">
        <w:rPr>
          <w:rFonts w:eastAsia="MS Mincho"/>
          <w:b/>
          <w:i/>
          <w:snapToGrid w:val="0"/>
          <w:color w:val="000000" w:themeColor="text1"/>
          <w:szCs w:val="22"/>
          <w:shd w:val="clear" w:color="auto" w:fill="FFFFFF"/>
          <w:lang w:eastAsia="en-US"/>
        </w:rPr>
        <w:t>:</w:t>
      </w:r>
      <w:r w:rsidRPr="00F867D0">
        <w:rPr>
          <w:rFonts w:eastAsia="MS Mincho"/>
          <w:b/>
          <w:i/>
          <w:snapToGrid w:val="0"/>
          <w:color w:val="000000" w:themeColor="text1"/>
          <w:szCs w:val="22"/>
          <w:shd w:val="clear" w:color="auto" w:fill="FFFFFF"/>
          <w:lang w:eastAsia="en-US"/>
        </w:rPr>
        <w:t xml:space="preserve"> Declining price trends over time</w:t>
      </w:r>
    </w:p>
    <w:p w14:paraId="7AD7EC55" w14:textId="77777777" w:rsidR="004D52BA" w:rsidRDefault="004D52BA" w:rsidP="00A663AA">
      <w:pPr>
        <w:spacing w:after="0"/>
        <w:rPr>
          <w:rFonts w:eastAsia="Times New Roman"/>
          <w:szCs w:val="22"/>
        </w:rPr>
      </w:pPr>
    </w:p>
    <w:p w14:paraId="34250163" w14:textId="1C3365DF" w:rsidR="00E97E22" w:rsidRDefault="00A663AA" w:rsidP="00A663AA">
      <w:pPr>
        <w:spacing w:after="0"/>
        <w:rPr>
          <w:szCs w:val="22"/>
        </w:rPr>
      </w:pPr>
      <w:r w:rsidRPr="00F867D0">
        <w:rPr>
          <w:rFonts w:eastAsia="Times New Roman"/>
          <w:szCs w:val="22"/>
        </w:rPr>
        <w:t xml:space="preserve">The US unitary AC equipment evolution </w:t>
      </w:r>
      <w:r w:rsidRPr="00F867D0">
        <w:rPr>
          <w:szCs w:val="22"/>
        </w:rPr>
        <w:t>since the 1970s has shown steady efficiency improvement while at the same time achieving cost effectiveness as shown in Figure 2.</w:t>
      </w:r>
      <w:r w:rsidR="006A5238" w:rsidRPr="00F867D0">
        <w:rPr>
          <w:szCs w:val="22"/>
        </w:rPr>
        <w:t>8</w:t>
      </w:r>
      <w:r w:rsidRPr="00F867D0">
        <w:rPr>
          <w:szCs w:val="22"/>
        </w:rPr>
        <w:t>. U.S. manufacturers have reduced the inflation-adjusted price of unitary A/C equipment, as Figure 2.</w:t>
      </w:r>
      <w:r w:rsidR="006A5238" w:rsidRPr="00F867D0">
        <w:rPr>
          <w:szCs w:val="22"/>
        </w:rPr>
        <w:t>8</w:t>
      </w:r>
      <w:r w:rsidRPr="00F867D0">
        <w:rPr>
          <w:szCs w:val="22"/>
        </w:rPr>
        <w:t xml:space="preserve"> shows for residential central ducted A/C systems (equipment costs only). </w:t>
      </w:r>
      <w:r w:rsidR="00E97E22">
        <w:rPr>
          <w:szCs w:val="22"/>
        </w:rPr>
        <w:t xml:space="preserve">The dotted green line depicts the Producer Price Index (PPI) while the blue line depicts the inflation adjusted PPI. The inflation adjustment is calculated by dividing the PPI series by the gross domestic product chained price index for the same years and normalize them to the year 2015. </w:t>
      </w:r>
    </w:p>
    <w:p w14:paraId="6CA49642" w14:textId="77777777" w:rsidR="00E97E22" w:rsidRDefault="00E97E22" w:rsidP="00A663AA">
      <w:pPr>
        <w:spacing w:after="0"/>
        <w:rPr>
          <w:szCs w:val="22"/>
        </w:rPr>
      </w:pPr>
    </w:p>
    <w:p w14:paraId="68BA4FC6" w14:textId="40DA17FC" w:rsidR="00A663AA" w:rsidRDefault="00E97E22" w:rsidP="00A663AA">
      <w:pPr>
        <w:spacing w:after="0"/>
        <w:rPr>
          <w:szCs w:val="22"/>
        </w:rPr>
      </w:pPr>
      <w:r w:rsidRPr="00F867D0">
        <w:rPr>
          <w:szCs w:val="22"/>
        </w:rPr>
        <w:t>Th</w:t>
      </w:r>
      <w:r>
        <w:rPr>
          <w:szCs w:val="22"/>
        </w:rPr>
        <w:t>e</w:t>
      </w:r>
      <w:r w:rsidRPr="00F867D0">
        <w:rPr>
          <w:szCs w:val="22"/>
        </w:rPr>
        <w:t xml:space="preserve"> </w:t>
      </w:r>
      <w:r w:rsidR="00A663AA" w:rsidRPr="00F867D0">
        <w:rPr>
          <w:szCs w:val="22"/>
        </w:rPr>
        <w:t xml:space="preserve">trend of decreasing prices has been concurrent with the ODS phase-out, as well as periodically increased efficiency standards. The reasons for this trend are complex, including technological innovations and manufacturing efficiencies, as well as macroeconomic factors related to globalization of manufacturing and commodity price trends. It is important to note that the adjusted equipment price didn’t increase following the introduction of the efficiency standards or </w:t>
      </w:r>
      <w:r w:rsidR="008C3ED4">
        <w:rPr>
          <w:szCs w:val="22"/>
        </w:rPr>
        <w:t>the</w:t>
      </w:r>
      <w:r w:rsidR="00A663AA" w:rsidRPr="00F867D0">
        <w:rPr>
          <w:szCs w:val="22"/>
        </w:rPr>
        <w:t xml:space="preserve"> increase</w:t>
      </w:r>
      <w:r w:rsidR="008C3ED4">
        <w:rPr>
          <w:szCs w:val="22"/>
        </w:rPr>
        <w:t xml:space="preserve"> in the standards</w:t>
      </w:r>
      <w:r w:rsidR="00A663AA" w:rsidRPr="00F867D0">
        <w:rPr>
          <w:szCs w:val="22"/>
        </w:rPr>
        <w:t>. It is also important to note that prices didn’t react adversely with the ban of HCFC-22 in 2010. Please refer to section 2.</w:t>
      </w:r>
      <w:r w:rsidR="006A5238" w:rsidRPr="00F867D0">
        <w:rPr>
          <w:szCs w:val="22"/>
        </w:rPr>
        <w:t>2</w:t>
      </w:r>
      <w:r w:rsidR="00A663AA" w:rsidRPr="00F867D0">
        <w:rPr>
          <w:szCs w:val="22"/>
        </w:rPr>
        <w:t xml:space="preserve"> for more information about the barriers to uptake in developing economies as well as in section 2.</w:t>
      </w:r>
      <w:r w:rsidR="006A5238" w:rsidRPr="00F867D0">
        <w:rPr>
          <w:szCs w:val="22"/>
        </w:rPr>
        <w:t>3</w:t>
      </w:r>
      <w:r w:rsidR="00A663AA" w:rsidRPr="00F867D0">
        <w:rPr>
          <w:szCs w:val="22"/>
        </w:rPr>
        <w:t xml:space="preserve"> on long-term sustain</w:t>
      </w:r>
      <w:r w:rsidR="00860876">
        <w:rPr>
          <w:szCs w:val="22"/>
        </w:rPr>
        <w:t>able performance and viability.</w:t>
      </w:r>
    </w:p>
    <w:p w14:paraId="09D6FBB0" w14:textId="77777777" w:rsidR="00860876" w:rsidRPr="00F867D0" w:rsidRDefault="00860876" w:rsidP="00A663AA">
      <w:pPr>
        <w:spacing w:after="0"/>
        <w:rPr>
          <w:color w:val="222222"/>
          <w:szCs w:val="22"/>
          <w:shd w:val="clear" w:color="auto" w:fill="FFFFFF"/>
        </w:rPr>
      </w:pPr>
    </w:p>
    <w:p w14:paraId="4E9355C4" w14:textId="77777777" w:rsidR="00A663AA" w:rsidRPr="00F867D0" w:rsidRDefault="00A663AA" w:rsidP="00A663AA">
      <w:pPr>
        <w:spacing w:after="0"/>
        <w:jc w:val="center"/>
        <w:rPr>
          <w:color w:val="222222"/>
          <w:szCs w:val="22"/>
          <w:shd w:val="clear" w:color="auto" w:fill="FFFFFF"/>
        </w:rPr>
      </w:pPr>
      <w:r w:rsidRPr="00F867D0">
        <w:rPr>
          <w:noProof/>
          <w:szCs w:val="22"/>
          <w:lang w:val="en-US" w:eastAsia="en-US"/>
        </w:rPr>
        <w:drawing>
          <wp:inline distT="0" distB="0" distL="0" distR="0" wp14:anchorId="28CCA54A" wp14:editId="585BFD0E">
            <wp:extent cx="5647068" cy="2819400"/>
            <wp:effectExtent l="0" t="0" r="0" b="0"/>
            <wp:docPr id="32" name="Picture 19"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reen Clipping"/>
                    <pic:cNvPicPr>
                      <a:picLocks noChangeAspect="1" noChangeArrowheads="1"/>
                    </pic:cNvPicPr>
                  </pic:nvPicPr>
                  <pic:blipFill>
                    <a:blip r:embed="rId36">
                      <a:extLst>
                        <a:ext uri="{28A0092B-C50C-407E-A947-70E740481C1C}">
                          <a14:useLocalDpi xmlns:a14="http://schemas.microsoft.com/office/drawing/2010/main" val="0"/>
                        </a:ext>
                      </a:extLst>
                    </a:blip>
                    <a:srcRect b="15366"/>
                    <a:stretch>
                      <a:fillRect/>
                    </a:stretch>
                  </pic:blipFill>
                  <pic:spPr bwMode="auto">
                    <a:xfrm>
                      <a:off x="0" y="0"/>
                      <a:ext cx="5647696" cy="2819714"/>
                    </a:xfrm>
                    <a:prstGeom prst="rect">
                      <a:avLst/>
                    </a:prstGeom>
                    <a:noFill/>
                    <a:ln>
                      <a:noFill/>
                    </a:ln>
                  </pic:spPr>
                </pic:pic>
              </a:graphicData>
            </a:graphic>
          </wp:inline>
        </w:drawing>
      </w:r>
    </w:p>
    <w:p w14:paraId="0370D83D" w14:textId="77777777" w:rsidR="00860876" w:rsidRDefault="00860876" w:rsidP="00860876">
      <w:pPr>
        <w:spacing w:after="0"/>
        <w:jc w:val="center"/>
        <w:rPr>
          <w:b/>
          <w:i/>
          <w:szCs w:val="22"/>
        </w:rPr>
      </w:pPr>
    </w:p>
    <w:p w14:paraId="054E1D31" w14:textId="34C84E4E" w:rsidR="00A663AA" w:rsidRPr="00860876" w:rsidRDefault="00A663AA" w:rsidP="00860876">
      <w:pPr>
        <w:spacing w:after="0"/>
        <w:jc w:val="center"/>
        <w:rPr>
          <w:b/>
          <w:i/>
          <w:szCs w:val="22"/>
        </w:rPr>
      </w:pPr>
      <w:r w:rsidRPr="00860876">
        <w:rPr>
          <w:b/>
          <w:i/>
          <w:szCs w:val="22"/>
        </w:rPr>
        <w:t>Figure 2.</w:t>
      </w:r>
      <w:r w:rsidR="006A5238" w:rsidRPr="00860876">
        <w:rPr>
          <w:b/>
          <w:i/>
          <w:szCs w:val="22"/>
        </w:rPr>
        <w:t>8</w:t>
      </w:r>
      <w:r w:rsidRPr="00860876">
        <w:rPr>
          <w:b/>
          <w:i/>
          <w:szCs w:val="22"/>
        </w:rPr>
        <w:t xml:space="preserve"> - Residential central AC equipment costs from 1978 to 2015 [Goetzler et al 2016]</w:t>
      </w:r>
    </w:p>
    <w:p w14:paraId="20C2A43D" w14:textId="77777777" w:rsidR="00A663AA" w:rsidRPr="00F867D0" w:rsidRDefault="00A663AA" w:rsidP="00A663AA">
      <w:pPr>
        <w:keepNext/>
        <w:widowControl w:val="0"/>
        <w:tabs>
          <w:tab w:val="left" w:pos="0"/>
        </w:tabs>
        <w:spacing w:after="0" w:line="276" w:lineRule="auto"/>
        <w:ind w:left="851" w:hanging="851"/>
        <w:outlineLvl w:val="3"/>
        <w:rPr>
          <w:rFonts w:eastAsia="MS Mincho"/>
          <w:i/>
          <w:snapToGrid w:val="0"/>
          <w:color w:val="000000" w:themeColor="text1"/>
          <w:sz w:val="24"/>
          <w:szCs w:val="24"/>
          <w:shd w:val="clear" w:color="auto" w:fill="FFFFFF"/>
          <w:lang w:eastAsia="en-US"/>
        </w:rPr>
      </w:pPr>
    </w:p>
    <w:p w14:paraId="0DA810ED" w14:textId="77777777" w:rsidR="00860876" w:rsidRDefault="00860876" w:rsidP="00A663AA">
      <w:pPr>
        <w:keepNext/>
        <w:widowControl w:val="0"/>
        <w:tabs>
          <w:tab w:val="left" w:pos="0"/>
        </w:tabs>
        <w:spacing w:after="0" w:line="276" w:lineRule="auto"/>
        <w:ind w:left="851" w:hanging="851"/>
        <w:outlineLvl w:val="3"/>
        <w:rPr>
          <w:rFonts w:eastAsia="MS Mincho"/>
          <w:b/>
          <w:i/>
          <w:snapToGrid w:val="0"/>
          <w:color w:val="000000" w:themeColor="text1"/>
          <w:szCs w:val="22"/>
          <w:shd w:val="clear" w:color="auto" w:fill="FFFFFF"/>
          <w:lang w:eastAsia="en-US"/>
        </w:rPr>
      </w:pPr>
    </w:p>
    <w:p w14:paraId="66237DEB" w14:textId="0B6DC841" w:rsidR="00A663AA" w:rsidRPr="00F867D0" w:rsidRDefault="00A663AA" w:rsidP="00A663AA">
      <w:pPr>
        <w:keepNext/>
        <w:widowControl w:val="0"/>
        <w:tabs>
          <w:tab w:val="left" w:pos="0"/>
        </w:tabs>
        <w:spacing w:after="0" w:line="276" w:lineRule="auto"/>
        <w:ind w:left="851" w:hanging="851"/>
        <w:outlineLvl w:val="3"/>
        <w:rPr>
          <w:rFonts w:eastAsia="MS Mincho"/>
          <w:b/>
          <w:i/>
          <w:snapToGrid w:val="0"/>
          <w:color w:val="000000" w:themeColor="text1"/>
          <w:szCs w:val="22"/>
          <w:shd w:val="clear" w:color="auto" w:fill="FFFFFF"/>
          <w:lang w:eastAsia="en-US"/>
        </w:rPr>
      </w:pPr>
      <w:r w:rsidRPr="00F867D0">
        <w:rPr>
          <w:rFonts w:eastAsia="MS Mincho"/>
          <w:b/>
          <w:i/>
          <w:snapToGrid w:val="0"/>
          <w:color w:val="000000" w:themeColor="text1"/>
          <w:szCs w:val="22"/>
          <w:shd w:val="clear" w:color="auto" w:fill="FFFFFF"/>
          <w:lang w:eastAsia="en-US"/>
        </w:rPr>
        <w:t>Example 5</w:t>
      </w:r>
      <w:r w:rsidR="00B36B27" w:rsidRPr="00F867D0">
        <w:rPr>
          <w:rFonts w:eastAsia="MS Mincho"/>
          <w:b/>
          <w:i/>
          <w:snapToGrid w:val="0"/>
          <w:color w:val="000000" w:themeColor="text1"/>
          <w:szCs w:val="22"/>
          <w:shd w:val="clear" w:color="auto" w:fill="FFFFFF"/>
          <w:lang w:eastAsia="en-US"/>
        </w:rPr>
        <w:t>:</w:t>
      </w:r>
      <w:r w:rsidRPr="00F867D0">
        <w:rPr>
          <w:rFonts w:eastAsia="MS Mincho"/>
          <w:b/>
          <w:i/>
          <w:snapToGrid w:val="0"/>
          <w:color w:val="000000" w:themeColor="text1"/>
          <w:szCs w:val="22"/>
          <w:shd w:val="clear" w:color="auto" w:fill="FFFFFF"/>
          <w:lang w:eastAsia="en-US"/>
        </w:rPr>
        <w:t xml:space="preserve"> Significant potential for efficiency improvement without increased cost</w:t>
      </w:r>
    </w:p>
    <w:p w14:paraId="4D1B8E5E" w14:textId="77777777" w:rsidR="004D52BA" w:rsidRDefault="004D52BA" w:rsidP="00A663AA">
      <w:pPr>
        <w:spacing w:after="0"/>
      </w:pPr>
    </w:p>
    <w:p w14:paraId="010B1F56" w14:textId="4B77C709" w:rsidR="00A663AA" w:rsidRPr="00F867D0" w:rsidRDefault="00A663AA" w:rsidP="00A663AA">
      <w:pPr>
        <w:spacing w:after="0"/>
      </w:pPr>
      <w:r w:rsidRPr="00F867D0">
        <w:t>A simple example that illustrate</w:t>
      </w:r>
      <w:r w:rsidR="00CD5B45" w:rsidRPr="00F867D0">
        <w:t>s</w:t>
      </w:r>
      <w:r w:rsidRPr="00F867D0">
        <w:t xml:space="preserve"> the enormous potential for efficiency improvement without extra capital cost is summarised in Figure 2.</w:t>
      </w:r>
      <w:r w:rsidR="006A5238" w:rsidRPr="00F867D0">
        <w:t>9</w:t>
      </w:r>
      <w:r w:rsidRPr="00F867D0">
        <w:t>.</w:t>
      </w:r>
      <w:r w:rsidR="00B36B27" w:rsidRPr="00F867D0">
        <w:t xml:space="preserve"> </w:t>
      </w:r>
      <w:r w:rsidRPr="00F867D0">
        <w:t>This shows a breakdown of the lifetime CO</w:t>
      </w:r>
      <w:r w:rsidRPr="00F867D0">
        <w:rPr>
          <w:vertAlign w:val="subscript"/>
        </w:rPr>
        <w:t>2</w:t>
      </w:r>
      <w:r w:rsidRPr="00F867D0">
        <w:t xml:space="preserve"> emissions of a typical residential fridge-freezer in developed economies [</w:t>
      </w:r>
      <w:r w:rsidR="00D41EAD" w:rsidRPr="00F867D0">
        <w:t>IPCC</w:t>
      </w:r>
      <w:r w:rsidRPr="00F867D0">
        <w:t>, 2013]</w:t>
      </w:r>
      <w:r w:rsidR="008C3ED4">
        <w:t>.</w:t>
      </w:r>
      <w:r w:rsidR="00B36B27" w:rsidRPr="00F867D0">
        <w:t xml:space="preserve"> </w:t>
      </w:r>
      <w:r w:rsidRPr="00F867D0">
        <w:t>The global best practice refrigerator in 2015 has GHG emissions that are nine times lower than a typical 1980s refrigerator sold in developed countries (non-A5).</w:t>
      </w:r>
    </w:p>
    <w:p w14:paraId="300E5275" w14:textId="77777777" w:rsidR="006A5238" w:rsidRPr="00F867D0" w:rsidRDefault="006A5238" w:rsidP="00A663AA">
      <w:pPr>
        <w:spacing w:after="0"/>
      </w:pPr>
    </w:p>
    <w:p w14:paraId="0F7F7C8F" w14:textId="5C23B02E" w:rsidR="00A663AA" w:rsidRPr="00F867D0" w:rsidRDefault="00A663AA" w:rsidP="00A663AA">
      <w:pPr>
        <w:spacing w:after="0"/>
      </w:pPr>
      <w:r w:rsidRPr="00F867D0">
        <w:t xml:space="preserve">Some of the reduction comes from the switch away from CFC refrigerant and foam blowing agent. The </w:t>
      </w:r>
      <w:r w:rsidR="002845EE">
        <w:t>EE</w:t>
      </w:r>
      <w:r w:rsidRPr="00F867D0">
        <w:t xml:space="preserve"> improvement also makes a vital contribution – the 2015 best practice unit uses five times less energy than the 1980s model.</w:t>
      </w:r>
      <w:r w:rsidR="00B36B27" w:rsidRPr="00F867D0">
        <w:t xml:space="preserve"> </w:t>
      </w:r>
      <w:r w:rsidRPr="00F867D0">
        <w:t>What is important to note is that the domestic refrigerator market is highly cost-competitive and benefits from enormous economies of scale via mass production.</w:t>
      </w:r>
      <w:r w:rsidR="00B36B27" w:rsidRPr="00F867D0">
        <w:t xml:space="preserve"> </w:t>
      </w:r>
      <w:r w:rsidRPr="00F867D0">
        <w:t xml:space="preserve">The cost of the high efficiency 2015 refrigerator is </w:t>
      </w:r>
      <w:r w:rsidR="00CD5B45" w:rsidRPr="00F867D0">
        <w:t>lower</w:t>
      </w:r>
      <w:r w:rsidRPr="00F867D0">
        <w:t xml:space="preserve"> in real terms than the 1980s model.</w:t>
      </w:r>
    </w:p>
    <w:p w14:paraId="28DA337F" w14:textId="77777777" w:rsidR="00A663AA" w:rsidRPr="00F867D0" w:rsidRDefault="00A663AA" w:rsidP="00A663AA">
      <w:pPr>
        <w:spacing w:after="0"/>
      </w:pPr>
    </w:p>
    <w:p w14:paraId="55F655CB" w14:textId="77777777" w:rsidR="00A663AA" w:rsidRPr="00F867D0" w:rsidRDefault="00A663AA" w:rsidP="00A663AA">
      <w:pPr>
        <w:spacing w:after="0"/>
        <w:jc w:val="center"/>
      </w:pPr>
      <w:r w:rsidRPr="00F867D0">
        <w:rPr>
          <w:noProof/>
          <w:lang w:val="en-US" w:eastAsia="en-US"/>
        </w:rPr>
        <w:drawing>
          <wp:inline distT="0" distB="0" distL="0" distR="0" wp14:anchorId="3487269A" wp14:editId="51DF52F7">
            <wp:extent cx="4638675" cy="3248025"/>
            <wp:effectExtent l="0" t="0" r="9525" b="9525"/>
            <wp:docPr id="14" name="Chart 14">
              <a:extLst xmlns:a="http://schemas.openxmlformats.org/drawingml/2006/main">
                <a:ext uri="{FF2B5EF4-FFF2-40B4-BE49-F238E27FC236}">
                  <a16:creationId xmlns:a16="http://schemas.microsoft.com/office/drawing/2014/main" id="{EB4EF6E1-2162-4B25-8A15-E4558C3D52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DA99333" w14:textId="77777777" w:rsidR="00860876" w:rsidRDefault="00860876" w:rsidP="00A663AA">
      <w:pPr>
        <w:spacing w:after="0"/>
        <w:jc w:val="center"/>
        <w:rPr>
          <w:b/>
          <w:i/>
          <w:szCs w:val="22"/>
        </w:rPr>
      </w:pPr>
    </w:p>
    <w:p w14:paraId="66463199" w14:textId="04CED40C" w:rsidR="00A663AA" w:rsidRPr="00860876" w:rsidRDefault="00A663AA" w:rsidP="00A663AA">
      <w:pPr>
        <w:spacing w:after="0"/>
        <w:jc w:val="center"/>
        <w:rPr>
          <w:b/>
          <w:i/>
          <w:szCs w:val="22"/>
        </w:rPr>
      </w:pPr>
      <w:r w:rsidRPr="00860876">
        <w:rPr>
          <w:b/>
          <w:i/>
          <w:szCs w:val="22"/>
        </w:rPr>
        <w:t>Figure 2.</w:t>
      </w:r>
      <w:r w:rsidR="006A5238" w:rsidRPr="00860876">
        <w:rPr>
          <w:b/>
          <w:i/>
          <w:szCs w:val="22"/>
        </w:rPr>
        <w:t>9</w:t>
      </w:r>
      <w:r w:rsidRPr="00860876">
        <w:rPr>
          <w:b/>
          <w:i/>
          <w:szCs w:val="22"/>
        </w:rPr>
        <w:t xml:space="preserve"> Reduced energy consumption and GHG emissions from domestic </w:t>
      </w:r>
      <w:r w:rsidR="006A5238" w:rsidRPr="00860876">
        <w:rPr>
          <w:b/>
          <w:i/>
          <w:szCs w:val="22"/>
        </w:rPr>
        <w:t>refrigerators</w:t>
      </w:r>
      <w:r w:rsidRPr="00860876">
        <w:rPr>
          <w:b/>
          <w:i/>
          <w:szCs w:val="22"/>
        </w:rPr>
        <w:t>-freezer</w:t>
      </w:r>
      <w:r w:rsidR="00CD5B45" w:rsidRPr="00860876">
        <w:rPr>
          <w:b/>
          <w:i/>
          <w:szCs w:val="22"/>
        </w:rPr>
        <w:t>s</w:t>
      </w:r>
    </w:p>
    <w:p w14:paraId="2DE9A728" w14:textId="77777777" w:rsidR="00A663AA" w:rsidRPr="00F867D0" w:rsidRDefault="00A663AA" w:rsidP="00A663AA">
      <w:pPr>
        <w:spacing w:after="0"/>
      </w:pPr>
    </w:p>
    <w:p w14:paraId="77BE6492" w14:textId="631C458F" w:rsidR="00A663AA" w:rsidRPr="00F867D0" w:rsidRDefault="00A663AA" w:rsidP="00A663AA">
      <w:pPr>
        <w:spacing w:after="0"/>
      </w:pPr>
      <w:r w:rsidRPr="00F867D0">
        <w:t>Further and consistent information on the same trend can be drawn from Figure 2.</w:t>
      </w:r>
      <w:r w:rsidR="006A5238" w:rsidRPr="00F867D0">
        <w:t>10</w:t>
      </w:r>
      <w:r w:rsidRPr="00F867D0">
        <w:t>.</w:t>
      </w:r>
    </w:p>
    <w:p w14:paraId="5E253A56" w14:textId="77777777" w:rsidR="00A663AA" w:rsidRPr="00F867D0" w:rsidRDefault="00A663AA" w:rsidP="00A663AA">
      <w:pPr>
        <w:spacing w:after="0"/>
      </w:pPr>
    </w:p>
    <w:p w14:paraId="553BD47A" w14:textId="77777777" w:rsidR="00A663AA" w:rsidRPr="00F867D0" w:rsidRDefault="00A663AA" w:rsidP="00A663AA">
      <w:pPr>
        <w:spacing w:after="0"/>
        <w:jc w:val="center"/>
      </w:pPr>
      <w:r w:rsidRPr="00F867D0">
        <w:rPr>
          <w:noProof/>
          <w:lang w:val="en-US" w:eastAsia="en-US"/>
        </w:rPr>
        <w:drawing>
          <wp:inline distT="0" distB="0" distL="0" distR="0" wp14:anchorId="2C1239E0" wp14:editId="64A3478E">
            <wp:extent cx="5311140" cy="4361695"/>
            <wp:effectExtent l="0" t="0" r="3810" b="127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313790" cy="4363871"/>
                    </a:xfrm>
                    <a:prstGeom prst="rect">
                      <a:avLst/>
                    </a:prstGeom>
                  </pic:spPr>
                </pic:pic>
              </a:graphicData>
            </a:graphic>
          </wp:inline>
        </w:drawing>
      </w:r>
    </w:p>
    <w:p w14:paraId="735320FD" w14:textId="602382B8" w:rsidR="00A663AA" w:rsidRPr="00860876" w:rsidRDefault="00A663AA" w:rsidP="00A663AA">
      <w:pPr>
        <w:spacing w:after="0"/>
        <w:jc w:val="center"/>
        <w:rPr>
          <w:b/>
          <w:i/>
          <w:szCs w:val="22"/>
        </w:rPr>
      </w:pPr>
      <w:r w:rsidRPr="00860876">
        <w:rPr>
          <w:b/>
          <w:i/>
          <w:szCs w:val="22"/>
        </w:rPr>
        <w:t>Figure 2.</w:t>
      </w:r>
      <w:r w:rsidR="006A5238" w:rsidRPr="00860876">
        <w:rPr>
          <w:b/>
          <w:i/>
          <w:szCs w:val="22"/>
        </w:rPr>
        <w:t>10</w:t>
      </w:r>
      <w:r w:rsidRPr="00860876">
        <w:rPr>
          <w:b/>
          <w:i/>
          <w:szCs w:val="22"/>
        </w:rPr>
        <w:t xml:space="preserve"> Average household refrigerator energy use, volume and price over time in US</w:t>
      </w:r>
    </w:p>
    <w:p w14:paraId="57256D7D" w14:textId="77777777" w:rsidR="00A663AA" w:rsidRPr="00F867D0" w:rsidRDefault="00A663AA" w:rsidP="00A663AA">
      <w:pPr>
        <w:spacing w:after="0"/>
        <w:jc w:val="center"/>
        <w:rPr>
          <w:szCs w:val="22"/>
        </w:rPr>
      </w:pPr>
      <w:r w:rsidRPr="00F867D0">
        <w:rPr>
          <w:szCs w:val="22"/>
        </w:rPr>
        <w:t>(</w:t>
      </w:r>
      <w:hyperlink r:id="rId39" w:tgtFrame="_blank" w:history="1">
        <w:r w:rsidRPr="00F867D0">
          <w:rPr>
            <w:color w:val="1155CC"/>
            <w:szCs w:val="22"/>
            <w:u w:val="single"/>
            <w:shd w:val="clear" w:color="auto" w:fill="FFFFFF"/>
          </w:rPr>
          <w:t>https://appliance-standards.org/sites/default/files/refrigerator_graph_Nov_2016.pdf</w:t>
        </w:r>
      </w:hyperlink>
      <w:r w:rsidRPr="00F867D0">
        <w:rPr>
          <w:szCs w:val="22"/>
        </w:rPr>
        <w:t>)</w:t>
      </w:r>
    </w:p>
    <w:p w14:paraId="51E63DAF" w14:textId="77777777" w:rsidR="00A663AA" w:rsidRPr="00F867D0" w:rsidRDefault="00A663AA" w:rsidP="00A663AA">
      <w:pPr>
        <w:spacing w:after="0"/>
      </w:pPr>
    </w:p>
    <w:p w14:paraId="08D94449" w14:textId="7B023C0F" w:rsidR="00A663AA" w:rsidRPr="00F867D0" w:rsidRDefault="00A663AA" w:rsidP="00A663AA">
      <w:pPr>
        <w:keepNext/>
        <w:widowControl w:val="0"/>
        <w:tabs>
          <w:tab w:val="left" w:pos="0"/>
        </w:tabs>
        <w:spacing w:after="0" w:line="276" w:lineRule="auto"/>
        <w:ind w:left="851" w:hanging="851"/>
        <w:outlineLvl w:val="3"/>
        <w:rPr>
          <w:rFonts w:eastAsia="MS Mincho"/>
          <w:b/>
          <w:i/>
          <w:snapToGrid w:val="0"/>
          <w:color w:val="000000" w:themeColor="text1"/>
          <w:szCs w:val="22"/>
          <w:shd w:val="clear" w:color="auto" w:fill="FFFFFF"/>
          <w:lang w:eastAsia="en-US"/>
        </w:rPr>
      </w:pPr>
      <w:bookmarkStart w:id="96" w:name="_Toc510377962"/>
      <w:r w:rsidRPr="00F867D0">
        <w:rPr>
          <w:rFonts w:eastAsia="MS Mincho"/>
          <w:b/>
          <w:i/>
          <w:snapToGrid w:val="0"/>
          <w:color w:val="000000" w:themeColor="text1"/>
          <w:szCs w:val="22"/>
          <w:shd w:val="clear" w:color="auto" w:fill="FFFFFF"/>
          <w:lang w:eastAsia="en-US"/>
        </w:rPr>
        <w:t xml:space="preserve">Example </w:t>
      </w:r>
      <w:bookmarkEnd w:id="96"/>
      <w:r w:rsidRPr="00F867D0">
        <w:rPr>
          <w:rFonts w:eastAsia="MS Mincho"/>
          <w:b/>
          <w:i/>
          <w:snapToGrid w:val="0"/>
          <w:color w:val="000000" w:themeColor="text1"/>
          <w:szCs w:val="22"/>
          <w:shd w:val="clear" w:color="auto" w:fill="FFFFFF"/>
          <w:lang w:eastAsia="en-US"/>
        </w:rPr>
        <w:t>6</w:t>
      </w:r>
      <w:r w:rsidR="00B36B27" w:rsidRPr="00F867D0">
        <w:rPr>
          <w:rFonts w:eastAsia="MS Mincho"/>
          <w:b/>
          <w:i/>
          <w:snapToGrid w:val="0"/>
          <w:color w:val="000000" w:themeColor="text1"/>
          <w:szCs w:val="22"/>
          <w:shd w:val="clear" w:color="auto" w:fill="FFFFFF"/>
          <w:lang w:eastAsia="en-US"/>
        </w:rPr>
        <w:t>:</w:t>
      </w:r>
      <w:r w:rsidRPr="00F867D0">
        <w:rPr>
          <w:rFonts w:eastAsia="MS Mincho"/>
          <w:b/>
          <w:i/>
          <w:snapToGrid w:val="0"/>
          <w:color w:val="000000" w:themeColor="text1"/>
          <w:szCs w:val="22"/>
          <w:shd w:val="clear" w:color="auto" w:fill="FFFFFF"/>
          <w:lang w:eastAsia="en-US"/>
        </w:rPr>
        <w:t xml:space="preserve"> Cost and payback period to the consumer for different efficiency levels.</w:t>
      </w:r>
    </w:p>
    <w:p w14:paraId="11396B91" w14:textId="77777777" w:rsidR="004D52BA" w:rsidRDefault="004D52BA" w:rsidP="00A663AA">
      <w:pPr>
        <w:spacing w:after="0"/>
      </w:pPr>
    </w:p>
    <w:p w14:paraId="121D529B" w14:textId="757B2B4F" w:rsidR="00A663AA" w:rsidRPr="00F867D0" w:rsidRDefault="00A663AA" w:rsidP="00A663AA">
      <w:pPr>
        <w:spacing w:after="0"/>
        <w:rPr>
          <w:color w:val="222222"/>
          <w:szCs w:val="22"/>
          <w:shd w:val="clear" w:color="auto" w:fill="FFFFFF"/>
        </w:rPr>
      </w:pPr>
      <w:r w:rsidRPr="00F867D0">
        <w:t>Table 2.</w:t>
      </w:r>
      <w:r w:rsidR="006A5238" w:rsidRPr="00F867D0">
        <w:t>9</w:t>
      </w:r>
      <w:r w:rsidRPr="00F867D0">
        <w:t xml:space="preserve"> below shows the lifecycle cost </w:t>
      </w:r>
      <w:r w:rsidR="00F85D8C">
        <w:t xml:space="preserve">(retail price plus installation cost plus energy cost over the lifetime of the equipment) </w:t>
      </w:r>
      <w:r w:rsidRPr="00F867D0">
        <w:t xml:space="preserve">and payback period </w:t>
      </w:r>
      <w:r w:rsidR="00F85D8C">
        <w:t xml:space="preserve">(period of time over which the energy savings exceed the higher installation cost) </w:t>
      </w:r>
      <w:r w:rsidRPr="00F867D0">
        <w:t xml:space="preserve">to the consumer calculated using the above outlined methodology </w:t>
      </w:r>
      <w:r w:rsidRPr="00F867D0">
        <w:rPr>
          <w:color w:val="222222"/>
          <w:szCs w:val="22"/>
          <w:shd w:val="clear" w:color="auto" w:fill="FFFFFF"/>
        </w:rPr>
        <w:t>from a recent US DOE</w:t>
      </w:r>
      <w:r w:rsidR="00E97E22">
        <w:rPr>
          <w:rStyle w:val="FootnoteReference"/>
          <w:color w:val="222222"/>
          <w:szCs w:val="22"/>
          <w:shd w:val="clear" w:color="auto" w:fill="FFFFFF"/>
        </w:rPr>
        <w:footnoteReference w:id="15"/>
      </w:r>
      <w:r w:rsidRPr="00F867D0">
        <w:rPr>
          <w:color w:val="222222"/>
          <w:szCs w:val="22"/>
          <w:shd w:val="clear" w:color="auto" w:fill="FFFFFF"/>
        </w:rPr>
        <w:t xml:space="preserve"> rulemaking document for four efficiency levels </w:t>
      </w:r>
      <w:r w:rsidR="00F85D8C">
        <w:rPr>
          <w:color w:val="222222"/>
          <w:szCs w:val="22"/>
          <w:shd w:val="clear" w:color="auto" w:fill="FFFFFF"/>
        </w:rPr>
        <w:t>above a base level</w:t>
      </w:r>
      <w:r w:rsidRPr="00F867D0">
        <w:rPr>
          <w:color w:val="222222"/>
          <w:szCs w:val="22"/>
          <w:shd w:val="clear" w:color="auto" w:fill="FFFFFF"/>
        </w:rPr>
        <w:t xml:space="preserve"> considered for mini-split air conditioning</w:t>
      </w:r>
      <w:r w:rsidR="00CD5B45" w:rsidRPr="00F867D0">
        <w:rPr>
          <w:color w:val="222222"/>
          <w:szCs w:val="22"/>
          <w:shd w:val="clear" w:color="auto" w:fill="FFFFFF"/>
        </w:rPr>
        <w:t xml:space="preserve">. </w:t>
      </w:r>
      <w:r w:rsidR="00F85D8C">
        <w:rPr>
          <w:color w:val="222222"/>
          <w:szCs w:val="22"/>
          <w:shd w:val="clear" w:color="auto" w:fill="FFFFFF"/>
        </w:rPr>
        <w:t xml:space="preserve">The higher efficiency levels have higher installed costs, but lower lifetime operating costs. </w:t>
      </w:r>
      <w:r w:rsidR="00CD5B45" w:rsidRPr="00F867D0">
        <w:rPr>
          <w:color w:val="222222"/>
          <w:szCs w:val="22"/>
          <w:shd w:val="clear" w:color="auto" w:fill="FFFFFF"/>
        </w:rPr>
        <w:t>Th</w:t>
      </w:r>
      <w:r w:rsidR="008C3ED4">
        <w:rPr>
          <w:color w:val="222222"/>
          <w:szCs w:val="22"/>
          <w:shd w:val="clear" w:color="auto" w:fill="FFFFFF"/>
        </w:rPr>
        <w:t>e</w:t>
      </w:r>
      <w:r w:rsidR="00CD5B45" w:rsidRPr="00F867D0">
        <w:rPr>
          <w:color w:val="222222"/>
          <w:szCs w:val="22"/>
          <w:shd w:val="clear" w:color="auto" w:fill="FFFFFF"/>
        </w:rPr>
        <w:t xml:space="preserve"> data impl</w:t>
      </w:r>
      <w:r w:rsidR="008C3ED4">
        <w:rPr>
          <w:color w:val="222222"/>
          <w:szCs w:val="22"/>
          <w:shd w:val="clear" w:color="auto" w:fill="FFFFFF"/>
        </w:rPr>
        <w:t>y</w:t>
      </w:r>
      <w:r w:rsidR="00CD5B45" w:rsidRPr="00F867D0">
        <w:rPr>
          <w:color w:val="222222"/>
          <w:szCs w:val="22"/>
          <w:shd w:val="clear" w:color="auto" w:fill="FFFFFF"/>
        </w:rPr>
        <w:t xml:space="preserve"> that at </w:t>
      </w:r>
      <w:r w:rsidR="00765764">
        <w:rPr>
          <w:color w:val="222222"/>
          <w:szCs w:val="22"/>
          <w:shd w:val="clear" w:color="auto" w:fill="FFFFFF"/>
        </w:rPr>
        <w:t>the current</w:t>
      </w:r>
      <w:r w:rsidR="00CD5B45" w:rsidRPr="00F867D0">
        <w:rPr>
          <w:color w:val="222222"/>
          <w:szCs w:val="22"/>
          <w:shd w:val="clear" w:color="auto" w:fill="FFFFFF"/>
        </w:rPr>
        <w:t xml:space="preserve"> technology development that there is a ceiling of efficiency </w:t>
      </w:r>
      <w:r w:rsidR="00F85D8C">
        <w:rPr>
          <w:color w:val="222222"/>
          <w:szCs w:val="22"/>
          <w:shd w:val="clear" w:color="auto" w:fill="FFFFFF"/>
        </w:rPr>
        <w:t>at which point the energy savings will not pay back the higher installed cost within the lifetime of the equipment</w:t>
      </w:r>
      <w:r w:rsidR="00CD5B45" w:rsidRPr="00F867D0">
        <w:rPr>
          <w:color w:val="222222"/>
          <w:szCs w:val="22"/>
          <w:shd w:val="clear" w:color="auto" w:fill="FFFFFF"/>
        </w:rPr>
        <w:t>.</w:t>
      </w:r>
    </w:p>
    <w:p w14:paraId="09F6ACA0" w14:textId="77777777" w:rsidR="00A663AA" w:rsidRPr="00F867D0" w:rsidRDefault="00A663AA" w:rsidP="00A663AA">
      <w:pPr>
        <w:spacing w:after="0"/>
        <w:rPr>
          <w:color w:val="222222"/>
          <w:szCs w:val="22"/>
          <w:shd w:val="clear" w:color="auto" w:fill="FFFFFF"/>
        </w:rPr>
      </w:pPr>
    </w:p>
    <w:p w14:paraId="57491EF6" w14:textId="793A6C48" w:rsidR="00A663AA" w:rsidRDefault="00C93833" w:rsidP="000F749F">
      <w:pPr>
        <w:keepNext/>
        <w:keepLines/>
        <w:spacing w:after="0"/>
        <w:jc w:val="center"/>
        <w:rPr>
          <w:b/>
          <w:i/>
          <w:szCs w:val="22"/>
        </w:rPr>
      </w:pPr>
      <w:r w:rsidRPr="00860876">
        <w:rPr>
          <w:b/>
          <w:i/>
        </w:rPr>
        <w:t>Table 2.</w:t>
      </w:r>
      <w:r w:rsidR="006A5238" w:rsidRPr="00860876">
        <w:rPr>
          <w:b/>
          <w:i/>
        </w:rPr>
        <w:t>9</w:t>
      </w:r>
      <w:r w:rsidR="00A663AA" w:rsidRPr="00860876">
        <w:rPr>
          <w:b/>
          <w:i/>
          <w:szCs w:val="22"/>
        </w:rPr>
        <w:t xml:space="preserve"> Installed cost, lifecycle cost and simple payback period to the consumer for various efficiency levels for mini-split air</w:t>
      </w:r>
      <w:r w:rsidRPr="00860876">
        <w:rPr>
          <w:b/>
          <w:i/>
          <w:szCs w:val="22"/>
        </w:rPr>
        <w:t xml:space="preserve"> </w:t>
      </w:r>
      <w:r w:rsidR="00A663AA" w:rsidRPr="00860876">
        <w:rPr>
          <w:b/>
          <w:i/>
          <w:szCs w:val="22"/>
        </w:rPr>
        <w:t>conditioners in the US</w:t>
      </w:r>
    </w:p>
    <w:p w14:paraId="515909F4" w14:textId="77777777" w:rsidR="00860876" w:rsidRPr="00860876" w:rsidRDefault="00860876" w:rsidP="000F749F">
      <w:pPr>
        <w:keepNext/>
        <w:keepLines/>
        <w:spacing w:after="0"/>
        <w:jc w:val="center"/>
        <w:rPr>
          <w:b/>
          <w:i/>
        </w:rPr>
      </w:pPr>
    </w:p>
    <w:tbl>
      <w:tblPr>
        <w:tblW w:w="8803" w:type="dxa"/>
        <w:jc w:val="center"/>
        <w:tblLook w:val="04A0" w:firstRow="1" w:lastRow="0" w:firstColumn="1" w:lastColumn="0" w:noHBand="0" w:noVBand="1"/>
      </w:tblPr>
      <w:tblGrid>
        <w:gridCol w:w="1998"/>
        <w:gridCol w:w="2229"/>
        <w:gridCol w:w="1221"/>
        <w:gridCol w:w="1167"/>
        <w:gridCol w:w="1114"/>
        <w:gridCol w:w="1074"/>
      </w:tblGrid>
      <w:tr w:rsidR="00860876" w:rsidRPr="00F867D0" w14:paraId="1E9773DD" w14:textId="77777777" w:rsidTr="00860876">
        <w:trPr>
          <w:trHeight w:val="397"/>
          <w:jc w:val="center"/>
        </w:trPr>
        <w:tc>
          <w:tcPr>
            <w:tcW w:w="199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359CFC" w14:textId="77777777" w:rsidR="00860876" w:rsidRPr="00860876" w:rsidRDefault="00860876" w:rsidP="000F749F">
            <w:pPr>
              <w:keepNext/>
              <w:keepLines/>
              <w:spacing w:after="0"/>
              <w:rPr>
                <w:rFonts w:eastAsia="Times New Roman"/>
                <w:b/>
                <w:szCs w:val="22"/>
                <w:lang w:eastAsia="en-US"/>
              </w:rPr>
            </w:pPr>
            <w:r w:rsidRPr="00860876">
              <w:rPr>
                <w:rFonts w:eastAsia="Times New Roman"/>
                <w:b/>
                <w:szCs w:val="22"/>
                <w:lang w:eastAsia="en-US"/>
              </w:rPr>
              <w:t> </w:t>
            </w:r>
          </w:p>
        </w:tc>
        <w:tc>
          <w:tcPr>
            <w:tcW w:w="6805" w:type="dxa"/>
            <w:gridSpan w:val="5"/>
            <w:tcBorders>
              <w:top w:val="single" w:sz="8" w:space="0" w:color="auto"/>
              <w:left w:val="single" w:sz="8" w:space="0" w:color="auto"/>
              <w:bottom w:val="single" w:sz="8" w:space="0" w:color="auto"/>
              <w:right w:val="single" w:sz="8" w:space="0" w:color="auto"/>
            </w:tcBorders>
          </w:tcPr>
          <w:p w14:paraId="3EF54FEC" w14:textId="77777777" w:rsidR="00860876" w:rsidRPr="00860876" w:rsidRDefault="00860876" w:rsidP="000F749F">
            <w:pPr>
              <w:keepNext/>
              <w:keepLines/>
              <w:spacing w:after="0"/>
              <w:jc w:val="center"/>
              <w:rPr>
                <w:rFonts w:eastAsia="Times New Roman"/>
                <w:b/>
                <w:szCs w:val="22"/>
                <w:lang w:eastAsia="en-US"/>
              </w:rPr>
            </w:pPr>
            <w:r w:rsidRPr="00860876">
              <w:rPr>
                <w:rFonts w:eastAsia="Times New Roman"/>
                <w:b/>
                <w:szCs w:val="22"/>
                <w:lang w:eastAsia="en-US"/>
              </w:rPr>
              <w:t>Average Costs 2015 (US$)</w:t>
            </w:r>
          </w:p>
          <w:p w14:paraId="15D4C508" w14:textId="33DCF6D0" w:rsidR="00860876" w:rsidRPr="00860876" w:rsidRDefault="00860876" w:rsidP="000F749F">
            <w:pPr>
              <w:keepNext/>
              <w:keepLines/>
              <w:spacing w:after="0"/>
              <w:rPr>
                <w:rFonts w:eastAsia="Times New Roman"/>
                <w:b/>
                <w:szCs w:val="22"/>
                <w:lang w:eastAsia="en-US"/>
              </w:rPr>
            </w:pPr>
            <w:r w:rsidRPr="00860876">
              <w:rPr>
                <w:rFonts w:eastAsia="Times New Roman"/>
                <w:b/>
                <w:szCs w:val="22"/>
                <w:lang w:eastAsia="en-US"/>
              </w:rPr>
              <w:t> </w:t>
            </w:r>
          </w:p>
        </w:tc>
      </w:tr>
      <w:tr w:rsidR="00F85D8C" w:rsidRPr="00F867D0" w14:paraId="389FC743" w14:textId="77777777" w:rsidTr="00860876">
        <w:trPr>
          <w:trHeight w:val="397"/>
          <w:jc w:val="center"/>
        </w:trPr>
        <w:tc>
          <w:tcPr>
            <w:tcW w:w="19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44A25A" w14:textId="52F93883" w:rsidR="00F85D8C" w:rsidRPr="00860876" w:rsidRDefault="00F85D8C" w:rsidP="000F749F">
            <w:pPr>
              <w:keepNext/>
              <w:keepLines/>
              <w:spacing w:after="0"/>
              <w:jc w:val="center"/>
              <w:rPr>
                <w:rFonts w:eastAsia="Times New Roman"/>
                <w:b/>
                <w:szCs w:val="22"/>
                <w:lang w:eastAsia="en-US"/>
              </w:rPr>
            </w:pPr>
            <w:r w:rsidRPr="00860876">
              <w:rPr>
                <w:rFonts w:eastAsia="Times New Roman"/>
                <w:b/>
                <w:szCs w:val="22"/>
                <w:lang w:eastAsia="en-US"/>
              </w:rPr>
              <w:t>SEER W/W)</w:t>
            </w:r>
          </w:p>
        </w:tc>
        <w:tc>
          <w:tcPr>
            <w:tcW w:w="2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1531F5" w14:textId="77777777" w:rsidR="00F85D8C" w:rsidRPr="00860876" w:rsidRDefault="00F85D8C" w:rsidP="000F749F">
            <w:pPr>
              <w:keepNext/>
              <w:keepLines/>
              <w:spacing w:after="0"/>
              <w:jc w:val="center"/>
              <w:rPr>
                <w:rFonts w:eastAsia="Times New Roman"/>
                <w:b/>
                <w:szCs w:val="22"/>
                <w:lang w:eastAsia="en-US"/>
              </w:rPr>
            </w:pPr>
            <w:r w:rsidRPr="00860876">
              <w:rPr>
                <w:rFonts w:eastAsia="Times New Roman"/>
                <w:b/>
                <w:szCs w:val="22"/>
                <w:lang w:eastAsia="en-US"/>
              </w:rPr>
              <w:t>Installed Cost</w:t>
            </w:r>
          </w:p>
        </w:tc>
        <w:tc>
          <w:tcPr>
            <w:tcW w:w="1221" w:type="dxa"/>
            <w:tcBorders>
              <w:top w:val="single" w:sz="8" w:space="0" w:color="auto"/>
              <w:left w:val="single" w:sz="8" w:space="0" w:color="auto"/>
              <w:bottom w:val="single" w:sz="8" w:space="0" w:color="auto"/>
              <w:right w:val="single" w:sz="8" w:space="0" w:color="auto"/>
            </w:tcBorders>
            <w:vAlign w:val="center"/>
          </w:tcPr>
          <w:p w14:paraId="2AF508DB" w14:textId="2F7A7E46" w:rsidR="00860876" w:rsidRPr="00860876" w:rsidRDefault="00F85D8C" w:rsidP="000F749F">
            <w:pPr>
              <w:keepNext/>
              <w:keepLines/>
              <w:spacing w:after="0"/>
              <w:jc w:val="center"/>
              <w:rPr>
                <w:rFonts w:eastAsia="Times New Roman"/>
                <w:b/>
                <w:szCs w:val="22"/>
                <w:lang w:eastAsia="en-US"/>
              </w:rPr>
            </w:pPr>
            <w:r w:rsidRPr="00860876">
              <w:rPr>
                <w:rFonts w:eastAsia="Times New Roman"/>
                <w:b/>
                <w:szCs w:val="22"/>
                <w:lang w:eastAsia="en-US"/>
              </w:rPr>
              <w:t>Lifetime Operating cost</w:t>
            </w:r>
          </w:p>
        </w:tc>
        <w:tc>
          <w:tcPr>
            <w:tcW w:w="11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2A66FC" w14:textId="5821FD08" w:rsidR="00F85D8C" w:rsidRPr="00860876" w:rsidRDefault="00F85D8C" w:rsidP="000F749F">
            <w:pPr>
              <w:keepNext/>
              <w:keepLines/>
              <w:spacing w:after="0"/>
              <w:jc w:val="center"/>
              <w:rPr>
                <w:rFonts w:eastAsia="Times New Roman"/>
                <w:b/>
                <w:szCs w:val="22"/>
                <w:lang w:eastAsia="en-US"/>
              </w:rPr>
            </w:pPr>
            <w:r w:rsidRPr="00860876">
              <w:rPr>
                <w:rFonts w:eastAsia="Times New Roman"/>
                <w:b/>
                <w:szCs w:val="22"/>
                <w:lang w:eastAsia="en-US"/>
              </w:rPr>
              <w:t>Lifecycle cost</w:t>
            </w:r>
          </w:p>
        </w:tc>
        <w:tc>
          <w:tcPr>
            <w:tcW w:w="1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BDA971" w14:textId="77777777" w:rsidR="00F85D8C" w:rsidRPr="00860876" w:rsidRDefault="00F85D8C" w:rsidP="000F749F">
            <w:pPr>
              <w:keepNext/>
              <w:keepLines/>
              <w:spacing w:after="0"/>
              <w:jc w:val="center"/>
              <w:rPr>
                <w:rFonts w:eastAsia="Times New Roman"/>
                <w:b/>
                <w:szCs w:val="22"/>
                <w:lang w:eastAsia="en-US"/>
              </w:rPr>
            </w:pPr>
            <w:r w:rsidRPr="00860876">
              <w:rPr>
                <w:rFonts w:eastAsia="Times New Roman"/>
                <w:b/>
                <w:szCs w:val="22"/>
                <w:lang w:eastAsia="en-US"/>
              </w:rPr>
              <w:t>Simple payback (years)</w:t>
            </w:r>
          </w:p>
        </w:tc>
        <w:tc>
          <w:tcPr>
            <w:tcW w:w="1072" w:type="dxa"/>
            <w:tcBorders>
              <w:top w:val="single" w:sz="8" w:space="0" w:color="auto"/>
              <w:left w:val="single" w:sz="8" w:space="0" w:color="auto"/>
              <w:bottom w:val="single" w:sz="8" w:space="0" w:color="auto"/>
              <w:right w:val="single" w:sz="8" w:space="0" w:color="auto"/>
            </w:tcBorders>
            <w:vAlign w:val="center"/>
          </w:tcPr>
          <w:p w14:paraId="271A0A00" w14:textId="77777777" w:rsidR="00F85D8C" w:rsidRPr="00860876" w:rsidRDefault="00F85D8C" w:rsidP="000F749F">
            <w:pPr>
              <w:keepNext/>
              <w:keepLines/>
              <w:spacing w:after="0"/>
              <w:jc w:val="center"/>
              <w:rPr>
                <w:rFonts w:eastAsia="Times New Roman"/>
                <w:b/>
                <w:szCs w:val="22"/>
                <w:lang w:eastAsia="en-US"/>
              </w:rPr>
            </w:pPr>
            <w:r w:rsidRPr="00860876">
              <w:rPr>
                <w:rFonts w:eastAsia="Times New Roman"/>
                <w:b/>
                <w:szCs w:val="22"/>
                <w:lang w:eastAsia="en-US"/>
              </w:rPr>
              <w:t>Average lifetime</w:t>
            </w:r>
          </w:p>
          <w:p w14:paraId="2CFE7373" w14:textId="77777777" w:rsidR="00F85D8C" w:rsidRPr="00860876" w:rsidRDefault="00F85D8C" w:rsidP="000F749F">
            <w:pPr>
              <w:keepNext/>
              <w:keepLines/>
              <w:spacing w:after="0"/>
              <w:jc w:val="center"/>
              <w:rPr>
                <w:rFonts w:eastAsia="Times New Roman"/>
                <w:b/>
                <w:szCs w:val="22"/>
                <w:lang w:eastAsia="en-US"/>
              </w:rPr>
            </w:pPr>
            <w:r w:rsidRPr="00860876">
              <w:rPr>
                <w:rFonts w:eastAsia="Times New Roman"/>
                <w:b/>
                <w:szCs w:val="22"/>
                <w:lang w:eastAsia="en-US"/>
              </w:rPr>
              <w:t>(years)</w:t>
            </w:r>
          </w:p>
        </w:tc>
      </w:tr>
      <w:tr w:rsidR="00F85D8C" w:rsidRPr="00F867D0" w14:paraId="728D64F2" w14:textId="77777777" w:rsidTr="00860876">
        <w:trPr>
          <w:trHeight w:val="397"/>
          <w:jc w:val="center"/>
        </w:trPr>
        <w:tc>
          <w:tcPr>
            <w:tcW w:w="1998" w:type="dxa"/>
            <w:tcBorders>
              <w:top w:val="single" w:sz="8" w:space="0" w:color="auto"/>
              <w:left w:val="single" w:sz="8" w:space="0" w:color="auto"/>
              <w:bottom w:val="single" w:sz="8" w:space="0" w:color="auto"/>
              <w:right w:val="single" w:sz="8" w:space="0" w:color="auto"/>
            </w:tcBorders>
            <w:shd w:val="clear" w:color="auto" w:fill="auto"/>
            <w:noWrap/>
          </w:tcPr>
          <w:p w14:paraId="125F5BF9" w14:textId="2468C7DD" w:rsidR="00F85D8C" w:rsidRPr="00F867D0" w:rsidRDefault="00F85D8C" w:rsidP="000F749F">
            <w:pPr>
              <w:keepNext/>
              <w:keepLines/>
              <w:spacing w:after="0"/>
              <w:rPr>
                <w:rFonts w:eastAsia="Times New Roman"/>
                <w:szCs w:val="22"/>
                <w:lang w:eastAsia="en-US"/>
              </w:rPr>
            </w:pPr>
            <w:r w:rsidRPr="00BA4E09">
              <w:t>4.1 (Base)</w:t>
            </w:r>
          </w:p>
        </w:tc>
        <w:tc>
          <w:tcPr>
            <w:tcW w:w="2229" w:type="dxa"/>
            <w:tcBorders>
              <w:top w:val="single" w:sz="8" w:space="0" w:color="auto"/>
              <w:left w:val="single" w:sz="8" w:space="0" w:color="auto"/>
              <w:bottom w:val="single" w:sz="8" w:space="0" w:color="auto"/>
              <w:right w:val="single" w:sz="8" w:space="0" w:color="auto"/>
            </w:tcBorders>
            <w:shd w:val="clear" w:color="auto" w:fill="auto"/>
            <w:noWrap/>
          </w:tcPr>
          <w:p w14:paraId="6F5811CE" w14:textId="62C83243" w:rsidR="00F85D8C" w:rsidRPr="00F867D0" w:rsidRDefault="00F85D8C" w:rsidP="000F749F">
            <w:pPr>
              <w:keepNext/>
              <w:keepLines/>
              <w:spacing w:after="0"/>
              <w:rPr>
                <w:rFonts w:eastAsia="Times New Roman"/>
                <w:szCs w:val="22"/>
                <w:lang w:eastAsia="en-US"/>
              </w:rPr>
            </w:pPr>
            <w:r w:rsidRPr="00BA4E09">
              <w:t>$3,714</w:t>
            </w:r>
          </w:p>
        </w:tc>
        <w:tc>
          <w:tcPr>
            <w:tcW w:w="1221" w:type="dxa"/>
            <w:tcBorders>
              <w:top w:val="single" w:sz="8" w:space="0" w:color="auto"/>
              <w:left w:val="single" w:sz="8" w:space="0" w:color="auto"/>
              <w:bottom w:val="single" w:sz="8" w:space="0" w:color="auto"/>
              <w:right w:val="single" w:sz="8" w:space="0" w:color="auto"/>
            </w:tcBorders>
          </w:tcPr>
          <w:p w14:paraId="20B00E70" w14:textId="353D3165" w:rsidR="00F85D8C" w:rsidRPr="00F867D0" w:rsidRDefault="00F85D8C" w:rsidP="000F749F">
            <w:pPr>
              <w:keepNext/>
              <w:keepLines/>
              <w:spacing w:after="0"/>
              <w:rPr>
                <w:rFonts w:eastAsia="Times New Roman"/>
                <w:szCs w:val="22"/>
                <w:lang w:eastAsia="en-US"/>
              </w:rPr>
            </w:pPr>
            <w:r w:rsidRPr="00BA4E09">
              <w:t>$4,758</w:t>
            </w:r>
          </w:p>
        </w:tc>
        <w:tc>
          <w:tcPr>
            <w:tcW w:w="1167" w:type="dxa"/>
            <w:tcBorders>
              <w:top w:val="single" w:sz="8" w:space="0" w:color="auto"/>
              <w:left w:val="single" w:sz="8" w:space="0" w:color="auto"/>
              <w:bottom w:val="single" w:sz="8" w:space="0" w:color="auto"/>
              <w:right w:val="single" w:sz="8" w:space="0" w:color="auto"/>
            </w:tcBorders>
            <w:shd w:val="clear" w:color="auto" w:fill="auto"/>
            <w:noWrap/>
          </w:tcPr>
          <w:p w14:paraId="1D26A93E" w14:textId="079CCF9A" w:rsidR="00F85D8C" w:rsidRPr="00F867D0" w:rsidRDefault="00F85D8C" w:rsidP="000F749F">
            <w:pPr>
              <w:keepNext/>
              <w:keepLines/>
              <w:spacing w:after="0"/>
              <w:rPr>
                <w:rFonts w:eastAsia="Times New Roman"/>
                <w:szCs w:val="22"/>
                <w:lang w:eastAsia="en-US"/>
              </w:rPr>
            </w:pPr>
            <w:r w:rsidRPr="00BA4E09">
              <w:t>$8,472</w:t>
            </w:r>
          </w:p>
        </w:tc>
        <w:tc>
          <w:tcPr>
            <w:tcW w:w="1114" w:type="dxa"/>
            <w:tcBorders>
              <w:top w:val="single" w:sz="8" w:space="0" w:color="auto"/>
              <w:left w:val="single" w:sz="8" w:space="0" w:color="auto"/>
              <w:bottom w:val="single" w:sz="8" w:space="0" w:color="auto"/>
              <w:right w:val="single" w:sz="8" w:space="0" w:color="auto"/>
            </w:tcBorders>
            <w:shd w:val="clear" w:color="auto" w:fill="auto"/>
            <w:noWrap/>
          </w:tcPr>
          <w:p w14:paraId="6F377F18" w14:textId="34257AE8" w:rsidR="00F85D8C" w:rsidRPr="00F867D0" w:rsidRDefault="00633A4A" w:rsidP="000F749F">
            <w:pPr>
              <w:keepNext/>
              <w:keepLines/>
              <w:spacing w:after="0"/>
              <w:rPr>
                <w:rFonts w:eastAsia="Times New Roman"/>
                <w:szCs w:val="22"/>
                <w:lang w:eastAsia="en-US"/>
              </w:rPr>
            </w:pPr>
            <w:r>
              <w:rPr>
                <w:rFonts w:eastAsia="Times New Roman"/>
                <w:szCs w:val="22"/>
                <w:lang w:eastAsia="en-US"/>
              </w:rPr>
              <w:t>N/A</w:t>
            </w:r>
          </w:p>
        </w:tc>
        <w:tc>
          <w:tcPr>
            <w:tcW w:w="1072" w:type="dxa"/>
            <w:tcBorders>
              <w:top w:val="single" w:sz="8" w:space="0" w:color="auto"/>
              <w:left w:val="single" w:sz="8" w:space="0" w:color="auto"/>
              <w:bottom w:val="single" w:sz="8" w:space="0" w:color="auto"/>
              <w:right w:val="single" w:sz="8" w:space="0" w:color="auto"/>
            </w:tcBorders>
          </w:tcPr>
          <w:p w14:paraId="3F13B82D" w14:textId="32B082EF" w:rsidR="00F85D8C" w:rsidRPr="00F867D0" w:rsidRDefault="00633A4A" w:rsidP="000F749F">
            <w:pPr>
              <w:keepNext/>
              <w:keepLines/>
              <w:spacing w:after="0"/>
              <w:rPr>
                <w:rFonts w:eastAsia="Times New Roman"/>
                <w:szCs w:val="22"/>
                <w:lang w:eastAsia="en-US"/>
              </w:rPr>
            </w:pPr>
            <w:r>
              <w:rPr>
                <w:rFonts w:eastAsia="Times New Roman"/>
                <w:szCs w:val="22"/>
                <w:lang w:eastAsia="en-US"/>
              </w:rPr>
              <w:t>15.3</w:t>
            </w:r>
          </w:p>
        </w:tc>
      </w:tr>
      <w:tr w:rsidR="00F85D8C" w:rsidRPr="00F867D0" w14:paraId="16AC07BC" w14:textId="77777777" w:rsidTr="00860876">
        <w:trPr>
          <w:trHeight w:val="397"/>
          <w:jc w:val="center"/>
        </w:trPr>
        <w:tc>
          <w:tcPr>
            <w:tcW w:w="1998" w:type="dxa"/>
            <w:tcBorders>
              <w:top w:val="single" w:sz="8" w:space="0" w:color="auto"/>
              <w:left w:val="single" w:sz="8" w:space="0" w:color="auto"/>
              <w:bottom w:val="single" w:sz="8" w:space="0" w:color="auto"/>
              <w:right w:val="single" w:sz="8" w:space="0" w:color="auto"/>
            </w:tcBorders>
            <w:shd w:val="clear" w:color="auto" w:fill="auto"/>
            <w:noWrap/>
            <w:hideMark/>
          </w:tcPr>
          <w:p w14:paraId="64AC2FED" w14:textId="3DF9E3D7" w:rsidR="00F85D8C" w:rsidRPr="00F867D0" w:rsidRDefault="00F85D8C" w:rsidP="00860876">
            <w:pPr>
              <w:spacing w:after="0"/>
              <w:rPr>
                <w:rFonts w:eastAsia="Times New Roman"/>
                <w:szCs w:val="22"/>
                <w:lang w:eastAsia="en-US"/>
              </w:rPr>
            </w:pPr>
            <w:r w:rsidRPr="00BA4E09">
              <w:t>4.3</w:t>
            </w:r>
          </w:p>
        </w:tc>
        <w:tc>
          <w:tcPr>
            <w:tcW w:w="2229" w:type="dxa"/>
            <w:tcBorders>
              <w:top w:val="single" w:sz="8" w:space="0" w:color="auto"/>
              <w:left w:val="single" w:sz="8" w:space="0" w:color="auto"/>
              <w:bottom w:val="single" w:sz="8" w:space="0" w:color="auto"/>
              <w:right w:val="single" w:sz="8" w:space="0" w:color="auto"/>
            </w:tcBorders>
            <w:shd w:val="clear" w:color="auto" w:fill="auto"/>
            <w:noWrap/>
            <w:hideMark/>
          </w:tcPr>
          <w:p w14:paraId="3CB78817" w14:textId="36A67850" w:rsidR="00F85D8C" w:rsidRPr="00F867D0" w:rsidRDefault="00F85D8C" w:rsidP="00860876">
            <w:pPr>
              <w:spacing w:after="0"/>
              <w:rPr>
                <w:rFonts w:eastAsia="Times New Roman"/>
                <w:szCs w:val="22"/>
                <w:lang w:eastAsia="en-US"/>
              </w:rPr>
            </w:pPr>
            <w:r w:rsidRPr="00BA4E09">
              <w:t>+$38</w:t>
            </w:r>
          </w:p>
        </w:tc>
        <w:tc>
          <w:tcPr>
            <w:tcW w:w="1221" w:type="dxa"/>
            <w:tcBorders>
              <w:top w:val="single" w:sz="8" w:space="0" w:color="auto"/>
              <w:left w:val="single" w:sz="8" w:space="0" w:color="auto"/>
              <w:bottom w:val="single" w:sz="8" w:space="0" w:color="auto"/>
              <w:right w:val="single" w:sz="8" w:space="0" w:color="auto"/>
            </w:tcBorders>
          </w:tcPr>
          <w:p w14:paraId="563BFCF5" w14:textId="78507346" w:rsidR="00F85D8C" w:rsidRPr="00F867D0" w:rsidRDefault="00F85D8C" w:rsidP="00860876">
            <w:pPr>
              <w:spacing w:after="0"/>
              <w:rPr>
                <w:rFonts w:eastAsia="Times New Roman"/>
                <w:szCs w:val="22"/>
                <w:lang w:eastAsia="en-US"/>
              </w:rPr>
            </w:pPr>
            <w:r w:rsidRPr="00BA4E09">
              <w:t>-$93</w:t>
            </w:r>
          </w:p>
        </w:tc>
        <w:tc>
          <w:tcPr>
            <w:tcW w:w="1167" w:type="dxa"/>
            <w:tcBorders>
              <w:top w:val="single" w:sz="8" w:space="0" w:color="auto"/>
              <w:left w:val="single" w:sz="8" w:space="0" w:color="auto"/>
              <w:bottom w:val="single" w:sz="8" w:space="0" w:color="auto"/>
              <w:right w:val="single" w:sz="8" w:space="0" w:color="auto"/>
            </w:tcBorders>
            <w:shd w:val="clear" w:color="auto" w:fill="auto"/>
            <w:noWrap/>
            <w:hideMark/>
          </w:tcPr>
          <w:p w14:paraId="67ECB0E5" w14:textId="2B625A4C" w:rsidR="00F85D8C" w:rsidRPr="00F867D0" w:rsidRDefault="00F85D8C" w:rsidP="00860876">
            <w:pPr>
              <w:spacing w:after="0"/>
              <w:rPr>
                <w:rFonts w:eastAsia="Times New Roman"/>
                <w:szCs w:val="22"/>
                <w:lang w:eastAsia="en-US"/>
              </w:rPr>
            </w:pPr>
            <w:r w:rsidRPr="00BA4E09">
              <w:t>-$55</w:t>
            </w:r>
          </w:p>
        </w:tc>
        <w:tc>
          <w:tcPr>
            <w:tcW w:w="1114" w:type="dxa"/>
            <w:tcBorders>
              <w:top w:val="single" w:sz="8" w:space="0" w:color="auto"/>
              <w:left w:val="single" w:sz="8" w:space="0" w:color="auto"/>
              <w:bottom w:val="single" w:sz="8" w:space="0" w:color="auto"/>
              <w:right w:val="single" w:sz="8" w:space="0" w:color="auto"/>
            </w:tcBorders>
            <w:shd w:val="clear" w:color="auto" w:fill="auto"/>
            <w:noWrap/>
            <w:hideMark/>
          </w:tcPr>
          <w:p w14:paraId="7E4B3986" w14:textId="77777777" w:rsidR="00F85D8C" w:rsidRPr="00F867D0" w:rsidRDefault="00F85D8C" w:rsidP="00860876">
            <w:pPr>
              <w:spacing w:after="0"/>
              <w:rPr>
                <w:rFonts w:eastAsia="Times New Roman"/>
                <w:szCs w:val="22"/>
                <w:lang w:eastAsia="en-US"/>
              </w:rPr>
            </w:pPr>
            <w:r w:rsidRPr="00F867D0">
              <w:rPr>
                <w:rFonts w:eastAsia="Times New Roman"/>
                <w:szCs w:val="22"/>
                <w:lang w:eastAsia="en-US"/>
              </w:rPr>
              <w:t>4.5</w:t>
            </w:r>
          </w:p>
        </w:tc>
        <w:tc>
          <w:tcPr>
            <w:tcW w:w="1072" w:type="dxa"/>
            <w:tcBorders>
              <w:top w:val="single" w:sz="8" w:space="0" w:color="auto"/>
              <w:left w:val="single" w:sz="8" w:space="0" w:color="auto"/>
              <w:bottom w:val="single" w:sz="8" w:space="0" w:color="auto"/>
              <w:right w:val="single" w:sz="8" w:space="0" w:color="auto"/>
            </w:tcBorders>
          </w:tcPr>
          <w:p w14:paraId="26EABEF2" w14:textId="77777777" w:rsidR="00F85D8C" w:rsidRPr="00F867D0" w:rsidRDefault="00F85D8C" w:rsidP="00860876">
            <w:pPr>
              <w:spacing w:after="0"/>
              <w:rPr>
                <w:rFonts w:eastAsia="Times New Roman"/>
                <w:szCs w:val="22"/>
                <w:lang w:eastAsia="en-US"/>
              </w:rPr>
            </w:pPr>
            <w:r w:rsidRPr="00F867D0">
              <w:rPr>
                <w:rFonts w:eastAsia="Times New Roman"/>
                <w:szCs w:val="22"/>
                <w:lang w:eastAsia="en-US"/>
              </w:rPr>
              <w:t>15.3</w:t>
            </w:r>
          </w:p>
        </w:tc>
      </w:tr>
      <w:tr w:rsidR="00F85D8C" w:rsidRPr="00F867D0" w14:paraId="4EA67C32" w14:textId="77777777" w:rsidTr="00860876">
        <w:trPr>
          <w:trHeight w:val="397"/>
          <w:jc w:val="center"/>
        </w:trPr>
        <w:tc>
          <w:tcPr>
            <w:tcW w:w="1998" w:type="dxa"/>
            <w:tcBorders>
              <w:top w:val="single" w:sz="8" w:space="0" w:color="auto"/>
              <w:left w:val="single" w:sz="8" w:space="0" w:color="auto"/>
              <w:bottom w:val="single" w:sz="8" w:space="0" w:color="auto"/>
              <w:right w:val="single" w:sz="8" w:space="0" w:color="auto"/>
            </w:tcBorders>
            <w:shd w:val="clear" w:color="auto" w:fill="auto"/>
            <w:noWrap/>
            <w:hideMark/>
          </w:tcPr>
          <w:p w14:paraId="60B16527" w14:textId="772EE927" w:rsidR="00F85D8C" w:rsidRPr="00F867D0" w:rsidRDefault="00F85D8C" w:rsidP="00860876">
            <w:pPr>
              <w:spacing w:after="0"/>
              <w:rPr>
                <w:rFonts w:eastAsia="Times New Roman"/>
                <w:szCs w:val="22"/>
                <w:lang w:eastAsia="en-US"/>
              </w:rPr>
            </w:pPr>
            <w:r w:rsidRPr="00BA4E09">
              <w:t>4.4</w:t>
            </w:r>
          </w:p>
        </w:tc>
        <w:tc>
          <w:tcPr>
            <w:tcW w:w="2229" w:type="dxa"/>
            <w:tcBorders>
              <w:top w:val="single" w:sz="8" w:space="0" w:color="auto"/>
              <w:left w:val="single" w:sz="8" w:space="0" w:color="auto"/>
              <w:bottom w:val="single" w:sz="8" w:space="0" w:color="auto"/>
              <w:right w:val="single" w:sz="8" w:space="0" w:color="auto"/>
            </w:tcBorders>
            <w:shd w:val="clear" w:color="auto" w:fill="auto"/>
            <w:noWrap/>
            <w:hideMark/>
          </w:tcPr>
          <w:p w14:paraId="1082694E" w14:textId="5DB36B50" w:rsidR="00F85D8C" w:rsidRPr="00F867D0" w:rsidRDefault="00F85D8C" w:rsidP="00860876">
            <w:pPr>
              <w:spacing w:after="0"/>
              <w:rPr>
                <w:rFonts w:eastAsia="Times New Roman"/>
                <w:szCs w:val="22"/>
                <w:lang w:eastAsia="en-US"/>
              </w:rPr>
            </w:pPr>
            <w:r w:rsidRPr="00BA4E09">
              <w:t>+$105</w:t>
            </w:r>
          </w:p>
        </w:tc>
        <w:tc>
          <w:tcPr>
            <w:tcW w:w="1221" w:type="dxa"/>
            <w:tcBorders>
              <w:top w:val="single" w:sz="8" w:space="0" w:color="auto"/>
              <w:left w:val="single" w:sz="8" w:space="0" w:color="auto"/>
              <w:bottom w:val="single" w:sz="8" w:space="0" w:color="auto"/>
              <w:right w:val="single" w:sz="8" w:space="0" w:color="auto"/>
            </w:tcBorders>
          </w:tcPr>
          <w:p w14:paraId="5AC74FB9" w14:textId="5E482CE6" w:rsidR="00F85D8C" w:rsidRPr="00F867D0" w:rsidRDefault="00F85D8C" w:rsidP="00860876">
            <w:pPr>
              <w:spacing w:after="0"/>
              <w:rPr>
                <w:rFonts w:eastAsia="Times New Roman"/>
                <w:szCs w:val="22"/>
                <w:lang w:eastAsia="en-US"/>
              </w:rPr>
            </w:pPr>
            <w:r w:rsidRPr="00BA4E09">
              <w:t>-$189</w:t>
            </w:r>
          </w:p>
        </w:tc>
        <w:tc>
          <w:tcPr>
            <w:tcW w:w="1167" w:type="dxa"/>
            <w:tcBorders>
              <w:top w:val="single" w:sz="8" w:space="0" w:color="auto"/>
              <w:left w:val="single" w:sz="8" w:space="0" w:color="auto"/>
              <w:bottom w:val="single" w:sz="8" w:space="0" w:color="auto"/>
              <w:right w:val="single" w:sz="8" w:space="0" w:color="auto"/>
            </w:tcBorders>
            <w:shd w:val="clear" w:color="auto" w:fill="auto"/>
            <w:noWrap/>
            <w:hideMark/>
          </w:tcPr>
          <w:p w14:paraId="760E8A88" w14:textId="4728B680" w:rsidR="00F85D8C" w:rsidRPr="00F867D0" w:rsidRDefault="00F85D8C" w:rsidP="00860876">
            <w:pPr>
              <w:spacing w:after="0"/>
              <w:rPr>
                <w:rFonts w:eastAsia="Times New Roman"/>
                <w:szCs w:val="22"/>
                <w:lang w:eastAsia="en-US"/>
              </w:rPr>
            </w:pPr>
            <w:r w:rsidRPr="00BA4E09">
              <w:t>-$84</w:t>
            </w:r>
          </w:p>
        </w:tc>
        <w:tc>
          <w:tcPr>
            <w:tcW w:w="1114" w:type="dxa"/>
            <w:tcBorders>
              <w:top w:val="single" w:sz="8" w:space="0" w:color="auto"/>
              <w:left w:val="single" w:sz="8" w:space="0" w:color="auto"/>
              <w:bottom w:val="single" w:sz="8" w:space="0" w:color="auto"/>
              <w:right w:val="single" w:sz="8" w:space="0" w:color="auto"/>
            </w:tcBorders>
            <w:shd w:val="clear" w:color="auto" w:fill="auto"/>
            <w:noWrap/>
            <w:hideMark/>
          </w:tcPr>
          <w:p w14:paraId="26E58243" w14:textId="77777777" w:rsidR="00F85D8C" w:rsidRPr="00F867D0" w:rsidRDefault="00F85D8C" w:rsidP="00860876">
            <w:pPr>
              <w:spacing w:after="0"/>
              <w:rPr>
                <w:rFonts w:eastAsia="Times New Roman"/>
                <w:szCs w:val="22"/>
                <w:lang w:eastAsia="en-US"/>
              </w:rPr>
            </w:pPr>
            <w:r w:rsidRPr="00F867D0">
              <w:rPr>
                <w:rFonts w:eastAsia="Times New Roman"/>
                <w:szCs w:val="22"/>
                <w:lang w:eastAsia="en-US"/>
              </w:rPr>
              <w:t>4.8</w:t>
            </w:r>
          </w:p>
        </w:tc>
        <w:tc>
          <w:tcPr>
            <w:tcW w:w="1072" w:type="dxa"/>
            <w:tcBorders>
              <w:top w:val="single" w:sz="8" w:space="0" w:color="auto"/>
              <w:left w:val="single" w:sz="8" w:space="0" w:color="auto"/>
              <w:bottom w:val="single" w:sz="8" w:space="0" w:color="auto"/>
              <w:right w:val="single" w:sz="8" w:space="0" w:color="auto"/>
            </w:tcBorders>
          </w:tcPr>
          <w:p w14:paraId="4DC30BBF" w14:textId="77777777" w:rsidR="00F85D8C" w:rsidRPr="00F867D0" w:rsidRDefault="00F85D8C" w:rsidP="00860876">
            <w:pPr>
              <w:spacing w:after="0"/>
              <w:rPr>
                <w:rFonts w:eastAsia="Times New Roman"/>
                <w:szCs w:val="22"/>
                <w:lang w:eastAsia="en-US"/>
              </w:rPr>
            </w:pPr>
            <w:r w:rsidRPr="00F867D0">
              <w:rPr>
                <w:rFonts w:eastAsia="Times New Roman"/>
                <w:szCs w:val="22"/>
                <w:lang w:eastAsia="en-US"/>
              </w:rPr>
              <w:t>15.3</w:t>
            </w:r>
          </w:p>
        </w:tc>
      </w:tr>
      <w:tr w:rsidR="00F85D8C" w:rsidRPr="00F867D0" w14:paraId="4531AE19" w14:textId="77777777" w:rsidTr="00860876">
        <w:trPr>
          <w:trHeight w:val="397"/>
          <w:jc w:val="center"/>
        </w:trPr>
        <w:tc>
          <w:tcPr>
            <w:tcW w:w="1998" w:type="dxa"/>
            <w:tcBorders>
              <w:top w:val="single" w:sz="8" w:space="0" w:color="auto"/>
              <w:left w:val="single" w:sz="8" w:space="0" w:color="auto"/>
              <w:bottom w:val="single" w:sz="8" w:space="0" w:color="auto"/>
              <w:right w:val="single" w:sz="8" w:space="0" w:color="auto"/>
            </w:tcBorders>
            <w:shd w:val="clear" w:color="auto" w:fill="auto"/>
            <w:noWrap/>
            <w:hideMark/>
          </w:tcPr>
          <w:p w14:paraId="63F773E3" w14:textId="7FEE2F8D" w:rsidR="00F85D8C" w:rsidRPr="00F867D0" w:rsidRDefault="00F85D8C" w:rsidP="00860876">
            <w:pPr>
              <w:spacing w:after="0"/>
              <w:rPr>
                <w:rFonts w:eastAsia="Times New Roman"/>
                <w:szCs w:val="22"/>
                <w:lang w:eastAsia="en-US"/>
              </w:rPr>
            </w:pPr>
            <w:r w:rsidRPr="00BA4E09">
              <w:t>4.7</w:t>
            </w:r>
          </w:p>
        </w:tc>
        <w:tc>
          <w:tcPr>
            <w:tcW w:w="2229" w:type="dxa"/>
            <w:tcBorders>
              <w:top w:val="single" w:sz="8" w:space="0" w:color="auto"/>
              <w:left w:val="single" w:sz="8" w:space="0" w:color="auto"/>
              <w:bottom w:val="single" w:sz="8" w:space="0" w:color="auto"/>
              <w:right w:val="single" w:sz="8" w:space="0" w:color="auto"/>
            </w:tcBorders>
            <w:shd w:val="clear" w:color="auto" w:fill="auto"/>
            <w:noWrap/>
            <w:hideMark/>
          </w:tcPr>
          <w:p w14:paraId="2725B09F" w14:textId="6FA3395E" w:rsidR="00F85D8C" w:rsidRPr="00F867D0" w:rsidRDefault="00F85D8C" w:rsidP="00860876">
            <w:pPr>
              <w:spacing w:after="0"/>
              <w:rPr>
                <w:rFonts w:eastAsia="Times New Roman"/>
                <w:szCs w:val="22"/>
                <w:lang w:eastAsia="en-US"/>
              </w:rPr>
            </w:pPr>
            <w:r w:rsidRPr="00BA4E09">
              <w:t>+$259</w:t>
            </w:r>
          </w:p>
        </w:tc>
        <w:tc>
          <w:tcPr>
            <w:tcW w:w="1221" w:type="dxa"/>
            <w:tcBorders>
              <w:top w:val="single" w:sz="8" w:space="0" w:color="auto"/>
              <w:left w:val="single" w:sz="8" w:space="0" w:color="auto"/>
              <w:bottom w:val="single" w:sz="8" w:space="0" w:color="auto"/>
              <w:right w:val="single" w:sz="8" w:space="0" w:color="auto"/>
            </w:tcBorders>
          </w:tcPr>
          <w:p w14:paraId="5F509F48" w14:textId="5D1468E8" w:rsidR="00F85D8C" w:rsidRPr="00F867D0" w:rsidRDefault="00F85D8C" w:rsidP="00860876">
            <w:pPr>
              <w:spacing w:after="0"/>
              <w:rPr>
                <w:rFonts w:eastAsia="Times New Roman"/>
                <w:szCs w:val="22"/>
                <w:lang w:eastAsia="en-US"/>
              </w:rPr>
            </w:pPr>
            <w:r w:rsidRPr="00BA4E09">
              <w:t>-$295</w:t>
            </w:r>
          </w:p>
        </w:tc>
        <w:tc>
          <w:tcPr>
            <w:tcW w:w="1167" w:type="dxa"/>
            <w:tcBorders>
              <w:top w:val="single" w:sz="8" w:space="0" w:color="auto"/>
              <w:left w:val="single" w:sz="8" w:space="0" w:color="auto"/>
              <w:bottom w:val="single" w:sz="8" w:space="0" w:color="auto"/>
              <w:right w:val="single" w:sz="8" w:space="0" w:color="auto"/>
            </w:tcBorders>
            <w:shd w:val="clear" w:color="auto" w:fill="auto"/>
            <w:noWrap/>
            <w:hideMark/>
          </w:tcPr>
          <w:p w14:paraId="6BF57F7A" w14:textId="63DCC2CF" w:rsidR="00F85D8C" w:rsidRPr="00F867D0" w:rsidRDefault="00F85D8C" w:rsidP="00860876">
            <w:pPr>
              <w:spacing w:after="0"/>
              <w:rPr>
                <w:rFonts w:eastAsia="Times New Roman"/>
                <w:szCs w:val="22"/>
                <w:lang w:eastAsia="en-US"/>
              </w:rPr>
            </w:pPr>
            <w:r w:rsidRPr="00BA4E09">
              <w:t>-$36</w:t>
            </w:r>
          </w:p>
        </w:tc>
        <w:tc>
          <w:tcPr>
            <w:tcW w:w="1114" w:type="dxa"/>
            <w:tcBorders>
              <w:top w:val="single" w:sz="8" w:space="0" w:color="auto"/>
              <w:left w:val="single" w:sz="8" w:space="0" w:color="auto"/>
              <w:bottom w:val="single" w:sz="8" w:space="0" w:color="auto"/>
              <w:right w:val="single" w:sz="8" w:space="0" w:color="auto"/>
            </w:tcBorders>
            <w:shd w:val="clear" w:color="auto" w:fill="auto"/>
            <w:noWrap/>
            <w:hideMark/>
          </w:tcPr>
          <w:p w14:paraId="4428629B" w14:textId="77777777" w:rsidR="00F85D8C" w:rsidRPr="00F867D0" w:rsidRDefault="00F85D8C" w:rsidP="00860876">
            <w:pPr>
              <w:spacing w:after="0"/>
              <w:rPr>
                <w:rFonts w:eastAsia="Times New Roman"/>
                <w:szCs w:val="22"/>
                <w:lang w:eastAsia="en-US"/>
              </w:rPr>
            </w:pPr>
            <w:r w:rsidRPr="00F867D0">
              <w:rPr>
                <w:rFonts w:eastAsia="Times New Roman"/>
                <w:szCs w:val="22"/>
                <w:lang w:eastAsia="en-US"/>
              </w:rPr>
              <w:t>8.2</w:t>
            </w:r>
          </w:p>
        </w:tc>
        <w:tc>
          <w:tcPr>
            <w:tcW w:w="1072" w:type="dxa"/>
            <w:tcBorders>
              <w:top w:val="single" w:sz="8" w:space="0" w:color="auto"/>
              <w:left w:val="single" w:sz="8" w:space="0" w:color="auto"/>
              <w:bottom w:val="single" w:sz="8" w:space="0" w:color="auto"/>
              <w:right w:val="single" w:sz="8" w:space="0" w:color="auto"/>
            </w:tcBorders>
          </w:tcPr>
          <w:p w14:paraId="5C5BB4BD" w14:textId="77777777" w:rsidR="00F85D8C" w:rsidRPr="00F867D0" w:rsidRDefault="00F85D8C" w:rsidP="00860876">
            <w:pPr>
              <w:spacing w:after="0"/>
              <w:rPr>
                <w:rFonts w:eastAsia="Times New Roman"/>
                <w:szCs w:val="22"/>
                <w:lang w:eastAsia="en-US"/>
              </w:rPr>
            </w:pPr>
            <w:r w:rsidRPr="00F867D0">
              <w:rPr>
                <w:rFonts w:eastAsia="Times New Roman"/>
                <w:szCs w:val="22"/>
                <w:lang w:eastAsia="en-US"/>
              </w:rPr>
              <w:t>15.3</w:t>
            </w:r>
          </w:p>
        </w:tc>
      </w:tr>
      <w:tr w:rsidR="00F85D8C" w:rsidRPr="00F867D0" w14:paraId="2E96A1C2" w14:textId="77777777" w:rsidTr="00860876">
        <w:trPr>
          <w:trHeight w:val="397"/>
          <w:jc w:val="center"/>
        </w:trPr>
        <w:tc>
          <w:tcPr>
            <w:tcW w:w="1998" w:type="dxa"/>
            <w:tcBorders>
              <w:top w:val="single" w:sz="8" w:space="0" w:color="auto"/>
              <w:left w:val="single" w:sz="8" w:space="0" w:color="auto"/>
              <w:bottom w:val="single" w:sz="8" w:space="0" w:color="auto"/>
              <w:right w:val="single" w:sz="8" w:space="0" w:color="auto"/>
            </w:tcBorders>
            <w:shd w:val="clear" w:color="auto" w:fill="auto"/>
            <w:noWrap/>
            <w:hideMark/>
          </w:tcPr>
          <w:p w14:paraId="1DF0BD17" w14:textId="272A5C30" w:rsidR="00F85D8C" w:rsidRPr="00F867D0" w:rsidRDefault="00F85D8C" w:rsidP="00860876">
            <w:pPr>
              <w:spacing w:after="0"/>
              <w:rPr>
                <w:rFonts w:eastAsia="Times New Roman"/>
                <w:szCs w:val="22"/>
                <w:lang w:eastAsia="en-US"/>
              </w:rPr>
            </w:pPr>
            <w:r w:rsidRPr="00BA4E09">
              <w:t>5.6</w:t>
            </w:r>
          </w:p>
        </w:tc>
        <w:tc>
          <w:tcPr>
            <w:tcW w:w="2229" w:type="dxa"/>
            <w:tcBorders>
              <w:top w:val="single" w:sz="8" w:space="0" w:color="auto"/>
              <w:left w:val="single" w:sz="8" w:space="0" w:color="auto"/>
              <w:bottom w:val="single" w:sz="8" w:space="0" w:color="auto"/>
              <w:right w:val="single" w:sz="8" w:space="0" w:color="auto"/>
            </w:tcBorders>
            <w:shd w:val="clear" w:color="auto" w:fill="auto"/>
            <w:noWrap/>
            <w:hideMark/>
          </w:tcPr>
          <w:p w14:paraId="3792E430" w14:textId="1F1F60E0" w:rsidR="00F85D8C" w:rsidRPr="00F867D0" w:rsidRDefault="00F85D8C" w:rsidP="00860876">
            <w:pPr>
              <w:spacing w:after="0"/>
              <w:rPr>
                <w:rFonts w:eastAsia="Times New Roman"/>
                <w:szCs w:val="22"/>
                <w:lang w:eastAsia="en-US"/>
              </w:rPr>
            </w:pPr>
            <w:r w:rsidRPr="00BA4E09">
              <w:t>+$1,105</w:t>
            </w:r>
          </w:p>
        </w:tc>
        <w:tc>
          <w:tcPr>
            <w:tcW w:w="1221" w:type="dxa"/>
            <w:tcBorders>
              <w:top w:val="single" w:sz="8" w:space="0" w:color="auto"/>
              <w:left w:val="single" w:sz="8" w:space="0" w:color="auto"/>
              <w:bottom w:val="single" w:sz="8" w:space="0" w:color="auto"/>
              <w:right w:val="single" w:sz="8" w:space="0" w:color="auto"/>
            </w:tcBorders>
          </w:tcPr>
          <w:p w14:paraId="76625FFD" w14:textId="6891CE5B" w:rsidR="00F85D8C" w:rsidRPr="00F867D0" w:rsidRDefault="00F85D8C" w:rsidP="00860876">
            <w:pPr>
              <w:spacing w:after="0"/>
              <w:rPr>
                <w:rFonts w:eastAsia="Times New Roman"/>
                <w:szCs w:val="22"/>
                <w:lang w:eastAsia="en-US"/>
              </w:rPr>
            </w:pPr>
            <w:r w:rsidRPr="00BA4E09">
              <w:t>-$602</w:t>
            </w:r>
          </w:p>
        </w:tc>
        <w:tc>
          <w:tcPr>
            <w:tcW w:w="1167" w:type="dxa"/>
            <w:tcBorders>
              <w:top w:val="single" w:sz="8" w:space="0" w:color="auto"/>
              <w:left w:val="single" w:sz="8" w:space="0" w:color="auto"/>
              <w:bottom w:val="single" w:sz="8" w:space="0" w:color="auto"/>
              <w:right w:val="single" w:sz="8" w:space="0" w:color="auto"/>
            </w:tcBorders>
            <w:shd w:val="clear" w:color="auto" w:fill="auto"/>
            <w:noWrap/>
            <w:hideMark/>
          </w:tcPr>
          <w:p w14:paraId="1948CE32" w14:textId="11D43723" w:rsidR="00F85D8C" w:rsidRPr="00F867D0" w:rsidRDefault="00F85D8C" w:rsidP="00860876">
            <w:pPr>
              <w:spacing w:after="0"/>
              <w:rPr>
                <w:rFonts w:eastAsia="Times New Roman"/>
                <w:szCs w:val="22"/>
                <w:lang w:eastAsia="en-US"/>
              </w:rPr>
            </w:pPr>
            <w:r w:rsidRPr="00BA4E09">
              <w:t>+$503</w:t>
            </w:r>
          </w:p>
        </w:tc>
        <w:tc>
          <w:tcPr>
            <w:tcW w:w="1114" w:type="dxa"/>
            <w:tcBorders>
              <w:top w:val="single" w:sz="8" w:space="0" w:color="auto"/>
              <w:left w:val="single" w:sz="8" w:space="0" w:color="auto"/>
              <w:bottom w:val="single" w:sz="8" w:space="0" w:color="auto"/>
              <w:right w:val="single" w:sz="8" w:space="0" w:color="auto"/>
            </w:tcBorders>
            <w:shd w:val="clear" w:color="auto" w:fill="auto"/>
            <w:noWrap/>
            <w:hideMark/>
          </w:tcPr>
          <w:p w14:paraId="191B15F4" w14:textId="77777777" w:rsidR="00F85D8C" w:rsidRPr="00F867D0" w:rsidRDefault="00F85D8C" w:rsidP="00860876">
            <w:pPr>
              <w:spacing w:after="0"/>
              <w:rPr>
                <w:rFonts w:eastAsia="Times New Roman"/>
                <w:szCs w:val="22"/>
                <w:lang w:eastAsia="en-US"/>
              </w:rPr>
            </w:pPr>
            <w:r w:rsidRPr="00F867D0">
              <w:rPr>
                <w:rFonts w:eastAsia="Times New Roman"/>
                <w:szCs w:val="22"/>
                <w:lang w:eastAsia="en-US"/>
              </w:rPr>
              <w:t>16.6</w:t>
            </w:r>
          </w:p>
        </w:tc>
        <w:tc>
          <w:tcPr>
            <w:tcW w:w="1072" w:type="dxa"/>
            <w:tcBorders>
              <w:top w:val="single" w:sz="8" w:space="0" w:color="auto"/>
              <w:left w:val="single" w:sz="8" w:space="0" w:color="auto"/>
              <w:bottom w:val="single" w:sz="8" w:space="0" w:color="auto"/>
              <w:right w:val="single" w:sz="8" w:space="0" w:color="auto"/>
            </w:tcBorders>
          </w:tcPr>
          <w:p w14:paraId="3F25F78D" w14:textId="77777777" w:rsidR="00F85D8C" w:rsidRPr="00F867D0" w:rsidRDefault="00F85D8C" w:rsidP="00860876">
            <w:pPr>
              <w:spacing w:after="0"/>
              <w:rPr>
                <w:rFonts w:eastAsia="Times New Roman"/>
                <w:szCs w:val="22"/>
                <w:lang w:eastAsia="en-US"/>
              </w:rPr>
            </w:pPr>
            <w:r w:rsidRPr="00F867D0">
              <w:rPr>
                <w:rFonts w:eastAsia="Times New Roman"/>
                <w:szCs w:val="22"/>
                <w:lang w:eastAsia="en-US"/>
              </w:rPr>
              <w:t>15.3</w:t>
            </w:r>
          </w:p>
        </w:tc>
      </w:tr>
    </w:tbl>
    <w:p w14:paraId="26D08236" w14:textId="77777777" w:rsidR="00633A4A" w:rsidRDefault="00633A4A" w:rsidP="00A663AA">
      <w:pPr>
        <w:keepNext/>
        <w:keepLines/>
        <w:widowControl w:val="0"/>
        <w:tabs>
          <w:tab w:val="left" w:pos="0"/>
        </w:tabs>
        <w:autoSpaceDE w:val="0"/>
        <w:autoSpaceDN w:val="0"/>
        <w:adjustRightInd w:val="0"/>
        <w:spacing w:after="0"/>
        <w:ind w:right="28"/>
        <w:outlineLvl w:val="2"/>
        <w:rPr>
          <w:i/>
        </w:rPr>
      </w:pPr>
    </w:p>
    <w:p w14:paraId="17F93712" w14:textId="1A0BF64A" w:rsidR="00A663AA" w:rsidRPr="00DD7BAD" w:rsidRDefault="00A663AA" w:rsidP="00A663AA">
      <w:pPr>
        <w:keepNext/>
        <w:keepLines/>
        <w:widowControl w:val="0"/>
        <w:tabs>
          <w:tab w:val="left" w:pos="0"/>
        </w:tabs>
        <w:autoSpaceDE w:val="0"/>
        <w:autoSpaceDN w:val="0"/>
        <w:adjustRightInd w:val="0"/>
        <w:spacing w:after="0"/>
        <w:ind w:right="28"/>
        <w:outlineLvl w:val="2"/>
        <w:rPr>
          <w:b/>
          <w:i/>
        </w:rPr>
      </w:pPr>
      <w:r w:rsidRPr="00DD7BAD">
        <w:rPr>
          <w:b/>
          <w:i/>
        </w:rPr>
        <w:t>Example 7</w:t>
      </w:r>
      <w:r w:rsidR="001D5F57">
        <w:rPr>
          <w:b/>
          <w:i/>
        </w:rPr>
        <w:t>:</w:t>
      </w:r>
      <w:r w:rsidRPr="00DD7BAD">
        <w:rPr>
          <w:b/>
          <w:i/>
        </w:rPr>
        <w:t xml:space="preserve"> Lifecycle cost including refrigerant for different efficiency levels (Example from India)</w:t>
      </w:r>
    </w:p>
    <w:p w14:paraId="4382BF49" w14:textId="77777777" w:rsidR="004D52BA" w:rsidRDefault="004D52BA" w:rsidP="00B5050B">
      <w:pPr>
        <w:keepNext/>
        <w:keepLines/>
        <w:widowControl w:val="0"/>
        <w:tabs>
          <w:tab w:val="left" w:pos="0"/>
        </w:tabs>
        <w:autoSpaceDE w:val="0"/>
        <w:autoSpaceDN w:val="0"/>
        <w:adjustRightInd w:val="0"/>
        <w:spacing w:after="0"/>
        <w:ind w:right="28"/>
        <w:outlineLvl w:val="2"/>
      </w:pPr>
    </w:p>
    <w:p w14:paraId="22DD3461" w14:textId="602AC4A7" w:rsidR="00B5050B" w:rsidRPr="00F867D0" w:rsidRDefault="00B5050B" w:rsidP="00B5050B">
      <w:pPr>
        <w:keepNext/>
        <w:keepLines/>
        <w:widowControl w:val="0"/>
        <w:tabs>
          <w:tab w:val="left" w:pos="0"/>
        </w:tabs>
        <w:autoSpaceDE w:val="0"/>
        <w:autoSpaceDN w:val="0"/>
        <w:adjustRightInd w:val="0"/>
        <w:spacing w:after="0"/>
        <w:ind w:right="28"/>
        <w:outlineLvl w:val="2"/>
      </w:pPr>
      <w:r w:rsidRPr="00F867D0">
        <w:t>Figure 2.</w:t>
      </w:r>
      <w:r w:rsidR="00755882">
        <w:t>11</w:t>
      </w:r>
      <w:r w:rsidRPr="00F867D0">
        <w:t xml:space="preserve"> shows the breakdown of the lifecycle costs of typical 5 kW AC units at 3 </w:t>
      </w:r>
      <w:r w:rsidR="00063E0F">
        <w:t>EE</w:t>
      </w:r>
      <w:r w:rsidRPr="00F867D0">
        <w:t xml:space="preserve"> levels in India (2 Star, 3 Star, and 5 Star). These </w:t>
      </w:r>
      <w:r w:rsidR="002845EE">
        <w:t>EE</w:t>
      </w:r>
      <w:r w:rsidRPr="00F867D0">
        <w:t xml:space="preserve"> levels represent roughly 90% of the market in India. As can be seen, the refrigerant contribution to the lifecycle cost is minimal (less than 1%). The lifecycle cost for the 2, 3, and 5 Star units are 117.2, 119.5, and 108.0 thousand INR respectively. This indicates that while the system price increases from 2 Star to 5 Star, it results in a net lifecycle cost saving of 9,200 INR. </w:t>
      </w:r>
    </w:p>
    <w:p w14:paraId="1B2F3A58" w14:textId="77777777" w:rsidR="00B5050B" w:rsidRPr="00F867D0" w:rsidRDefault="00B5050B" w:rsidP="00B5050B">
      <w:pPr>
        <w:keepNext/>
        <w:keepLines/>
        <w:widowControl w:val="0"/>
        <w:tabs>
          <w:tab w:val="left" w:pos="0"/>
        </w:tabs>
        <w:autoSpaceDE w:val="0"/>
        <w:autoSpaceDN w:val="0"/>
        <w:adjustRightInd w:val="0"/>
        <w:spacing w:after="0"/>
        <w:ind w:right="28"/>
        <w:outlineLvl w:val="2"/>
      </w:pPr>
    </w:p>
    <w:p w14:paraId="7DDDF1EB" w14:textId="650353F1" w:rsidR="00B5050B" w:rsidRPr="00F867D0" w:rsidRDefault="00B5050B" w:rsidP="00860876">
      <w:pPr>
        <w:keepNext/>
        <w:keepLines/>
        <w:widowControl w:val="0"/>
        <w:tabs>
          <w:tab w:val="left" w:pos="0"/>
        </w:tabs>
        <w:autoSpaceDE w:val="0"/>
        <w:autoSpaceDN w:val="0"/>
        <w:adjustRightInd w:val="0"/>
        <w:spacing w:after="0"/>
        <w:ind w:right="28"/>
        <w:jc w:val="center"/>
        <w:outlineLvl w:val="2"/>
      </w:pPr>
      <w:r w:rsidRPr="00F867D0">
        <w:rPr>
          <w:noProof/>
          <w:lang w:val="en-US" w:eastAsia="en-US"/>
        </w:rPr>
        <w:drawing>
          <wp:inline distT="0" distB="0" distL="0" distR="0" wp14:anchorId="226FFC99" wp14:editId="73AE5736">
            <wp:extent cx="5084445" cy="3781425"/>
            <wp:effectExtent l="0" t="0" r="1905" b="9525"/>
            <wp:docPr id="19" name="Chart 19">
              <a:extLst xmlns:a="http://schemas.openxmlformats.org/drawingml/2006/main">
                <a:ext uri="{FF2B5EF4-FFF2-40B4-BE49-F238E27FC236}">
                  <a16:creationId xmlns:a16="http://schemas.microsoft.com/office/drawing/2014/main" id="{D993A500-BB11-4EF7-A9DF-9375F6FC73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A0A12E2" w14:textId="77777777" w:rsidR="00860876" w:rsidRDefault="00860876" w:rsidP="00B5050B">
      <w:pPr>
        <w:spacing w:after="0"/>
        <w:jc w:val="center"/>
        <w:rPr>
          <w:b/>
          <w:i/>
          <w:szCs w:val="22"/>
        </w:rPr>
      </w:pPr>
    </w:p>
    <w:p w14:paraId="4696CE2A" w14:textId="7C4EE73D" w:rsidR="00B5050B" w:rsidRPr="00860876" w:rsidRDefault="00B5050B" w:rsidP="00B5050B">
      <w:pPr>
        <w:spacing w:after="0"/>
        <w:jc w:val="center"/>
        <w:rPr>
          <w:b/>
          <w:i/>
          <w:szCs w:val="22"/>
        </w:rPr>
      </w:pPr>
      <w:r w:rsidRPr="00860876">
        <w:rPr>
          <w:b/>
          <w:i/>
          <w:szCs w:val="22"/>
        </w:rPr>
        <w:t>Figure 2.</w:t>
      </w:r>
      <w:r w:rsidR="00755882" w:rsidRPr="00860876">
        <w:rPr>
          <w:b/>
          <w:i/>
          <w:szCs w:val="22"/>
        </w:rPr>
        <w:t>11</w:t>
      </w:r>
      <w:r w:rsidRPr="00860876">
        <w:rPr>
          <w:b/>
          <w:i/>
          <w:szCs w:val="22"/>
        </w:rPr>
        <w:t xml:space="preserve"> – Breakdown of the lifecycle cost for 5 kW R-410A AC in India at different efficiency levels</w:t>
      </w:r>
      <w:r w:rsidR="00755882" w:rsidRPr="00860876">
        <w:rPr>
          <w:b/>
          <w:i/>
          <w:szCs w:val="22"/>
        </w:rPr>
        <w:t xml:space="preserve"> [Bhambure, 2018]</w:t>
      </w:r>
    </w:p>
    <w:p w14:paraId="125B64C4" w14:textId="5E4D623E" w:rsidR="00A663AA" w:rsidRPr="00235F95" w:rsidRDefault="00A663AA" w:rsidP="000F749F">
      <w:pPr>
        <w:pStyle w:val="Heading3"/>
      </w:pPr>
      <w:bookmarkStart w:id="97" w:name="_Toc510251654"/>
      <w:bookmarkStart w:id="98" w:name="_Toc515454389"/>
      <w:r w:rsidRPr="000F749F">
        <w:t>2.7.3</w:t>
      </w:r>
      <w:r w:rsidRPr="000F749F">
        <w:tab/>
        <w:t>Capital costs</w:t>
      </w:r>
      <w:bookmarkEnd w:id="97"/>
      <w:bookmarkEnd w:id="98"/>
    </w:p>
    <w:p w14:paraId="57356E2C" w14:textId="5741CDB5" w:rsidR="00A663AA" w:rsidRPr="00F867D0" w:rsidRDefault="00EF030B" w:rsidP="00A663AA">
      <w:pPr>
        <w:keepNext/>
        <w:widowControl w:val="0"/>
        <w:tabs>
          <w:tab w:val="left" w:pos="0"/>
        </w:tabs>
        <w:spacing w:after="0" w:line="276" w:lineRule="auto"/>
        <w:ind w:left="851" w:hanging="851"/>
        <w:outlineLvl w:val="3"/>
        <w:rPr>
          <w:rFonts w:eastAsia="MS Mincho"/>
          <w:b/>
          <w:i/>
          <w:snapToGrid w:val="0"/>
          <w:color w:val="000000" w:themeColor="text1"/>
          <w:szCs w:val="22"/>
          <w:shd w:val="clear" w:color="auto" w:fill="FFFFFF"/>
          <w:lang w:eastAsia="en-US"/>
        </w:rPr>
      </w:pPr>
      <w:bookmarkStart w:id="99" w:name="_Toc510377967"/>
      <w:r w:rsidRPr="00F867D0">
        <w:rPr>
          <w:rFonts w:eastAsia="MS Mincho"/>
          <w:b/>
          <w:i/>
          <w:snapToGrid w:val="0"/>
          <w:color w:val="000000" w:themeColor="text1"/>
          <w:szCs w:val="22"/>
          <w:shd w:val="clear" w:color="auto" w:fill="FFFFFF"/>
          <w:lang w:eastAsia="en-US"/>
        </w:rPr>
        <w:t>Commercial r</w:t>
      </w:r>
      <w:r w:rsidR="00A663AA" w:rsidRPr="00F867D0">
        <w:rPr>
          <w:rFonts w:eastAsia="MS Mincho"/>
          <w:b/>
          <w:i/>
          <w:snapToGrid w:val="0"/>
          <w:color w:val="000000" w:themeColor="text1"/>
          <w:szCs w:val="22"/>
          <w:shd w:val="clear" w:color="auto" w:fill="FFFFFF"/>
          <w:lang w:eastAsia="en-US"/>
        </w:rPr>
        <w:t>efrigeration sector</w:t>
      </w:r>
      <w:bookmarkEnd w:id="99"/>
    </w:p>
    <w:p w14:paraId="105F8F46" w14:textId="77777777" w:rsidR="004D52BA" w:rsidRDefault="004D52BA" w:rsidP="00A663AA">
      <w:pPr>
        <w:spacing w:after="0"/>
        <w:rPr>
          <w:i/>
          <w:szCs w:val="22"/>
          <w:u w:val="single"/>
          <w:lang w:eastAsia="en-US"/>
        </w:rPr>
      </w:pPr>
    </w:p>
    <w:p w14:paraId="37D065F3" w14:textId="6FE71D65" w:rsidR="00A663AA" w:rsidRPr="00F867D0" w:rsidRDefault="00A663AA" w:rsidP="00A663AA">
      <w:pPr>
        <w:spacing w:after="0"/>
        <w:rPr>
          <w:szCs w:val="22"/>
          <w:u w:val="single"/>
          <w:lang w:eastAsia="en-US"/>
        </w:rPr>
      </w:pPr>
      <w:r w:rsidRPr="00F867D0">
        <w:rPr>
          <w:i/>
          <w:szCs w:val="22"/>
          <w:u w:val="single"/>
          <w:lang w:eastAsia="en-US"/>
        </w:rPr>
        <w:t>Stand-alone equipment</w:t>
      </w:r>
      <w:r w:rsidRPr="00F867D0">
        <w:rPr>
          <w:szCs w:val="22"/>
          <w:u w:val="single"/>
          <w:lang w:eastAsia="en-US"/>
        </w:rPr>
        <w:t>:</w:t>
      </w:r>
    </w:p>
    <w:p w14:paraId="50E3FE8E" w14:textId="3CD93DF8" w:rsidR="00A663AA" w:rsidRPr="00F867D0" w:rsidRDefault="00A663AA" w:rsidP="00A663AA">
      <w:pPr>
        <w:spacing w:after="0"/>
        <w:rPr>
          <w:szCs w:val="22"/>
          <w:lang w:eastAsia="en-US"/>
        </w:rPr>
      </w:pPr>
      <w:r w:rsidRPr="00F867D0">
        <w:rPr>
          <w:szCs w:val="22"/>
          <w:lang w:eastAsia="en-US"/>
        </w:rPr>
        <w:t>Transitioning from high GWP HCFC and HFC to low GWP options will require some investment in manufacturing</w:t>
      </w:r>
      <w:r w:rsidR="001815A3" w:rsidRPr="00F867D0">
        <w:rPr>
          <w:szCs w:val="22"/>
          <w:lang w:eastAsia="en-US"/>
        </w:rPr>
        <w:t xml:space="preserve"> and equipment</w:t>
      </w:r>
      <w:r w:rsidRPr="00F867D0">
        <w:rPr>
          <w:szCs w:val="22"/>
          <w:lang w:eastAsia="en-US"/>
        </w:rPr>
        <w:t xml:space="preserve">.  This is especially true when the transition is to flammable refrigerants such as A2L or A3 hydrocarbon refrigerants.  In general, data from the field indicates that the cost to the consumer for an HC-290 stand-alone system can vary from 0% to 5% over conventional systems. The higher </w:t>
      </w:r>
      <w:r w:rsidR="001815A3" w:rsidRPr="00F867D0">
        <w:rPr>
          <w:szCs w:val="22"/>
          <w:lang w:eastAsia="en-US"/>
        </w:rPr>
        <w:t>price</w:t>
      </w:r>
      <w:r w:rsidRPr="00F867D0">
        <w:rPr>
          <w:szCs w:val="22"/>
          <w:lang w:eastAsia="en-US"/>
        </w:rPr>
        <w:t>, if any, can often be recovered</w:t>
      </w:r>
      <w:r w:rsidR="003822CE">
        <w:rPr>
          <w:szCs w:val="22"/>
          <w:lang w:eastAsia="en-US"/>
        </w:rPr>
        <w:t>,</w:t>
      </w:r>
      <w:r w:rsidRPr="00F867D0">
        <w:rPr>
          <w:szCs w:val="22"/>
          <w:lang w:eastAsia="en-US"/>
        </w:rPr>
        <w:t xml:space="preserve"> </w:t>
      </w:r>
      <w:r w:rsidR="003822CE">
        <w:rPr>
          <w:szCs w:val="22"/>
          <w:lang w:eastAsia="en-US"/>
        </w:rPr>
        <w:t>with</w:t>
      </w:r>
      <w:r w:rsidRPr="00F867D0">
        <w:rPr>
          <w:szCs w:val="22"/>
          <w:lang w:eastAsia="en-US"/>
        </w:rPr>
        <w:t xml:space="preserve"> the lower power consumed by these newer systems.  </w:t>
      </w:r>
    </w:p>
    <w:p w14:paraId="6AE3F028" w14:textId="77777777" w:rsidR="001815A3" w:rsidRPr="00F867D0" w:rsidRDefault="001815A3" w:rsidP="00A663AA">
      <w:pPr>
        <w:spacing w:after="0"/>
        <w:rPr>
          <w:szCs w:val="22"/>
          <w:lang w:eastAsia="en-US"/>
        </w:rPr>
      </w:pPr>
    </w:p>
    <w:p w14:paraId="55A98146" w14:textId="15292C31" w:rsidR="00A663AA" w:rsidRPr="00F867D0" w:rsidRDefault="00A663AA" w:rsidP="00A663AA">
      <w:pPr>
        <w:spacing w:after="0"/>
        <w:rPr>
          <w:szCs w:val="22"/>
          <w:lang w:eastAsia="en-US"/>
        </w:rPr>
      </w:pPr>
      <w:r w:rsidRPr="00F867D0">
        <w:rPr>
          <w:szCs w:val="22"/>
          <w:lang w:eastAsia="en-US"/>
        </w:rPr>
        <w:t xml:space="preserve">The cost to implement the other efficiency improvement ideas will vary from small, as in the case of LED lighting, to high for the variable speed or higher efficiency compressors.  Payback will depend on the cost of electricity in the respective region but since most regions regulate these systems, the market </w:t>
      </w:r>
      <w:r w:rsidR="008C3ED4">
        <w:rPr>
          <w:szCs w:val="22"/>
          <w:lang w:eastAsia="en-US"/>
        </w:rPr>
        <w:t xml:space="preserve">would be expected to </w:t>
      </w:r>
      <w:r w:rsidRPr="00F867D0">
        <w:rPr>
          <w:szCs w:val="22"/>
          <w:lang w:eastAsia="en-US"/>
        </w:rPr>
        <w:t>adopt the lowest cost method to achieve the minimum efficiency required.</w:t>
      </w:r>
    </w:p>
    <w:p w14:paraId="046FC6BE" w14:textId="77777777" w:rsidR="00B36B27" w:rsidRPr="00F867D0" w:rsidRDefault="00B36B27" w:rsidP="00A663AA">
      <w:pPr>
        <w:spacing w:after="0"/>
        <w:rPr>
          <w:i/>
          <w:szCs w:val="22"/>
          <w:u w:val="single"/>
          <w:lang w:eastAsia="en-US"/>
        </w:rPr>
      </w:pPr>
    </w:p>
    <w:p w14:paraId="62D145A6" w14:textId="2EDA36A9" w:rsidR="00A663AA" w:rsidRPr="00F867D0" w:rsidRDefault="00A663AA" w:rsidP="00A663AA">
      <w:pPr>
        <w:spacing w:after="0"/>
        <w:rPr>
          <w:i/>
          <w:szCs w:val="22"/>
          <w:u w:val="single"/>
          <w:lang w:eastAsia="en-US"/>
        </w:rPr>
      </w:pPr>
      <w:r w:rsidRPr="00F867D0">
        <w:rPr>
          <w:i/>
          <w:szCs w:val="22"/>
          <w:u w:val="single"/>
          <w:lang w:eastAsia="en-US"/>
        </w:rPr>
        <w:t>Condensing units:</w:t>
      </w:r>
    </w:p>
    <w:p w14:paraId="1169EEBD" w14:textId="47B8D69C" w:rsidR="00A663AA" w:rsidRPr="00F867D0" w:rsidRDefault="00A663AA" w:rsidP="00A663AA">
      <w:pPr>
        <w:spacing w:after="0"/>
        <w:rPr>
          <w:szCs w:val="22"/>
          <w:lang w:eastAsia="en-US"/>
        </w:rPr>
      </w:pPr>
      <w:r w:rsidRPr="00F867D0">
        <w:rPr>
          <w:szCs w:val="22"/>
          <w:lang w:eastAsia="en-US"/>
        </w:rPr>
        <w:t>Similar to stand-alone equipment, transitioning from high GWP HCFC and HFC to low GWP options will require some investment in manufacturing</w:t>
      </w:r>
      <w:r w:rsidR="001815A3" w:rsidRPr="00F867D0">
        <w:rPr>
          <w:szCs w:val="22"/>
          <w:lang w:eastAsia="en-US"/>
        </w:rPr>
        <w:t xml:space="preserve"> and equ</w:t>
      </w:r>
      <w:r w:rsidR="000D4B8C" w:rsidRPr="00F867D0">
        <w:rPr>
          <w:szCs w:val="22"/>
          <w:lang w:eastAsia="en-US"/>
        </w:rPr>
        <w:t>i</w:t>
      </w:r>
      <w:r w:rsidR="001815A3" w:rsidRPr="00F867D0">
        <w:rPr>
          <w:szCs w:val="22"/>
          <w:lang w:eastAsia="en-US"/>
        </w:rPr>
        <w:t>pment</w:t>
      </w:r>
      <w:r w:rsidRPr="00F867D0">
        <w:rPr>
          <w:szCs w:val="22"/>
          <w:lang w:eastAsia="en-US"/>
        </w:rPr>
        <w:t xml:space="preserve">. This is especially true when the transition is to flammable refrigerants such as A2L refrigerant blends or A3 hydrocarbon refrigerants. Thermal load reduction through better insulation, especially in walk-in coolers and freezers, use of LED lights, and some of the other efficiency improvement ideas are lower </w:t>
      </w:r>
      <w:r w:rsidR="001815A3" w:rsidRPr="00F867D0">
        <w:rPr>
          <w:szCs w:val="22"/>
          <w:lang w:eastAsia="en-US"/>
        </w:rPr>
        <w:t xml:space="preserve">first </w:t>
      </w:r>
      <w:r w:rsidRPr="00F867D0">
        <w:rPr>
          <w:szCs w:val="22"/>
          <w:lang w:eastAsia="en-US"/>
        </w:rPr>
        <w:t>capital cost and yield gains throughout the life of the equipment. Again, payback is a function of the local cost of electricity and can vary from region to region. Regulations play a key role in which efficiency improvement gets adopted.</w:t>
      </w:r>
    </w:p>
    <w:p w14:paraId="5D8EE5A5" w14:textId="77777777" w:rsidR="00B36B27" w:rsidRPr="00F867D0" w:rsidRDefault="00B36B27" w:rsidP="00A663AA">
      <w:pPr>
        <w:spacing w:after="0"/>
        <w:rPr>
          <w:i/>
          <w:szCs w:val="22"/>
          <w:u w:val="single"/>
          <w:lang w:eastAsia="en-US"/>
        </w:rPr>
      </w:pPr>
    </w:p>
    <w:p w14:paraId="27F87EAF" w14:textId="0527A919" w:rsidR="00A663AA" w:rsidRPr="00F867D0" w:rsidRDefault="00A663AA" w:rsidP="00A663AA">
      <w:pPr>
        <w:spacing w:after="0"/>
        <w:rPr>
          <w:i/>
          <w:szCs w:val="22"/>
          <w:u w:val="single"/>
          <w:lang w:eastAsia="en-US"/>
        </w:rPr>
      </w:pPr>
      <w:r w:rsidRPr="00F867D0">
        <w:rPr>
          <w:i/>
          <w:szCs w:val="22"/>
          <w:u w:val="single"/>
          <w:lang w:eastAsia="en-US"/>
        </w:rPr>
        <w:t>Centralized and Distributed systems:</w:t>
      </w:r>
    </w:p>
    <w:p w14:paraId="0320D7FE" w14:textId="67911330" w:rsidR="00A663AA" w:rsidRPr="00F867D0" w:rsidRDefault="00A663AA" w:rsidP="00A663AA">
      <w:pPr>
        <w:spacing w:after="0"/>
        <w:rPr>
          <w:szCs w:val="22"/>
          <w:lang w:eastAsia="en-US"/>
        </w:rPr>
      </w:pPr>
      <w:r w:rsidRPr="00F867D0">
        <w:rPr>
          <w:szCs w:val="22"/>
          <w:lang w:eastAsia="en-US"/>
        </w:rPr>
        <w:t>Market driven economics have justified many centralized and distributed systems to adopt many of the efficiency methods listed in the Annex. In the case of R-744 systems, for both cascade sub-critical and especially for transcritical systems, capital costs have prevented widespread adoption, particularly in warm climates.  A recent study</w:t>
      </w:r>
      <w:r w:rsidR="00C93833" w:rsidRPr="00F867D0">
        <w:rPr>
          <w:rStyle w:val="FootnoteReference"/>
          <w:szCs w:val="22"/>
          <w:lang w:eastAsia="en-US"/>
        </w:rPr>
        <w:footnoteReference w:id="16"/>
      </w:r>
      <w:r w:rsidR="004073FA" w:rsidRPr="00F867D0">
        <w:rPr>
          <w:szCs w:val="22"/>
          <w:lang w:eastAsia="en-US"/>
        </w:rPr>
        <w:t>,</w:t>
      </w:r>
      <w:r w:rsidRPr="00F867D0">
        <w:rPr>
          <w:szCs w:val="22"/>
          <w:lang w:eastAsia="en-US"/>
        </w:rPr>
        <w:t xml:space="preserve"> for a small store in Europe with ten refrigerated cases, compared a distributed HC-290 system to a transcritical CO</w:t>
      </w:r>
      <w:r w:rsidRPr="00F867D0">
        <w:rPr>
          <w:szCs w:val="22"/>
          <w:vertAlign w:val="subscript"/>
          <w:lang w:eastAsia="en-US"/>
        </w:rPr>
        <w:t>2</w:t>
      </w:r>
      <w:r w:rsidRPr="00F867D0">
        <w:rPr>
          <w:szCs w:val="22"/>
          <w:lang w:eastAsia="en-US"/>
        </w:rPr>
        <w:t xml:space="preserve"> system.  The efficiency of the HC-290 system was about 5% better on an annual basis and about 25% less capital cost than the transcritical CO</w:t>
      </w:r>
      <w:r w:rsidRPr="00F867D0">
        <w:rPr>
          <w:szCs w:val="22"/>
          <w:vertAlign w:val="subscript"/>
          <w:lang w:eastAsia="en-US"/>
        </w:rPr>
        <w:t>2</w:t>
      </w:r>
      <w:r w:rsidRPr="00F867D0">
        <w:rPr>
          <w:szCs w:val="22"/>
          <w:lang w:eastAsia="en-US"/>
        </w:rPr>
        <w:t xml:space="preserve"> system.  One can expect that this would be similar if the HC-290 system were replaced with a low GWP blend of HFC/HFO in the distributed system. In order to improve the performance of the CO</w:t>
      </w:r>
      <w:r w:rsidRPr="00F867D0">
        <w:rPr>
          <w:szCs w:val="22"/>
          <w:vertAlign w:val="subscript"/>
          <w:lang w:eastAsia="en-US"/>
        </w:rPr>
        <w:t>2</w:t>
      </w:r>
      <w:r w:rsidRPr="00F867D0">
        <w:rPr>
          <w:szCs w:val="22"/>
          <w:lang w:eastAsia="en-US"/>
        </w:rPr>
        <w:t xml:space="preserve"> system, ejectors or parallel compressors could be added but the </w:t>
      </w:r>
      <w:r w:rsidR="008C3ED4">
        <w:rPr>
          <w:szCs w:val="22"/>
          <w:lang w:eastAsia="en-US"/>
        </w:rPr>
        <w:t xml:space="preserve">initial (purchase) </w:t>
      </w:r>
      <w:r w:rsidRPr="00F867D0">
        <w:rPr>
          <w:szCs w:val="22"/>
          <w:lang w:eastAsia="en-US"/>
        </w:rPr>
        <w:t>cost will increase.</w:t>
      </w:r>
    </w:p>
    <w:p w14:paraId="1E0AEBA4" w14:textId="77777777" w:rsidR="00A663AA" w:rsidRPr="00F867D0" w:rsidRDefault="00A663AA" w:rsidP="00A663AA">
      <w:pPr>
        <w:spacing w:after="0"/>
        <w:rPr>
          <w:szCs w:val="22"/>
          <w:lang w:eastAsia="en-US"/>
        </w:rPr>
      </w:pPr>
    </w:p>
    <w:p w14:paraId="23FEA72F" w14:textId="77777777" w:rsidR="00A663AA" w:rsidRPr="00F867D0" w:rsidRDefault="00A663AA" w:rsidP="00A663AA">
      <w:pPr>
        <w:keepNext/>
        <w:widowControl w:val="0"/>
        <w:tabs>
          <w:tab w:val="left" w:pos="0"/>
        </w:tabs>
        <w:spacing w:after="0" w:line="276" w:lineRule="auto"/>
        <w:ind w:left="851" w:hanging="851"/>
        <w:outlineLvl w:val="3"/>
        <w:rPr>
          <w:rFonts w:eastAsia="MS Mincho"/>
          <w:b/>
          <w:i/>
          <w:snapToGrid w:val="0"/>
          <w:color w:val="000000" w:themeColor="text1"/>
          <w:szCs w:val="22"/>
          <w:shd w:val="clear" w:color="auto" w:fill="FFFFFF"/>
          <w:lang w:eastAsia="en-US"/>
        </w:rPr>
      </w:pPr>
      <w:bookmarkStart w:id="100" w:name="_Toc510377968"/>
      <w:r w:rsidRPr="00F867D0">
        <w:rPr>
          <w:rFonts w:eastAsia="MS Mincho"/>
          <w:b/>
          <w:i/>
          <w:snapToGrid w:val="0"/>
          <w:color w:val="000000" w:themeColor="text1"/>
          <w:szCs w:val="22"/>
          <w:shd w:val="clear" w:color="auto" w:fill="FFFFFF"/>
          <w:lang w:eastAsia="en-US"/>
        </w:rPr>
        <w:t>AC and HP sector</w:t>
      </w:r>
      <w:bookmarkEnd w:id="100"/>
    </w:p>
    <w:p w14:paraId="56568CCB" w14:textId="77777777" w:rsidR="004D52BA" w:rsidRDefault="004D52BA" w:rsidP="00A663AA">
      <w:pPr>
        <w:spacing w:after="0"/>
        <w:rPr>
          <w:lang w:eastAsia="en-US"/>
        </w:rPr>
      </w:pPr>
    </w:p>
    <w:p w14:paraId="7B606DD1" w14:textId="50909951" w:rsidR="00A663AA" w:rsidRPr="00F867D0" w:rsidRDefault="00A663AA" w:rsidP="00A663AA">
      <w:pPr>
        <w:spacing w:after="0"/>
        <w:rPr>
          <w:lang w:eastAsia="en-US"/>
        </w:rPr>
      </w:pPr>
      <w:r w:rsidRPr="00F867D0">
        <w:rPr>
          <w:lang w:eastAsia="en-US"/>
        </w:rPr>
        <w:t xml:space="preserve">As discussed earlier there exist several </w:t>
      </w:r>
      <w:r w:rsidR="00063E0F">
        <w:rPr>
          <w:lang w:eastAsia="en-US"/>
        </w:rPr>
        <w:t xml:space="preserve">EE </w:t>
      </w:r>
      <w:r w:rsidRPr="00F867D0">
        <w:rPr>
          <w:lang w:eastAsia="en-US"/>
        </w:rPr>
        <w:t xml:space="preserve">improvement options with </w:t>
      </w:r>
      <w:r w:rsidR="008C3ED4">
        <w:rPr>
          <w:lang w:eastAsia="en-US"/>
        </w:rPr>
        <w:t xml:space="preserve">a </w:t>
      </w:r>
      <w:r w:rsidRPr="00F867D0">
        <w:rPr>
          <w:lang w:eastAsia="en-US"/>
        </w:rPr>
        <w:t>different perspective for commercial and residential equipment. There are technologies that are shown to be cost neutral, such as advanced heat exchanger designs, rotary compressors, and variable capacity centrifugal compressors</w:t>
      </w:r>
      <w:r w:rsidR="008C3ED4">
        <w:rPr>
          <w:lang w:eastAsia="en-US"/>
        </w:rPr>
        <w:t xml:space="preserve">. There are </w:t>
      </w:r>
      <w:r w:rsidRPr="00F867D0">
        <w:rPr>
          <w:lang w:eastAsia="en-US"/>
        </w:rPr>
        <w:t xml:space="preserve">others that result in </w:t>
      </w:r>
      <w:r w:rsidR="008C3ED4">
        <w:rPr>
          <w:lang w:eastAsia="en-US"/>
        </w:rPr>
        <w:t xml:space="preserve">a </w:t>
      </w:r>
      <w:r w:rsidRPr="00F867D0">
        <w:rPr>
          <w:lang w:eastAsia="en-US"/>
        </w:rPr>
        <w:t xml:space="preserve">cost premium that can be </w:t>
      </w:r>
      <w:r w:rsidR="008C3ED4">
        <w:rPr>
          <w:lang w:eastAsia="en-US"/>
        </w:rPr>
        <w:t xml:space="preserve">reduced </w:t>
      </w:r>
      <w:r w:rsidRPr="00F867D0">
        <w:rPr>
          <w:lang w:eastAsia="en-US"/>
        </w:rPr>
        <w:t>with time due to the economies of scale, such as the MCHX and the electronic expansion valves, or remain as a premium cost element such as the variable capacity compressors for room and packaged air conditioners.</w:t>
      </w:r>
    </w:p>
    <w:p w14:paraId="3D61F086" w14:textId="77777777" w:rsidR="00A663AA" w:rsidRPr="00F867D0" w:rsidRDefault="00A663AA" w:rsidP="00A663AA">
      <w:pPr>
        <w:spacing w:after="0"/>
        <w:rPr>
          <w:color w:val="222222"/>
          <w:szCs w:val="22"/>
          <w:shd w:val="clear" w:color="auto" w:fill="FFFFFF"/>
        </w:rPr>
      </w:pPr>
    </w:p>
    <w:p w14:paraId="7155196C" w14:textId="646C1721" w:rsidR="00A663AA" w:rsidRPr="00F867D0" w:rsidRDefault="00A663AA" w:rsidP="00A663AA">
      <w:pPr>
        <w:spacing w:after="0"/>
        <w:rPr>
          <w:color w:val="222222"/>
          <w:szCs w:val="22"/>
          <w:shd w:val="clear" w:color="auto" w:fill="FFFFFF"/>
        </w:rPr>
      </w:pPr>
      <w:r w:rsidRPr="00F867D0">
        <w:rPr>
          <w:color w:val="222222"/>
          <w:szCs w:val="22"/>
          <w:shd w:val="clear" w:color="auto" w:fill="FFFFFF"/>
        </w:rPr>
        <w:t xml:space="preserve">Further data </w:t>
      </w:r>
      <w:r w:rsidR="008C3ED4">
        <w:rPr>
          <w:color w:val="222222"/>
          <w:szCs w:val="22"/>
          <w:shd w:val="clear" w:color="auto" w:fill="FFFFFF"/>
        </w:rPr>
        <w:t>are</w:t>
      </w:r>
      <w:r w:rsidRPr="00F867D0">
        <w:rPr>
          <w:color w:val="222222"/>
          <w:szCs w:val="22"/>
          <w:shd w:val="clear" w:color="auto" w:fill="FFFFFF"/>
        </w:rPr>
        <w:t xml:space="preserve"> collected from interviews with industry experts, manufacturers and component suppliers to quantify the costs of conversion to these higher efficiency levels. This is used to conduct a “manufacturer impact analysis” to estimate the industry average capital and operating costs of conversion to these higher efficiency levels.</w:t>
      </w:r>
    </w:p>
    <w:p w14:paraId="0B9534E8" w14:textId="77777777" w:rsidR="00B36B27" w:rsidRPr="00F867D0" w:rsidRDefault="00B36B27" w:rsidP="00A663AA">
      <w:pPr>
        <w:spacing w:after="0"/>
        <w:rPr>
          <w:color w:val="222222"/>
          <w:szCs w:val="22"/>
          <w:highlight w:val="yellow"/>
          <w:shd w:val="clear" w:color="auto" w:fill="FFFFFF"/>
        </w:rPr>
      </w:pPr>
    </w:p>
    <w:p w14:paraId="68BD2EC8" w14:textId="21C03969" w:rsidR="00A663AA" w:rsidRPr="00F867D0" w:rsidRDefault="00A663AA" w:rsidP="00A663AA">
      <w:pPr>
        <w:spacing w:after="0"/>
        <w:rPr>
          <w:color w:val="222222"/>
          <w:szCs w:val="22"/>
          <w:shd w:val="clear" w:color="auto" w:fill="FFFFFF"/>
        </w:rPr>
      </w:pPr>
      <w:r w:rsidRPr="00F867D0">
        <w:rPr>
          <w:color w:val="222222"/>
          <w:szCs w:val="22"/>
          <w:shd w:val="clear" w:color="auto" w:fill="FFFFFF"/>
        </w:rPr>
        <w:t>Table 2.</w:t>
      </w:r>
      <w:r w:rsidR="000D4B8C" w:rsidRPr="00F867D0">
        <w:rPr>
          <w:color w:val="222222"/>
          <w:szCs w:val="22"/>
          <w:shd w:val="clear" w:color="auto" w:fill="FFFFFF"/>
        </w:rPr>
        <w:t>10</w:t>
      </w:r>
      <w:r w:rsidR="00C93833" w:rsidRPr="00F867D0">
        <w:rPr>
          <w:color w:val="222222"/>
          <w:szCs w:val="22"/>
          <w:shd w:val="clear" w:color="auto" w:fill="FFFFFF"/>
        </w:rPr>
        <w:t xml:space="preserve"> </w:t>
      </w:r>
      <w:r w:rsidRPr="00F867D0">
        <w:rPr>
          <w:color w:val="222222"/>
          <w:szCs w:val="22"/>
          <w:shd w:val="clear" w:color="auto" w:fill="FFFFFF"/>
        </w:rPr>
        <w:t>below shows an example from a recent US DOE rulemaking document for capital costs of higher efficiency for four efficiency levels considered for mini-split air conditioning by the US industry as a whole.</w:t>
      </w:r>
    </w:p>
    <w:p w14:paraId="4DFECF39" w14:textId="52B589FF" w:rsidR="00860876" w:rsidRDefault="00860876" w:rsidP="00A663AA">
      <w:pPr>
        <w:spacing w:after="0"/>
        <w:rPr>
          <w:color w:val="222222"/>
          <w:szCs w:val="22"/>
          <w:shd w:val="clear" w:color="auto" w:fill="FFFFFF"/>
        </w:rPr>
      </w:pPr>
    </w:p>
    <w:p w14:paraId="2EF8AF49" w14:textId="77777777" w:rsidR="00860876" w:rsidRPr="00F867D0" w:rsidRDefault="00860876" w:rsidP="00A663AA">
      <w:pPr>
        <w:spacing w:after="0"/>
        <w:rPr>
          <w:color w:val="222222"/>
          <w:szCs w:val="22"/>
          <w:shd w:val="clear" w:color="auto" w:fill="FFFFFF"/>
        </w:rPr>
      </w:pPr>
    </w:p>
    <w:p w14:paraId="100E2E27" w14:textId="55512E72" w:rsidR="00A663AA" w:rsidRPr="00860876" w:rsidRDefault="00A663AA" w:rsidP="00A663AA">
      <w:pPr>
        <w:spacing w:after="0"/>
        <w:jc w:val="center"/>
        <w:rPr>
          <w:b/>
          <w:i/>
          <w:spacing w:val="-4"/>
          <w:szCs w:val="22"/>
        </w:rPr>
      </w:pPr>
      <w:r w:rsidRPr="00860876">
        <w:rPr>
          <w:b/>
          <w:i/>
          <w:spacing w:val="-4"/>
          <w:szCs w:val="22"/>
        </w:rPr>
        <w:t>Table 2.</w:t>
      </w:r>
      <w:r w:rsidR="000D4B8C" w:rsidRPr="00860876">
        <w:rPr>
          <w:b/>
          <w:i/>
          <w:spacing w:val="-4"/>
          <w:szCs w:val="22"/>
        </w:rPr>
        <w:t>10</w:t>
      </w:r>
      <w:r w:rsidR="00860876">
        <w:rPr>
          <w:b/>
          <w:i/>
          <w:spacing w:val="-4"/>
          <w:szCs w:val="22"/>
        </w:rPr>
        <w:t xml:space="preserve"> </w:t>
      </w:r>
      <w:r w:rsidRPr="00860876">
        <w:rPr>
          <w:b/>
          <w:i/>
          <w:spacing w:val="-4"/>
          <w:szCs w:val="22"/>
        </w:rPr>
        <w:t>Industry-wide capital conversion costs for various efficiency levels</w:t>
      </w:r>
      <w:r w:rsidRPr="00860876">
        <w:rPr>
          <w:b/>
          <w:i/>
          <w:vertAlign w:val="superscript"/>
        </w:rPr>
        <w:footnoteReference w:id="17"/>
      </w:r>
    </w:p>
    <w:p w14:paraId="04A1850B" w14:textId="77777777" w:rsidR="00860876" w:rsidRPr="00F867D0" w:rsidRDefault="00860876" w:rsidP="00A663AA">
      <w:pPr>
        <w:spacing w:after="0"/>
        <w:jc w:val="center"/>
        <w:rPr>
          <w:b/>
          <w:spacing w:val="-4"/>
          <w:szCs w:val="22"/>
        </w:rPr>
      </w:pPr>
    </w:p>
    <w:tbl>
      <w:tblPr>
        <w:tblW w:w="744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3"/>
        <w:gridCol w:w="4000"/>
        <w:gridCol w:w="1650"/>
      </w:tblGrid>
      <w:tr w:rsidR="00A663AA" w:rsidRPr="00F867D0" w14:paraId="1A79505C" w14:textId="77777777" w:rsidTr="00633A4A">
        <w:trPr>
          <w:trHeight w:val="768"/>
          <w:jc w:val="center"/>
        </w:trPr>
        <w:tc>
          <w:tcPr>
            <w:tcW w:w="1793" w:type="dxa"/>
            <w:shd w:val="clear" w:color="auto" w:fill="auto"/>
            <w:noWrap/>
            <w:vAlign w:val="center"/>
            <w:hideMark/>
          </w:tcPr>
          <w:p w14:paraId="0B0D5AF9" w14:textId="22C02237" w:rsidR="00A663AA" w:rsidRPr="00860876" w:rsidRDefault="00A663AA" w:rsidP="00A663AA">
            <w:pPr>
              <w:spacing w:after="0"/>
              <w:jc w:val="center"/>
              <w:rPr>
                <w:rFonts w:eastAsia="Times New Roman"/>
                <w:b/>
                <w:szCs w:val="22"/>
                <w:lang w:eastAsia="en-US"/>
              </w:rPr>
            </w:pPr>
            <w:r w:rsidRPr="00860876">
              <w:rPr>
                <w:rFonts w:eastAsia="Times New Roman"/>
                <w:b/>
                <w:szCs w:val="22"/>
                <w:lang w:eastAsia="en-US"/>
              </w:rPr>
              <w:t>SEER (</w:t>
            </w:r>
            <w:r w:rsidR="00633A4A" w:rsidRPr="00860876">
              <w:rPr>
                <w:rFonts w:eastAsia="Times New Roman"/>
                <w:b/>
                <w:szCs w:val="22"/>
                <w:lang w:eastAsia="en-US"/>
              </w:rPr>
              <w:t>W/W</w:t>
            </w:r>
            <w:r w:rsidRPr="00860876">
              <w:rPr>
                <w:rFonts w:eastAsia="Times New Roman"/>
                <w:b/>
                <w:szCs w:val="22"/>
                <w:lang w:eastAsia="en-US"/>
              </w:rPr>
              <w:t>)</w:t>
            </w:r>
          </w:p>
        </w:tc>
        <w:tc>
          <w:tcPr>
            <w:tcW w:w="4000" w:type="dxa"/>
            <w:shd w:val="clear" w:color="auto" w:fill="auto"/>
            <w:noWrap/>
            <w:vAlign w:val="center"/>
            <w:hideMark/>
          </w:tcPr>
          <w:p w14:paraId="1A67BCE7" w14:textId="498035CA" w:rsidR="00A663AA" w:rsidRPr="00860876" w:rsidRDefault="00A663AA" w:rsidP="00A663AA">
            <w:pPr>
              <w:spacing w:after="0"/>
              <w:jc w:val="center"/>
              <w:rPr>
                <w:rFonts w:eastAsia="Times New Roman"/>
                <w:b/>
                <w:szCs w:val="22"/>
                <w:lang w:eastAsia="en-US"/>
              </w:rPr>
            </w:pPr>
            <w:r w:rsidRPr="00860876">
              <w:rPr>
                <w:rFonts w:eastAsia="Times New Roman"/>
                <w:b/>
                <w:szCs w:val="22"/>
                <w:lang w:eastAsia="en-US"/>
              </w:rPr>
              <w:t xml:space="preserve">Capital Conversion Costs (2015 </w:t>
            </w:r>
            <w:r w:rsidR="00860876">
              <w:rPr>
                <w:rFonts w:eastAsia="Times New Roman"/>
                <w:b/>
                <w:szCs w:val="22"/>
                <w:lang w:eastAsia="en-US"/>
              </w:rPr>
              <w:t>US</w:t>
            </w:r>
            <w:r w:rsidRPr="00860876">
              <w:rPr>
                <w:rFonts w:eastAsia="Times New Roman"/>
                <w:b/>
                <w:szCs w:val="22"/>
                <w:lang w:eastAsia="en-US"/>
              </w:rPr>
              <w:t>$ million)</w:t>
            </w:r>
          </w:p>
        </w:tc>
        <w:tc>
          <w:tcPr>
            <w:tcW w:w="1650" w:type="dxa"/>
            <w:shd w:val="clear" w:color="auto" w:fill="auto"/>
            <w:vAlign w:val="center"/>
            <w:hideMark/>
          </w:tcPr>
          <w:p w14:paraId="18C6B779" w14:textId="77777777" w:rsidR="00A663AA" w:rsidRPr="00860876" w:rsidRDefault="00A663AA" w:rsidP="00A663AA">
            <w:pPr>
              <w:spacing w:after="0"/>
              <w:jc w:val="center"/>
              <w:rPr>
                <w:rFonts w:eastAsia="Times New Roman"/>
                <w:b/>
                <w:szCs w:val="22"/>
                <w:lang w:eastAsia="en-US"/>
              </w:rPr>
            </w:pPr>
            <w:r w:rsidRPr="00860876">
              <w:rPr>
                <w:rFonts w:eastAsia="Times New Roman"/>
                <w:b/>
                <w:szCs w:val="22"/>
                <w:lang w:eastAsia="en-US"/>
              </w:rPr>
              <w:t>2015 Shipments</w:t>
            </w:r>
            <w:r w:rsidRPr="00860876">
              <w:rPr>
                <w:rFonts w:eastAsia="Times New Roman"/>
                <w:b/>
                <w:szCs w:val="22"/>
                <w:vertAlign w:val="superscript"/>
                <w:lang w:eastAsia="en-US"/>
              </w:rPr>
              <w:footnoteReference w:id="18"/>
            </w:r>
            <w:r w:rsidRPr="00860876">
              <w:rPr>
                <w:rFonts w:eastAsia="Times New Roman"/>
                <w:b/>
                <w:szCs w:val="22"/>
                <w:lang w:eastAsia="en-US"/>
              </w:rPr>
              <w:t xml:space="preserve"> (million units/year)</w:t>
            </w:r>
          </w:p>
        </w:tc>
      </w:tr>
      <w:tr w:rsidR="00633A4A" w:rsidRPr="00F867D0" w14:paraId="337ACB07" w14:textId="77777777" w:rsidTr="00633A4A">
        <w:trPr>
          <w:trHeight w:val="288"/>
          <w:jc w:val="center"/>
        </w:trPr>
        <w:tc>
          <w:tcPr>
            <w:tcW w:w="1793" w:type="dxa"/>
            <w:shd w:val="clear" w:color="auto" w:fill="auto"/>
            <w:noWrap/>
            <w:hideMark/>
          </w:tcPr>
          <w:p w14:paraId="3B0CA420" w14:textId="3FED5007" w:rsidR="00633A4A" w:rsidRPr="00F867D0" w:rsidRDefault="00633A4A" w:rsidP="00633A4A">
            <w:pPr>
              <w:spacing w:after="0"/>
              <w:jc w:val="center"/>
              <w:rPr>
                <w:rFonts w:eastAsia="Times New Roman"/>
                <w:szCs w:val="22"/>
                <w:lang w:eastAsia="en-US"/>
              </w:rPr>
            </w:pPr>
            <w:r w:rsidRPr="00FD18EE">
              <w:t>4.2</w:t>
            </w:r>
          </w:p>
        </w:tc>
        <w:tc>
          <w:tcPr>
            <w:tcW w:w="4000" w:type="dxa"/>
            <w:shd w:val="clear" w:color="auto" w:fill="auto"/>
            <w:noWrap/>
            <w:vAlign w:val="center"/>
            <w:hideMark/>
          </w:tcPr>
          <w:p w14:paraId="6F013D22" w14:textId="77777777" w:rsidR="00633A4A" w:rsidRPr="00F867D0" w:rsidRDefault="00633A4A" w:rsidP="00633A4A">
            <w:pPr>
              <w:spacing w:after="0"/>
              <w:jc w:val="center"/>
              <w:rPr>
                <w:rFonts w:eastAsia="Times New Roman"/>
                <w:szCs w:val="22"/>
                <w:lang w:eastAsia="en-US"/>
              </w:rPr>
            </w:pPr>
            <w:r w:rsidRPr="00F867D0">
              <w:rPr>
                <w:rFonts w:eastAsia="Times New Roman"/>
                <w:szCs w:val="22"/>
                <w:lang w:eastAsia="en-US"/>
              </w:rPr>
              <w:t>61</w:t>
            </w:r>
          </w:p>
        </w:tc>
        <w:tc>
          <w:tcPr>
            <w:tcW w:w="1650" w:type="dxa"/>
            <w:shd w:val="clear" w:color="auto" w:fill="auto"/>
            <w:noWrap/>
            <w:vAlign w:val="center"/>
            <w:hideMark/>
          </w:tcPr>
          <w:p w14:paraId="1D933591" w14:textId="77777777" w:rsidR="00633A4A" w:rsidRPr="00F867D0" w:rsidRDefault="00633A4A" w:rsidP="00633A4A">
            <w:pPr>
              <w:spacing w:after="0"/>
              <w:jc w:val="center"/>
              <w:rPr>
                <w:rFonts w:eastAsia="Times New Roman"/>
                <w:szCs w:val="22"/>
                <w:lang w:eastAsia="en-US"/>
              </w:rPr>
            </w:pPr>
            <w:r w:rsidRPr="00F867D0">
              <w:rPr>
                <w:rFonts w:eastAsia="Times New Roman"/>
                <w:szCs w:val="22"/>
                <w:lang w:eastAsia="en-US"/>
              </w:rPr>
              <w:t>6.5</w:t>
            </w:r>
          </w:p>
        </w:tc>
      </w:tr>
      <w:tr w:rsidR="00633A4A" w:rsidRPr="00F867D0" w14:paraId="460EF3CE" w14:textId="77777777" w:rsidTr="00633A4A">
        <w:trPr>
          <w:trHeight w:val="288"/>
          <w:jc w:val="center"/>
        </w:trPr>
        <w:tc>
          <w:tcPr>
            <w:tcW w:w="1793" w:type="dxa"/>
            <w:shd w:val="clear" w:color="auto" w:fill="auto"/>
            <w:noWrap/>
            <w:hideMark/>
          </w:tcPr>
          <w:p w14:paraId="08CB8CBC" w14:textId="0E23F14A" w:rsidR="00633A4A" w:rsidRPr="00F867D0" w:rsidRDefault="00633A4A" w:rsidP="00633A4A">
            <w:pPr>
              <w:spacing w:after="0"/>
              <w:jc w:val="center"/>
              <w:rPr>
                <w:rFonts w:eastAsia="Times New Roman"/>
                <w:szCs w:val="22"/>
                <w:lang w:eastAsia="en-US"/>
              </w:rPr>
            </w:pPr>
            <w:r w:rsidRPr="00FD18EE">
              <w:t>4.4</w:t>
            </w:r>
          </w:p>
        </w:tc>
        <w:tc>
          <w:tcPr>
            <w:tcW w:w="4000" w:type="dxa"/>
            <w:shd w:val="clear" w:color="auto" w:fill="auto"/>
            <w:noWrap/>
            <w:vAlign w:val="center"/>
            <w:hideMark/>
          </w:tcPr>
          <w:p w14:paraId="03E2BCD3" w14:textId="77777777" w:rsidR="00633A4A" w:rsidRPr="00F867D0" w:rsidRDefault="00633A4A" w:rsidP="00633A4A">
            <w:pPr>
              <w:spacing w:after="0"/>
              <w:jc w:val="center"/>
              <w:rPr>
                <w:rFonts w:eastAsia="Times New Roman"/>
                <w:szCs w:val="22"/>
                <w:lang w:eastAsia="en-US"/>
              </w:rPr>
            </w:pPr>
            <w:r w:rsidRPr="00F867D0">
              <w:rPr>
                <w:rFonts w:eastAsia="Times New Roman"/>
                <w:szCs w:val="22"/>
                <w:lang w:eastAsia="en-US"/>
              </w:rPr>
              <w:t>205.6</w:t>
            </w:r>
          </w:p>
        </w:tc>
        <w:tc>
          <w:tcPr>
            <w:tcW w:w="1650" w:type="dxa"/>
            <w:shd w:val="clear" w:color="auto" w:fill="auto"/>
            <w:noWrap/>
            <w:vAlign w:val="center"/>
            <w:hideMark/>
          </w:tcPr>
          <w:p w14:paraId="2C72AACB" w14:textId="77777777" w:rsidR="00633A4A" w:rsidRPr="00F867D0" w:rsidRDefault="00633A4A" w:rsidP="00633A4A">
            <w:pPr>
              <w:spacing w:after="0"/>
              <w:jc w:val="center"/>
              <w:rPr>
                <w:rFonts w:eastAsia="Times New Roman"/>
                <w:szCs w:val="22"/>
                <w:lang w:eastAsia="en-US"/>
              </w:rPr>
            </w:pPr>
            <w:r w:rsidRPr="00F867D0">
              <w:rPr>
                <w:rFonts w:eastAsia="Times New Roman"/>
                <w:szCs w:val="22"/>
                <w:lang w:eastAsia="en-US"/>
              </w:rPr>
              <w:t>6.5</w:t>
            </w:r>
          </w:p>
        </w:tc>
      </w:tr>
      <w:tr w:rsidR="00633A4A" w:rsidRPr="00F867D0" w14:paraId="5688C0BE" w14:textId="77777777" w:rsidTr="00633A4A">
        <w:trPr>
          <w:trHeight w:val="288"/>
          <w:jc w:val="center"/>
        </w:trPr>
        <w:tc>
          <w:tcPr>
            <w:tcW w:w="1793" w:type="dxa"/>
            <w:shd w:val="clear" w:color="auto" w:fill="auto"/>
            <w:noWrap/>
            <w:hideMark/>
          </w:tcPr>
          <w:p w14:paraId="46ABF94E" w14:textId="13EC6812" w:rsidR="00633A4A" w:rsidRPr="00F867D0" w:rsidRDefault="00633A4A" w:rsidP="00633A4A">
            <w:pPr>
              <w:spacing w:after="0"/>
              <w:jc w:val="center"/>
              <w:rPr>
                <w:rFonts w:eastAsia="Times New Roman"/>
                <w:szCs w:val="22"/>
                <w:lang w:eastAsia="en-US"/>
              </w:rPr>
            </w:pPr>
            <w:r w:rsidRPr="00FD18EE">
              <w:t>4.7</w:t>
            </w:r>
          </w:p>
        </w:tc>
        <w:tc>
          <w:tcPr>
            <w:tcW w:w="4000" w:type="dxa"/>
            <w:shd w:val="clear" w:color="auto" w:fill="auto"/>
            <w:noWrap/>
            <w:vAlign w:val="center"/>
            <w:hideMark/>
          </w:tcPr>
          <w:p w14:paraId="4E880C83" w14:textId="77777777" w:rsidR="00633A4A" w:rsidRPr="00F867D0" w:rsidRDefault="00633A4A" w:rsidP="00633A4A">
            <w:pPr>
              <w:spacing w:after="0"/>
              <w:jc w:val="center"/>
              <w:rPr>
                <w:rFonts w:eastAsia="Times New Roman"/>
                <w:szCs w:val="22"/>
                <w:lang w:eastAsia="en-US"/>
              </w:rPr>
            </w:pPr>
            <w:r w:rsidRPr="00F867D0">
              <w:rPr>
                <w:rFonts w:eastAsia="Times New Roman"/>
                <w:szCs w:val="22"/>
                <w:lang w:eastAsia="en-US"/>
              </w:rPr>
              <w:t>337.9</w:t>
            </w:r>
          </w:p>
        </w:tc>
        <w:tc>
          <w:tcPr>
            <w:tcW w:w="1650" w:type="dxa"/>
            <w:shd w:val="clear" w:color="auto" w:fill="auto"/>
            <w:noWrap/>
            <w:vAlign w:val="center"/>
            <w:hideMark/>
          </w:tcPr>
          <w:p w14:paraId="5454DC00" w14:textId="77777777" w:rsidR="00633A4A" w:rsidRPr="00F867D0" w:rsidRDefault="00633A4A" w:rsidP="00633A4A">
            <w:pPr>
              <w:spacing w:after="0"/>
              <w:jc w:val="center"/>
              <w:rPr>
                <w:rFonts w:eastAsia="Times New Roman"/>
                <w:szCs w:val="22"/>
                <w:lang w:eastAsia="en-US"/>
              </w:rPr>
            </w:pPr>
            <w:r w:rsidRPr="00F867D0">
              <w:rPr>
                <w:rFonts w:eastAsia="Times New Roman"/>
                <w:szCs w:val="22"/>
                <w:lang w:eastAsia="en-US"/>
              </w:rPr>
              <w:t>6.5</w:t>
            </w:r>
          </w:p>
        </w:tc>
      </w:tr>
      <w:tr w:rsidR="00633A4A" w:rsidRPr="00F867D0" w14:paraId="593E1F22" w14:textId="77777777" w:rsidTr="00633A4A">
        <w:trPr>
          <w:trHeight w:val="288"/>
          <w:jc w:val="center"/>
        </w:trPr>
        <w:tc>
          <w:tcPr>
            <w:tcW w:w="1793" w:type="dxa"/>
            <w:shd w:val="clear" w:color="auto" w:fill="auto"/>
            <w:noWrap/>
            <w:hideMark/>
          </w:tcPr>
          <w:p w14:paraId="57572392" w14:textId="6F613940" w:rsidR="00633A4A" w:rsidRPr="00F867D0" w:rsidRDefault="00633A4A" w:rsidP="00633A4A">
            <w:pPr>
              <w:spacing w:after="0"/>
              <w:jc w:val="center"/>
              <w:rPr>
                <w:rFonts w:eastAsia="Times New Roman"/>
                <w:szCs w:val="22"/>
                <w:lang w:eastAsia="en-US"/>
              </w:rPr>
            </w:pPr>
            <w:r w:rsidRPr="00FD18EE">
              <w:t>5.6</w:t>
            </w:r>
          </w:p>
        </w:tc>
        <w:tc>
          <w:tcPr>
            <w:tcW w:w="4000" w:type="dxa"/>
            <w:shd w:val="clear" w:color="auto" w:fill="auto"/>
            <w:noWrap/>
            <w:vAlign w:val="center"/>
            <w:hideMark/>
          </w:tcPr>
          <w:p w14:paraId="44FC7D1E" w14:textId="77777777" w:rsidR="00633A4A" w:rsidRPr="00F867D0" w:rsidRDefault="00633A4A" w:rsidP="00633A4A">
            <w:pPr>
              <w:spacing w:after="0"/>
              <w:jc w:val="center"/>
              <w:rPr>
                <w:rFonts w:eastAsia="Times New Roman"/>
                <w:szCs w:val="22"/>
                <w:lang w:eastAsia="en-US"/>
              </w:rPr>
            </w:pPr>
            <w:r w:rsidRPr="00F867D0">
              <w:rPr>
                <w:rFonts w:eastAsia="Times New Roman"/>
                <w:szCs w:val="22"/>
                <w:lang w:eastAsia="en-US"/>
              </w:rPr>
              <w:t>373</w:t>
            </w:r>
          </w:p>
        </w:tc>
        <w:tc>
          <w:tcPr>
            <w:tcW w:w="1650" w:type="dxa"/>
            <w:shd w:val="clear" w:color="auto" w:fill="auto"/>
            <w:noWrap/>
            <w:vAlign w:val="center"/>
            <w:hideMark/>
          </w:tcPr>
          <w:p w14:paraId="2558C303" w14:textId="77777777" w:rsidR="00633A4A" w:rsidRPr="00F867D0" w:rsidRDefault="00633A4A" w:rsidP="00633A4A">
            <w:pPr>
              <w:spacing w:after="0"/>
              <w:jc w:val="center"/>
              <w:rPr>
                <w:rFonts w:eastAsia="Times New Roman"/>
                <w:szCs w:val="22"/>
                <w:lang w:eastAsia="en-US"/>
              </w:rPr>
            </w:pPr>
            <w:r w:rsidRPr="00F867D0">
              <w:rPr>
                <w:rFonts w:eastAsia="Times New Roman"/>
                <w:szCs w:val="22"/>
                <w:lang w:eastAsia="en-US"/>
              </w:rPr>
              <w:t>6.5</w:t>
            </w:r>
          </w:p>
        </w:tc>
      </w:tr>
    </w:tbl>
    <w:p w14:paraId="3F3D3B69" w14:textId="3F469148" w:rsidR="00A663AA" w:rsidRPr="00F867D0" w:rsidRDefault="00B36B27" w:rsidP="00B36B27">
      <w:pPr>
        <w:spacing w:after="0"/>
        <w:ind w:firstLine="851"/>
        <w:rPr>
          <w:color w:val="222222"/>
          <w:szCs w:val="22"/>
          <w:shd w:val="clear" w:color="auto" w:fill="FFFFFF"/>
        </w:rPr>
      </w:pPr>
      <w:r w:rsidRPr="00F867D0">
        <w:rPr>
          <w:spacing w:val="-4"/>
          <w:szCs w:val="22"/>
        </w:rPr>
        <w:t>Source: DOE 2016</w:t>
      </w:r>
    </w:p>
    <w:p w14:paraId="2B1CFFBD" w14:textId="77777777" w:rsidR="00A663AA" w:rsidRPr="004D52BA" w:rsidRDefault="00A663AA" w:rsidP="00A663AA">
      <w:pPr>
        <w:spacing w:after="0"/>
        <w:jc w:val="center"/>
      </w:pPr>
      <w:bookmarkStart w:id="101" w:name="_Toc510251655"/>
    </w:p>
    <w:p w14:paraId="128BD246" w14:textId="6AC8371C" w:rsidR="00A663AA" w:rsidRPr="000F749F" w:rsidRDefault="00A663AA" w:rsidP="000F749F">
      <w:pPr>
        <w:pStyle w:val="Heading3"/>
        <w:rPr>
          <w:b w:val="0"/>
        </w:rPr>
      </w:pPr>
      <w:bookmarkStart w:id="102" w:name="_Toc515454390"/>
      <w:r w:rsidRPr="000F749F">
        <w:t>2.7.4</w:t>
      </w:r>
      <w:r w:rsidRPr="000F749F">
        <w:tab/>
        <w:t>Operating costs</w:t>
      </w:r>
      <w:bookmarkEnd w:id="101"/>
      <w:bookmarkEnd w:id="102"/>
    </w:p>
    <w:p w14:paraId="190E8E64" w14:textId="0ACEEE96" w:rsidR="00A663AA" w:rsidRPr="00F867D0" w:rsidRDefault="00EF030B" w:rsidP="00A663AA">
      <w:pPr>
        <w:keepNext/>
        <w:widowControl w:val="0"/>
        <w:tabs>
          <w:tab w:val="left" w:pos="0"/>
        </w:tabs>
        <w:spacing w:after="0" w:line="276" w:lineRule="auto"/>
        <w:ind w:left="851" w:hanging="851"/>
        <w:outlineLvl w:val="3"/>
        <w:rPr>
          <w:rFonts w:eastAsia="MS Mincho"/>
          <w:b/>
          <w:i/>
          <w:snapToGrid w:val="0"/>
          <w:color w:val="000000" w:themeColor="text1"/>
          <w:szCs w:val="22"/>
          <w:shd w:val="clear" w:color="auto" w:fill="FFFFFF"/>
          <w:lang w:eastAsia="en-US"/>
        </w:rPr>
      </w:pPr>
      <w:bookmarkStart w:id="103" w:name="_Toc510377970"/>
      <w:r w:rsidRPr="00F867D0">
        <w:rPr>
          <w:rFonts w:eastAsia="MS Mincho"/>
          <w:b/>
          <w:i/>
          <w:snapToGrid w:val="0"/>
          <w:color w:val="000000" w:themeColor="text1"/>
          <w:szCs w:val="22"/>
          <w:shd w:val="clear" w:color="auto" w:fill="FFFFFF"/>
          <w:lang w:eastAsia="en-US"/>
        </w:rPr>
        <w:t>Commercial r</w:t>
      </w:r>
      <w:r w:rsidR="00A663AA" w:rsidRPr="00F867D0">
        <w:rPr>
          <w:rFonts w:eastAsia="MS Mincho"/>
          <w:b/>
          <w:i/>
          <w:snapToGrid w:val="0"/>
          <w:color w:val="000000" w:themeColor="text1"/>
          <w:szCs w:val="22"/>
          <w:shd w:val="clear" w:color="auto" w:fill="FFFFFF"/>
          <w:lang w:eastAsia="en-US"/>
        </w:rPr>
        <w:t>efrigeration sector</w:t>
      </w:r>
      <w:bookmarkEnd w:id="103"/>
    </w:p>
    <w:p w14:paraId="7CD5AE6A" w14:textId="77777777" w:rsidR="004D52BA" w:rsidRDefault="004D52BA" w:rsidP="00A663AA">
      <w:pPr>
        <w:spacing w:after="0"/>
        <w:rPr>
          <w:i/>
          <w:szCs w:val="22"/>
          <w:u w:val="single"/>
        </w:rPr>
      </w:pPr>
    </w:p>
    <w:p w14:paraId="5E794654" w14:textId="5ED7188C" w:rsidR="00A663AA" w:rsidRPr="00F867D0" w:rsidRDefault="00A663AA" w:rsidP="00A663AA">
      <w:pPr>
        <w:spacing w:after="0"/>
        <w:rPr>
          <w:i/>
          <w:szCs w:val="22"/>
          <w:u w:val="single"/>
        </w:rPr>
      </w:pPr>
      <w:r w:rsidRPr="00F867D0">
        <w:rPr>
          <w:i/>
          <w:szCs w:val="22"/>
          <w:u w:val="single"/>
        </w:rPr>
        <w:t>Stand-alone equipment:</w:t>
      </w:r>
    </w:p>
    <w:p w14:paraId="6D8BE09A" w14:textId="3035B95D" w:rsidR="00A663AA" w:rsidRPr="00F867D0" w:rsidRDefault="00A663AA" w:rsidP="00A663AA">
      <w:pPr>
        <w:spacing w:after="0"/>
        <w:rPr>
          <w:szCs w:val="22"/>
        </w:rPr>
      </w:pPr>
      <w:r w:rsidRPr="00F867D0">
        <w:rPr>
          <w:szCs w:val="22"/>
        </w:rPr>
        <w:t>Transitioning to low GWP refrigerant options will result in operating cost improvements from 0% up to 10% depending on the refrigerant chosen.  Hydrocarbon HC-290 refrigerant could reduce electricity cost by 5 – 10 % compared to HCFC-22</w:t>
      </w:r>
      <w:r w:rsidR="001815A3" w:rsidRPr="00F867D0">
        <w:rPr>
          <w:szCs w:val="22"/>
        </w:rPr>
        <w:t xml:space="preserve">; R-290 is an example of an early adoption of a low GWP refrigerant in this application that has been successful from an </w:t>
      </w:r>
      <w:r w:rsidR="00063E0F">
        <w:rPr>
          <w:szCs w:val="22"/>
        </w:rPr>
        <w:t>EE</w:t>
      </w:r>
      <w:r w:rsidR="001815A3" w:rsidRPr="00F867D0">
        <w:rPr>
          <w:szCs w:val="22"/>
        </w:rPr>
        <w:t xml:space="preserve"> point of view</w:t>
      </w:r>
      <w:r w:rsidRPr="00F867D0">
        <w:rPr>
          <w:szCs w:val="22"/>
        </w:rPr>
        <w:t>. Additional improvements with variable speed fans, compressors, LEDs and other efforts will further reduce the power consumption depending on the improvement that has been made.</w:t>
      </w:r>
    </w:p>
    <w:p w14:paraId="6B592F4C" w14:textId="77777777" w:rsidR="00C93833" w:rsidRPr="00F867D0" w:rsidRDefault="00C93833" w:rsidP="00A663AA">
      <w:pPr>
        <w:spacing w:after="0"/>
        <w:rPr>
          <w:i/>
          <w:szCs w:val="22"/>
          <w:u w:val="single"/>
        </w:rPr>
      </w:pPr>
    </w:p>
    <w:p w14:paraId="2A3456DA" w14:textId="3CBAF516" w:rsidR="00A663AA" w:rsidRPr="00F867D0" w:rsidRDefault="00A663AA" w:rsidP="00A663AA">
      <w:pPr>
        <w:spacing w:after="0"/>
        <w:rPr>
          <w:i/>
          <w:szCs w:val="22"/>
          <w:u w:val="single"/>
        </w:rPr>
      </w:pPr>
      <w:r w:rsidRPr="00F867D0">
        <w:rPr>
          <w:i/>
          <w:szCs w:val="22"/>
          <w:u w:val="single"/>
        </w:rPr>
        <w:t>Condensing units:</w:t>
      </w:r>
    </w:p>
    <w:p w14:paraId="34F4BA0B" w14:textId="3F0FFDA0" w:rsidR="00A663AA" w:rsidRPr="00F867D0" w:rsidRDefault="00A663AA" w:rsidP="00A663AA">
      <w:pPr>
        <w:spacing w:after="0"/>
        <w:rPr>
          <w:szCs w:val="22"/>
        </w:rPr>
      </w:pPr>
      <w:r w:rsidRPr="00F867D0">
        <w:rPr>
          <w:szCs w:val="22"/>
        </w:rPr>
        <w:t xml:space="preserve">Similar to stand-alone equipment, transitioning from high GWP HCFC and HFC to low GWP options can be expected to reduce or keep flat the operating energy costs depending on the refrigerant choice made.  Thermal load reduction through better insulation, especially in walk-in coolers and freezers and the use of LED lights are some examples of </w:t>
      </w:r>
      <w:r w:rsidR="008C3ED4">
        <w:rPr>
          <w:szCs w:val="22"/>
        </w:rPr>
        <w:t>EE</w:t>
      </w:r>
      <w:r w:rsidR="002C5E4A">
        <w:rPr>
          <w:szCs w:val="22"/>
        </w:rPr>
        <w:t xml:space="preserve"> </w:t>
      </w:r>
      <w:r w:rsidRPr="00F867D0">
        <w:rPr>
          <w:szCs w:val="22"/>
        </w:rPr>
        <w:t>methods that yield reduced power consumption, leading to lower operating costs.</w:t>
      </w:r>
    </w:p>
    <w:p w14:paraId="63C08FA5" w14:textId="77777777" w:rsidR="00C93833" w:rsidRPr="00F867D0" w:rsidRDefault="00C93833" w:rsidP="00A663AA">
      <w:pPr>
        <w:spacing w:after="0"/>
        <w:rPr>
          <w:i/>
          <w:szCs w:val="22"/>
          <w:u w:val="single"/>
        </w:rPr>
      </w:pPr>
    </w:p>
    <w:p w14:paraId="26E88980" w14:textId="77777777" w:rsidR="001A6205" w:rsidRPr="00F867D0" w:rsidRDefault="00A663AA" w:rsidP="00A663AA">
      <w:pPr>
        <w:spacing w:after="0"/>
        <w:rPr>
          <w:i/>
          <w:szCs w:val="22"/>
          <w:u w:val="single"/>
        </w:rPr>
      </w:pPr>
      <w:r w:rsidRPr="00F867D0">
        <w:rPr>
          <w:i/>
          <w:szCs w:val="22"/>
          <w:u w:val="single"/>
        </w:rPr>
        <w:t>Centralized and Distributed systems:</w:t>
      </w:r>
    </w:p>
    <w:p w14:paraId="2B921176" w14:textId="74EE860E" w:rsidR="00A663AA" w:rsidRPr="00F867D0" w:rsidRDefault="00A663AA" w:rsidP="00A663AA">
      <w:pPr>
        <w:spacing w:after="0"/>
        <w:rPr>
          <w:szCs w:val="22"/>
        </w:rPr>
      </w:pPr>
      <w:r w:rsidRPr="00F867D0">
        <w:rPr>
          <w:szCs w:val="22"/>
        </w:rPr>
        <w:t>Market driven economics have justified many centralized and distributed systems to adopt many of the efficiency methods that were listed in earlier sections.  Operating costs for the new lower GWP HFCs and HFC/HFO blends are comparable to the systems that they replace, mainly due to the techno</w:t>
      </w:r>
      <w:r w:rsidR="001A6205" w:rsidRPr="00F867D0">
        <w:rPr>
          <w:szCs w:val="22"/>
        </w:rPr>
        <w:t xml:space="preserve">logy not being much different. </w:t>
      </w:r>
      <w:r w:rsidRPr="00F867D0">
        <w:rPr>
          <w:szCs w:val="22"/>
        </w:rPr>
        <w:t>In the case of R-744 systems, for both cascade sub-critical and especially for transcritical systems, operating costs are flat to slightly higher in the case of transcritical, compared to R-404A. Of course, as mentioned before, a store design with A2L Low GWP HFC/HFO blends could be expected to be close to the HC-290</w:t>
      </w:r>
      <w:r w:rsidR="001A6205" w:rsidRPr="00F867D0">
        <w:rPr>
          <w:szCs w:val="22"/>
        </w:rPr>
        <w:t xml:space="preserve"> store performance. </w:t>
      </w:r>
      <w:r w:rsidRPr="00F867D0">
        <w:rPr>
          <w:szCs w:val="22"/>
        </w:rPr>
        <w:t>While the HC-290 architecture mentioned in this study could work for a small store format, it will be difficult to justify this in a store where the refrigeration systems are much larger.</w:t>
      </w:r>
    </w:p>
    <w:p w14:paraId="1DB4B110" w14:textId="77777777" w:rsidR="00A663AA" w:rsidRPr="00F867D0" w:rsidRDefault="00A663AA" w:rsidP="00A663AA">
      <w:pPr>
        <w:spacing w:after="0"/>
        <w:rPr>
          <w:lang w:eastAsia="en-US"/>
        </w:rPr>
      </w:pPr>
    </w:p>
    <w:p w14:paraId="2532EEF2" w14:textId="77777777" w:rsidR="00860876" w:rsidRDefault="00A663AA" w:rsidP="00860876">
      <w:pPr>
        <w:keepNext/>
        <w:widowControl w:val="0"/>
        <w:shd w:val="clear" w:color="auto" w:fill="FFFFFF"/>
        <w:tabs>
          <w:tab w:val="left" w:pos="0"/>
        </w:tabs>
        <w:snapToGrid w:val="0"/>
        <w:spacing w:after="0"/>
        <w:ind w:left="851" w:hanging="851"/>
        <w:outlineLvl w:val="3"/>
        <w:rPr>
          <w:rFonts w:eastAsia="MS Mincho"/>
          <w:b/>
          <w:i/>
          <w:color w:val="000000" w:themeColor="text1"/>
          <w:szCs w:val="22"/>
          <w:lang w:eastAsia="en-US"/>
        </w:rPr>
      </w:pPr>
      <w:r w:rsidRPr="00F867D0">
        <w:rPr>
          <w:rFonts w:eastAsia="MS Mincho"/>
          <w:b/>
          <w:i/>
          <w:color w:val="000000" w:themeColor="text1"/>
          <w:szCs w:val="22"/>
          <w:lang w:eastAsia="en-US"/>
        </w:rPr>
        <w:t>AC and HP sector</w:t>
      </w:r>
    </w:p>
    <w:p w14:paraId="1486F14B" w14:textId="77777777" w:rsidR="00860876" w:rsidRDefault="00860876" w:rsidP="00860876">
      <w:pPr>
        <w:keepNext/>
        <w:widowControl w:val="0"/>
        <w:shd w:val="clear" w:color="auto" w:fill="FFFFFF"/>
        <w:tabs>
          <w:tab w:val="left" w:pos="0"/>
        </w:tabs>
        <w:snapToGrid w:val="0"/>
        <w:spacing w:after="0"/>
        <w:outlineLvl w:val="3"/>
        <w:rPr>
          <w:rFonts w:eastAsia="MS Mincho"/>
          <w:b/>
          <w:i/>
          <w:color w:val="000000" w:themeColor="text1"/>
          <w:szCs w:val="22"/>
          <w:lang w:eastAsia="en-US"/>
        </w:rPr>
      </w:pPr>
    </w:p>
    <w:p w14:paraId="78DB33C3" w14:textId="157A6BD1" w:rsidR="00A663AA" w:rsidRPr="00860876" w:rsidRDefault="001815A3" w:rsidP="00860876">
      <w:pPr>
        <w:keepNext/>
        <w:widowControl w:val="0"/>
        <w:shd w:val="clear" w:color="auto" w:fill="FFFFFF"/>
        <w:tabs>
          <w:tab w:val="left" w:pos="0"/>
        </w:tabs>
        <w:snapToGrid w:val="0"/>
        <w:spacing w:after="0"/>
        <w:outlineLvl w:val="3"/>
        <w:rPr>
          <w:rFonts w:eastAsia="MS Mincho"/>
          <w:b/>
          <w:i/>
          <w:color w:val="000000" w:themeColor="text1"/>
          <w:szCs w:val="22"/>
          <w:lang w:eastAsia="en-US"/>
        </w:rPr>
      </w:pPr>
      <w:r w:rsidRPr="00F867D0">
        <w:rPr>
          <w:lang w:eastAsia="en-US"/>
        </w:rPr>
        <w:t>P</w:t>
      </w:r>
      <w:r w:rsidR="00A663AA" w:rsidRPr="00F867D0">
        <w:rPr>
          <w:lang w:eastAsia="en-US"/>
        </w:rPr>
        <w:t xml:space="preserve">revious studies have indicated that lower GWP HFC/HFO blends can be readily used to replace R-410A while maintaining or improving the system performance </w:t>
      </w:r>
      <w:r w:rsidRPr="00F867D0">
        <w:rPr>
          <w:lang w:eastAsia="en-US"/>
        </w:rPr>
        <w:t xml:space="preserve">of the RACHP </w:t>
      </w:r>
      <w:r w:rsidR="00D41EAD" w:rsidRPr="00F867D0">
        <w:rPr>
          <w:lang w:eastAsia="en-US"/>
        </w:rPr>
        <w:t>[</w:t>
      </w:r>
      <w:r w:rsidR="00A663AA" w:rsidRPr="00ED0794">
        <w:rPr>
          <w:lang w:eastAsia="en-US"/>
        </w:rPr>
        <w:t>Abdelaziz et al</w:t>
      </w:r>
      <w:r w:rsidR="00D41EAD" w:rsidRPr="00ED0794">
        <w:rPr>
          <w:lang w:eastAsia="en-US"/>
        </w:rPr>
        <w:t>.,</w:t>
      </w:r>
      <w:r w:rsidR="00A663AA" w:rsidRPr="00ED0794">
        <w:rPr>
          <w:lang w:eastAsia="en-US"/>
        </w:rPr>
        <w:t xml:space="preserve"> 2015</w:t>
      </w:r>
      <w:r w:rsidR="00D41EAD" w:rsidRPr="00ED0794">
        <w:rPr>
          <w:lang w:eastAsia="en-US"/>
        </w:rPr>
        <w:t>;</w:t>
      </w:r>
      <w:r w:rsidR="00A663AA" w:rsidRPr="00ED0794">
        <w:rPr>
          <w:lang w:eastAsia="en-US"/>
        </w:rPr>
        <w:t xml:space="preserve"> Abdelaziz et al</w:t>
      </w:r>
      <w:r w:rsidR="00D41EAD" w:rsidRPr="00ED0794">
        <w:rPr>
          <w:lang w:eastAsia="en-US"/>
        </w:rPr>
        <w:t>.,</w:t>
      </w:r>
      <w:r w:rsidR="00A663AA" w:rsidRPr="00ED0794">
        <w:rPr>
          <w:lang w:eastAsia="en-US"/>
        </w:rPr>
        <w:t xml:space="preserve"> 2016</w:t>
      </w:r>
      <w:r w:rsidR="00D41EAD" w:rsidRPr="00ED0794">
        <w:rPr>
          <w:lang w:eastAsia="en-US"/>
        </w:rPr>
        <w:t>]</w:t>
      </w:r>
      <w:r w:rsidR="00A663AA" w:rsidRPr="00ED0794">
        <w:rPr>
          <w:lang w:eastAsia="en-US"/>
        </w:rPr>
        <w:t>. However, HCFC-22 alternative lower GWP refrigerants and refrigerant blends were not able to readily match the performance. A later study by Shen et al. 2017, showed</w:t>
      </w:r>
      <w:r w:rsidR="00A663AA" w:rsidRPr="00F867D0">
        <w:rPr>
          <w:lang w:eastAsia="en-US"/>
        </w:rPr>
        <w:t xml:space="preserve"> that with engineering optimization, HCFC-22 alternatives can match or exceed the performance of existing HCFC-22 units with efficiency increase of up to 10%. </w:t>
      </w:r>
    </w:p>
    <w:p w14:paraId="7624B9EF" w14:textId="77777777" w:rsidR="004235F7" w:rsidRDefault="004235F7">
      <w:pPr>
        <w:spacing w:after="0"/>
        <w:rPr>
          <w:lang w:eastAsia="en-US"/>
        </w:rPr>
        <w:sectPr w:rsidR="004235F7" w:rsidSect="00AF36BF">
          <w:headerReference w:type="even" r:id="rId41"/>
          <w:headerReference w:type="default" r:id="rId42"/>
          <w:footerReference w:type="even" r:id="rId43"/>
          <w:headerReference w:type="first" r:id="rId44"/>
          <w:footnotePr>
            <w:numRestart w:val="eachSect"/>
          </w:footnotePr>
          <w:pgSz w:w="11906" w:h="16838" w:code="9"/>
          <w:pgMar w:top="1440" w:right="1440" w:bottom="1440" w:left="1440" w:header="720" w:footer="792" w:gutter="0"/>
          <w:cols w:space="720"/>
          <w:docGrid w:linePitch="299"/>
        </w:sectPr>
      </w:pPr>
    </w:p>
    <w:p w14:paraId="64CC8C18" w14:textId="40D19C10" w:rsidR="00DD3EBA" w:rsidRPr="000F749F" w:rsidRDefault="00A663AA">
      <w:pPr>
        <w:pStyle w:val="Heading1"/>
        <w:rPr>
          <w:rStyle w:val="Heading1Char2"/>
          <w:rFonts w:ascii="Times New Roman" w:hAnsi="Times New Roman"/>
        </w:rPr>
      </w:pPr>
      <w:bookmarkStart w:id="104" w:name="_Toc515454391"/>
      <w:bookmarkStart w:id="105" w:name="_Hlk514683695"/>
      <w:r w:rsidRPr="004F5D3D">
        <w:rPr>
          <w:rStyle w:val="Heading1Char2"/>
          <w:rFonts w:ascii="Times New Roman" w:hAnsi="Times New Roman"/>
        </w:rPr>
        <w:t>3</w:t>
      </w:r>
      <w:r w:rsidR="00DD3EBA" w:rsidRPr="00031D16">
        <w:rPr>
          <w:rStyle w:val="Heading1Char2"/>
          <w:rFonts w:ascii="Times New Roman" w:hAnsi="Times New Roman"/>
        </w:rPr>
        <w:tab/>
      </w:r>
      <w:r w:rsidR="006A2D73" w:rsidRPr="00031D16">
        <w:rPr>
          <w:rStyle w:val="Heading1Char2"/>
          <w:rFonts w:ascii="Times New Roman" w:hAnsi="Times New Roman"/>
        </w:rPr>
        <w:t>F</w:t>
      </w:r>
      <w:r w:rsidR="00176F9C" w:rsidRPr="00031D16">
        <w:rPr>
          <w:rStyle w:val="Heading1Char2"/>
          <w:rFonts w:ascii="Times New Roman" w:hAnsi="Times New Roman"/>
        </w:rPr>
        <w:t>unding institutions related to energy efficiency in the RACHP sector while phasing down HFCs</w:t>
      </w:r>
      <w:bookmarkEnd w:id="38"/>
      <w:bookmarkEnd w:id="104"/>
    </w:p>
    <w:p w14:paraId="4CBD958C" w14:textId="4F1D1463" w:rsidR="004B1E9B" w:rsidRDefault="004B1E9B" w:rsidP="004B1E9B">
      <w:pPr>
        <w:spacing w:after="0"/>
        <w:rPr>
          <w:rFonts w:eastAsia="Times New Roman"/>
          <w:b/>
          <w:sz w:val="24"/>
          <w:szCs w:val="22"/>
        </w:rPr>
      </w:pPr>
      <w:bookmarkStart w:id="106" w:name="_Toc509492762"/>
      <w:r w:rsidRPr="00F867D0">
        <w:rPr>
          <w:rFonts w:eastAsia="Times New Roman"/>
          <w:b/>
          <w:sz w:val="24"/>
          <w:szCs w:val="22"/>
        </w:rPr>
        <w:t>Summary</w:t>
      </w:r>
    </w:p>
    <w:p w14:paraId="01FEAC69" w14:textId="77777777" w:rsidR="00633A4A" w:rsidRPr="00F867D0" w:rsidRDefault="00633A4A" w:rsidP="004B1E9B">
      <w:pPr>
        <w:spacing w:after="0"/>
        <w:rPr>
          <w:rFonts w:eastAsia="Times New Roman"/>
          <w:b/>
          <w:szCs w:val="22"/>
        </w:rPr>
      </w:pPr>
    </w:p>
    <w:p w14:paraId="452B3B9F" w14:textId="698CB853" w:rsidR="004B1E9B" w:rsidRPr="00F867D0" w:rsidRDefault="004B1E9B" w:rsidP="00BF4C57">
      <w:pPr>
        <w:pStyle w:val="ListParagraph"/>
      </w:pPr>
      <w:r w:rsidRPr="00F867D0">
        <w:t xml:space="preserve">There are numerous financial resources for projects implementation in the field of </w:t>
      </w:r>
      <w:r w:rsidR="00063E0F">
        <w:t>EE</w:t>
      </w:r>
      <w:r w:rsidRPr="00F867D0">
        <w:t>. Besides funding institutions that provide resources in the form of directed grants, there are financing institutions that provide project funding support through mechanisms such as loans, green bonds or other instruments. Moreover, private capital is an additional source through companies who might be interested to finance project implementation against investment payback.</w:t>
      </w:r>
    </w:p>
    <w:p w14:paraId="6B95F1D0" w14:textId="77777777" w:rsidR="00AB0702" w:rsidRPr="00F867D0" w:rsidRDefault="00AB0702" w:rsidP="00633A4A">
      <w:pPr>
        <w:spacing w:after="0"/>
        <w:ind w:left="630"/>
      </w:pPr>
    </w:p>
    <w:p w14:paraId="1E2D0A0B" w14:textId="790BAB33" w:rsidR="004B1E9B" w:rsidRPr="00F867D0" w:rsidRDefault="004B1E9B" w:rsidP="00BF4C57">
      <w:pPr>
        <w:pStyle w:val="ListParagraph"/>
      </w:pPr>
      <w:r w:rsidRPr="00F867D0">
        <w:t xml:space="preserve">Broad consideration of </w:t>
      </w:r>
      <w:r w:rsidR="007E1B65" w:rsidRPr="00F867D0">
        <w:t xml:space="preserve">the various potential interested stakeholders, opportunities for partnerships with shared goals, and </w:t>
      </w:r>
      <w:r w:rsidRPr="00F867D0">
        <w:t xml:space="preserve">options for co-financing would be important to planning for potential projects related to </w:t>
      </w:r>
      <w:r w:rsidR="00063E0F">
        <w:t>EE</w:t>
      </w:r>
      <w:r w:rsidRPr="00F867D0">
        <w:t xml:space="preserve"> in the RACHP sector while phasing down HFCs.</w:t>
      </w:r>
      <w:r w:rsidR="001A4338" w:rsidRPr="00F867D0">
        <w:t xml:space="preserve"> </w:t>
      </w:r>
    </w:p>
    <w:p w14:paraId="47F51E83" w14:textId="25A4225F" w:rsidR="00D176B8" w:rsidRPr="000F749F" w:rsidRDefault="00D176B8" w:rsidP="000F749F">
      <w:pPr>
        <w:pStyle w:val="Heading2"/>
        <w:rPr>
          <w:b w:val="0"/>
        </w:rPr>
      </w:pPr>
      <w:bookmarkStart w:id="107" w:name="_Toc515454392"/>
      <w:bookmarkEnd w:id="105"/>
      <w:r w:rsidRPr="000F749F">
        <w:t>3.1</w:t>
      </w:r>
      <w:r w:rsidRPr="000F749F">
        <w:tab/>
        <w:t>B</w:t>
      </w:r>
      <w:r w:rsidR="00B804C0" w:rsidRPr="000F749F">
        <w:t>ackground</w:t>
      </w:r>
      <w:bookmarkEnd w:id="107"/>
    </w:p>
    <w:p w14:paraId="095E4A0F" w14:textId="413B5176" w:rsidR="00BB5F73" w:rsidRPr="00F867D0" w:rsidRDefault="00B804C0" w:rsidP="00D176B8">
      <w:pPr>
        <w:widowControl w:val="0"/>
        <w:autoSpaceDE w:val="0"/>
        <w:autoSpaceDN w:val="0"/>
        <w:adjustRightInd w:val="0"/>
        <w:spacing w:after="0"/>
        <w:rPr>
          <w:szCs w:val="22"/>
        </w:rPr>
      </w:pPr>
      <w:r w:rsidRPr="00F867D0">
        <w:rPr>
          <w:rFonts w:eastAsia="Calibri"/>
          <w:color w:val="auto"/>
          <w:szCs w:val="24"/>
          <w:lang w:eastAsia="en-US"/>
        </w:rPr>
        <w:t>Decision XXIX/10 requests the TEAP “to</w:t>
      </w:r>
      <w:r w:rsidRPr="00F867D0">
        <w:rPr>
          <w:rFonts w:eastAsia="Calibri"/>
          <w:color w:val="auto"/>
          <w:spacing w:val="-1"/>
          <w:szCs w:val="24"/>
          <w:lang w:eastAsia="en-US"/>
        </w:rPr>
        <w:t xml:space="preserve"> provide </w:t>
      </w:r>
      <w:r w:rsidRPr="00F867D0">
        <w:rPr>
          <w:rFonts w:eastAsia="Calibri"/>
          <w:color w:val="auto"/>
          <w:szCs w:val="24"/>
          <w:lang w:eastAsia="en-US"/>
        </w:rPr>
        <w:t>an</w:t>
      </w:r>
      <w:r w:rsidRPr="00F867D0">
        <w:rPr>
          <w:rFonts w:eastAsia="Calibri"/>
          <w:color w:val="auto"/>
          <w:spacing w:val="43"/>
          <w:szCs w:val="24"/>
          <w:lang w:eastAsia="en-US"/>
        </w:rPr>
        <w:t xml:space="preserve"> </w:t>
      </w:r>
      <w:r w:rsidRPr="00F867D0">
        <w:rPr>
          <w:rFonts w:eastAsia="Calibri"/>
          <w:color w:val="auto"/>
          <w:spacing w:val="-1"/>
          <w:szCs w:val="24"/>
          <w:lang w:eastAsia="en-US"/>
        </w:rPr>
        <w:t>overview</w:t>
      </w:r>
      <w:r w:rsidRPr="00F867D0">
        <w:rPr>
          <w:rFonts w:eastAsia="Calibri"/>
          <w:color w:val="auto"/>
          <w:szCs w:val="24"/>
          <w:lang w:eastAsia="en-US"/>
        </w:rPr>
        <w:t xml:space="preserve"> of</w:t>
      </w:r>
      <w:r w:rsidRPr="00F867D0">
        <w:rPr>
          <w:rFonts w:eastAsia="Calibri"/>
          <w:color w:val="auto"/>
          <w:spacing w:val="-1"/>
          <w:szCs w:val="24"/>
          <w:lang w:eastAsia="en-US"/>
        </w:rPr>
        <w:t xml:space="preserve"> the</w:t>
      </w:r>
      <w:r w:rsidRPr="00F867D0">
        <w:rPr>
          <w:rFonts w:eastAsia="Calibri"/>
          <w:color w:val="auto"/>
          <w:szCs w:val="24"/>
          <w:lang w:eastAsia="en-US"/>
        </w:rPr>
        <w:t xml:space="preserve"> </w:t>
      </w:r>
      <w:r w:rsidRPr="00F867D0">
        <w:rPr>
          <w:rFonts w:eastAsia="Calibri"/>
          <w:color w:val="auto"/>
          <w:spacing w:val="-1"/>
          <w:szCs w:val="24"/>
          <w:lang w:eastAsia="en-US"/>
        </w:rPr>
        <w:t>activities</w:t>
      </w:r>
      <w:r w:rsidRPr="00F867D0">
        <w:rPr>
          <w:rFonts w:eastAsia="Calibri"/>
          <w:color w:val="auto"/>
          <w:szCs w:val="24"/>
          <w:lang w:eastAsia="en-US"/>
        </w:rPr>
        <w:t xml:space="preserve"> and </w:t>
      </w:r>
      <w:r w:rsidRPr="00F867D0">
        <w:rPr>
          <w:rFonts w:eastAsia="Calibri"/>
          <w:color w:val="auto"/>
          <w:spacing w:val="-1"/>
          <w:szCs w:val="24"/>
          <w:lang w:eastAsia="en-US"/>
        </w:rPr>
        <w:t xml:space="preserve">funding provided </w:t>
      </w:r>
      <w:r w:rsidRPr="00F867D0">
        <w:rPr>
          <w:rFonts w:eastAsia="Calibri"/>
          <w:color w:val="auto"/>
          <w:szCs w:val="24"/>
          <w:lang w:eastAsia="en-US"/>
        </w:rPr>
        <w:t>by</w:t>
      </w:r>
      <w:r w:rsidRPr="00F867D0">
        <w:rPr>
          <w:rFonts w:eastAsia="Calibri"/>
          <w:color w:val="auto"/>
          <w:spacing w:val="-2"/>
          <w:szCs w:val="24"/>
          <w:lang w:eastAsia="en-US"/>
        </w:rPr>
        <w:t xml:space="preserve"> </w:t>
      </w:r>
      <w:r w:rsidRPr="00F867D0">
        <w:rPr>
          <w:rFonts w:eastAsia="Calibri"/>
          <w:color w:val="auto"/>
          <w:spacing w:val="-1"/>
          <w:szCs w:val="24"/>
          <w:lang w:eastAsia="en-US"/>
        </w:rPr>
        <w:t>other</w:t>
      </w:r>
      <w:r w:rsidRPr="00F867D0">
        <w:rPr>
          <w:rFonts w:eastAsia="Calibri"/>
          <w:color w:val="auto"/>
          <w:szCs w:val="24"/>
          <w:lang w:eastAsia="en-US"/>
        </w:rPr>
        <w:t xml:space="preserve"> </w:t>
      </w:r>
      <w:r w:rsidRPr="00F867D0">
        <w:rPr>
          <w:rFonts w:eastAsia="Calibri"/>
          <w:color w:val="auto"/>
          <w:spacing w:val="-1"/>
          <w:szCs w:val="24"/>
          <w:lang w:eastAsia="en-US"/>
        </w:rPr>
        <w:t>relevant</w:t>
      </w:r>
      <w:r w:rsidRPr="00F867D0">
        <w:rPr>
          <w:rFonts w:eastAsia="Calibri"/>
          <w:color w:val="auto"/>
          <w:szCs w:val="24"/>
          <w:lang w:eastAsia="en-US"/>
        </w:rPr>
        <w:t xml:space="preserve"> </w:t>
      </w:r>
      <w:r w:rsidRPr="00F867D0">
        <w:rPr>
          <w:rFonts w:eastAsia="Calibri"/>
          <w:color w:val="auto"/>
          <w:spacing w:val="-1"/>
          <w:szCs w:val="24"/>
          <w:lang w:eastAsia="en-US"/>
        </w:rPr>
        <w:t>institutions,</w:t>
      </w:r>
      <w:r w:rsidRPr="00F867D0">
        <w:rPr>
          <w:rFonts w:eastAsia="Calibri"/>
          <w:color w:val="auto"/>
          <w:szCs w:val="24"/>
          <w:lang w:eastAsia="en-US"/>
        </w:rPr>
        <w:t xml:space="preserve"> as</w:t>
      </w:r>
      <w:r w:rsidRPr="00F867D0">
        <w:rPr>
          <w:rFonts w:eastAsia="Calibri"/>
          <w:color w:val="auto"/>
          <w:spacing w:val="-1"/>
          <w:szCs w:val="24"/>
          <w:lang w:eastAsia="en-US"/>
        </w:rPr>
        <w:t xml:space="preserve"> well</w:t>
      </w:r>
      <w:r w:rsidRPr="00F867D0">
        <w:rPr>
          <w:rFonts w:eastAsia="Calibri"/>
          <w:color w:val="auto"/>
          <w:szCs w:val="24"/>
          <w:lang w:eastAsia="en-US"/>
        </w:rPr>
        <w:t xml:space="preserve"> as</w:t>
      </w:r>
      <w:r w:rsidRPr="00F867D0">
        <w:rPr>
          <w:rFonts w:eastAsia="Calibri"/>
          <w:color w:val="auto"/>
          <w:spacing w:val="-3"/>
          <w:szCs w:val="24"/>
          <w:lang w:eastAsia="en-US"/>
        </w:rPr>
        <w:t xml:space="preserve"> </w:t>
      </w:r>
      <w:r w:rsidRPr="00F867D0">
        <w:rPr>
          <w:rFonts w:eastAsia="Calibri"/>
          <w:color w:val="auto"/>
          <w:spacing w:val="-1"/>
          <w:szCs w:val="24"/>
          <w:lang w:eastAsia="en-US"/>
        </w:rPr>
        <w:t>definitions, criteria</w:t>
      </w:r>
      <w:r w:rsidRPr="00F867D0">
        <w:rPr>
          <w:rFonts w:eastAsia="Calibri"/>
          <w:color w:val="auto"/>
          <w:szCs w:val="24"/>
          <w:lang w:eastAsia="en-US"/>
        </w:rPr>
        <w:t xml:space="preserve"> </w:t>
      </w:r>
      <w:r w:rsidRPr="00F867D0">
        <w:rPr>
          <w:rFonts w:eastAsia="Calibri"/>
          <w:color w:val="auto"/>
          <w:spacing w:val="-1"/>
          <w:szCs w:val="24"/>
          <w:lang w:eastAsia="en-US"/>
        </w:rPr>
        <w:t>and</w:t>
      </w:r>
      <w:r w:rsidRPr="00F867D0">
        <w:rPr>
          <w:rFonts w:eastAsia="Calibri"/>
          <w:color w:val="auto"/>
          <w:szCs w:val="24"/>
          <w:lang w:eastAsia="en-US"/>
        </w:rPr>
        <w:t xml:space="preserve"> </w:t>
      </w:r>
      <w:r w:rsidRPr="00F867D0">
        <w:rPr>
          <w:rFonts w:eastAsia="Calibri"/>
          <w:color w:val="auto"/>
          <w:spacing w:val="-1"/>
          <w:szCs w:val="24"/>
          <w:lang w:eastAsia="en-US"/>
        </w:rPr>
        <w:t>methodologies</w:t>
      </w:r>
      <w:r w:rsidRPr="00F867D0">
        <w:rPr>
          <w:rFonts w:eastAsia="Calibri"/>
          <w:color w:val="auto"/>
          <w:spacing w:val="-2"/>
          <w:szCs w:val="24"/>
          <w:lang w:eastAsia="en-US"/>
        </w:rPr>
        <w:t xml:space="preserve"> </w:t>
      </w:r>
      <w:r w:rsidRPr="00F867D0">
        <w:rPr>
          <w:rFonts w:eastAsia="Calibri"/>
          <w:color w:val="auto"/>
          <w:spacing w:val="-1"/>
          <w:szCs w:val="24"/>
          <w:lang w:eastAsia="en-US"/>
        </w:rPr>
        <w:t>used</w:t>
      </w:r>
      <w:r w:rsidRPr="00F867D0">
        <w:rPr>
          <w:rFonts w:eastAsia="Calibri"/>
          <w:color w:val="auto"/>
          <w:szCs w:val="24"/>
          <w:lang w:eastAsia="en-US"/>
        </w:rPr>
        <w:t xml:space="preserve"> in</w:t>
      </w:r>
      <w:r w:rsidRPr="00F867D0">
        <w:rPr>
          <w:rFonts w:eastAsia="Calibri"/>
          <w:color w:val="auto"/>
          <w:spacing w:val="-2"/>
          <w:szCs w:val="24"/>
          <w:lang w:eastAsia="en-US"/>
        </w:rPr>
        <w:t xml:space="preserve"> </w:t>
      </w:r>
      <w:r w:rsidRPr="00F867D0">
        <w:rPr>
          <w:rFonts w:eastAsia="Calibri"/>
          <w:color w:val="auto"/>
          <w:spacing w:val="-1"/>
          <w:szCs w:val="24"/>
          <w:lang w:eastAsia="en-US"/>
        </w:rPr>
        <w:t>addressing</w:t>
      </w:r>
      <w:r w:rsidRPr="00F867D0">
        <w:rPr>
          <w:rFonts w:eastAsia="Calibri"/>
          <w:color w:val="auto"/>
          <w:szCs w:val="24"/>
          <w:lang w:eastAsia="en-US"/>
        </w:rPr>
        <w:t xml:space="preserve"> </w:t>
      </w:r>
      <w:r w:rsidR="002845EE">
        <w:rPr>
          <w:rFonts w:eastAsia="Calibri"/>
          <w:color w:val="auto"/>
          <w:spacing w:val="-1"/>
          <w:szCs w:val="24"/>
          <w:lang w:eastAsia="en-US"/>
        </w:rPr>
        <w:t>EE</w:t>
      </w:r>
      <w:r w:rsidRPr="00F867D0">
        <w:rPr>
          <w:rFonts w:eastAsia="Calibri"/>
          <w:color w:val="auto"/>
          <w:szCs w:val="24"/>
          <w:lang w:eastAsia="en-US"/>
        </w:rPr>
        <w:t xml:space="preserve"> in </w:t>
      </w:r>
      <w:r w:rsidRPr="00F867D0">
        <w:rPr>
          <w:rFonts w:eastAsia="Calibri"/>
          <w:color w:val="auto"/>
          <w:spacing w:val="-1"/>
          <w:szCs w:val="24"/>
          <w:lang w:eastAsia="en-US"/>
        </w:rPr>
        <w:t>the</w:t>
      </w:r>
      <w:r w:rsidRPr="00F867D0">
        <w:rPr>
          <w:rFonts w:eastAsia="Calibri"/>
          <w:color w:val="auto"/>
          <w:szCs w:val="24"/>
          <w:lang w:eastAsia="en-US"/>
        </w:rPr>
        <w:t xml:space="preserve"> </w:t>
      </w:r>
      <w:r w:rsidRPr="00F867D0">
        <w:rPr>
          <w:rFonts w:eastAsia="Calibri"/>
          <w:color w:val="auto"/>
          <w:spacing w:val="-1"/>
          <w:szCs w:val="24"/>
          <w:lang w:eastAsia="en-US"/>
        </w:rPr>
        <w:t>RACHP</w:t>
      </w:r>
      <w:r w:rsidRPr="00F867D0">
        <w:rPr>
          <w:rFonts w:eastAsia="Calibri"/>
          <w:color w:val="auto"/>
          <w:szCs w:val="24"/>
          <w:lang w:eastAsia="en-US"/>
        </w:rPr>
        <w:t xml:space="preserve"> </w:t>
      </w:r>
      <w:r w:rsidRPr="00F867D0">
        <w:rPr>
          <w:rFonts w:eastAsia="Calibri"/>
          <w:color w:val="auto"/>
          <w:spacing w:val="-1"/>
          <w:szCs w:val="24"/>
          <w:lang w:eastAsia="en-US"/>
        </w:rPr>
        <w:t>sectors</w:t>
      </w:r>
      <w:r w:rsidRPr="00F867D0">
        <w:rPr>
          <w:rFonts w:eastAsia="Calibri"/>
          <w:color w:val="auto"/>
          <w:spacing w:val="-2"/>
          <w:szCs w:val="24"/>
          <w:lang w:eastAsia="en-US"/>
        </w:rPr>
        <w:t xml:space="preserve"> </w:t>
      </w:r>
      <w:r w:rsidRPr="00F867D0">
        <w:rPr>
          <w:rFonts w:eastAsia="Calibri"/>
          <w:color w:val="auto"/>
          <w:szCs w:val="24"/>
          <w:lang w:eastAsia="en-US"/>
        </w:rPr>
        <w:t>in</w:t>
      </w:r>
      <w:r w:rsidRPr="00F867D0">
        <w:rPr>
          <w:rFonts w:eastAsia="Calibri"/>
          <w:color w:val="auto"/>
          <w:spacing w:val="-1"/>
          <w:szCs w:val="24"/>
          <w:lang w:eastAsia="en-US"/>
        </w:rPr>
        <w:t xml:space="preserve"> relation</w:t>
      </w:r>
      <w:r w:rsidRPr="00F867D0">
        <w:rPr>
          <w:rFonts w:eastAsia="Calibri"/>
          <w:color w:val="auto"/>
          <w:szCs w:val="24"/>
          <w:lang w:eastAsia="en-US"/>
        </w:rPr>
        <w:t xml:space="preserve"> </w:t>
      </w:r>
      <w:r w:rsidRPr="00F867D0">
        <w:rPr>
          <w:rFonts w:eastAsia="Calibri"/>
          <w:color w:val="auto"/>
          <w:spacing w:val="-1"/>
          <w:szCs w:val="24"/>
          <w:lang w:eastAsia="en-US"/>
        </w:rPr>
        <w:t>to maintaining</w:t>
      </w:r>
      <w:r w:rsidRPr="00F867D0">
        <w:rPr>
          <w:rFonts w:eastAsia="Calibri"/>
          <w:color w:val="auto"/>
          <w:szCs w:val="24"/>
          <w:lang w:eastAsia="en-US"/>
        </w:rPr>
        <w:t xml:space="preserve"> </w:t>
      </w:r>
      <w:r w:rsidRPr="00F867D0">
        <w:rPr>
          <w:rFonts w:eastAsia="Calibri"/>
          <w:color w:val="auto"/>
          <w:spacing w:val="-1"/>
          <w:szCs w:val="24"/>
          <w:lang w:eastAsia="en-US"/>
        </w:rPr>
        <w:t>and/or</w:t>
      </w:r>
      <w:r w:rsidRPr="00F867D0">
        <w:rPr>
          <w:rFonts w:eastAsia="Calibri"/>
          <w:color w:val="auto"/>
          <w:szCs w:val="24"/>
          <w:lang w:eastAsia="en-US"/>
        </w:rPr>
        <w:t xml:space="preserve"> </w:t>
      </w:r>
      <w:r w:rsidRPr="00F867D0">
        <w:rPr>
          <w:rFonts w:eastAsia="Calibri"/>
          <w:color w:val="auto"/>
          <w:spacing w:val="-1"/>
          <w:szCs w:val="24"/>
          <w:lang w:eastAsia="en-US"/>
        </w:rPr>
        <w:t>enhancing</w:t>
      </w:r>
      <w:r w:rsidRPr="00F867D0">
        <w:rPr>
          <w:rFonts w:eastAsia="Calibri"/>
          <w:color w:val="auto"/>
          <w:szCs w:val="24"/>
          <w:lang w:eastAsia="en-US"/>
        </w:rPr>
        <w:t xml:space="preserve"> </w:t>
      </w:r>
      <w:r w:rsidR="002845EE">
        <w:rPr>
          <w:rFonts w:eastAsia="Calibri"/>
          <w:color w:val="auto"/>
          <w:spacing w:val="-1"/>
          <w:szCs w:val="24"/>
          <w:lang w:eastAsia="en-US"/>
        </w:rPr>
        <w:t>EE</w:t>
      </w:r>
      <w:r w:rsidRPr="00F867D0">
        <w:rPr>
          <w:rFonts w:eastAsia="Calibri"/>
          <w:color w:val="auto"/>
          <w:szCs w:val="24"/>
          <w:lang w:eastAsia="en-US"/>
        </w:rPr>
        <w:t xml:space="preserve"> in </w:t>
      </w:r>
      <w:r w:rsidRPr="00F867D0">
        <w:rPr>
          <w:rFonts w:eastAsia="Calibri"/>
          <w:color w:val="auto"/>
          <w:spacing w:val="-1"/>
          <w:szCs w:val="24"/>
          <w:lang w:eastAsia="en-US"/>
        </w:rPr>
        <w:t>the</w:t>
      </w:r>
      <w:r w:rsidRPr="00F867D0">
        <w:rPr>
          <w:rFonts w:eastAsia="Calibri"/>
          <w:color w:val="auto"/>
          <w:szCs w:val="24"/>
          <w:lang w:eastAsia="en-US"/>
        </w:rPr>
        <w:t xml:space="preserve"> </w:t>
      </w:r>
      <w:r w:rsidRPr="00F867D0">
        <w:rPr>
          <w:rFonts w:eastAsia="Calibri"/>
          <w:color w:val="auto"/>
          <w:spacing w:val="-1"/>
          <w:szCs w:val="24"/>
          <w:lang w:eastAsia="en-US"/>
        </w:rPr>
        <w:t>RACHP</w:t>
      </w:r>
      <w:r w:rsidRPr="00F867D0">
        <w:rPr>
          <w:rFonts w:eastAsia="Calibri"/>
          <w:color w:val="auto"/>
          <w:szCs w:val="24"/>
          <w:lang w:eastAsia="en-US"/>
        </w:rPr>
        <w:t xml:space="preserve"> </w:t>
      </w:r>
      <w:r w:rsidRPr="00F867D0">
        <w:rPr>
          <w:rFonts w:eastAsia="Calibri"/>
          <w:color w:val="auto"/>
          <w:spacing w:val="-1"/>
          <w:szCs w:val="24"/>
          <w:lang w:eastAsia="en-US"/>
        </w:rPr>
        <w:t>sectors</w:t>
      </w:r>
      <w:r w:rsidRPr="00F867D0">
        <w:rPr>
          <w:rFonts w:eastAsia="Calibri"/>
          <w:color w:val="auto"/>
          <w:spacing w:val="-2"/>
          <w:szCs w:val="24"/>
          <w:lang w:eastAsia="en-US"/>
        </w:rPr>
        <w:t xml:space="preserve"> </w:t>
      </w:r>
      <w:r w:rsidRPr="00F867D0">
        <w:rPr>
          <w:rFonts w:eastAsia="Calibri"/>
          <w:color w:val="auto"/>
          <w:spacing w:val="-1"/>
          <w:szCs w:val="24"/>
          <w:lang w:eastAsia="en-US"/>
        </w:rPr>
        <w:t>while</w:t>
      </w:r>
      <w:r w:rsidRPr="00F867D0">
        <w:rPr>
          <w:rFonts w:eastAsia="Calibri"/>
          <w:color w:val="auto"/>
          <w:szCs w:val="24"/>
          <w:lang w:eastAsia="en-US"/>
        </w:rPr>
        <w:t xml:space="preserve"> </w:t>
      </w:r>
      <w:r w:rsidRPr="00F867D0">
        <w:rPr>
          <w:rFonts w:eastAsia="Calibri"/>
          <w:color w:val="auto"/>
          <w:spacing w:val="-1"/>
          <w:szCs w:val="24"/>
          <w:lang w:eastAsia="en-US"/>
        </w:rPr>
        <w:t>phasing</w:t>
      </w:r>
      <w:r w:rsidRPr="00F867D0">
        <w:rPr>
          <w:rFonts w:eastAsia="Calibri"/>
          <w:color w:val="auto"/>
          <w:szCs w:val="24"/>
          <w:lang w:eastAsia="en-US"/>
        </w:rPr>
        <w:t xml:space="preserve"> </w:t>
      </w:r>
      <w:r w:rsidRPr="00F867D0">
        <w:rPr>
          <w:rFonts w:eastAsia="Calibri"/>
          <w:color w:val="auto"/>
          <w:spacing w:val="-1"/>
          <w:szCs w:val="24"/>
          <w:lang w:eastAsia="en-US"/>
        </w:rPr>
        <w:t>down [HFCs] under</w:t>
      </w:r>
      <w:r w:rsidRPr="00F867D0">
        <w:rPr>
          <w:rFonts w:eastAsia="Calibri"/>
          <w:color w:val="auto"/>
          <w:szCs w:val="24"/>
          <w:lang w:eastAsia="en-US"/>
        </w:rPr>
        <w:t xml:space="preserve"> </w:t>
      </w:r>
      <w:r w:rsidRPr="00F867D0">
        <w:rPr>
          <w:rFonts w:eastAsia="Calibri"/>
          <w:color w:val="auto"/>
          <w:spacing w:val="-1"/>
          <w:szCs w:val="24"/>
          <w:lang w:eastAsia="en-US"/>
        </w:rPr>
        <w:t>the</w:t>
      </w:r>
      <w:r w:rsidRPr="00F867D0">
        <w:rPr>
          <w:rFonts w:eastAsia="Calibri"/>
          <w:color w:val="auto"/>
          <w:szCs w:val="24"/>
          <w:lang w:eastAsia="en-US"/>
        </w:rPr>
        <w:t xml:space="preserve"> Kigali</w:t>
      </w:r>
      <w:r w:rsidRPr="00F867D0">
        <w:rPr>
          <w:rFonts w:eastAsia="Calibri"/>
          <w:color w:val="auto"/>
          <w:spacing w:val="-1"/>
          <w:szCs w:val="24"/>
          <w:lang w:eastAsia="en-US"/>
        </w:rPr>
        <w:t xml:space="preserve"> Amendment</w:t>
      </w:r>
      <w:r w:rsidRPr="00F867D0">
        <w:rPr>
          <w:rFonts w:eastAsia="Calibri"/>
          <w:color w:val="auto"/>
          <w:szCs w:val="24"/>
          <w:lang w:eastAsia="en-US"/>
        </w:rPr>
        <w:t xml:space="preserve"> to the</w:t>
      </w:r>
      <w:r w:rsidRPr="00F867D0">
        <w:rPr>
          <w:rFonts w:eastAsia="Calibri"/>
          <w:color w:val="auto"/>
          <w:spacing w:val="-2"/>
          <w:szCs w:val="24"/>
          <w:lang w:eastAsia="en-US"/>
        </w:rPr>
        <w:t xml:space="preserve"> </w:t>
      </w:r>
      <w:r w:rsidRPr="00F867D0">
        <w:rPr>
          <w:rFonts w:eastAsia="Calibri"/>
          <w:color w:val="auto"/>
          <w:spacing w:val="-1"/>
          <w:szCs w:val="24"/>
          <w:lang w:eastAsia="en-US"/>
        </w:rPr>
        <w:t>Montreal</w:t>
      </w:r>
      <w:r w:rsidRPr="00F867D0">
        <w:rPr>
          <w:rFonts w:eastAsia="Calibri"/>
          <w:color w:val="auto"/>
          <w:szCs w:val="24"/>
          <w:lang w:eastAsia="en-US"/>
        </w:rPr>
        <w:t xml:space="preserve"> </w:t>
      </w:r>
      <w:r w:rsidRPr="00F867D0">
        <w:rPr>
          <w:rFonts w:eastAsia="Calibri"/>
          <w:color w:val="auto"/>
          <w:spacing w:val="-1"/>
          <w:szCs w:val="24"/>
          <w:lang w:eastAsia="en-US"/>
        </w:rPr>
        <w:t>Protocol,</w:t>
      </w:r>
      <w:r w:rsidRPr="00F867D0">
        <w:rPr>
          <w:rFonts w:eastAsia="Calibri"/>
          <w:color w:val="auto"/>
          <w:szCs w:val="24"/>
          <w:lang w:eastAsia="en-US"/>
        </w:rPr>
        <w:t xml:space="preserve"> as</w:t>
      </w:r>
      <w:r w:rsidRPr="00F867D0">
        <w:rPr>
          <w:rFonts w:eastAsia="Calibri"/>
          <w:color w:val="auto"/>
          <w:spacing w:val="-1"/>
          <w:szCs w:val="24"/>
          <w:lang w:eastAsia="en-US"/>
        </w:rPr>
        <w:t xml:space="preserve"> </w:t>
      </w:r>
      <w:r w:rsidRPr="00F867D0">
        <w:rPr>
          <w:rFonts w:eastAsia="Calibri"/>
          <w:color w:val="auto"/>
          <w:szCs w:val="24"/>
          <w:lang w:eastAsia="en-US"/>
        </w:rPr>
        <w:t>well</w:t>
      </w:r>
      <w:r w:rsidRPr="00F867D0">
        <w:rPr>
          <w:rFonts w:eastAsia="Calibri"/>
          <w:color w:val="auto"/>
          <w:spacing w:val="-1"/>
          <w:szCs w:val="24"/>
          <w:lang w:eastAsia="en-US"/>
        </w:rPr>
        <w:t xml:space="preserve"> </w:t>
      </w:r>
      <w:r w:rsidRPr="00F867D0">
        <w:rPr>
          <w:rFonts w:eastAsia="Calibri"/>
          <w:color w:val="auto"/>
          <w:szCs w:val="24"/>
          <w:lang w:eastAsia="en-US"/>
        </w:rPr>
        <w:t xml:space="preserve">as </w:t>
      </w:r>
      <w:r w:rsidRPr="00F867D0">
        <w:rPr>
          <w:rFonts w:eastAsia="Calibri"/>
          <w:color w:val="auto"/>
          <w:spacing w:val="-1"/>
          <w:szCs w:val="24"/>
          <w:lang w:eastAsia="en-US"/>
        </w:rPr>
        <w:t>those related</w:t>
      </w:r>
      <w:r w:rsidRPr="00F867D0">
        <w:rPr>
          <w:rFonts w:eastAsia="Calibri"/>
          <w:color w:val="auto"/>
          <w:szCs w:val="24"/>
          <w:lang w:eastAsia="en-US"/>
        </w:rPr>
        <w:t xml:space="preserve"> </w:t>
      </w:r>
      <w:r w:rsidRPr="00F867D0">
        <w:rPr>
          <w:rFonts w:eastAsia="Calibri"/>
          <w:color w:val="auto"/>
          <w:spacing w:val="-1"/>
          <w:szCs w:val="24"/>
          <w:lang w:eastAsia="en-US"/>
        </w:rPr>
        <w:t>to low-</w:t>
      </w:r>
      <w:r w:rsidRPr="00F867D0">
        <w:rPr>
          <w:rFonts w:eastAsia="Calibri"/>
          <w:color w:val="auto"/>
          <w:szCs w:val="24"/>
          <w:lang w:eastAsia="en-US"/>
        </w:rPr>
        <w:t xml:space="preserve"> </w:t>
      </w:r>
      <w:r w:rsidRPr="00F867D0">
        <w:rPr>
          <w:rFonts w:eastAsia="Calibri"/>
          <w:color w:val="auto"/>
          <w:spacing w:val="-1"/>
          <w:szCs w:val="24"/>
          <w:lang w:eastAsia="en-US"/>
        </w:rPr>
        <w:t>and</w:t>
      </w:r>
      <w:r w:rsidRPr="00F867D0">
        <w:rPr>
          <w:rFonts w:eastAsia="Calibri"/>
          <w:color w:val="auto"/>
          <w:szCs w:val="24"/>
          <w:lang w:eastAsia="en-US"/>
        </w:rPr>
        <w:t xml:space="preserve"> </w:t>
      </w:r>
      <w:r w:rsidRPr="00F867D0">
        <w:rPr>
          <w:rFonts w:eastAsia="Calibri"/>
          <w:color w:val="auto"/>
          <w:spacing w:val="-1"/>
          <w:szCs w:val="24"/>
          <w:lang w:eastAsia="en-US"/>
        </w:rPr>
        <w:t>zero-GWP</w:t>
      </w:r>
      <w:r w:rsidRPr="00F867D0">
        <w:rPr>
          <w:rFonts w:eastAsia="Calibri"/>
          <w:color w:val="auto"/>
          <w:szCs w:val="24"/>
          <w:lang w:eastAsia="en-US"/>
        </w:rPr>
        <w:t xml:space="preserve"> HFC </w:t>
      </w:r>
      <w:r w:rsidRPr="00F867D0">
        <w:rPr>
          <w:rFonts w:eastAsia="Calibri"/>
          <w:color w:val="auto"/>
          <w:spacing w:val="-1"/>
          <w:szCs w:val="24"/>
          <w:lang w:eastAsia="en-US"/>
        </w:rPr>
        <w:t>alternatives</w:t>
      </w:r>
      <w:r w:rsidRPr="00F867D0">
        <w:rPr>
          <w:rFonts w:eastAsia="Calibri"/>
          <w:color w:val="auto"/>
          <w:spacing w:val="-2"/>
          <w:szCs w:val="24"/>
          <w:lang w:eastAsia="en-US"/>
        </w:rPr>
        <w:t xml:space="preserve"> </w:t>
      </w:r>
      <w:r w:rsidRPr="00F867D0">
        <w:rPr>
          <w:rFonts w:eastAsia="Calibri"/>
          <w:color w:val="auto"/>
          <w:spacing w:val="-1"/>
          <w:szCs w:val="24"/>
          <w:lang w:eastAsia="en-US"/>
        </w:rPr>
        <w:t xml:space="preserve">including </w:t>
      </w:r>
      <w:r w:rsidRPr="00F867D0">
        <w:rPr>
          <w:rFonts w:eastAsia="Calibri"/>
          <w:color w:val="auto"/>
          <w:szCs w:val="24"/>
          <w:lang w:eastAsia="en-US"/>
        </w:rPr>
        <w:t>on</w:t>
      </w:r>
      <w:r w:rsidRPr="00F867D0">
        <w:rPr>
          <w:rFonts w:eastAsia="Calibri"/>
          <w:color w:val="auto"/>
          <w:spacing w:val="-1"/>
          <w:szCs w:val="24"/>
          <w:lang w:eastAsia="en-US"/>
        </w:rPr>
        <w:t xml:space="preserve"> different</w:t>
      </w:r>
      <w:r w:rsidRPr="00F867D0">
        <w:rPr>
          <w:rFonts w:eastAsia="Calibri"/>
          <w:color w:val="auto"/>
          <w:spacing w:val="-2"/>
          <w:szCs w:val="24"/>
          <w:lang w:eastAsia="en-US"/>
        </w:rPr>
        <w:t xml:space="preserve"> </w:t>
      </w:r>
      <w:r w:rsidRPr="00F867D0">
        <w:rPr>
          <w:rFonts w:eastAsia="Calibri"/>
          <w:color w:val="auto"/>
          <w:spacing w:val="-1"/>
          <w:szCs w:val="24"/>
          <w:lang w:eastAsia="en-US"/>
        </w:rPr>
        <w:t>financing</w:t>
      </w:r>
      <w:r w:rsidRPr="00F867D0">
        <w:rPr>
          <w:rFonts w:eastAsia="Calibri"/>
          <w:color w:val="auto"/>
          <w:szCs w:val="24"/>
          <w:lang w:eastAsia="en-US"/>
        </w:rPr>
        <w:t xml:space="preserve"> </w:t>
      </w:r>
      <w:r w:rsidRPr="00F867D0">
        <w:rPr>
          <w:rFonts w:eastAsia="Calibri"/>
          <w:color w:val="auto"/>
          <w:spacing w:val="-1"/>
          <w:szCs w:val="24"/>
          <w:lang w:eastAsia="en-US"/>
        </w:rPr>
        <w:t>modalities.” In order to respond to this request, the Task Force interpret</w:t>
      </w:r>
      <w:r w:rsidR="00BB5F73" w:rsidRPr="00F867D0">
        <w:rPr>
          <w:rFonts w:eastAsia="Calibri"/>
          <w:color w:val="auto"/>
          <w:spacing w:val="-1"/>
          <w:szCs w:val="24"/>
          <w:lang w:eastAsia="en-US"/>
        </w:rPr>
        <w:t>ed</w:t>
      </w:r>
      <w:r w:rsidRPr="00F867D0">
        <w:rPr>
          <w:rFonts w:eastAsia="Calibri"/>
          <w:color w:val="auto"/>
          <w:spacing w:val="-1"/>
          <w:szCs w:val="24"/>
          <w:lang w:eastAsia="en-US"/>
        </w:rPr>
        <w:t xml:space="preserve"> the reference to “activities and funding provided by other relevant institutions” to exclude the Montreal Protocol Multilateral Fund</w:t>
      </w:r>
      <w:r w:rsidR="00BB5F73" w:rsidRPr="00F867D0">
        <w:rPr>
          <w:rFonts w:eastAsia="Calibri"/>
          <w:color w:val="auto"/>
          <w:spacing w:val="-1"/>
          <w:szCs w:val="24"/>
          <w:lang w:eastAsia="en-US"/>
        </w:rPr>
        <w:t xml:space="preserve"> (MLF) given the fact that funding guidelines to phase-down HFCs are still under discussion</w:t>
      </w:r>
      <w:r w:rsidRPr="00F867D0">
        <w:rPr>
          <w:rFonts w:eastAsia="Calibri"/>
          <w:color w:val="auto"/>
          <w:spacing w:val="-1"/>
          <w:szCs w:val="24"/>
          <w:lang w:eastAsia="en-US"/>
        </w:rPr>
        <w:t xml:space="preserve">. </w:t>
      </w:r>
      <w:r w:rsidR="00BB5F73" w:rsidRPr="00F867D0">
        <w:rPr>
          <w:rFonts w:eastAsia="Calibri"/>
          <w:color w:val="auto"/>
          <w:spacing w:val="-1"/>
          <w:szCs w:val="24"/>
          <w:lang w:eastAsia="en-US"/>
        </w:rPr>
        <w:t xml:space="preserve">In </w:t>
      </w:r>
      <w:r w:rsidRPr="00F867D0">
        <w:rPr>
          <w:szCs w:val="22"/>
        </w:rPr>
        <w:t xml:space="preserve">paragraph 10 and other parts of Decision XXVIII/2, parties outline the funding considerations for phasing down HFCs and request “the Executive Committee to develop, within two years of the adoption of the Amendment, guidelines for financing the phase-down of hydrofluorocarbon consumption and production, including cost-effectiveness thresholds, and to present those guidelines to the Meeting of the Parties for the parties’ views and inputs before their finalization by the Executive Committee.” </w:t>
      </w:r>
      <w:r w:rsidR="00BB5F73" w:rsidRPr="00F867D0">
        <w:rPr>
          <w:szCs w:val="22"/>
        </w:rPr>
        <w:t>Thus, the Task Force focused on institutions other than the MLF.</w:t>
      </w:r>
    </w:p>
    <w:p w14:paraId="04E94AA4" w14:textId="77777777" w:rsidR="00BB5F73" w:rsidRPr="00F867D0" w:rsidRDefault="00BB5F73" w:rsidP="00D176B8">
      <w:pPr>
        <w:widowControl w:val="0"/>
        <w:autoSpaceDE w:val="0"/>
        <w:autoSpaceDN w:val="0"/>
        <w:adjustRightInd w:val="0"/>
        <w:spacing w:after="0"/>
        <w:rPr>
          <w:szCs w:val="22"/>
        </w:rPr>
      </w:pPr>
    </w:p>
    <w:p w14:paraId="2A42B91D" w14:textId="750E2952" w:rsidR="00D176B8" w:rsidRPr="00F867D0" w:rsidRDefault="00D176B8" w:rsidP="00D176B8">
      <w:pPr>
        <w:widowControl w:val="0"/>
        <w:autoSpaceDE w:val="0"/>
        <w:autoSpaceDN w:val="0"/>
        <w:adjustRightInd w:val="0"/>
        <w:spacing w:after="0"/>
        <w:rPr>
          <w:rFonts w:eastAsia="MS Mincho"/>
          <w:szCs w:val="22"/>
          <w:lang w:eastAsia="ja-JP"/>
        </w:rPr>
      </w:pPr>
      <w:r w:rsidRPr="00F867D0">
        <w:rPr>
          <w:rFonts w:eastAsia="MS Mincho"/>
          <w:szCs w:val="22"/>
          <w:lang w:eastAsia="ja-JP"/>
        </w:rPr>
        <w:t xml:space="preserve">As noted in its earlier Decision XXVIII/3 Working Group Report on Energy Efficiency </w:t>
      </w:r>
      <w:r w:rsidR="00D41EAD" w:rsidRPr="00F867D0">
        <w:rPr>
          <w:rFonts w:eastAsia="MS Mincho"/>
          <w:szCs w:val="22"/>
          <w:lang w:eastAsia="ja-JP"/>
        </w:rPr>
        <w:t xml:space="preserve">[UNEP, </w:t>
      </w:r>
      <w:r w:rsidRPr="00F867D0">
        <w:rPr>
          <w:rFonts w:eastAsia="MS Mincho"/>
          <w:szCs w:val="22"/>
          <w:lang w:eastAsia="ja-JP"/>
        </w:rPr>
        <w:t>2017</w:t>
      </w:r>
      <w:r w:rsidR="00D41EAD" w:rsidRPr="00F867D0">
        <w:rPr>
          <w:rFonts w:eastAsia="MS Mincho"/>
          <w:szCs w:val="22"/>
          <w:lang w:eastAsia="ja-JP"/>
        </w:rPr>
        <w:t>a]</w:t>
      </w:r>
      <w:r w:rsidRPr="00F867D0">
        <w:rPr>
          <w:rFonts w:eastAsia="MS Mincho"/>
          <w:szCs w:val="22"/>
          <w:lang w:eastAsia="ja-JP"/>
        </w:rPr>
        <w:t xml:space="preserve">, </w:t>
      </w:r>
      <w:r w:rsidR="004073FA" w:rsidRPr="00F867D0">
        <w:rPr>
          <w:rFonts w:eastAsia="MS Mincho"/>
          <w:szCs w:val="22"/>
          <w:lang w:eastAsia="ja-JP"/>
        </w:rPr>
        <w:t>enhancement of</w:t>
      </w:r>
      <w:r w:rsidRPr="00F867D0">
        <w:rPr>
          <w:rFonts w:eastAsia="MS Mincho"/>
          <w:szCs w:val="22"/>
          <w:lang w:eastAsia="ja-JP"/>
        </w:rPr>
        <w:t xml:space="preserve"> </w:t>
      </w:r>
      <w:r w:rsidR="002845EE">
        <w:rPr>
          <w:rFonts w:eastAsia="MS Mincho"/>
          <w:szCs w:val="22"/>
          <w:lang w:eastAsia="ja-JP"/>
        </w:rPr>
        <w:t>EE</w:t>
      </w:r>
      <w:r w:rsidRPr="00F867D0">
        <w:rPr>
          <w:rFonts w:eastAsia="MS Mincho"/>
          <w:szCs w:val="22"/>
          <w:lang w:eastAsia="ja-JP"/>
        </w:rPr>
        <w:t xml:space="preserve"> has already been a resulting side benefit of the Montreal Protocol. The parties to the Montreal Protocol have led three successful transitions of refrigerants over 30 years and are preparing a fourth transition to phase down the use of high GWP HFCs. These transitions to more environmentally friendly refrigerants had been implemented in a transparent manner, through successful implementation of the </w:t>
      </w:r>
      <w:r w:rsidR="00550B40" w:rsidRPr="00F867D0">
        <w:rPr>
          <w:rFonts w:eastAsia="MS Mincho"/>
          <w:szCs w:val="22"/>
          <w:lang w:eastAsia="ja-JP"/>
        </w:rPr>
        <w:t>c</w:t>
      </w:r>
      <w:r w:rsidRPr="00F867D0">
        <w:rPr>
          <w:rFonts w:eastAsia="MS Mincho"/>
          <w:szCs w:val="22"/>
          <w:lang w:eastAsia="ja-JP"/>
        </w:rPr>
        <w:t xml:space="preserve">ontrol measures mandated by the Montreal Protocol, and as technology has developed. Several project completion reports to the ExCom of the MLF have noted that the projects that led to the phase-out of the old refrigerants resulted in parallel </w:t>
      </w:r>
      <w:r w:rsidR="002845EE">
        <w:rPr>
          <w:rFonts w:eastAsia="MS Mincho"/>
          <w:szCs w:val="22"/>
          <w:lang w:eastAsia="ja-JP"/>
        </w:rPr>
        <w:t>EE</w:t>
      </w:r>
      <w:r w:rsidRPr="00F867D0">
        <w:rPr>
          <w:rFonts w:eastAsia="MS Mincho"/>
          <w:szCs w:val="22"/>
          <w:lang w:eastAsia="ja-JP"/>
        </w:rPr>
        <w:t xml:space="preserve"> improvements due to new regulations, new designs, new components, new factories, retooling of production lines, new equipment, etc. In part, these gains have occurred as the result of competitive factors that are a natural by-product of phasing in newer refrigerants, technologies and equipment. </w:t>
      </w:r>
    </w:p>
    <w:p w14:paraId="5CC45AEF" w14:textId="77777777" w:rsidR="00D176B8" w:rsidRPr="00F867D0" w:rsidRDefault="00D176B8" w:rsidP="00D176B8">
      <w:pPr>
        <w:widowControl w:val="0"/>
        <w:autoSpaceDE w:val="0"/>
        <w:autoSpaceDN w:val="0"/>
        <w:adjustRightInd w:val="0"/>
        <w:spacing w:after="0"/>
        <w:rPr>
          <w:rFonts w:eastAsia="MS Mincho"/>
          <w:szCs w:val="22"/>
          <w:lang w:eastAsia="ja-JP"/>
        </w:rPr>
      </w:pPr>
    </w:p>
    <w:p w14:paraId="73E17503" w14:textId="3B542A7F" w:rsidR="00D176B8" w:rsidRPr="00F867D0" w:rsidRDefault="00D176B8" w:rsidP="00D176B8">
      <w:pPr>
        <w:widowControl w:val="0"/>
        <w:autoSpaceDE w:val="0"/>
        <w:autoSpaceDN w:val="0"/>
        <w:adjustRightInd w:val="0"/>
        <w:spacing w:after="0"/>
        <w:rPr>
          <w:rFonts w:eastAsia="MS Mincho"/>
          <w:szCs w:val="22"/>
          <w:lang w:eastAsia="ja-JP"/>
        </w:rPr>
      </w:pPr>
      <w:r w:rsidRPr="00F867D0">
        <w:rPr>
          <w:rFonts w:eastAsia="MS Mincho"/>
          <w:szCs w:val="22"/>
          <w:lang w:eastAsia="ja-JP"/>
        </w:rPr>
        <w:t>Improved EE (and associated energy savings) has been achieved previously in the reduction of the inventory of old and inefficient ODS containing RACHP equipment, and controlled ODS in the servicing sector. This has been demonstrated in MLF assisted demonstration projects, such as CFC chillers and refrigerator replacement schemes, designed to scale-up financial assistance and incentive programmes. These projects were funded by domestic, private and non-domestic (multilateral and bilateral) institutions</w:t>
      </w:r>
      <w:r w:rsidR="00550B40" w:rsidRPr="00F867D0">
        <w:rPr>
          <w:rFonts w:eastAsia="MS Mincho"/>
          <w:szCs w:val="22"/>
          <w:lang w:eastAsia="ja-JP"/>
        </w:rPr>
        <w:t xml:space="preserve"> </w:t>
      </w:r>
      <w:r w:rsidRPr="00F867D0">
        <w:rPr>
          <w:rFonts w:eastAsia="MS Mincho"/>
          <w:szCs w:val="22"/>
          <w:lang w:eastAsia="ja-JP"/>
        </w:rPr>
        <w:t>(such as governments, utilities, national banks, the Global Environment Facility (GEF), Inter-American Development Bank (IADB), World Bank (WB), Asian Development Bank (ADB), and Germany bilateral cooperation) and led to successful market transition to products with lower GWP than the refrigerant replaced, and with higher</w:t>
      </w:r>
      <w:r w:rsidR="00550B40" w:rsidRPr="00F867D0">
        <w:rPr>
          <w:rFonts w:eastAsia="MS Mincho"/>
          <w:szCs w:val="22"/>
          <w:lang w:eastAsia="ja-JP"/>
        </w:rPr>
        <w:t xml:space="preserve"> </w:t>
      </w:r>
      <w:r w:rsidR="002845EE">
        <w:rPr>
          <w:rFonts w:eastAsia="MS Mincho"/>
          <w:szCs w:val="22"/>
          <w:lang w:eastAsia="ja-JP"/>
        </w:rPr>
        <w:t>EE</w:t>
      </w:r>
      <w:r w:rsidRPr="00F867D0">
        <w:rPr>
          <w:rFonts w:eastAsia="MS Mincho"/>
          <w:szCs w:val="22"/>
          <w:lang w:eastAsia="ja-JP"/>
        </w:rPr>
        <w:t>.</w:t>
      </w:r>
    </w:p>
    <w:p w14:paraId="2B52ED66" w14:textId="77777777" w:rsidR="00D176B8" w:rsidRPr="00F867D0" w:rsidRDefault="00D176B8" w:rsidP="00D176B8">
      <w:pPr>
        <w:widowControl w:val="0"/>
        <w:autoSpaceDE w:val="0"/>
        <w:autoSpaceDN w:val="0"/>
        <w:adjustRightInd w:val="0"/>
        <w:spacing w:after="0"/>
        <w:rPr>
          <w:rFonts w:eastAsia="MS Mincho"/>
          <w:szCs w:val="22"/>
          <w:lang w:eastAsia="ja-JP"/>
        </w:rPr>
      </w:pPr>
    </w:p>
    <w:p w14:paraId="276A3EE5" w14:textId="7302ABF9" w:rsidR="00D176B8" w:rsidRPr="00F867D0" w:rsidRDefault="00D176B8" w:rsidP="00D176B8">
      <w:pPr>
        <w:widowControl w:val="0"/>
        <w:autoSpaceDE w:val="0"/>
        <w:autoSpaceDN w:val="0"/>
        <w:adjustRightInd w:val="0"/>
        <w:spacing w:after="0"/>
        <w:rPr>
          <w:rFonts w:eastAsia="MS Mincho"/>
          <w:szCs w:val="22"/>
          <w:lang w:eastAsia="ja-JP"/>
        </w:rPr>
      </w:pPr>
      <w:r w:rsidRPr="00F867D0">
        <w:rPr>
          <w:rFonts w:eastAsia="MS Mincho"/>
          <w:szCs w:val="22"/>
          <w:lang w:eastAsia="ja-JP"/>
        </w:rPr>
        <w:t>Multilateral d</w:t>
      </w:r>
      <w:r w:rsidR="000A31D6">
        <w:rPr>
          <w:rFonts w:eastAsia="MS Mincho"/>
          <w:szCs w:val="22"/>
          <w:lang w:eastAsia="ja-JP"/>
        </w:rPr>
        <w:t>evelopment and financial organis</w:t>
      </w:r>
      <w:r w:rsidRPr="00F867D0">
        <w:rPr>
          <w:rFonts w:eastAsia="MS Mincho"/>
          <w:szCs w:val="22"/>
          <w:lang w:eastAsia="ja-JP"/>
        </w:rPr>
        <w:t>ations have been investing in EE projects addressing market and information barriers for several years (e.g. GEF, Green Climate Fund (GCF), United Nations Development Programme (UNDP), United Nations Environment Programme (UNEP), United Nations Industrial Development Organisation (UNIDO), United Nations Department of Economic and Social Affairs (UNDESA), The United Nations Foundation, WB, IADB, and ADB). Other financial institutions are based on philanthropic initiatives (e.g., Kigali Cooling Efficiency Programme, Climate</w:t>
      </w:r>
      <w:r w:rsidR="002A137B">
        <w:rPr>
          <w:rFonts w:eastAsia="MS Mincho"/>
          <w:szCs w:val="22"/>
          <w:lang w:eastAsia="ja-JP"/>
        </w:rPr>
        <w:t xml:space="preserve"> </w:t>
      </w:r>
      <w:r w:rsidRPr="00F867D0">
        <w:rPr>
          <w:rFonts w:eastAsia="MS Mincho"/>
          <w:szCs w:val="22"/>
          <w:lang w:eastAsia="ja-JP"/>
        </w:rPr>
        <w:t>Works Foundation).</w:t>
      </w:r>
    </w:p>
    <w:p w14:paraId="31FB8CB1" w14:textId="77777777" w:rsidR="00D176B8" w:rsidRPr="00F867D0" w:rsidRDefault="00D176B8" w:rsidP="00D176B8">
      <w:pPr>
        <w:widowControl w:val="0"/>
        <w:autoSpaceDE w:val="0"/>
        <w:autoSpaceDN w:val="0"/>
        <w:adjustRightInd w:val="0"/>
        <w:spacing w:after="0"/>
        <w:rPr>
          <w:rFonts w:eastAsia="MS Mincho"/>
          <w:szCs w:val="22"/>
          <w:lang w:eastAsia="ja-JP"/>
        </w:rPr>
      </w:pPr>
    </w:p>
    <w:p w14:paraId="766D8AED" w14:textId="26EF1FC8" w:rsidR="00C03BE5" w:rsidRPr="00F867D0" w:rsidRDefault="00C03BE5" w:rsidP="00C03BE5">
      <w:pPr>
        <w:widowControl w:val="0"/>
        <w:autoSpaceDE w:val="0"/>
        <w:autoSpaceDN w:val="0"/>
        <w:adjustRightInd w:val="0"/>
        <w:spacing w:after="0"/>
        <w:rPr>
          <w:szCs w:val="22"/>
        </w:rPr>
      </w:pPr>
      <w:r w:rsidRPr="00F867D0">
        <w:rPr>
          <w:szCs w:val="22"/>
        </w:rPr>
        <w:t xml:space="preserve">The Task Force made a distinction between financing and funding institutions. Financing institutions were considered as those providing loans for projects under typical application requirements and terms. Funding institutions were considered as those providing direct monetary support to a project based on defined criteria and application process. In this chapter, the Task Force considered where these financing and funding institutions specifically intersect with the objective of providing support for, among other things in the decision, “addressing </w:t>
      </w:r>
      <w:r w:rsidR="002845EE">
        <w:rPr>
          <w:szCs w:val="22"/>
        </w:rPr>
        <w:t>EE</w:t>
      </w:r>
      <w:r w:rsidRPr="00F867D0">
        <w:rPr>
          <w:szCs w:val="22"/>
        </w:rPr>
        <w:t xml:space="preserve"> in the RACHP sectors while phasing down HFCs.”</w:t>
      </w:r>
    </w:p>
    <w:p w14:paraId="34836DC2" w14:textId="77777777" w:rsidR="001E025D" w:rsidRPr="00F867D0" w:rsidRDefault="001E025D" w:rsidP="00C03BE5">
      <w:pPr>
        <w:widowControl w:val="0"/>
        <w:autoSpaceDE w:val="0"/>
        <w:autoSpaceDN w:val="0"/>
        <w:adjustRightInd w:val="0"/>
        <w:spacing w:after="0"/>
        <w:rPr>
          <w:rFonts w:eastAsia="Calibri"/>
          <w:color w:val="auto"/>
          <w:spacing w:val="-1"/>
          <w:szCs w:val="24"/>
          <w:lang w:eastAsia="en-US"/>
        </w:rPr>
      </w:pPr>
    </w:p>
    <w:p w14:paraId="330F4CE3" w14:textId="0F46344A" w:rsidR="001E025D" w:rsidRPr="00F867D0" w:rsidRDefault="001E025D" w:rsidP="001E025D">
      <w:pPr>
        <w:widowControl w:val="0"/>
        <w:autoSpaceDE w:val="0"/>
        <w:autoSpaceDN w:val="0"/>
        <w:adjustRightInd w:val="0"/>
        <w:spacing w:after="0"/>
        <w:rPr>
          <w:rFonts w:ascii="Arial" w:eastAsia="MS Mincho" w:hAnsi="Arial"/>
          <w:lang w:eastAsia="ja-JP"/>
        </w:rPr>
      </w:pPr>
      <w:r w:rsidRPr="00F867D0">
        <w:rPr>
          <w:rFonts w:eastAsia="MS Mincho"/>
          <w:szCs w:val="22"/>
          <w:lang w:eastAsia="ja-JP"/>
        </w:rPr>
        <w:t xml:space="preserve">This chapter provides a general overview of the activities and funding provided by some of these other relevant institutions in addressing </w:t>
      </w:r>
      <w:r w:rsidR="002845EE">
        <w:rPr>
          <w:rFonts w:eastAsia="MS Mincho"/>
          <w:szCs w:val="22"/>
          <w:lang w:eastAsia="ja-JP"/>
        </w:rPr>
        <w:t>EE</w:t>
      </w:r>
      <w:r w:rsidRPr="00F867D0">
        <w:rPr>
          <w:rFonts w:eastAsia="MS Mincho"/>
          <w:szCs w:val="22"/>
          <w:lang w:eastAsia="ja-JP"/>
        </w:rPr>
        <w:t xml:space="preserve"> in the RACHP sectors in relation to maintaining and/or enhancing </w:t>
      </w:r>
      <w:r w:rsidR="002845EE">
        <w:rPr>
          <w:rFonts w:eastAsia="MS Mincho"/>
          <w:szCs w:val="22"/>
          <w:lang w:eastAsia="ja-JP"/>
        </w:rPr>
        <w:t>EE</w:t>
      </w:r>
      <w:r w:rsidRPr="00F867D0">
        <w:rPr>
          <w:rFonts w:eastAsia="MS Mincho"/>
          <w:szCs w:val="22"/>
          <w:lang w:eastAsia="ja-JP"/>
        </w:rPr>
        <w:t xml:space="preserve"> while phasing down hydrofluorocarbons. It is not an </w:t>
      </w:r>
      <w:r w:rsidR="002A137B" w:rsidRPr="00F867D0">
        <w:rPr>
          <w:rFonts w:eastAsia="MS Mincho"/>
          <w:szCs w:val="22"/>
          <w:lang w:eastAsia="ja-JP"/>
        </w:rPr>
        <w:t>exhaustive</w:t>
      </w:r>
      <w:r w:rsidRPr="00F867D0">
        <w:rPr>
          <w:rFonts w:eastAsia="MS Mincho"/>
          <w:szCs w:val="22"/>
          <w:lang w:eastAsia="ja-JP"/>
        </w:rPr>
        <w:t xml:space="preserve"> list. </w:t>
      </w:r>
    </w:p>
    <w:p w14:paraId="36AB0E87" w14:textId="4D1ED94F" w:rsidR="00D176B8" w:rsidRPr="00F867D0" w:rsidRDefault="00D176B8" w:rsidP="00D176B8">
      <w:pPr>
        <w:widowControl w:val="0"/>
        <w:autoSpaceDE w:val="0"/>
        <w:autoSpaceDN w:val="0"/>
        <w:adjustRightInd w:val="0"/>
        <w:spacing w:after="0"/>
        <w:rPr>
          <w:rFonts w:eastAsia="MS Mincho"/>
          <w:b/>
          <w:szCs w:val="22"/>
          <w:lang w:eastAsia="ja-JP"/>
        </w:rPr>
      </w:pPr>
    </w:p>
    <w:p w14:paraId="21A05751" w14:textId="533FB96D" w:rsidR="00D176B8" w:rsidRPr="000F749F" w:rsidRDefault="00D176B8" w:rsidP="000F749F">
      <w:pPr>
        <w:pStyle w:val="Heading2"/>
        <w:rPr>
          <w:b w:val="0"/>
        </w:rPr>
      </w:pPr>
      <w:bookmarkStart w:id="108" w:name="_Toc515454393"/>
      <w:r w:rsidRPr="000F749F">
        <w:t>3.2</w:t>
      </w:r>
      <w:r w:rsidRPr="000F749F">
        <w:tab/>
        <w:t>F</w:t>
      </w:r>
      <w:r w:rsidR="00C03BE5" w:rsidRPr="000F749F">
        <w:t>unding Institutions</w:t>
      </w:r>
      <w:bookmarkEnd w:id="108"/>
    </w:p>
    <w:p w14:paraId="70A44FAF" w14:textId="6E035769" w:rsidR="00C03BE5" w:rsidRPr="00F867D0" w:rsidRDefault="007A73C6" w:rsidP="00D176B8">
      <w:pPr>
        <w:widowControl w:val="0"/>
        <w:autoSpaceDE w:val="0"/>
        <w:autoSpaceDN w:val="0"/>
        <w:adjustRightInd w:val="0"/>
        <w:spacing w:after="0"/>
        <w:rPr>
          <w:rFonts w:eastAsia="MS Mincho"/>
          <w:szCs w:val="22"/>
          <w:lang w:eastAsia="ja-JP"/>
        </w:rPr>
      </w:pPr>
      <w:r w:rsidRPr="00F867D0">
        <w:rPr>
          <w:rFonts w:eastAsia="MS Mincho"/>
          <w:szCs w:val="22"/>
          <w:lang w:eastAsia="ja-JP"/>
        </w:rPr>
        <w:t>This section provides i</w:t>
      </w:r>
      <w:r w:rsidR="00C03BE5" w:rsidRPr="00F867D0">
        <w:rPr>
          <w:rFonts w:eastAsia="MS Mincho"/>
          <w:szCs w:val="22"/>
          <w:lang w:eastAsia="ja-JP"/>
        </w:rPr>
        <w:t xml:space="preserve">nformation on two main funding institutions that intersect with the objective of providing direct support to address </w:t>
      </w:r>
      <w:r w:rsidR="002845EE">
        <w:rPr>
          <w:rFonts w:eastAsia="MS Mincho"/>
          <w:szCs w:val="22"/>
          <w:lang w:eastAsia="ja-JP"/>
        </w:rPr>
        <w:t>EE</w:t>
      </w:r>
      <w:r w:rsidR="00C03BE5" w:rsidRPr="00F867D0">
        <w:rPr>
          <w:rFonts w:eastAsia="MS Mincho"/>
          <w:szCs w:val="22"/>
          <w:lang w:eastAsia="ja-JP"/>
        </w:rPr>
        <w:t xml:space="preserve"> in the RACHP sector: the Kigali-Cooling Efficiency Programme and the Global Environmental Facility. Only the Kigali-Cooling Efficiency Programme also has a specific objective to support the phasedown of HFCs</w:t>
      </w:r>
      <w:r w:rsidR="004073FA" w:rsidRPr="00F867D0">
        <w:rPr>
          <w:rFonts w:eastAsia="MS Mincho"/>
          <w:szCs w:val="22"/>
          <w:lang w:eastAsia="ja-JP"/>
        </w:rPr>
        <w:t xml:space="preserve"> while enhancing </w:t>
      </w:r>
      <w:r w:rsidR="00566F5C">
        <w:rPr>
          <w:rFonts w:eastAsia="MS Mincho"/>
          <w:szCs w:val="22"/>
          <w:lang w:eastAsia="ja-JP"/>
        </w:rPr>
        <w:t>EE</w:t>
      </w:r>
      <w:r w:rsidR="00C03BE5" w:rsidRPr="00F867D0">
        <w:rPr>
          <w:rFonts w:eastAsia="MS Mincho"/>
          <w:szCs w:val="22"/>
          <w:lang w:eastAsia="ja-JP"/>
        </w:rPr>
        <w:t>.</w:t>
      </w:r>
    </w:p>
    <w:p w14:paraId="6D0F82A7" w14:textId="77777777" w:rsidR="00C03BE5" w:rsidRPr="00F867D0" w:rsidRDefault="00C03BE5" w:rsidP="00D176B8">
      <w:pPr>
        <w:widowControl w:val="0"/>
        <w:autoSpaceDE w:val="0"/>
        <w:autoSpaceDN w:val="0"/>
        <w:adjustRightInd w:val="0"/>
        <w:spacing w:after="0"/>
        <w:rPr>
          <w:rFonts w:eastAsia="MS Mincho"/>
          <w:szCs w:val="22"/>
          <w:lang w:eastAsia="ja-JP"/>
        </w:rPr>
      </w:pPr>
    </w:p>
    <w:p w14:paraId="1F427C18" w14:textId="7D192DF8" w:rsidR="00D176B8" w:rsidRPr="000F749F" w:rsidRDefault="00D176B8" w:rsidP="000F749F">
      <w:pPr>
        <w:pStyle w:val="Heading3"/>
        <w:rPr>
          <w:b w:val="0"/>
        </w:rPr>
      </w:pPr>
      <w:bookmarkStart w:id="109" w:name="_Toc515454394"/>
      <w:r w:rsidRPr="000F749F">
        <w:t>3.2.1</w:t>
      </w:r>
      <w:r w:rsidRPr="000F749F">
        <w:tab/>
        <w:t>Kigali-Cooling</w:t>
      </w:r>
      <w:r w:rsidR="00C03BE5" w:rsidRPr="000F749F">
        <w:t xml:space="preserve"> Efficiency Programme (K-CEP)</w:t>
      </w:r>
      <w:bookmarkEnd w:id="109"/>
    </w:p>
    <w:bookmarkEnd w:id="106"/>
    <w:p w14:paraId="7ADE5221" w14:textId="77777777" w:rsidR="00063E0F" w:rsidRDefault="008E1842" w:rsidP="00C03BE5">
      <w:pPr>
        <w:contextualSpacing/>
        <w:rPr>
          <w:szCs w:val="22"/>
        </w:rPr>
      </w:pPr>
      <w:r w:rsidRPr="00F867D0">
        <w:rPr>
          <w:b/>
          <w:szCs w:val="22"/>
        </w:rPr>
        <w:t>Overview</w:t>
      </w:r>
    </w:p>
    <w:p w14:paraId="38331C76" w14:textId="1A1B2723" w:rsidR="00C03BE5" w:rsidRPr="00F867D0" w:rsidRDefault="00C03BE5" w:rsidP="00C03BE5">
      <w:pPr>
        <w:contextualSpacing/>
        <w:rPr>
          <w:szCs w:val="22"/>
        </w:rPr>
      </w:pPr>
      <w:r w:rsidRPr="00F867D0">
        <w:rPr>
          <w:szCs w:val="22"/>
        </w:rPr>
        <w:t>The Kigali Cooling Efficie</w:t>
      </w:r>
      <w:r w:rsidR="00372C59" w:rsidRPr="00F867D0">
        <w:rPr>
          <w:szCs w:val="22"/>
        </w:rPr>
        <w:t xml:space="preserve">ncy Program (K-CEP) is a US$ 52 </w:t>
      </w:r>
      <w:r w:rsidRPr="00F867D0">
        <w:rPr>
          <w:szCs w:val="22"/>
        </w:rPr>
        <w:t xml:space="preserve">million philanthropic initiative launched in April 2017 with the aim of supporting </w:t>
      </w:r>
      <w:r w:rsidR="00372C59" w:rsidRPr="00F867D0">
        <w:rPr>
          <w:szCs w:val="22"/>
        </w:rPr>
        <w:t xml:space="preserve">Article 5 parties </w:t>
      </w:r>
      <w:r w:rsidRPr="00F867D0">
        <w:rPr>
          <w:szCs w:val="22"/>
        </w:rPr>
        <w:t xml:space="preserve">to integrate </w:t>
      </w:r>
      <w:r w:rsidR="00372C59" w:rsidRPr="00F867D0">
        <w:rPr>
          <w:szCs w:val="22"/>
        </w:rPr>
        <w:t xml:space="preserve">improved </w:t>
      </w:r>
      <w:r w:rsidR="002845EE">
        <w:rPr>
          <w:szCs w:val="22"/>
        </w:rPr>
        <w:t>EE</w:t>
      </w:r>
      <w:r w:rsidRPr="00F867D0">
        <w:rPr>
          <w:szCs w:val="22"/>
        </w:rPr>
        <w:t xml:space="preserve"> into the refrigerant transition. The initial commitment from philanthropic foundations and individuals was announced in September 2016 coupled with an additional contribution of US$ </w:t>
      </w:r>
      <w:r w:rsidR="00372C59" w:rsidRPr="00F867D0">
        <w:rPr>
          <w:szCs w:val="22"/>
        </w:rPr>
        <w:t>27 million</w:t>
      </w:r>
      <w:r w:rsidRPr="00F867D0">
        <w:rPr>
          <w:szCs w:val="22"/>
        </w:rPr>
        <w:t xml:space="preserve"> to the MLF by </w:t>
      </w:r>
      <w:r w:rsidR="00372C59" w:rsidRPr="00F867D0">
        <w:rPr>
          <w:szCs w:val="22"/>
        </w:rPr>
        <w:t>n</w:t>
      </w:r>
      <w:r w:rsidRPr="00F867D0">
        <w:rPr>
          <w:szCs w:val="22"/>
        </w:rPr>
        <w:t>on-A</w:t>
      </w:r>
      <w:r w:rsidR="00372C59" w:rsidRPr="00F867D0">
        <w:rPr>
          <w:szCs w:val="22"/>
        </w:rPr>
        <w:t xml:space="preserve">rticle </w:t>
      </w:r>
      <w:r w:rsidRPr="00F867D0">
        <w:rPr>
          <w:szCs w:val="22"/>
        </w:rPr>
        <w:t>5 parties to support the early adoption of HFC phasedown activities.</w:t>
      </w:r>
    </w:p>
    <w:p w14:paraId="462833EB" w14:textId="77777777" w:rsidR="008E1842" w:rsidRPr="00F867D0" w:rsidRDefault="008E1842" w:rsidP="008E1842">
      <w:pPr>
        <w:contextualSpacing/>
        <w:rPr>
          <w:szCs w:val="22"/>
        </w:rPr>
      </w:pPr>
    </w:p>
    <w:p w14:paraId="7752A0B4" w14:textId="26A47F0A" w:rsidR="008E1842" w:rsidRDefault="008E1842" w:rsidP="008E1842">
      <w:pPr>
        <w:contextualSpacing/>
        <w:rPr>
          <w:szCs w:val="22"/>
        </w:rPr>
      </w:pPr>
      <w:r w:rsidRPr="00F867D0">
        <w:rPr>
          <w:szCs w:val="22"/>
        </w:rPr>
        <w:t>Objectives of the program include:</w:t>
      </w:r>
    </w:p>
    <w:p w14:paraId="0FAA57C3" w14:textId="77777777" w:rsidR="00E077A6" w:rsidRPr="00F867D0" w:rsidRDefault="00E077A6" w:rsidP="008E1842">
      <w:pPr>
        <w:contextualSpacing/>
        <w:rPr>
          <w:szCs w:val="22"/>
        </w:rPr>
      </w:pPr>
    </w:p>
    <w:p w14:paraId="37EC1B04" w14:textId="4BD2099C" w:rsidR="008E1842" w:rsidRPr="00F867D0" w:rsidRDefault="008E1842" w:rsidP="000F749F">
      <w:pPr>
        <w:numPr>
          <w:ilvl w:val="0"/>
          <w:numId w:val="51"/>
        </w:numPr>
        <w:spacing w:after="0"/>
        <w:ind w:left="720"/>
        <w:contextualSpacing/>
        <w:rPr>
          <w:szCs w:val="22"/>
        </w:rPr>
      </w:pPr>
      <w:r w:rsidRPr="00F867D0">
        <w:rPr>
          <w:szCs w:val="22"/>
        </w:rPr>
        <w:t>Increase the probability of achieving the overall mitigation potential of up to 50 GtCO</w:t>
      </w:r>
      <w:r w:rsidRPr="00F867D0">
        <w:rPr>
          <w:szCs w:val="22"/>
          <w:vertAlign w:val="subscript"/>
        </w:rPr>
        <w:t>2</w:t>
      </w:r>
      <w:r w:rsidRPr="00F867D0">
        <w:rPr>
          <w:szCs w:val="22"/>
        </w:rPr>
        <w:t>e</w:t>
      </w:r>
      <w:r w:rsidR="00CF3540" w:rsidRPr="00F867D0">
        <w:rPr>
          <w:szCs w:val="22"/>
        </w:rPr>
        <w:t>q</w:t>
      </w:r>
      <w:r w:rsidRPr="00F867D0">
        <w:rPr>
          <w:szCs w:val="22"/>
        </w:rPr>
        <w:t xml:space="preserve"> for increased energy-efficient cooling (cumulative through 2050);</w:t>
      </w:r>
    </w:p>
    <w:p w14:paraId="2FE4E078" w14:textId="77777777" w:rsidR="00E077A6" w:rsidRDefault="00E077A6" w:rsidP="000F749F">
      <w:pPr>
        <w:spacing w:after="0"/>
        <w:ind w:left="720"/>
        <w:contextualSpacing/>
        <w:rPr>
          <w:szCs w:val="22"/>
        </w:rPr>
      </w:pPr>
    </w:p>
    <w:p w14:paraId="77D54B95" w14:textId="11E8ED50" w:rsidR="008E1842" w:rsidRPr="00F867D0" w:rsidRDefault="008E1842" w:rsidP="000F749F">
      <w:pPr>
        <w:numPr>
          <w:ilvl w:val="0"/>
          <w:numId w:val="51"/>
        </w:numPr>
        <w:spacing w:after="0"/>
        <w:ind w:left="720"/>
        <w:contextualSpacing/>
        <w:rPr>
          <w:szCs w:val="22"/>
        </w:rPr>
      </w:pPr>
      <w:r w:rsidRPr="00F867D0">
        <w:rPr>
          <w:szCs w:val="22"/>
        </w:rPr>
        <w:t>Incentivize early and rapid additional action to replace inefficient, high-GWP cooling solutions;</w:t>
      </w:r>
    </w:p>
    <w:p w14:paraId="49B5C4D5" w14:textId="77777777" w:rsidR="00E077A6" w:rsidRDefault="00E077A6" w:rsidP="000F749F">
      <w:pPr>
        <w:spacing w:after="0"/>
        <w:ind w:left="720"/>
        <w:contextualSpacing/>
        <w:rPr>
          <w:szCs w:val="22"/>
        </w:rPr>
      </w:pPr>
    </w:p>
    <w:p w14:paraId="4CC178E2" w14:textId="11D594AF" w:rsidR="008E1842" w:rsidRPr="00F867D0" w:rsidRDefault="008E1842" w:rsidP="000F749F">
      <w:pPr>
        <w:numPr>
          <w:ilvl w:val="0"/>
          <w:numId w:val="51"/>
        </w:numPr>
        <w:spacing w:after="0"/>
        <w:ind w:left="720"/>
        <w:contextualSpacing/>
        <w:rPr>
          <w:szCs w:val="22"/>
        </w:rPr>
      </w:pPr>
      <w:r w:rsidRPr="00F867D0">
        <w:rPr>
          <w:szCs w:val="22"/>
        </w:rPr>
        <w:t xml:space="preserve">Successfully connect </w:t>
      </w:r>
      <w:r w:rsidR="002845EE">
        <w:rPr>
          <w:szCs w:val="22"/>
        </w:rPr>
        <w:t>EE</w:t>
      </w:r>
      <w:r w:rsidRPr="00F867D0">
        <w:rPr>
          <w:szCs w:val="22"/>
        </w:rPr>
        <w:t xml:space="preserve"> with the work of the Montreal Protocol; </w:t>
      </w:r>
    </w:p>
    <w:p w14:paraId="429EC029" w14:textId="77777777" w:rsidR="00E077A6" w:rsidRDefault="00E077A6" w:rsidP="000F749F">
      <w:pPr>
        <w:spacing w:after="0"/>
        <w:ind w:left="720"/>
        <w:contextualSpacing/>
        <w:rPr>
          <w:szCs w:val="22"/>
        </w:rPr>
      </w:pPr>
    </w:p>
    <w:p w14:paraId="3547435B" w14:textId="4B3B725A" w:rsidR="008E1842" w:rsidRPr="00F867D0" w:rsidRDefault="008E1842" w:rsidP="000F749F">
      <w:pPr>
        <w:numPr>
          <w:ilvl w:val="0"/>
          <w:numId w:val="51"/>
        </w:numPr>
        <w:spacing w:after="0"/>
        <w:ind w:left="720"/>
        <w:contextualSpacing/>
        <w:rPr>
          <w:szCs w:val="22"/>
        </w:rPr>
      </w:pPr>
      <w:r w:rsidRPr="00F867D0">
        <w:rPr>
          <w:szCs w:val="22"/>
        </w:rPr>
        <w:t xml:space="preserve">Build and enhance </w:t>
      </w:r>
      <w:r w:rsidR="002845EE">
        <w:rPr>
          <w:szCs w:val="22"/>
        </w:rPr>
        <w:t>EE</w:t>
      </w:r>
      <w:r w:rsidRPr="00F867D0">
        <w:rPr>
          <w:szCs w:val="22"/>
        </w:rPr>
        <w:t xml:space="preserve"> policy and program awareness and stringency; </w:t>
      </w:r>
    </w:p>
    <w:p w14:paraId="4EF450FD" w14:textId="77777777" w:rsidR="00E077A6" w:rsidRDefault="00E077A6" w:rsidP="000F749F">
      <w:pPr>
        <w:spacing w:after="0"/>
        <w:ind w:left="720"/>
        <w:contextualSpacing/>
        <w:rPr>
          <w:szCs w:val="22"/>
        </w:rPr>
      </w:pPr>
    </w:p>
    <w:p w14:paraId="09EFB7F4" w14:textId="683B8899" w:rsidR="008E1842" w:rsidRPr="00F867D0" w:rsidRDefault="008E1842" w:rsidP="000F749F">
      <w:pPr>
        <w:numPr>
          <w:ilvl w:val="0"/>
          <w:numId w:val="51"/>
        </w:numPr>
        <w:spacing w:after="0"/>
        <w:ind w:left="720"/>
        <w:contextualSpacing/>
        <w:rPr>
          <w:szCs w:val="22"/>
        </w:rPr>
      </w:pPr>
      <w:r w:rsidRPr="00F867D0">
        <w:rPr>
          <w:szCs w:val="22"/>
        </w:rPr>
        <w:t>Develop and enhance institutional, civil society, and market capacity for work on efficient and low-GWP cooling solutions;</w:t>
      </w:r>
    </w:p>
    <w:p w14:paraId="052BCD8E" w14:textId="77777777" w:rsidR="00E077A6" w:rsidRDefault="00E077A6" w:rsidP="000F749F">
      <w:pPr>
        <w:spacing w:after="0"/>
        <w:ind w:left="720"/>
        <w:contextualSpacing/>
        <w:rPr>
          <w:szCs w:val="22"/>
        </w:rPr>
      </w:pPr>
    </w:p>
    <w:p w14:paraId="4C70C077" w14:textId="3A9F1D17" w:rsidR="008E1842" w:rsidRPr="00F867D0" w:rsidRDefault="008E1842" w:rsidP="000F749F">
      <w:pPr>
        <w:numPr>
          <w:ilvl w:val="0"/>
          <w:numId w:val="51"/>
        </w:numPr>
        <w:spacing w:after="0"/>
        <w:ind w:left="720"/>
        <w:contextualSpacing/>
        <w:rPr>
          <w:szCs w:val="22"/>
        </w:rPr>
      </w:pPr>
      <w:r w:rsidRPr="00F867D0">
        <w:rPr>
          <w:szCs w:val="22"/>
        </w:rPr>
        <w:t xml:space="preserve">Contribute to sustainable development by increasing access to efficient and low-GWP cooling; </w:t>
      </w:r>
    </w:p>
    <w:p w14:paraId="463F93F8" w14:textId="77777777" w:rsidR="00E077A6" w:rsidRDefault="00E077A6" w:rsidP="000F749F">
      <w:pPr>
        <w:spacing w:after="0"/>
        <w:ind w:left="720"/>
        <w:contextualSpacing/>
        <w:rPr>
          <w:szCs w:val="22"/>
        </w:rPr>
      </w:pPr>
    </w:p>
    <w:p w14:paraId="1C94713F" w14:textId="08588053" w:rsidR="008E1842" w:rsidRPr="00F867D0" w:rsidRDefault="008E1842" w:rsidP="000F749F">
      <w:pPr>
        <w:numPr>
          <w:ilvl w:val="0"/>
          <w:numId w:val="51"/>
        </w:numPr>
        <w:spacing w:after="0"/>
        <w:ind w:left="720"/>
        <w:contextualSpacing/>
        <w:rPr>
          <w:szCs w:val="22"/>
        </w:rPr>
      </w:pPr>
      <w:r w:rsidRPr="00F867D0">
        <w:rPr>
          <w:szCs w:val="22"/>
        </w:rPr>
        <w:t>Reduce the operational cost of cooling without a material rise in capital costs, where a material rise in capital costs is defined as an increase in capital costs that would make a significant change in current and projected market demand and supply for cooling solutions; and</w:t>
      </w:r>
    </w:p>
    <w:p w14:paraId="0A11A77D" w14:textId="77777777" w:rsidR="00E077A6" w:rsidRDefault="00E077A6" w:rsidP="000F749F">
      <w:pPr>
        <w:spacing w:after="0"/>
        <w:ind w:left="720"/>
        <w:contextualSpacing/>
        <w:rPr>
          <w:szCs w:val="22"/>
        </w:rPr>
      </w:pPr>
    </w:p>
    <w:p w14:paraId="12C80AD7" w14:textId="6565B65B" w:rsidR="008E1842" w:rsidRPr="00F867D0" w:rsidRDefault="008E1842" w:rsidP="000F749F">
      <w:pPr>
        <w:numPr>
          <w:ilvl w:val="0"/>
          <w:numId w:val="81"/>
        </w:numPr>
        <w:spacing w:after="0"/>
        <w:contextualSpacing/>
        <w:rPr>
          <w:szCs w:val="22"/>
        </w:rPr>
      </w:pPr>
      <w:r w:rsidRPr="00F867D0">
        <w:rPr>
          <w:szCs w:val="22"/>
        </w:rPr>
        <w:t>Attract and leverage additional funding, and, at the same time, complement public and private funding.</w:t>
      </w:r>
    </w:p>
    <w:p w14:paraId="7218776B" w14:textId="77777777" w:rsidR="004F2620" w:rsidRDefault="004F2620" w:rsidP="00C03BE5">
      <w:pPr>
        <w:pStyle w:val="Default"/>
        <w:widowControl w:val="0"/>
        <w:contextualSpacing/>
        <w:rPr>
          <w:sz w:val="22"/>
          <w:szCs w:val="22"/>
          <w:lang w:val="en-GB" w:eastAsia="zh-CN"/>
        </w:rPr>
      </w:pPr>
    </w:p>
    <w:p w14:paraId="06ECFC8B" w14:textId="67D1AE4C" w:rsidR="00C27162" w:rsidRPr="00F867D0" w:rsidRDefault="008E1842" w:rsidP="00C03BE5">
      <w:pPr>
        <w:pStyle w:val="Default"/>
        <w:widowControl w:val="0"/>
        <w:contextualSpacing/>
        <w:rPr>
          <w:sz w:val="22"/>
          <w:szCs w:val="22"/>
          <w:lang w:val="en-GB"/>
        </w:rPr>
      </w:pPr>
      <w:r w:rsidRPr="00F867D0">
        <w:rPr>
          <w:sz w:val="22"/>
          <w:szCs w:val="22"/>
          <w:lang w:val="en-GB" w:eastAsia="zh-CN"/>
        </w:rPr>
        <w:t>More than US$ 35 million has been committed to supporting activities including training and development of national cooling strategies (Window 1); policies, standards, and programs (Window 2); and access to cooling (Window 4).</w:t>
      </w:r>
      <w:r w:rsidR="00C27162" w:rsidRPr="00F867D0">
        <w:rPr>
          <w:sz w:val="22"/>
          <w:szCs w:val="22"/>
          <w:lang w:val="en-GB" w:eastAsia="zh-CN"/>
        </w:rPr>
        <w:t xml:space="preserve"> </w:t>
      </w:r>
      <w:r w:rsidR="00C03BE5" w:rsidRPr="00F867D0">
        <w:rPr>
          <w:sz w:val="22"/>
          <w:szCs w:val="22"/>
          <w:lang w:val="en-GB"/>
        </w:rPr>
        <w:t xml:space="preserve">While the majority of K-CEP funding is being provided through grants to implementing partners working with participating </w:t>
      </w:r>
      <w:r w:rsidR="00372C59" w:rsidRPr="00F867D0">
        <w:rPr>
          <w:sz w:val="22"/>
          <w:szCs w:val="22"/>
          <w:lang w:val="en-GB"/>
        </w:rPr>
        <w:t xml:space="preserve">Article 5 parties’ governments, </w:t>
      </w:r>
      <w:r w:rsidR="00C03BE5" w:rsidRPr="00F867D0">
        <w:rPr>
          <w:sz w:val="22"/>
          <w:szCs w:val="22"/>
          <w:lang w:val="en-GB"/>
        </w:rPr>
        <w:t xml:space="preserve">approximately US$ 10 million has been allocated under the “Finance </w:t>
      </w:r>
      <w:r w:rsidR="00372C59" w:rsidRPr="00F867D0">
        <w:rPr>
          <w:sz w:val="22"/>
          <w:szCs w:val="22"/>
          <w:lang w:val="en-GB"/>
        </w:rPr>
        <w:t>W</w:t>
      </w:r>
      <w:r w:rsidR="00C03BE5" w:rsidRPr="00F867D0">
        <w:rPr>
          <w:sz w:val="22"/>
          <w:szCs w:val="22"/>
          <w:lang w:val="en-GB"/>
        </w:rPr>
        <w:t xml:space="preserve">indow” </w:t>
      </w:r>
      <w:r w:rsidR="00C27162" w:rsidRPr="00F867D0">
        <w:rPr>
          <w:sz w:val="22"/>
          <w:szCs w:val="22"/>
          <w:lang w:val="en-GB"/>
        </w:rPr>
        <w:t>(Window 3). K-CEP’s Window 3 aims to help mobilize finance for efficient clean cooling and complements global, regional and country activities supported under other windows. It seeks to demonstrate how targeted grants can unlock the additional finance needed to integrate efficiency improvements with the F-gas transition. While not restricted to scaling up existing work supported by K-CEP, the finance window is open to proposals that build on activities supported</w:t>
      </w:r>
      <w:r w:rsidR="00C03BE5" w:rsidRPr="00F867D0">
        <w:rPr>
          <w:sz w:val="22"/>
          <w:szCs w:val="22"/>
          <w:lang w:val="en-GB"/>
        </w:rPr>
        <w:t xml:space="preserve"> in </w:t>
      </w:r>
      <w:r w:rsidR="00C27162" w:rsidRPr="00F867D0">
        <w:rPr>
          <w:sz w:val="22"/>
          <w:szCs w:val="22"/>
          <w:lang w:val="en-GB"/>
        </w:rPr>
        <w:t>K-CEP’s other</w:t>
      </w:r>
      <w:r w:rsidR="00C03BE5" w:rsidRPr="00F867D0">
        <w:rPr>
          <w:sz w:val="22"/>
          <w:szCs w:val="22"/>
          <w:lang w:val="en-GB"/>
        </w:rPr>
        <w:t xml:space="preserve"> </w:t>
      </w:r>
      <w:r w:rsidR="00372C59" w:rsidRPr="00F867D0">
        <w:rPr>
          <w:sz w:val="22"/>
          <w:szCs w:val="22"/>
          <w:lang w:val="en-GB"/>
        </w:rPr>
        <w:t>“</w:t>
      </w:r>
      <w:r w:rsidR="00C03BE5" w:rsidRPr="00F867D0">
        <w:rPr>
          <w:sz w:val="22"/>
          <w:szCs w:val="22"/>
          <w:lang w:val="en-GB"/>
        </w:rPr>
        <w:t>windows</w:t>
      </w:r>
      <w:r w:rsidR="00372C59" w:rsidRPr="00F867D0">
        <w:rPr>
          <w:sz w:val="22"/>
          <w:szCs w:val="22"/>
          <w:lang w:val="en-GB"/>
        </w:rPr>
        <w:t>”</w:t>
      </w:r>
      <w:r w:rsidR="00C03BE5" w:rsidRPr="00F867D0">
        <w:rPr>
          <w:sz w:val="22"/>
          <w:szCs w:val="22"/>
          <w:lang w:val="en-GB"/>
        </w:rPr>
        <w:t xml:space="preserve"> </w:t>
      </w:r>
      <w:r w:rsidR="00C27162" w:rsidRPr="00F867D0">
        <w:rPr>
          <w:sz w:val="22"/>
          <w:szCs w:val="22"/>
          <w:lang w:val="en-GB"/>
        </w:rPr>
        <w:t xml:space="preserve">which </w:t>
      </w:r>
      <w:r w:rsidR="00C03BE5" w:rsidRPr="00F867D0">
        <w:rPr>
          <w:sz w:val="22"/>
          <w:szCs w:val="22"/>
          <w:lang w:val="en-GB"/>
        </w:rPr>
        <w:t xml:space="preserve">offer a </w:t>
      </w:r>
      <w:r w:rsidR="00C27162" w:rsidRPr="00F867D0">
        <w:rPr>
          <w:sz w:val="22"/>
          <w:szCs w:val="22"/>
          <w:lang w:val="en-GB"/>
        </w:rPr>
        <w:t xml:space="preserve">potential </w:t>
      </w:r>
      <w:r w:rsidR="00372C59" w:rsidRPr="00F867D0">
        <w:rPr>
          <w:sz w:val="22"/>
          <w:szCs w:val="22"/>
          <w:lang w:val="en-GB"/>
        </w:rPr>
        <w:t xml:space="preserve">funding </w:t>
      </w:r>
      <w:r w:rsidR="00C03BE5" w:rsidRPr="00F867D0">
        <w:rPr>
          <w:sz w:val="22"/>
          <w:szCs w:val="22"/>
          <w:lang w:val="en-GB"/>
        </w:rPr>
        <w:t xml:space="preserve">pipeline that can </w:t>
      </w:r>
      <w:r w:rsidR="00372C59" w:rsidRPr="00F867D0">
        <w:rPr>
          <w:sz w:val="22"/>
          <w:szCs w:val="22"/>
          <w:lang w:val="en-GB"/>
        </w:rPr>
        <w:t>serve as the basis to reali</w:t>
      </w:r>
      <w:r w:rsidR="00C27162" w:rsidRPr="00F867D0">
        <w:rPr>
          <w:sz w:val="22"/>
          <w:szCs w:val="22"/>
          <w:lang w:val="en-GB"/>
        </w:rPr>
        <w:t>s</w:t>
      </w:r>
      <w:r w:rsidR="00372C59" w:rsidRPr="00F867D0">
        <w:rPr>
          <w:sz w:val="22"/>
          <w:szCs w:val="22"/>
          <w:lang w:val="en-GB"/>
        </w:rPr>
        <w:t xml:space="preserve">e more and potentially greater </w:t>
      </w:r>
      <w:r w:rsidR="00C03BE5" w:rsidRPr="00F867D0">
        <w:rPr>
          <w:sz w:val="22"/>
          <w:szCs w:val="22"/>
          <w:lang w:val="en-GB"/>
        </w:rPr>
        <w:t>emissions reduction opportunities, as well as to identify new opportunities that align with K-CEP objectives.</w:t>
      </w:r>
      <w:r w:rsidR="00372C59" w:rsidRPr="00F867D0">
        <w:rPr>
          <w:sz w:val="22"/>
          <w:szCs w:val="22"/>
          <w:lang w:val="en-GB"/>
        </w:rPr>
        <w:t xml:space="preserve"> </w:t>
      </w:r>
    </w:p>
    <w:p w14:paraId="5189352E" w14:textId="77777777" w:rsidR="00C27162" w:rsidRPr="00F867D0" w:rsidRDefault="00C27162" w:rsidP="00C03BE5">
      <w:pPr>
        <w:pStyle w:val="Default"/>
        <w:widowControl w:val="0"/>
        <w:contextualSpacing/>
        <w:rPr>
          <w:sz w:val="22"/>
          <w:szCs w:val="22"/>
          <w:lang w:val="en-GB"/>
        </w:rPr>
      </w:pPr>
    </w:p>
    <w:p w14:paraId="42C7C4F9" w14:textId="13AA5C7F" w:rsidR="00372C59" w:rsidRPr="00F867D0" w:rsidRDefault="00372C59" w:rsidP="00C03BE5">
      <w:pPr>
        <w:pStyle w:val="Default"/>
        <w:widowControl w:val="0"/>
        <w:contextualSpacing/>
        <w:rPr>
          <w:sz w:val="22"/>
          <w:szCs w:val="22"/>
          <w:lang w:val="en-GB"/>
        </w:rPr>
      </w:pPr>
      <w:r w:rsidRPr="00F867D0">
        <w:rPr>
          <w:sz w:val="22"/>
          <w:szCs w:val="22"/>
          <w:lang w:val="en-GB"/>
        </w:rPr>
        <w:t xml:space="preserve">Additional information providing an overview of K-CEP is summarized </w:t>
      </w:r>
      <w:r w:rsidR="001E025D" w:rsidRPr="00F867D0">
        <w:rPr>
          <w:sz w:val="22"/>
          <w:szCs w:val="22"/>
          <w:lang w:val="en-GB"/>
        </w:rPr>
        <w:t>below</w:t>
      </w:r>
      <w:r w:rsidR="00096F14" w:rsidRPr="00F867D0">
        <w:rPr>
          <w:sz w:val="22"/>
          <w:szCs w:val="22"/>
          <w:lang w:val="en-GB"/>
        </w:rPr>
        <w:t>.</w:t>
      </w:r>
      <w:r w:rsidR="00C27162" w:rsidRPr="00F867D0">
        <w:rPr>
          <w:sz w:val="22"/>
          <w:szCs w:val="22"/>
          <w:lang w:val="en-GB"/>
        </w:rPr>
        <w:t xml:space="preserve"> More information about K-CEP, its structure, and funders can be found at </w:t>
      </w:r>
      <w:hyperlink r:id="rId45" w:history="1">
        <w:r w:rsidR="00C27162" w:rsidRPr="00F867D0">
          <w:rPr>
            <w:rStyle w:val="Hyperlink"/>
            <w:sz w:val="22"/>
            <w:szCs w:val="22"/>
            <w:lang w:val="en-GB"/>
          </w:rPr>
          <w:t>k-cep.org</w:t>
        </w:r>
      </w:hyperlink>
      <w:r w:rsidR="00C27162" w:rsidRPr="00F867D0">
        <w:rPr>
          <w:sz w:val="22"/>
          <w:szCs w:val="22"/>
          <w:lang w:val="en-GB"/>
        </w:rPr>
        <w:t>.</w:t>
      </w:r>
    </w:p>
    <w:p w14:paraId="70F06CC4" w14:textId="77777777" w:rsidR="001E025D" w:rsidRPr="00F867D0" w:rsidRDefault="001E025D" w:rsidP="001E025D">
      <w:pPr>
        <w:pStyle w:val="Default"/>
        <w:widowControl w:val="0"/>
        <w:contextualSpacing/>
        <w:rPr>
          <w:color w:val="auto"/>
          <w:sz w:val="22"/>
          <w:szCs w:val="24"/>
          <w:lang w:val="en-GB"/>
        </w:rPr>
      </w:pPr>
    </w:p>
    <w:p w14:paraId="5289A1A0" w14:textId="48D68D25" w:rsidR="001E025D" w:rsidRPr="002A137B" w:rsidRDefault="001E025D" w:rsidP="001E025D">
      <w:pPr>
        <w:pStyle w:val="Default"/>
        <w:widowControl w:val="0"/>
        <w:contextualSpacing/>
        <w:rPr>
          <w:color w:val="auto"/>
          <w:sz w:val="22"/>
          <w:szCs w:val="22"/>
          <w:lang w:val="en-GB"/>
        </w:rPr>
      </w:pPr>
      <w:r w:rsidRPr="002A137B">
        <w:rPr>
          <w:b/>
          <w:color w:val="auto"/>
          <w:sz w:val="22"/>
          <w:szCs w:val="22"/>
          <w:lang w:val="en-GB"/>
        </w:rPr>
        <w:t>Scope:</w:t>
      </w:r>
      <w:r w:rsidRPr="002A137B">
        <w:rPr>
          <w:color w:val="auto"/>
          <w:sz w:val="22"/>
          <w:szCs w:val="22"/>
          <w:lang w:val="en-GB"/>
        </w:rPr>
        <w:t xml:space="preserve"> </w:t>
      </w:r>
      <w:r w:rsidRPr="002A137B">
        <w:rPr>
          <w:sz w:val="22"/>
          <w:szCs w:val="22"/>
          <w:lang w:val="en-GB"/>
        </w:rPr>
        <w:t>K-CEP is supporting a wide range of projects to improve cooling efficiency together with the HCFC phaseout and HFC phasedown. The projects include activities to: strengthen efficiency by building capacity; improve policies, regulations, standards and labelling; develop cooling plans; unlock manufacturing capacity for efficient equipment; improve monitoring and analysis of cooling efforts; cataly</w:t>
      </w:r>
      <w:r w:rsidR="006161BF">
        <w:rPr>
          <w:sz w:val="22"/>
          <w:szCs w:val="22"/>
          <w:lang w:val="en-GB"/>
        </w:rPr>
        <w:t>s</w:t>
      </w:r>
      <w:r w:rsidRPr="002A137B">
        <w:rPr>
          <w:sz w:val="22"/>
          <w:szCs w:val="22"/>
          <w:lang w:val="en-GB"/>
        </w:rPr>
        <w:t xml:space="preserve">e investment in efficient cooling; and better understand access to cooling. While the </w:t>
      </w:r>
      <w:r w:rsidR="00D44991" w:rsidRPr="002A137B">
        <w:rPr>
          <w:sz w:val="22"/>
          <w:szCs w:val="22"/>
          <w:lang w:val="en-GB"/>
        </w:rPr>
        <w:t>m</w:t>
      </w:r>
      <w:r w:rsidRPr="002A137B">
        <w:rPr>
          <w:sz w:val="22"/>
          <w:szCs w:val="22"/>
          <w:lang w:val="en-GB"/>
        </w:rPr>
        <w:t xml:space="preserve">ajority of activities focus on the residential and commercial refrigeration, air conditioning sectors, K-CEP is also supporting district cooling, and will consider other areas that will be identified in the access to cooling report being prepared for </w:t>
      </w:r>
      <w:r w:rsidR="00C27162" w:rsidRPr="002A137B">
        <w:rPr>
          <w:sz w:val="22"/>
          <w:szCs w:val="22"/>
          <w:lang w:val="en-GB"/>
        </w:rPr>
        <w:t>July 2018.</w:t>
      </w:r>
      <w:r w:rsidRPr="002A137B">
        <w:rPr>
          <w:sz w:val="22"/>
          <w:szCs w:val="22"/>
          <w:lang w:val="en-GB"/>
        </w:rPr>
        <w:t xml:space="preserve"> This portfolio of activities is being delivered across developing countries in Africa, the Middle East, Asia, Latin America, the Pacific, and the Caribbean alongside various efforts at a global level to improve cooling efficiency awareness and action. K-CEP prioritizes support for the greatest possible reductions in greenhouse gas emissions, working in countries willing to move furthest and fastest, building on existing efforts, and ensuring geographical diversity.</w:t>
      </w:r>
      <w:r w:rsidR="00C27162" w:rsidRPr="002A137B">
        <w:rPr>
          <w:color w:val="auto"/>
          <w:sz w:val="22"/>
          <w:szCs w:val="22"/>
          <w:lang w:val="en-GB"/>
        </w:rPr>
        <w:t xml:space="preserve"> </w:t>
      </w:r>
    </w:p>
    <w:p w14:paraId="050A4BDF" w14:textId="77777777" w:rsidR="001E025D" w:rsidRPr="002A137B" w:rsidRDefault="001E025D" w:rsidP="001E025D">
      <w:pPr>
        <w:pStyle w:val="Default"/>
        <w:widowControl w:val="0"/>
        <w:contextualSpacing/>
        <w:rPr>
          <w:color w:val="auto"/>
          <w:sz w:val="22"/>
          <w:szCs w:val="22"/>
          <w:lang w:val="en-GB"/>
        </w:rPr>
      </w:pPr>
    </w:p>
    <w:p w14:paraId="770D6E32" w14:textId="733A7338" w:rsidR="001E025D" w:rsidRPr="002A137B" w:rsidRDefault="001E025D" w:rsidP="001E025D">
      <w:pPr>
        <w:pStyle w:val="Default"/>
        <w:widowControl w:val="0"/>
        <w:contextualSpacing/>
        <w:rPr>
          <w:sz w:val="22"/>
          <w:szCs w:val="22"/>
          <w:lang w:val="en-GB"/>
        </w:rPr>
      </w:pPr>
      <w:r w:rsidRPr="002A137B">
        <w:rPr>
          <w:b/>
          <w:sz w:val="22"/>
          <w:szCs w:val="22"/>
          <w:lang w:val="en-GB"/>
        </w:rPr>
        <w:t>Definition</w:t>
      </w:r>
      <w:r w:rsidR="00C27162" w:rsidRPr="002A137B">
        <w:rPr>
          <w:b/>
          <w:sz w:val="22"/>
          <w:szCs w:val="22"/>
          <w:lang w:val="en-GB"/>
        </w:rPr>
        <w:t>s -</w:t>
      </w:r>
      <w:r w:rsidR="00237A11" w:rsidRPr="002A137B">
        <w:rPr>
          <w:b/>
          <w:sz w:val="22"/>
          <w:szCs w:val="22"/>
          <w:lang w:val="en-GB"/>
        </w:rPr>
        <w:t xml:space="preserve"> High Efficiency:</w:t>
      </w:r>
      <w:r w:rsidR="00237A11" w:rsidRPr="002A137B">
        <w:rPr>
          <w:sz w:val="22"/>
          <w:szCs w:val="22"/>
          <w:lang w:val="en-GB"/>
        </w:rPr>
        <w:t xml:space="preserve"> A</w:t>
      </w:r>
      <w:r w:rsidRPr="002A137B">
        <w:rPr>
          <w:sz w:val="22"/>
          <w:szCs w:val="22"/>
          <w:lang w:val="en-GB"/>
        </w:rPr>
        <w:t xml:space="preserve">n important concept when working in the </w:t>
      </w:r>
      <w:r w:rsidR="002845EE">
        <w:rPr>
          <w:sz w:val="22"/>
          <w:szCs w:val="22"/>
          <w:lang w:val="en-GB"/>
        </w:rPr>
        <w:t>EE</w:t>
      </w:r>
      <w:r w:rsidRPr="002A137B">
        <w:rPr>
          <w:sz w:val="22"/>
          <w:szCs w:val="22"/>
          <w:lang w:val="en-GB"/>
        </w:rPr>
        <w:t xml:space="preserve"> sector is continuous improvement. For this reason, what counts as energy efficient is not a stationary value but should be defined with respect to the market average or best available technology. K-CEP is working with the International Energy Agency on a “Kigali Progress Tracker” that combines a database on policy and technology with data collection from partners and data dissemination via the IEA exchange platform</w:t>
      </w:r>
      <w:r w:rsidR="00C27162" w:rsidRPr="002A137B">
        <w:rPr>
          <w:sz w:val="22"/>
          <w:szCs w:val="22"/>
          <w:lang w:val="en-GB"/>
        </w:rPr>
        <w:t xml:space="preserve">: </w:t>
      </w:r>
      <w:hyperlink r:id="rId46" w:history="1">
        <w:r w:rsidR="00C27162" w:rsidRPr="002A137B">
          <w:rPr>
            <w:rStyle w:val="Hyperlink"/>
            <w:sz w:val="22"/>
            <w:szCs w:val="22"/>
            <w:lang w:val="en-GB"/>
          </w:rPr>
          <w:t>http://www.iea.org/exchange/cooling/</w:t>
        </w:r>
      </w:hyperlink>
      <w:r w:rsidRPr="002A137B">
        <w:rPr>
          <w:sz w:val="22"/>
          <w:szCs w:val="22"/>
          <w:lang w:val="en-GB"/>
        </w:rPr>
        <w:t>.</w:t>
      </w:r>
    </w:p>
    <w:p w14:paraId="5949593E" w14:textId="77777777" w:rsidR="001E025D" w:rsidRPr="002A137B" w:rsidRDefault="001E025D" w:rsidP="001E025D">
      <w:pPr>
        <w:pStyle w:val="Default"/>
        <w:widowControl w:val="0"/>
        <w:contextualSpacing/>
        <w:rPr>
          <w:sz w:val="22"/>
          <w:szCs w:val="22"/>
          <w:lang w:val="en-GB"/>
        </w:rPr>
      </w:pPr>
    </w:p>
    <w:p w14:paraId="6DF17AB5" w14:textId="77777777" w:rsidR="001E025D" w:rsidRPr="002A137B" w:rsidRDefault="001E025D" w:rsidP="001E025D">
      <w:pPr>
        <w:pStyle w:val="Default"/>
        <w:widowControl w:val="0"/>
        <w:contextualSpacing/>
        <w:rPr>
          <w:b/>
          <w:sz w:val="22"/>
          <w:szCs w:val="22"/>
          <w:lang w:val="en-GB"/>
        </w:rPr>
      </w:pPr>
      <w:r w:rsidRPr="002A137B">
        <w:rPr>
          <w:b/>
          <w:sz w:val="22"/>
          <w:szCs w:val="22"/>
          <w:lang w:val="en-GB"/>
        </w:rPr>
        <w:t>Financing modalities and potential market mechanisms</w:t>
      </w:r>
    </w:p>
    <w:p w14:paraId="63FD7421" w14:textId="67F5B86A" w:rsidR="001E025D" w:rsidRPr="002A137B" w:rsidRDefault="00C27162" w:rsidP="001E025D">
      <w:pPr>
        <w:spacing w:after="0"/>
        <w:contextualSpacing/>
        <w:rPr>
          <w:szCs w:val="22"/>
        </w:rPr>
      </w:pPr>
      <w:r w:rsidRPr="002A137B">
        <w:rPr>
          <w:szCs w:val="22"/>
        </w:rPr>
        <w:t>K-CEP recogni</w:t>
      </w:r>
      <w:r w:rsidR="000A31D6">
        <w:rPr>
          <w:szCs w:val="22"/>
        </w:rPr>
        <w:t>s</w:t>
      </w:r>
      <w:r w:rsidRPr="002A137B">
        <w:rPr>
          <w:szCs w:val="22"/>
        </w:rPr>
        <w:t xml:space="preserve">es that overcoming finance barriers is key to advancing </w:t>
      </w:r>
      <w:r w:rsidR="002845EE">
        <w:rPr>
          <w:szCs w:val="22"/>
        </w:rPr>
        <w:t>EE</w:t>
      </w:r>
      <w:r w:rsidRPr="002A137B">
        <w:rPr>
          <w:szCs w:val="22"/>
        </w:rPr>
        <w:t xml:space="preserve"> in cooling solutions. </w:t>
      </w:r>
      <w:r w:rsidR="001E025D" w:rsidRPr="002A137B">
        <w:rPr>
          <w:szCs w:val="22"/>
        </w:rPr>
        <w:t>The target market for K-CEP’s Finance Window is cooling investment by the public or private sector. Based on discussions with stakeholders, there are two financing requirements needed to raise the environmental performance of cooling technology and to drive increased investment in higher efficiency cooling solutions:</w:t>
      </w:r>
    </w:p>
    <w:p w14:paraId="1718FF57" w14:textId="77777777" w:rsidR="00E077A6" w:rsidRDefault="00E077A6" w:rsidP="00E077A6">
      <w:pPr>
        <w:pStyle w:val="ListParagraph"/>
        <w:numPr>
          <w:ilvl w:val="0"/>
          <w:numId w:val="0"/>
        </w:numPr>
        <w:ind w:left="720"/>
      </w:pPr>
    </w:p>
    <w:p w14:paraId="0D5CF1EE" w14:textId="759CB001" w:rsidR="001E025D" w:rsidRDefault="001E025D" w:rsidP="00E077A6">
      <w:pPr>
        <w:pStyle w:val="ListParagraph"/>
        <w:numPr>
          <w:ilvl w:val="0"/>
          <w:numId w:val="51"/>
        </w:numPr>
        <w:ind w:left="720"/>
      </w:pPr>
      <w:r w:rsidRPr="002A137B">
        <w:t xml:space="preserve">Finance for technical assistance (TA) for project preparation and securing interest and for project management: specialized assistance is required to devise the appropriate technical specifications and performance metrics and generate the demand for the financing mechanism. It is also important to make the case for cooling efficiency investment when suppliers and buyers have other options to maximize their utility. TA is also often needed for project management </w:t>
      </w:r>
      <w:r w:rsidR="003822CE" w:rsidRPr="002A137B">
        <w:t xml:space="preserve">since </w:t>
      </w:r>
      <w:r w:rsidR="002845EE">
        <w:t>EE</w:t>
      </w:r>
      <w:r w:rsidRPr="002A137B">
        <w:t xml:space="preserve"> projects can be complex (e.g., monitoring, reporting, and verification needs).</w:t>
      </w:r>
    </w:p>
    <w:p w14:paraId="2E01D0F1" w14:textId="77777777" w:rsidR="00E077A6" w:rsidRPr="002A137B" w:rsidRDefault="00E077A6" w:rsidP="00E077A6">
      <w:pPr>
        <w:pStyle w:val="ListParagraph"/>
        <w:numPr>
          <w:ilvl w:val="0"/>
          <w:numId w:val="0"/>
        </w:numPr>
        <w:ind w:left="720"/>
      </w:pPr>
    </w:p>
    <w:p w14:paraId="41B9E611" w14:textId="77777777" w:rsidR="001E025D" w:rsidRPr="002A137B" w:rsidRDefault="001E025D" w:rsidP="00E077A6">
      <w:pPr>
        <w:pStyle w:val="Default"/>
        <w:widowControl w:val="0"/>
        <w:numPr>
          <w:ilvl w:val="0"/>
          <w:numId w:val="51"/>
        </w:numPr>
        <w:ind w:left="720"/>
        <w:contextualSpacing/>
        <w:rPr>
          <w:b/>
          <w:sz w:val="22"/>
          <w:szCs w:val="22"/>
          <w:lang w:val="en-GB"/>
        </w:rPr>
      </w:pPr>
      <w:r w:rsidRPr="002A137B">
        <w:rPr>
          <w:sz w:val="22"/>
          <w:szCs w:val="22"/>
          <w:lang w:val="en-GB"/>
        </w:rPr>
        <w:t>Finance for capital costs – which could include some concessional funding to cover the incremental cost of the higher efficiency option.</w:t>
      </w:r>
    </w:p>
    <w:p w14:paraId="13BBF345" w14:textId="77777777" w:rsidR="001E025D" w:rsidRPr="002A137B" w:rsidRDefault="001E025D" w:rsidP="001E025D">
      <w:pPr>
        <w:pStyle w:val="Default"/>
        <w:widowControl w:val="0"/>
        <w:contextualSpacing/>
        <w:rPr>
          <w:sz w:val="22"/>
          <w:szCs w:val="22"/>
          <w:lang w:val="en-GB"/>
        </w:rPr>
      </w:pPr>
    </w:p>
    <w:p w14:paraId="2C70506B" w14:textId="76606A90" w:rsidR="001E025D" w:rsidRPr="002A137B" w:rsidRDefault="001E025D" w:rsidP="001E025D">
      <w:pPr>
        <w:pStyle w:val="Default"/>
        <w:widowControl w:val="0"/>
        <w:contextualSpacing/>
        <w:rPr>
          <w:sz w:val="22"/>
          <w:szCs w:val="22"/>
          <w:lang w:val="en-GB"/>
        </w:rPr>
      </w:pPr>
      <w:r w:rsidRPr="002A137B">
        <w:rPr>
          <w:sz w:val="22"/>
          <w:szCs w:val="22"/>
          <w:lang w:val="en-GB"/>
        </w:rPr>
        <w:t xml:space="preserve">K-CEP’s Window 3 funding is intended to </w:t>
      </w:r>
      <w:r w:rsidR="006161BF">
        <w:rPr>
          <w:sz w:val="22"/>
          <w:szCs w:val="22"/>
          <w:lang w:val="en-GB"/>
        </w:rPr>
        <w:t xml:space="preserve">attract </w:t>
      </w:r>
      <w:r w:rsidRPr="002A137B">
        <w:rPr>
          <w:sz w:val="22"/>
          <w:szCs w:val="22"/>
          <w:lang w:val="en-GB"/>
        </w:rPr>
        <w:t xml:space="preserve">finance from financial institutions, governments and the private sector. Given the limited size of the resource envelope, it is intended to serve as a pilot, and is deliberately designed to allow for multiple approaches to addressing efficiency in the context of F-gas replacement. A call for proposals </w:t>
      </w:r>
      <w:r w:rsidR="00C27162" w:rsidRPr="002A137B">
        <w:rPr>
          <w:sz w:val="22"/>
          <w:szCs w:val="22"/>
          <w:lang w:val="en-GB"/>
        </w:rPr>
        <w:t>is ongoing through 27 July 2018.</w:t>
      </w:r>
    </w:p>
    <w:p w14:paraId="6BC9F51B" w14:textId="77777777" w:rsidR="001E025D" w:rsidRPr="002A137B" w:rsidRDefault="001E025D" w:rsidP="001E025D">
      <w:pPr>
        <w:pStyle w:val="Default"/>
        <w:widowControl w:val="0"/>
        <w:contextualSpacing/>
        <w:rPr>
          <w:color w:val="auto"/>
          <w:sz w:val="22"/>
          <w:szCs w:val="22"/>
          <w:lang w:val="en-GB"/>
        </w:rPr>
      </w:pPr>
      <w:r w:rsidRPr="002A137B">
        <w:rPr>
          <w:color w:val="auto"/>
          <w:sz w:val="22"/>
          <w:szCs w:val="22"/>
          <w:lang w:val="en-GB"/>
        </w:rPr>
        <w:t xml:space="preserve"> </w:t>
      </w:r>
    </w:p>
    <w:p w14:paraId="3DCCFDA7" w14:textId="1B258301" w:rsidR="001E025D" w:rsidRPr="002A137B" w:rsidRDefault="00666080" w:rsidP="001E025D">
      <w:pPr>
        <w:pStyle w:val="Default"/>
        <w:widowControl w:val="0"/>
        <w:contextualSpacing/>
        <w:rPr>
          <w:b/>
          <w:sz w:val="22"/>
          <w:szCs w:val="22"/>
          <w:lang w:val="en-GB"/>
        </w:rPr>
      </w:pPr>
      <w:r w:rsidRPr="002A137B">
        <w:rPr>
          <w:b/>
          <w:sz w:val="22"/>
          <w:szCs w:val="22"/>
          <w:lang w:val="en-GB"/>
        </w:rPr>
        <w:t>Criteria and m</w:t>
      </w:r>
      <w:r w:rsidR="001E025D" w:rsidRPr="002A137B">
        <w:rPr>
          <w:b/>
          <w:sz w:val="22"/>
          <w:szCs w:val="22"/>
          <w:lang w:val="en-GB"/>
        </w:rPr>
        <w:t xml:space="preserve">ethodologies </w:t>
      </w:r>
    </w:p>
    <w:p w14:paraId="15FD0417" w14:textId="75B856A4" w:rsidR="00C27162" w:rsidRPr="002A137B" w:rsidRDefault="00C27162" w:rsidP="00C27162">
      <w:pPr>
        <w:autoSpaceDE w:val="0"/>
        <w:autoSpaceDN w:val="0"/>
        <w:adjustRightInd w:val="0"/>
        <w:spacing w:after="0"/>
        <w:contextualSpacing/>
        <w:rPr>
          <w:szCs w:val="22"/>
          <w:lang w:eastAsia="en-US"/>
        </w:rPr>
      </w:pPr>
      <w:r w:rsidRPr="002A137B">
        <w:rPr>
          <w:szCs w:val="22"/>
          <w:lang w:eastAsia="en-US"/>
        </w:rPr>
        <w:t xml:space="preserve">K-CEP is making available a total of up to US$ 10 million under </w:t>
      </w:r>
      <w:hyperlink r:id="rId47" w:history="1">
        <w:r w:rsidRPr="002A137B">
          <w:rPr>
            <w:color w:val="0000FF"/>
            <w:szCs w:val="22"/>
            <w:u w:val="single"/>
            <w:lang w:eastAsia="en-US"/>
          </w:rPr>
          <w:t>Window 3</w:t>
        </w:r>
      </w:hyperlink>
      <w:r w:rsidRPr="002A137B">
        <w:rPr>
          <w:szCs w:val="22"/>
          <w:lang w:eastAsia="en-US"/>
        </w:rPr>
        <w:t xml:space="preserve"> to fund programs seeking US$ 2 million to US$ 5 million to support energy efficient, clean cooling finance in eligible developing countries. Window 3 is open to providing technical assistance (e.g. project identification, energy audits, detailed project preparation and awareness-raising) and finance for incremental cost support (e.g.</w:t>
      </w:r>
      <w:r w:rsidR="008C3ED4">
        <w:rPr>
          <w:szCs w:val="22"/>
          <w:lang w:eastAsia="en-US"/>
        </w:rPr>
        <w:t>,</w:t>
      </w:r>
      <w:r w:rsidRPr="002A137B">
        <w:rPr>
          <w:szCs w:val="22"/>
          <w:lang w:eastAsia="en-US"/>
        </w:rPr>
        <w:t xml:space="preserve"> fees associated with first loss or guarantee facilities, or interest rate subsidies on loans to end customers). Separate funding for the capital component of programs will need to be secured from governments, development banks, private sector banks, climate funds, or other financial institutions (in-principle commitments to provide such funding, or strong indication of financing availability, will be required).</w:t>
      </w:r>
    </w:p>
    <w:p w14:paraId="2692A838" w14:textId="77777777" w:rsidR="00C27162" w:rsidRPr="002A137B" w:rsidRDefault="00C27162" w:rsidP="00C27162">
      <w:pPr>
        <w:autoSpaceDE w:val="0"/>
        <w:autoSpaceDN w:val="0"/>
        <w:adjustRightInd w:val="0"/>
        <w:spacing w:after="0"/>
        <w:contextualSpacing/>
        <w:rPr>
          <w:szCs w:val="22"/>
          <w:lang w:eastAsia="en-US"/>
        </w:rPr>
      </w:pPr>
    </w:p>
    <w:p w14:paraId="634C3938" w14:textId="2B19949C" w:rsidR="00C27162" w:rsidRPr="002A137B" w:rsidRDefault="00C27162" w:rsidP="00C27162">
      <w:pPr>
        <w:widowControl w:val="0"/>
        <w:autoSpaceDE w:val="0"/>
        <w:autoSpaceDN w:val="0"/>
        <w:adjustRightInd w:val="0"/>
        <w:spacing w:after="0"/>
        <w:contextualSpacing/>
        <w:rPr>
          <w:szCs w:val="22"/>
          <w:lang w:eastAsia="en-US"/>
        </w:rPr>
      </w:pPr>
      <w:r w:rsidRPr="002A137B">
        <w:rPr>
          <w:szCs w:val="22"/>
          <w:lang w:eastAsia="en-US"/>
        </w:rPr>
        <w:t xml:space="preserve">K-CEP is open to supporting new initiatives or building on the momentum of existing </w:t>
      </w:r>
      <w:r w:rsidR="002845EE">
        <w:rPr>
          <w:szCs w:val="22"/>
          <w:lang w:eastAsia="en-US"/>
        </w:rPr>
        <w:t>EE</w:t>
      </w:r>
      <w:r w:rsidRPr="002A137B">
        <w:rPr>
          <w:szCs w:val="22"/>
          <w:lang w:eastAsia="en-US"/>
        </w:rPr>
        <w:t xml:space="preserve"> finance schemes where doing so will lead to faster implementation of efficient clean cooling finance. Proposals will be evaluated using screening criteria that include a clear and compelling program concept, significant scale greenhouse gas emissions reductions, the mobilization of significant additional capital, a readiness to implement, transformational long-term impacts, a strong team with relevant experience, and a compelling financial story.</w:t>
      </w:r>
    </w:p>
    <w:p w14:paraId="76927D1F" w14:textId="77777777" w:rsidR="001E025D" w:rsidRPr="002A137B" w:rsidRDefault="001E025D" w:rsidP="001E025D">
      <w:pPr>
        <w:pStyle w:val="Default"/>
        <w:widowControl w:val="0"/>
        <w:contextualSpacing/>
        <w:rPr>
          <w:b/>
          <w:sz w:val="22"/>
          <w:szCs w:val="22"/>
          <w:lang w:val="en-GB"/>
        </w:rPr>
      </w:pPr>
    </w:p>
    <w:p w14:paraId="6CD6F49D" w14:textId="0F66E869" w:rsidR="001E025D" w:rsidRPr="002A137B" w:rsidRDefault="001E025D" w:rsidP="001E025D">
      <w:pPr>
        <w:pStyle w:val="Default"/>
        <w:widowControl w:val="0"/>
        <w:contextualSpacing/>
        <w:rPr>
          <w:b/>
          <w:sz w:val="22"/>
          <w:szCs w:val="22"/>
          <w:lang w:val="en-GB"/>
        </w:rPr>
      </w:pPr>
      <w:r w:rsidRPr="002A137B">
        <w:rPr>
          <w:sz w:val="22"/>
          <w:szCs w:val="22"/>
          <w:lang w:val="en-GB"/>
        </w:rPr>
        <w:t xml:space="preserve">K-CEP has developed a monitoring, reporting, evaluation, and learning framework that aims to be simple and transparent and build off of existing methodologies where available, to be compatible with Multilateral Fund and International Energy Agency methodologies. This includes reporting projected and verified emissions reductions from </w:t>
      </w:r>
      <w:r w:rsidR="002845EE">
        <w:rPr>
          <w:sz w:val="22"/>
          <w:szCs w:val="22"/>
          <w:lang w:val="en-GB"/>
        </w:rPr>
        <w:t>EE</w:t>
      </w:r>
      <w:r w:rsidRPr="002A137B">
        <w:rPr>
          <w:sz w:val="22"/>
          <w:szCs w:val="22"/>
          <w:lang w:val="en-GB"/>
        </w:rPr>
        <w:t xml:space="preserve"> in CO</w:t>
      </w:r>
      <w:r w:rsidRPr="002A137B">
        <w:rPr>
          <w:sz w:val="22"/>
          <w:szCs w:val="22"/>
          <w:vertAlign w:val="subscript"/>
          <w:lang w:val="en-GB"/>
        </w:rPr>
        <w:t>2</w:t>
      </w:r>
      <w:r w:rsidRPr="002A137B">
        <w:rPr>
          <w:sz w:val="22"/>
          <w:szCs w:val="22"/>
          <w:lang w:val="en-GB"/>
        </w:rPr>
        <w:t>e</w:t>
      </w:r>
      <w:r w:rsidR="00CF3540" w:rsidRPr="002A137B">
        <w:rPr>
          <w:sz w:val="22"/>
          <w:szCs w:val="22"/>
          <w:lang w:val="en-GB"/>
        </w:rPr>
        <w:t>q</w:t>
      </w:r>
      <w:r w:rsidRPr="002A137B">
        <w:rPr>
          <w:sz w:val="22"/>
          <w:szCs w:val="22"/>
          <w:lang w:val="en-GB"/>
        </w:rPr>
        <w:t xml:space="preserve">.  </w:t>
      </w:r>
    </w:p>
    <w:p w14:paraId="7DEB66E3" w14:textId="77777777" w:rsidR="00D95F01" w:rsidRPr="002A137B" w:rsidRDefault="00D95F01" w:rsidP="00D95F01">
      <w:pPr>
        <w:spacing w:after="0"/>
        <w:contextualSpacing/>
        <w:rPr>
          <w:szCs w:val="22"/>
        </w:rPr>
      </w:pPr>
    </w:p>
    <w:p w14:paraId="3C6C20A2" w14:textId="77777777" w:rsidR="004235F7" w:rsidRDefault="004235F7" w:rsidP="00E077A6">
      <w:pPr>
        <w:pStyle w:val="Caption"/>
        <w:keepNext/>
        <w:ind w:left="0"/>
        <w:contextualSpacing/>
        <w:rPr>
          <w:b/>
          <w:szCs w:val="22"/>
        </w:rPr>
      </w:pPr>
      <w:bookmarkStart w:id="110" w:name="_Ref507418534"/>
      <w:r>
        <w:rPr>
          <w:b/>
          <w:szCs w:val="22"/>
        </w:rPr>
        <w:br w:type="page"/>
      </w:r>
    </w:p>
    <w:p w14:paraId="0447D1A4" w14:textId="3263DEEE" w:rsidR="00D95F01" w:rsidRPr="00E077A6" w:rsidRDefault="00D95F01" w:rsidP="00E077A6">
      <w:pPr>
        <w:pStyle w:val="Caption"/>
        <w:keepNext/>
        <w:ind w:left="0"/>
        <w:contextualSpacing/>
        <w:rPr>
          <w:b/>
          <w:szCs w:val="22"/>
        </w:rPr>
      </w:pPr>
      <w:r w:rsidRPr="00E077A6">
        <w:rPr>
          <w:b/>
          <w:szCs w:val="22"/>
        </w:rPr>
        <w:t xml:space="preserve">Table </w:t>
      </w:r>
      <w:r w:rsidR="00096F14" w:rsidRPr="00E077A6">
        <w:rPr>
          <w:b/>
          <w:szCs w:val="22"/>
        </w:rPr>
        <w:t>3.</w:t>
      </w:r>
      <w:bookmarkEnd w:id="110"/>
      <w:r w:rsidR="00237A11" w:rsidRPr="00E077A6">
        <w:rPr>
          <w:b/>
          <w:szCs w:val="22"/>
        </w:rPr>
        <w:t>1</w:t>
      </w:r>
      <w:r w:rsidRPr="00E077A6">
        <w:rPr>
          <w:b/>
          <w:szCs w:val="22"/>
        </w:rPr>
        <w:t>. Overview of K-CEP activities</w:t>
      </w:r>
    </w:p>
    <w:tbl>
      <w:tblPr>
        <w:tblW w:w="8506" w:type="dxa"/>
        <w:tblInd w:w="-118" w:type="dxa"/>
        <w:tblBorders>
          <w:left w:val="nil"/>
          <w:right w:val="nil"/>
        </w:tblBorders>
        <w:tblLayout w:type="fixed"/>
        <w:tblLook w:val="0000" w:firstRow="0" w:lastRow="0" w:firstColumn="0" w:lastColumn="0" w:noHBand="0" w:noVBand="0"/>
      </w:tblPr>
      <w:tblGrid>
        <w:gridCol w:w="1026"/>
        <w:gridCol w:w="1872"/>
        <w:gridCol w:w="3510"/>
        <w:gridCol w:w="2098"/>
      </w:tblGrid>
      <w:tr w:rsidR="002A137B" w:rsidRPr="00F867D0" w14:paraId="6F2E0DF5" w14:textId="77777777" w:rsidTr="00E077A6">
        <w:trPr>
          <w:trHeight w:val="677"/>
        </w:trPr>
        <w:tc>
          <w:tcPr>
            <w:tcW w:w="1026" w:type="dxa"/>
            <w:tcBorders>
              <w:top w:val="single" w:sz="8" w:space="0" w:color="062240"/>
              <w:left w:val="single" w:sz="8" w:space="0" w:color="062240"/>
              <w:bottom w:val="single" w:sz="8" w:space="0" w:color="062240"/>
              <w:right w:val="single" w:sz="8" w:space="0" w:color="062240"/>
            </w:tcBorders>
            <w:tcMar>
              <w:top w:w="192" w:type="nil"/>
              <w:left w:w="96" w:type="nil"/>
              <w:bottom w:w="96" w:type="nil"/>
              <w:right w:w="192" w:type="nil"/>
            </w:tcMar>
            <w:vAlign w:val="center"/>
          </w:tcPr>
          <w:p w14:paraId="718744EC" w14:textId="10AF4F76" w:rsidR="00D95F01" w:rsidRPr="00F867D0" w:rsidRDefault="00D95F01" w:rsidP="006F77DD">
            <w:pPr>
              <w:spacing w:after="0"/>
              <w:contextualSpacing/>
              <w:rPr>
                <w:szCs w:val="22"/>
              </w:rPr>
            </w:pPr>
            <w:r w:rsidRPr="00F867D0">
              <w:rPr>
                <w:b/>
                <w:bCs/>
                <w:szCs w:val="22"/>
              </w:rPr>
              <w:t>Focused support</w:t>
            </w:r>
          </w:p>
        </w:tc>
        <w:tc>
          <w:tcPr>
            <w:tcW w:w="1872" w:type="dxa"/>
            <w:tcBorders>
              <w:top w:val="single" w:sz="8" w:space="0" w:color="062240"/>
              <w:left w:val="single" w:sz="8" w:space="0" w:color="062240"/>
              <w:bottom w:val="single" w:sz="8" w:space="0" w:color="062240"/>
              <w:right w:val="single" w:sz="8" w:space="0" w:color="062240"/>
            </w:tcBorders>
            <w:tcMar>
              <w:top w:w="192" w:type="nil"/>
              <w:left w:w="96" w:type="nil"/>
              <w:bottom w:w="96" w:type="nil"/>
              <w:right w:w="192" w:type="nil"/>
            </w:tcMar>
          </w:tcPr>
          <w:p w14:paraId="6D6C0FD6" w14:textId="77777777" w:rsidR="00D95F01" w:rsidRPr="00F867D0" w:rsidRDefault="00D95F01" w:rsidP="00096F14">
            <w:pPr>
              <w:rPr>
                <w:b/>
                <w:i/>
              </w:rPr>
            </w:pPr>
            <w:r w:rsidRPr="00F867D0">
              <w:rPr>
                <w:b/>
                <w:i/>
              </w:rPr>
              <w:t>Enabling technology projects</w:t>
            </w:r>
          </w:p>
          <w:p w14:paraId="65A8798E" w14:textId="317580A3" w:rsidR="00D95F01" w:rsidRPr="00F867D0" w:rsidRDefault="00D95F01" w:rsidP="002A137B">
            <w:r w:rsidRPr="00F867D0">
              <w:t>Support to refrigerator and air conditioner manufacturers and supermarkets to enhance efficiency while phasing down F-gases.</w:t>
            </w:r>
          </w:p>
        </w:tc>
        <w:tc>
          <w:tcPr>
            <w:tcW w:w="3510" w:type="dxa"/>
            <w:tcBorders>
              <w:top w:val="single" w:sz="8" w:space="0" w:color="062240"/>
              <w:left w:val="single" w:sz="8" w:space="0" w:color="062240"/>
              <w:bottom w:val="single" w:sz="8" w:space="0" w:color="062240"/>
              <w:right w:val="single" w:sz="8" w:space="0" w:color="062240"/>
            </w:tcBorders>
            <w:tcMar>
              <w:top w:w="192" w:type="nil"/>
              <w:left w:w="96" w:type="nil"/>
              <w:bottom w:w="96" w:type="nil"/>
              <w:right w:w="192" w:type="nil"/>
            </w:tcMar>
          </w:tcPr>
          <w:p w14:paraId="5E885314" w14:textId="4CC1F4F0" w:rsidR="002A137B" w:rsidRDefault="00D95F01" w:rsidP="002A137B">
            <w:r w:rsidRPr="00F867D0">
              <w:rPr>
                <w:b/>
                <w:bCs/>
                <w:i/>
                <w:iCs/>
              </w:rPr>
              <w:t>National cooling plans</w:t>
            </w:r>
          </w:p>
          <w:p w14:paraId="020D9960" w14:textId="1EC62B8C" w:rsidR="00D95F01" w:rsidRPr="00F867D0" w:rsidRDefault="00D95F01" w:rsidP="002A137B">
            <w:r w:rsidRPr="00F867D0">
              <w:t>Support to develop cooling plans that can inform HPMPs and Nationally Determined Contributions.</w:t>
            </w:r>
          </w:p>
          <w:p w14:paraId="5EC1AF65" w14:textId="77777777" w:rsidR="00D95F01" w:rsidRPr="00F867D0" w:rsidRDefault="00D95F01" w:rsidP="006F77DD">
            <w:pPr>
              <w:spacing w:after="0"/>
              <w:contextualSpacing/>
              <w:rPr>
                <w:b/>
                <w:bCs/>
                <w:i/>
                <w:iCs/>
                <w:szCs w:val="22"/>
              </w:rPr>
            </w:pPr>
          </w:p>
          <w:p w14:paraId="2EE80979" w14:textId="35406EDC" w:rsidR="002A137B" w:rsidRPr="00F867D0" w:rsidRDefault="00D95F01" w:rsidP="006F77DD">
            <w:pPr>
              <w:spacing w:after="0"/>
              <w:contextualSpacing/>
              <w:rPr>
                <w:szCs w:val="22"/>
              </w:rPr>
            </w:pPr>
            <w:r w:rsidRPr="00F867D0">
              <w:rPr>
                <w:b/>
                <w:bCs/>
                <w:i/>
                <w:iCs/>
                <w:szCs w:val="22"/>
              </w:rPr>
              <w:t>Standards and labe</w:t>
            </w:r>
            <w:r w:rsidR="006161BF">
              <w:rPr>
                <w:b/>
                <w:bCs/>
                <w:i/>
                <w:iCs/>
                <w:szCs w:val="22"/>
              </w:rPr>
              <w:t>l</w:t>
            </w:r>
            <w:r w:rsidRPr="00F867D0">
              <w:rPr>
                <w:b/>
                <w:bCs/>
                <w:i/>
                <w:iCs/>
                <w:szCs w:val="22"/>
              </w:rPr>
              <w:t xml:space="preserve">ling  </w:t>
            </w:r>
          </w:p>
          <w:p w14:paraId="1465F5A4" w14:textId="6381CAAD" w:rsidR="00D95F01" w:rsidRPr="00F867D0" w:rsidRDefault="00D95F01" w:rsidP="002A137B">
            <w:pPr>
              <w:spacing w:after="0"/>
              <w:contextualSpacing/>
            </w:pPr>
            <w:r w:rsidRPr="00F867D0">
              <w:t>Minimum energy performance standards and labe</w:t>
            </w:r>
            <w:r w:rsidR="002C5E4A">
              <w:t>l</w:t>
            </w:r>
            <w:r w:rsidRPr="00F867D0">
              <w:t>ling for commercial and residential refrigerators and air conditioners.</w:t>
            </w:r>
          </w:p>
          <w:p w14:paraId="268D479B" w14:textId="77777777" w:rsidR="00D95F01" w:rsidRPr="00F867D0" w:rsidRDefault="00D95F01" w:rsidP="006F77DD">
            <w:pPr>
              <w:spacing w:after="0"/>
              <w:contextualSpacing/>
              <w:rPr>
                <w:szCs w:val="22"/>
              </w:rPr>
            </w:pPr>
          </w:p>
          <w:p w14:paraId="1500D389" w14:textId="77777777" w:rsidR="00D95F01" w:rsidRPr="00F867D0" w:rsidRDefault="00D95F01" w:rsidP="006F77DD">
            <w:pPr>
              <w:spacing w:after="0"/>
              <w:contextualSpacing/>
              <w:rPr>
                <w:b/>
                <w:bCs/>
                <w:i/>
                <w:iCs/>
                <w:szCs w:val="22"/>
              </w:rPr>
            </w:pPr>
            <w:r w:rsidRPr="00F867D0">
              <w:rPr>
                <w:b/>
                <w:bCs/>
                <w:i/>
                <w:iCs/>
                <w:szCs w:val="22"/>
              </w:rPr>
              <w:t>Set of model energy performance standards for air conditioners</w:t>
            </w:r>
          </w:p>
          <w:p w14:paraId="5BBFFA85" w14:textId="77777777" w:rsidR="00D95F01" w:rsidRPr="00F867D0" w:rsidRDefault="00D95F01" w:rsidP="006F77DD">
            <w:pPr>
              <w:spacing w:after="0"/>
              <w:contextualSpacing/>
              <w:rPr>
                <w:szCs w:val="22"/>
              </w:rPr>
            </w:pPr>
          </w:p>
          <w:p w14:paraId="71808D4E" w14:textId="27782203" w:rsidR="002A137B" w:rsidRPr="00F867D0" w:rsidRDefault="00D95F01" w:rsidP="006F77DD">
            <w:pPr>
              <w:spacing w:after="0"/>
              <w:contextualSpacing/>
              <w:rPr>
                <w:szCs w:val="22"/>
              </w:rPr>
            </w:pPr>
            <w:r w:rsidRPr="00F867D0">
              <w:rPr>
                <w:b/>
                <w:bCs/>
                <w:i/>
                <w:iCs/>
                <w:szCs w:val="22"/>
              </w:rPr>
              <w:t>Compliance</w:t>
            </w:r>
          </w:p>
          <w:p w14:paraId="75F21E89" w14:textId="77777777" w:rsidR="00D95F01" w:rsidRPr="00F867D0" w:rsidRDefault="00D95F01" w:rsidP="002A137B">
            <w:pPr>
              <w:spacing w:after="0"/>
              <w:contextualSpacing/>
            </w:pPr>
            <w:r w:rsidRPr="00F867D0">
              <w:t>Monitoring, verification, and import controls.</w:t>
            </w:r>
          </w:p>
          <w:p w14:paraId="22A4B7EA" w14:textId="7F6F8FF1" w:rsidR="00096F14" w:rsidRPr="00F867D0" w:rsidRDefault="00096F14" w:rsidP="00096F14">
            <w:pPr>
              <w:ind w:left="360"/>
            </w:pPr>
          </w:p>
        </w:tc>
        <w:tc>
          <w:tcPr>
            <w:tcW w:w="2098" w:type="dxa"/>
            <w:tcBorders>
              <w:top w:val="single" w:sz="8" w:space="0" w:color="062240"/>
              <w:left w:val="single" w:sz="8" w:space="0" w:color="062240"/>
              <w:bottom w:val="single" w:sz="8" w:space="0" w:color="062240"/>
              <w:right w:val="single" w:sz="8" w:space="0" w:color="062240"/>
            </w:tcBorders>
            <w:tcMar>
              <w:top w:w="192" w:type="nil"/>
              <w:left w:w="96" w:type="nil"/>
              <w:bottom w:w="96" w:type="nil"/>
              <w:right w:w="192" w:type="nil"/>
            </w:tcMar>
          </w:tcPr>
          <w:p w14:paraId="16C02D51" w14:textId="61CE91F3" w:rsidR="002A137B" w:rsidRPr="00F867D0" w:rsidRDefault="00D95F01" w:rsidP="00096F14">
            <w:r w:rsidRPr="00F867D0">
              <w:rPr>
                <w:b/>
                <w:bCs/>
                <w:i/>
                <w:iCs/>
              </w:rPr>
              <w:t>Identifying finance needs and incentives</w:t>
            </w:r>
          </w:p>
          <w:p w14:paraId="6EF6D08E" w14:textId="7269FBE6" w:rsidR="00D95F01" w:rsidRPr="00F867D0" w:rsidRDefault="00D95F01" w:rsidP="002A137B">
            <w:r w:rsidRPr="00F867D0">
              <w:t>Bulk procurement, rebates and/or other financial mechanisms.</w:t>
            </w:r>
          </w:p>
          <w:p w14:paraId="11ADD2B9" w14:textId="77777777" w:rsidR="00D95F01" w:rsidRPr="00F867D0" w:rsidRDefault="00D95F01" w:rsidP="006F77DD">
            <w:pPr>
              <w:spacing w:after="0"/>
              <w:contextualSpacing/>
              <w:rPr>
                <w:szCs w:val="22"/>
              </w:rPr>
            </w:pPr>
            <w:r w:rsidRPr="00F867D0">
              <w:rPr>
                <w:b/>
                <w:bCs/>
                <w:i/>
                <w:iCs/>
                <w:szCs w:val="22"/>
              </w:rPr>
              <w:t>Report on cooling market and investment landscape</w:t>
            </w:r>
          </w:p>
          <w:p w14:paraId="5479BFE6" w14:textId="77777777" w:rsidR="00D95F01" w:rsidRPr="00F867D0" w:rsidRDefault="00D95F01" w:rsidP="006F77DD">
            <w:pPr>
              <w:spacing w:after="0"/>
              <w:contextualSpacing/>
              <w:rPr>
                <w:b/>
                <w:bCs/>
                <w:i/>
                <w:iCs/>
                <w:szCs w:val="22"/>
              </w:rPr>
            </w:pPr>
          </w:p>
          <w:p w14:paraId="65974567" w14:textId="6FAF4BDF" w:rsidR="002A137B" w:rsidRPr="00F867D0" w:rsidRDefault="00D95F01" w:rsidP="006F77DD">
            <w:pPr>
              <w:spacing w:after="0"/>
              <w:contextualSpacing/>
              <w:rPr>
                <w:szCs w:val="22"/>
              </w:rPr>
            </w:pPr>
            <w:r w:rsidRPr="00F867D0">
              <w:rPr>
                <w:b/>
                <w:bCs/>
                <w:i/>
                <w:iCs/>
                <w:szCs w:val="22"/>
              </w:rPr>
              <w:t>Window 3</w:t>
            </w:r>
            <w:r w:rsidR="00DD7BAD">
              <w:rPr>
                <w:b/>
                <w:bCs/>
                <w:i/>
                <w:iCs/>
                <w:szCs w:val="22"/>
              </w:rPr>
              <w:t xml:space="preserve">- </w:t>
            </w:r>
            <w:r w:rsidRPr="00F867D0">
              <w:rPr>
                <w:b/>
                <w:bCs/>
                <w:i/>
                <w:iCs/>
                <w:szCs w:val="22"/>
              </w:rPr>
              <w:t>Finance</w:t>
            </w:r>
          </w:p>
          <w:p w14:paraId="5806D03B" w14:textId="77777777" w:rsidR="00D95F01" w:rsidRDefault="00D95F01" w:rsidP="002A137B">
            <w:pPr>
              <w:spacing w:after="0"/>
              <w:contextualSpacing/>
            </w:pPr>
            <w:r w:rsidRPr="00F867D0">
              <w:t>Launch planned in 2018; will include technical assistance for proposal preparation for funding from other financial institutions.</w:t>
            </w:r>
          </w:p>
          <w:p w14:paraId="38AA0FD4" w14:textId="0AA78786" w:rsidR="00E077A6" w:rsidRPr="00F867D0" w:rsidRDefault="00E077A6" w:rsidP="002A137B">
            <w:pPr>
              <w:spacing w:after="0"/>
              <w:contextualSpacing/>
            </w:pPr>
          </w:p>
        </w:tc>
      </w:tr>
      <w:tr w:rsidR="00096F14" w:rsidRPr="00F867D0" w14:paraId="4DA65D57" w14:textId="77777777" w:rsidTr="002A137B">
        <w:tc>
          <w:tcPr>
            <w:tcW w:w="1026" w:type="dxa"/>
            <w:vMerge w:val="restart"/>
            <w:tcBorders>
              <w:top w:val="single" w:sz="8" w:space="0" w:color="062240"/>
              <w:left w:val="single" w:sz="8" w:space="0" w:color="062240"/>
              <w:bottom w:val="single" w:sz="8" w:space="0" w:color="062240"/>
              <w:right w:val="single" w:sz="8" w:space="0" w:color="062240"/>
            </w:tcBorders>
            <w:tcMar>
              <w:top w:w="192" w:type="nil"/>
              <w:left w:w="96" w:type="nil"/>
              <w:bottom w:w="96" w:type="nil"/>
              <w:right w:w="192" w:type="nil"/>
            </w:tcMar>
            <w:vAlign w:val="center"/>
          </w:tcPr>
          <w:p w14:paraId="54DA56F4" w14:textId="77777777" w:rsidR="00096F14" w:rsidRPr="00F867D0" w:rsidRDefault="00096F14" w:rsidP="006F77DD">
            <w:pPr>
              <w:spacing w:after="0"/>
              <w:contextualSpacing/>
              <w:rPr>
                <w:szCs w:val="22"/>
              </w:rPr>
            </w:pPr>
            <w:r w:rsidRPr="00F867D0">
              <w:rPr>
                <w:b/>
                <w:bCs/>
                <w:szCs w:val="22"/>
              </w:rPr>
              <w:t xml:space="preserve">Cross-cutting </w:t>
            </w:r>
          </w:p>
          <w:p w14:paraId="5746BEA8" w14:textId="77F041EB" w:rsidR="00096F14" w:rsidRPr="00F867D0" w:rsidRDefault="00096F14" w:rsidP="006F77DD">
            <w:pPr>
              <w:spacing w:after="0"/>
              <w:contextualSpacing/>
              <w:rPr>
                <w:szCs w:val="22"/>
              </w:rPr>
            </w:pPr>
            <w:r w:rsidRPr="00F867D0">
              <w:rPr>
                <w:b/>
                <w:bCs/>
                <w:szCs w:val="22"/>
              </w:rPr>
              <w:t>support</w:t>
            </w:r>
          </w:p>
        </w:tc>
        <w:tc>
          <w:tcPr>
            <w:tcW w:w="7480" w:type="dxa"/>
            <w:gridSpan w:val="3"/>
            <w:tcBorders>
              <w:top w:val="single" w:sz="8" w:space="0" w:color="062240"/>
              <w:left w:val="single" w:sz="8" w:space="0" w:color="062240"/>
              <w:bottom w:val="single" w:sz="8" w:space="0" w:color="062240"/>
              <w:right w:val="single" w:sz="8" w:space="0" w:color="062240"/>
            </w:tcBorders>
            <w:tcMar>
              <w:top w:w="192" w:type="nil"/>
              <w:left w:w="96" w:type="nil"/>
              <w:bottom w:w="96" w:type="nil"/>
              <w:right w:w="192" w:type="nil"/>
            </w:tcMar>
          </w:tcPr>
          <w:p w14:paraId="6BB9CE30" w14:textId="46BD8A02" w:rsidR="002A137B" w:rsidRPr="00F867D0" w:rsidRDefault="00096F14" w:rsidP="006F77DD">
            <w:pPr>
              <w:spacing w:after="0"/>
              <w:contextualSpacing/>
              <w:rPr>
                <w:szCs w:val="22"/>
              </w:rPr>
            </w:pPr>
            <w:r w:rsidRPr="00F867D0">
              <w:rPr>
                <w:b/>
                <w:bCs/>
                <w:i/>
                <w:iCs/>
                <w:szCs w:val="22"/>
              </w:rPr>
              <w:t>Training and capacity building</w:t>
            </w:r>
          </w:p>
          <w:p w14:paraId="158A5014" w14:textId="77777777" w:rsidR="00096F14" w:rsidRDefault="00096F14" w:rsidP="00E077A6">
            <w:pPr>
              <w:spacing w:after="0"/>
              <w:contextualSpacing/>
            </w:pPr>
            <w:r w:rsidRPr="00F867D0">
              <w:t>Support to ozone and energy policy makers, refrigerator and air conditioner small and medium-sized enterprises, service sector.</w:t>
            </w:r>
          </w:p>
          <w:p w14:paraId="2FCC5A06" w14:textId="59510DC6" w:rsidR="00E077A6" w:rsidRPr="00F867D0" w:rsidRDefault="00E077A6" w:rsidP="00E077A6">
            <w:pPr>
              <w:spacing w:after="0"/>
              <w:contextualSpacing/>
            </w:pPr>
          </w:p>
        </w:tc>
      </w:tr>
      <w:tr w:rsidR="00D95F01" w:rsidRPr="00F867D0" w14:paraId="12CF4D05" w14:textId="77777777" w:rsidTr="002A137B">
        <w:tblPrEx>
          <w:tblBorders>
            <w:top w:val="nil"/>
          </w:tblBorders>
        </w:tblPrEx>
        <w:tc>
          <w:tcPr>
            <w:tcW w:w="1026" w:type="dxa"/>
            <w:vMerge/>
            <w:tcBorders>
              <w:top w:val="single" w:sz="8" w:space="0" w:color="062240"/>
              <w:left w:val="single" w:sz="8" w:space="0" w:color="062240"/>
              <w:bottom w:val="single" w:sz="8" w:space="0" w:color="062240"/>
              <w:right w:val="single" w:sz="8" w:space="0" w:color="062240"/>
            </w:tcBorders>
            <w:tcMar>
              <w:top w:w="192" w:type="nil"/>
              <w:left w:w="96" w:type="nil"/>
              <w:bottom w:w="96" w:type="nil"/>
              <w:right w:w="192" w:type="nil"/>
            </w:tcMar>
            <w:vAlign w:val="center"/>
          </w:tcPr>
          <w:p w14:paraId="02579F30" w14:textId="77777777" w:rsidR="00D95F01" w:rsidRPr="00F867D0" w:rsidRDefault="00D95F01" w:rsidP="006F77DD">
            <w:pPr>
              <w:spacing w:after="0"/>
              <w:contextualSpacing/>
              <w:rPr>
                <w:szCs w:val="22"/>
              </w:rPr>
            </w:pPr>
          </w:p>
        </w:tc>
        <w:tc>
          <w:tcPr>
            <w:tcW w:w="7480" w:type="dxa"/>
            <w:gridSpan w:val="3"/>
            <w:tcBorders>
              <w:top w:val="single" w:sz="8" w:space="0" w:color="062240"/>
              <w:left w:val="single" w:sz="8" w:space="0" w:color="062240"/>
              <w:bottom w:val="single" w:sz="8" w:space="0" w:color="062240"/>
              <w:right w:val="single" w:sz="8" w:space="0" w:color="062240"/>
            </w:tcBorders>
            <w:tcMar>
              <w:top w:w="192" w:type="nil"/>
              <w:left w:w="96" w:type="nil"/>
              <w:bottom w:w="96" w:type="nil"/>
              <w:right w:w="192" w:type="nil"/>
            </w:tcMar>
          </w:tcPr>
          <w:p w14:paraId="5227F428" w14:textId="70643C0D" w:rsidR="002A137B" w:rsidRPr="00F867D0" w:rsidRDefault="00D95F01" w:rsidP="006F77DD">
            <w:pPr>
              <w:spacing w:after="0"/>
              <w:contextualSpacing/>
              <w:rPr>
                <w:szCs w:val="22"/>
              </w:rPr>
            </w:pPr>
            <w:r w:rsidRPr="00F867D0">
              <w:rPr>
                <w:b/>
                <w:bCs/>
                <w:i/>
                <w:iCs/>
                <w:szCs w:val="22"/>
              </w:rPr>
              <w:t>Cooling for all</w:t>
            </w:r>
          </w:p>
          <w:p w14:paraId="7286376D" w14:textId="77777777" w:rsidR="00096F14" w:rsidRDefault="00D95F01" w:rsidP="00E077A6">
            <w:pPr>
              <w:spacing w:after="0"/>
              <w:contextualSpacing/>
            </w:pPr>
            <w:r w:rsidRPr="00F867D0">
              <w:t>Identifying the best solutions to make clean cooling accessible to all.</w:t>
            </w:r>
          </w:p>
          <w:p w14:paraId="0B59E5BD" w14:textId="5B29ED6C" w:rsidR="00E077A6" w:rsidRPr="00F867D0" w:rsidRDefault="00E077A6" w:rsidP="00E077A6">
            <w:pPr>
              <w:spacing w:after="0"/>
              <w:contextualSpacing/>
            </w:pPr>
          </w:p>
        </w:tc>
      </w:tr>
    </w:tbl>
    <w:p w14:paraId="5149FD6E" w14:textId="77777777" w:rsidR="003F534F" w:rsidRPr="00F867D0" w:rsidRDefault="003F534F" w:rsidP="00501680">
      <w:pPr>
        <w:rPr>
          <w:b/>
          <w:szCs w:val="22"/>
        </w:rPr>
      </w:pPr>
      <w:bookmarkStart w:id="111" w:name="_Toc509492767"/>
    </w:p>
    <w:p w14:paraId="769C7684" w14:textId="60A9C847" w:rsidR="00096F14" w:rsidRPr="000F749F" w:rsidRDefault="00096F14" w:rsidP="000F749F">
      <w:pPr>
        <w:pStyle w:val="Heading3"/>
        <w:rPr>
          <w:b w:val="0"/>
        </w:rPr>
      </w:pPr>
      <w:bookmarkStart w:id="112" w:name="_Toc515454395"/>
      <w:r w:rsidRPr="000F749F">
        <w:t>3.2.2</w:t>
      </w:r>
      <w:r w:rsidRPr="000F749F">
        <w:tab/>
        <w:t>Global</w:t>
      </w:r>
      <w:r w:rsidR="00CD06AB" w:rsidRPr="000F749F">
        <w:t xml:space="preserve"> Environmental Facility</w:t>
      </w:r>
      <w:bookmarkEnd w:id="112"/>
    </w:p>
    <w:bookmarkEnd w:id="111"/>
    <w:p w14:paraId="02001213" w14:textId="77777777" w:rsidR="00CD06AB" w:rsidRPr="00F867D0" w:rsidRDefault="00CD06AB" w:rsidP="004F5D3D">
      <w:pPr>
        <w:spacing w:after="0"/>
        <w:rPr>
          <w:b/>
          <w:color w:val="auto"/>
        </w:rPr>
      </w:pPr>
      <w:r w:rsidRPr="00F867D0">
        <w:rPr>
          <w:b/>
        </w:rPr>
        <w:t>Overview</w:t>
      </w:r>
    </w:p>
    <w:p w14:paraId="18230E1B" w14:textId="77777777" w:rsidR="00E077A6" w:rsidRDefault="00E077A6" w:rsidP="004F5D3D">
      <w:pPr>
        <w:spacing w:after="0"/>
        <w:rPr>
          <w:color w:val="262626"/>
        </w:rPr>
      </w:pPr>
    </w:p>
    <w:p w14:paraId="193CE66F" w14:textId="07CE8077" w:rsidR="00501680" w:rsidRPr="00F867D0" w:rsidRDefault="00501680" w:rsidP="004F5D3D">
      <w:pPr>
        <w:spacing w:after="0"/>
      </w:pPr>
      <w:r w:rsidRPr="00F867D0">
        <w:rPr>
          <w:color w:val="262626"/>
        </w:rPr>
        <w:t>The Global Environment Facility (GEF) was established on the 1992 Rio Earth Summit to help tackle the most pressing environmental problems in the planet. Since then, the GEF has provided over US$17 billion in grants and mobilized an additional US$88 billion in financing for more than 4000 projects in 170 countries</w:t>
      </w:r>
      <w:r w:rsidR="00CD06AB" w:rsidRPr="00F867D0">
        <w:rPr>
          <w:color w:val="262626"/>
        </w:rPr>
        <w:t>.</w:t>
      </w:r>
      <w:r w:rsidR="00CD06AB" w:rsidRPr="00F867D0">
        <w:rPr>
          <w:rStyle w:val="FootnoteReference"/>
          <w:color w:val="262626"/>
          <w:szCs w:val="22"/>
        </w:rPr>
        <w:footnoteReference w:id="19"/>
      </w:r>
    </w:p>
    <w:p w14:paraId="0E0C9FA3" w14:textId="77777777" w:rsidR="004F5D3D" w:rsidRDefault="004F5D3D" w:rsidP="004F5D3D">
      <w:pPr>
        <w:widowControl w:val="0"/>
        <w:autoSpaceDE w:val="0"/>
        <w:autoSpaceDN w:val="0"/>
        <w:adjustRightInd w:val="0"/>
        <w:spacing w:after="0"/>
        <w:rPr>
          <w:szCs w:val="22"/>
        </w:rPr>
      </w:pPr>
    </w:p>
    <w:p w14:paraId="27C2C218" w14:textId="6F9CF438" w:rsidR="004F5D3D" w:rsidRDefault="00CD06AB" w:rsidP="004F5D3D">
      <w:pPr>
        <w:widowControl w:val="0"/>
        <w:autoSpaceDE w:val="0"/>
        <w:autoSpaceDN w:val="0"/>
        <w:adjustRightInd w:val="0"/>
        <w:spacing w:after="0"/>
        <w:rPr>
          <w:szCs w:val="22"/>
        </w:rPr>
      </w:pPr>
      <w:r w:rsidRPr="00F867D0">
        <w:rPr>
          <w:szCs w:val="22"/>
        </w:rPr>
        <w:t xml:space="preserve">The GEF </w:t>
      </w:r>
      <w:r w:rsidR="00501680" w:rsidRPr="00F867D0">
        <w:rPr>
          <w:szCs w:val="22"/>
        </w:rPr>
        <w:t xml:space="preserve">is an international partnership </w:t>
      </w:r>
      <w:r w:rsidR="00501680" w:rsidRPr="00F867D0">
        <w:rPr>
          <w:color w:val="262626"/>
          <w:szCs w:val="22"/>
        </w:rPr>
        <w:t>of 183 countries, international institutions, civil society organi</w:t>
      </w:r>
      <w:r w:rsidR="000A31D6">
        <w:rPr>
          <w:color w:val="262626"/>
          <w:szCs w:val="22"/>
        </w:rPr>
        <w:t>s</w:t>
      </w:r>
      <w:r w:rsidR="00501680" w:rsidRPr="00F867D0">
        <w:rPr>
          <w:color w:val="262626"/>
          <w:szCs w:val="22"/>
        </w:rPr>
        <w:t xml:space="preserve">ations and the private sector that addresses global environmental issues. In addition, The GEF partners with </w:t>
      </w:r>
      <w:r w:rsidR="00501680" w:rsidRPr="00F867D0">
        <w:rPr>
          <w:szCs w:val="22"/>
        </w:rPr>
        <w:t xml:space="preserve">18 agencies — including United Nations agencies, multilateral development banks, national entities and international NGOs. The GEF has a large </w:t>
      </w:r>
      <w:r w:rsidR="000A31D6">
        <w:rPr>
          <w:szCs w:val="22"/>
        </w:rPr>
        <w:t>network of civil society organis</w:t>
      </w:r>
      <w:r w:rsidR="00501680" w:rsidRPr="00F867D0">
        <w:rPr>
          <w:szCs w:val="22"/>
        </w:rPr>
        <w:t>ations, works closely with the private sector around the world, and receives continuous inputs from an evaluation office and a scientific panel.</w:t>
      </w:r>
    </w:p>
    <w:p w14:paraId="5060F568" w14:textId="03BDE9E6" w:rsidR="00501680" w:rsidRPr="00F867D0" w:rsidRDefault="00501680" w:rsidP="004F5D3D">
      <w:pPr>
        <w:widowControl w:val="0"/>
        <w:autoSpaceDE w:val="0"/>
        <w:autoSpaceDN w:val="0"/>
        <w:adjustRightInd w:val="0"/>
        <w:spacing w:after="0"/>
        <w:rPr>
          <w:szCs w:val="22"/>
        </w:rPr>
      </w:pPr>
      <w:r w:rsidRPr="00F867D0">
        <w:rPr>
          <w:szCs w:val="22"/>
        </w:rPr>
        <w:t xml:space="preserve"> </w:t>
      </w:r>
    </w:p>
    <w:p w14:paraId="32B382C1" w14:textId="111B8140" w:rsidR="00501680" w:rsidRDefault="00501680" w:rsidP="00031D16">
      <w:pPr>
        <w:widowControl w:val="0"/>
        <w:autoSpaceDE w:val="0"/>
        <w:autoSpaceDN w:val="0"/>
        <w:adjustRightInd w:val="0"/>
        <w:spacing w:after="0"/>
        <w:rPr>
          <w:szCs w:val="22"/>
        </w:rPr>
      </w:pPr>
      <w:r w:rsidRPr="00F867D0">
        <w:rPr>
          <w:szCs w:val="22"/>
        </w:rPr>
        <w:t>T</w:t>
      </w:r>
      <w:r w:rsidR="004F5D3D">
        <w:rPr>
          <w:szCs w:val="22"/>
        </w:rPr>
        <w:t>he</w:t>
      </w:r>
      <w:r w:rsidRPr="00F867D0">
        <w:rPr>
          <w:szCs w:val="22"/>
        </w:rPr>
        <w:t xml:space="preserve"> GEF is a Financial Mechanism for five major internati</w:t>
      </w:r>
      <w:r w:rsidR="00E077A6">
        <w:rPr>
          <w:szCs w:val="22"/>
        </w:rPr>
        <w:t>onal environmental conventions:</w:t>
      </w:r>
    </w:p>
    <w:p w14:paraId="673A3CC7" w14:textId="77777777" w:rsidR="00E077A6" w:rsidRPr="00F867D0" w:rsidRDefault="00E077A6" w:rsidP="00031D16">
      <w:pPr>
        <w:widowControl w:val="0"/>
        <w:autoSpaceDE w:val="0"/>
        <w:autoSpaceDN w:val="0"/>
        <w:adjustRightInd w:val="0"/>
        <w:spacing w:after="0"/>
        <w:rPr>
          <w:szCs w:val="22"/>
        </w:rPr>
      </w:pPr>
    </w:p>
    <w:p w14:paraId="2BABF623" w14:textId="784E0156" w:rsidR="00501680" w:rsidRPr="00F867D0" w:rsidRDefault="00CD06AB" w:rsidP="00BF4C57">
      <w:pPr>
        <w:pStyle w:val="ListParagraph"/>
        <w:numPr>
          <w:ilvl w:val="0"/>
          <w:numId w:val="50"/>
        </w:numPr>
      </w:pPr>
      <w:r w:rsidRPr="00F867D0">
        <w:t xml:space="preserve">The </w:t>
      </w:r>
      <w:r w:rsidR="00501680" w:rsidRPr="00F867D0">
        <w:t>United Nations Framework Convention on Climate Change (UNFCCC)</w:t>
      </w:r>
      <w:r w:rsidRPr="00F867D0">
        <w:t>;</w:t>
      </w:r>
      <w:r w:rsidR="00501680" w:rsidRPr="00F867D0">
        <w:t xml:space="preserve"> </w:t>
      </w:r>
    </w:p>
    <w:p w14:paraId="054DD43C" w14:textId="77777777" w:rsidR="00E077A6" w:rsidRDefault="00E077A6" w:rsidP="00E077A6">
      <w:pPr>
        <w:pStyle w:val="ListParagraph"/>
        <w:numPr>
          <w:ilvl w:val="0"/>
          <w:numId w:val="0"/>
        </w:numPr>
        <w:ind w:left="720"/>
      </w:pPr>
    </w:p>
    <w:p w14:paraId="7F0E7640" w14:textId="080A117E" w:rsidR="00501680" w:rsidRPr="00F867D0" w:rsidRDefault="00CD06AB" w:rsidP="00BF4C57">
      <w:pPr>
        <w:pStyle w:val="ListParagraph"/>
        <w:numPr>
          <w:ilvl w:val="0"/>
          <w:numId w:val="50"/>
        </w:numPr>
      </w:pPr>
      <w:r w:rsidRPr="00F867D0">
        <w:t xml:space="preserve">The </w:t>
      </w:r>
      <w:r w:rsidR="00501680" w:rsidRPr="00F867D0">
        <w:t>United Nations Convention on Biological Diversity (UNCBD)</w:t>
      </w:r>
      <w:r w:rsidRPr="00F867D0">
        <w:t>;</w:t>
      </w:r>
    </w:p>
    <w:p w14:paraId="01DDFBDB" w14:textId="77777777" w:rsidR="00E077A6" w:rsidRDefault="00E077A6" w:rsidP="00E077A6">
      <w:pPr>
        <w:pStyle w:val="ListParagraph"/>
        <w:numPr>
          <w:ilvl w:val="0"/>
          <w:numId w:val="0"/>
        </w:numPr>
        <w:ind w:left="720"/>
      </w:pPr>
    </w:p>
    <w:p w14:paraId="68DB77C6" w14:textId="11ABAB79" w:rsidR="00501680" w:rsidRPr="00F867D0" w:rsidRDefault="00CD06AB" w:rsidP="00BF4C57">
      <w:pPr>
        <w:pStyle w:val="ListParagraph"/>
        <w:numPr>
          <w:ilvl w:val="0"/>
          <w:numId w:val="50"/>
        </w:numPr>
      </w:pPr>
      <w:r w:rsidRPr="00F867D0">
        <w:t xml:space="preserve">The </w:t>
      </w:r>
      <w:r w:rsidR="00501680" w:rsidRPr="00F867D0">
        <w:t>Stockholm Convention on Persistent Organic Pollutants (POPs)</w:t>
      </w:r>
      <w:r w:rsidRPr="00F867D0">
        <w:t>;</w:t>
      </w:r>
    </w:p>
    <w:p w14:paraId="771B39B6" w14:textId="77777777" w:rsidR="00E077A6" w:rsidRDefault="00E077A6" w:rsidP="00E077A6">
      <w:pPr>
        <w:pStyle w:val="ListParagraph"/>
        <w:numPr>
          <w:ilvl w:val="0"/>
          <w:numId w:val="0"/>
        </w:numPr>
        <w:ind w:left="720"/>
      </w:pPr>
    </w:p>
    <w:p w14:paraId="468ED0F4" w14:textId="6EB6D521" w:rsidR="00501680" w:rsidRPr="00F867D0" w:rsidRDefault="00CD06AB" w:rsidP="00BF4C57">
      <w:pPr>
        <w:pStyle w:val="ListParagraph"/>
        <w:numPr>
          <w:ilvl w:val="0"/>
          <w:numId w:val="50"/>
        </w:numPr>
      </w:pPr>
      <w:r w:rsidRPr="00F867D0">
        <w:t xml:space="preserve">The </w:t>
      </w:r>
      <w:r w:rsidR="00501680" w:rsidRPr="00F867D0">
        <w:t>United Nations Convention to Combat Desertification (UNCCD)</w:t>
      </w:r>
      <w:r w:rsidRPr="00F867D0">
        <w:t>; and</w:t>
      </w:r>
    </w:p>
    <w:p w14:paraId="30EFD46F" w14:textId="77777777" w:rsidR="00E077A6" w:rsidRDefault="00E077A6" w:rsidP="00E077A6">
      <w:pPr>
        <w:pStyle w:val="ListParagraph"/>
        <w:numPr>
          <w:ilvl w:val="0"/>
          <w:numId w:val="0"/>
        </w:numPr>
        <w:ind w:left="720"/>
      </w:pPr>
    </w:p>
    <w:p w14:paraId="6FF2FB4D" w14:textId="603EC508" w:rsidR="00501680" w:rsidRDefault="00CD06AB" w:rsidP="00BF4C57">
      <w:pPr>
        <w:pStyle w:val="ListParagraph"/>
        <w:numPr>
          <w:ilvl w:val="0"/>
          <w:numId w:val="50"/>
        </w:numPr>
      </w:pPr>
      <w:r w:rsidRPr="00F867D0">
        <w:t xml:space="preserve">The </w:t>
      </w:r>
      <w:r w:rsidR="00E077A6">
        <w:t>Minamata Convention on Mercury.</w:t>
      </w:r>
    </w:p>
    <w:p w14:paraId="63199DE5" w14:textId="77777777" w:rsidR="00E077A6" w:rsidRPr="00F867D0" w:rsidRDefault="00E077A6" w:rsidP="00E077A6">
      <w:pPr>
        <w:pStyle w:val="ListParagraph"/>
        <w:numPr>
          <w:ilvl w:val="0"/>
          <w:numId w:val="0"/>
        </w:numPr>
        <w:ind w:left="720"/>
      </w:pPr>
    </w:p>
    <w:p w14:paraId="579FB0EF" w14:textId="30E8835C" w:rsidR="00501680" w:rsidRPr="00F867D0" w:rsidRDefault="00CD06AB" w:rsidP="00501680">
      <w:pPr>
        <w:widowControl w:val="0"/>
        <w:autoSpaceDE w:val="0"/>
        <w:autoSpaceDN w:val="0"/>
        <w:adjustRightInd w:val="0"/>
        <w:rPr>
          <w:color w:val="262626"/>
          <w:szCs w:val="22"/>
        </w:rPr>
      </w:pPr>
      <w:r w:rsidRPr="00F867D0">
        <w:rPr>
          <w:color w:val="262626"/>
          <w:szCs w:val="22"/>
        </w:rPr>
        <w:t xml:space="preserve">The GEF, </w:t>
      </w:r>
      <w:r w:rsidR="00501680" w:rsidRPr="00F867D0">
        <w:rPr>
          <w:color w:val="262626"/>
          <w:szCs w:val="22"/>
        </w:rPr>
        <w:t xml:space="preserve">although not linked formally to the Montreal Protocol, supports implementation in Countries with Economies in Transition (CEIT). The GEF Secretariat and the Secretariats of the Montreal Protocol and the </w:t>
      </w:r>
      <w:r w:rsidR="004F5D3D">
        <w:rPr>
          <w:color w:val="262626"/>
          <w:szCs w:val="22"/>
        </w:rPr>
        <w:t>MLF</w:t>
      </w:r>
      <w:r w:rsidR="00501680" w:rsidRPr="00F867D0">
        <w:rPr>
          <w:color w:val="262626"/>
          <w:szCs w:val="22"/>
        </w:rPr>
        <w:t xml:space="preserve"> defined areas of cooperation and coordination.</w:t>
      </w:r>
    </w:p>
    <w:p w14:paraId="35478A1B" w14:textId="3A15154C" w:rsidR="00501680" w:rsidRPr="00F867D0" w:rsidRDefault="00CD06AB" w:rsidP="00501680">
      <w:pPr>
        <w:widowControl w:val="0"/>
        <w:autoSpaceDE w:val="0"/>
        <w:autoSpaceDN w:val="0"/>
        <w:adjustRightInd w:val="0"/>
        <w:rPr>
          <w:color w:val="262626"/>
          <w:szCs w:val="22"/>
        </w:rPr>
      </w:pPr>
      <w:r w:rsidRPr="00F867D0">
        <w:rPr>
          <w:color w:val="262626"/>
          <w:szCs w:val="22"/>
        </w:rPr>
        <w:t xml:space="preserve">The GEF </w:t>
      </w:r>
      <w:r w:rsidR="00501680" w:rsidRPr="00F867D0">
        <w:rPr>
          <w:color w:val="262626"/>
          <w:szCs w:val="22"/>
        </w:rPr>
        <w:t xml:space="preserve">supports capacity development for successful implementation of the international conventions for which </w:t>
      </w:r>
      <w:r w:rsidR="00633A4A">
        <w:rPr>
          <w:color w:val="262626"/>
          <w:szCs w:val="22"/>
        </w:rPr>
        <w:t>the</w:t>
      </w:r>
      <w:r w:rsidR="00501680" w:rsidRPr="00F867D0">
        <w:rPr>
          <w:color w:val="262626"/>
          <w:szCs w:val="22"/>
        </w:rPr>
        <w:t xml:space="preserve"> GEF is serving as the financial mechanism. This is a primarily domestically-driven process that clearly defines the capacity needed in terms of people and infrastructure. Capacity development in the GEF adheres fully to the concerns and priorities expressed by the international community. For example, the enabling environment means capable individuals and effective infrastructure working together in a well-functioning political, economic a</w:t>
      </w:r>
      <w:r w:rsidR="007C22E1" w:rsidRPr="00F867D0">
        <w:rPr>
          <w:color w:val="262626"/>
          <w:szCs w:val="22"/>
        </w:rPr>
        <w:t xml:space="preserve">nd social system. </w:t>
      </w:r>
    </w:p>
    <w:p w14:paraId="0B8B5D0E" w14:textId="081CBFD5" w:rsidR="00501680" w:rsidRPr="00F867D0" w:rsidRDefault="00CD06AB" w:rsidP="00501680">
      <w:pPr>
        <w:widowControl w:val="0"/>
        <w:autoSpaceDE w:val="0"/>
        <w:autoSpaceDN w:val="0"/>
        <w:adjustRightInd w:val="0"/>
        <w:rPr>
          <w:color w:val="262626"/>
          <w:szCs w:val="22"/>
        </w:rPr>
      </w:pPr>
      <w:r w:rsidRPr="00F867D0">
        <w:rPr>
          <w:color w:val="262626"/>
          <w:szCs w:val="22"/>
        </w:rPr>
        <w:t xml:space="preserve">The GEF </w:t>
      </w:r>
      <w:r w:rsidR="00501680" w:rsidRPr="00F867D0">
        <w:rPr>
          <w:color w:val="262626"/>
          <w:szCs w:val="22"/>
        </w:rPr>
        <w:t xml:space="preserve">investments have been focused on the global environmental benefits in biodiversity, climate change mitigation, international waters, land degradation and forests, and chemicals and waste. However, </w:t>
      </w:r>
      <w:r w:rsidR="008C3ED4">
        <w:rPr>
          <w:color w:val="262626"/>
          <w:szCs w:val="22"/>
        </w:rPr>
        <w:t xml:space="preserve">the </w:t>
      </w:r>
      <w:r w:rsidR="00501680" w:rsidRPr="00F867D0">
        <w:rPr>
          <w:color w:val="262626"/>
          <w:szCs w:val="22"/>
        </w:rPr>
        <w:t>GEF is increasingly seeking to deliver multiple environmental benefits through integrated investments across the various dimensions of the global environment.</w:t>
      </w:r>
    </w:p>
    <w:p w14:paraId="7C7D8752" w14:textId="782B569B" w:rsidR="00501680" w:rsidRDefault="00501680" w:rsidP="00031D16">
      <w:pPr>
        <w:widowControl w:val="0"/>
        <w:autoSpaceDE w:val="0"/>
        <w:autoSpaceDN w:val="0"/>
        <w:adjustRightInd w:val="0"/>
        <w:spacing w:after="0"/>
        <w:rPr>
          <w:color w:val="262626"/>
          <w:szCs w:val="22"/>
        </w:rPr>
      </w:pPr>
      <w:r w:rsidRPr="00F867D0">
        <w:rPr>
          <w:color w:val="262626"/>
          <w:szCs w:val="22"/>
        </w:rPr>
        <w:t>Within the Climate Change Mitigation area, the GEF includes the sustainable mitigation of the concentration of anthropogenic greenhouse gases (GHG) in the atmosphere. Specifically, it includes:</w:t>
      </w:r>
    </w:p>
    <w:p w14:paraId="31A67E0F" w14:textId="77777777" w:rsidR="00E077A6" w:rsidRPr="00F867D0" w:rsidRDefault="00E077A6" w:rsidP="00031D16">
      <w:pPr>
        <w:widowControl w:val="0"/>
        <w:autoSpaceDE w:val="0"/>
        <w:autoSpaceDN w:val="0"/>
        <w:adjustRightInd w:val="0"/>
        <w:spacing w:after="0"/>
        <w:rPr>
          <w:color w:val="262626"/>
          <w:szCs w:val="22"/>
        </w:rPr>
      </w:pPr>
    </w:p>
    <w:p w14:paraId="76BD5F8E" w14:textId="77777777" w:rsidR="00501680" w:rsidRPr="00F867D0" w:rsidRDefault="00501680" w:rsidP="004F5D3D">
      <w:pPr>
        <w:widowControl w:val="0"/>
        <w:numPr>
          <w:ilvl w:val="0"/>
          <w:numId w:val="49"/>
        </w:numPr>
        <w:tabs>
          <w:tab w:val="left" w:pos="220"/>
          <w:tab w:val="left" w:pos="720"/>
        </w:tabs>
        <w:autoSpaceDE w:val="0"/>
        <w:autoSpaceDN w:val="0"/>
        <w:adjustRightInd w:val="0"/>
        <w:spacing w:after="0"/>
        <w:ind w:left="940" w:hanging="720"/>
        <w:rPr>
          <w:color w:val="262626"/>
          <w:szCs w:val="22"/>
        </w:rPr>
      </w:pPr>
      <w:r w:rsidRPr="00F867D0">
        <w:rPr>
          <w:color w:val="262626"/>
          <w:szCs w:val="22"/>
        </w:rPr>
        <w:t>Mitigated GHG emissions;</w:t>
      </w:r>
    </w:p>
    <w:p w14:paraId="5A07B3B6" w14:textId="77777777" w:rsidR="00501680" w:rsidRPr="00F867D0" w:rsidRDefault="00501680" w:rsidP="004F5D3D">
      <w:pPr>
        <w:widowControl w:val="0"/>
        <w:numPr>
          <w:ilvl w:val="0"/>
          <w:numId w:val="49"/>
        </w:numPr>
        <w:tabs>
          <w:tab w:val="left" w:pos="220"/>
          <w:tab w:val="left" w:pos="720"/>
        </w:tabs>
        <w:autoSpaceDE w:val="0"/>
        <w:autoSpaceDN w:val="0"/>
        <w:adjustRightInd w:val="0"/>
        <w:spacing w:after="0"/>
        <w:ind w:left="940" w:hanging="720"/>
        <w:rPr>
          <w:color w:val="262626"/>
          <w:szCs w:val="22"/>
        </w:rPr>
      </w:pPr>
      <w:r w:rsidRPr="00F867D0">
        <w:rPr>
          <w:color w:val="262626"/>
          <w:szCs w:val="22"/>
        </w:rPr>
        <w:t>Increased use of renewable energy and decreased use of fossil energy resources;</w:t>
      </w:r>
    </w:p>
    <w:p w14:paraId="38B086EC" w14:textId="79EEBF69" w:rsidR="00CD06AB" w:rsidRPr="00F867D0" w:rsidRDefault="00501680" w:rsidP="004F5D3D">
      <w:pPr>
        <w:widowControl w:val="0"/>
        <w:numPr>
          <w:ilvl w:val="0"/>
          <w:numId w:val="49"/>
        </w:numPr>
        <w:tabs>
          <w:tab w:val="left" w:pos="220"/>
          <w:tab w:val="left" w:pos="720"/>
        </w:tabs>
        <w:autoSpaceDE w:val="0"/>
        <w:autoSpaceDN w:val="0"/>
        <w:adjustRightInd w:val="0"/>
        <w:spacing w:after="0"/>
        <w:ind w:left="940" w:hanging="720"/>
        <w:rPr>
          <w:color w:val="262626"/>
          <w:szCs w:val="22"/>
        </w:rPr>
      </w:pPr>
      <w:r w:rsidRPr="00F867D0">
        <w:rPr>
          <w:color w:val="262626"/>
          <w:szCs w:val="22"/>
        </w:rPr>
        <w:t xml:space="preserve">Improved </w:t>
      </w:r>
      <w:r w:rsidR="002845EE">
        <w:rPr>
          <w:color w:val="262626"/>
          <w:szCs w:val="22"/>
        </w:rPr>
        <w:t>EE</w:t>
      </w:r>
      <w:r w:rsidRPr="00F867D0">
        <w:rPr>
          <w:color w:val="262626"/>
          <w:szCs w:val="22"/>
        </w:rPr>
        <w:t>;</w:t>
      </w:r>
    </w:p>
    <w:p w14:paraId="58AB6105" w14:textId="71613163" w:rsidR="00501680" w:rsidRPr="00F867D0" w:rsidRDefault="00501680" w:rsidP="00FB6324">
      <w:pPr>
        <w:widowControl w:val="0"/>
        <w:numPr>
          <w:ilvl w:val="0"/>
          <w:numId w:val="49"/>
        </w:numPr>
        <w:tabs>
          <w:tab w:val="left" w:pos="220"/>
          <w:tab w:val="left" w:pos="720"/>
        </w:tabs>
        <w:autoSpaceDE w:val="0"/>
        <w:autoSpaceDN w:val="0"/>
        <w:adjustRightInd w:val="0"/>
        <w:spacing w:after="0"/>
        <w:ind w:left="940" w:hanging="720"/>
        <w:rPr>
          <w:color w:val="262626"/>
          <w:szCs w:val="22"/>
        </w:rPr>
      </w:pPr>
      <w:r w:rsidRPr="00F867D0">
        <w:rPr>
          <w:color w:val="262626"/>
          <w:szCs w:val="22"/>
        </w:rPr>
        <w:t>Increased adoption of innovative technologies and manage</w:t>
      </w:r>
      <w:r w:rsidR="007C22E1" w:rsidRPr="00F867D0">
        <w:rPr>
          <w:color w:val="262626"/>
          <w:szCs w:val="22"/>
        </w:rPr>
        <w:t xml:space="preserve">ment practices for GHG </w:t>
      </w:r>
      <w:r w:rsidRPr="00F867D0">
        <w:rPr>
          <w:color w:val="262626"/>
          <w:szCs w:val="22"/>
        </w:rPr>
        <w:t>emission reduction and carbon sequestration; and</w:t>
      </w:r>
    </w:p>
    <w:p w14:paraId="41B5ED22" w14:textId="77777777" w:rsidR="00501680" w:rsidRPr="00F867D0" w:rsidRDefault="00501680" w:rsidP="00FB6324">
      <w:pPr>
        <w:widowControl w:val="0"/>
        <w:numPr>
          <w:ilvl w:val="0"/>
          <w:numId w:val="49"/>
        </w:numPr>
        <w:tabs>
          <w:tab w:val="left" w:pos="220"/>
          <w:tab w:val="left" w:pos="720"/>
        </w:tabs>
        <w:autoSpaceDE w:val="0"/>
        <w:autoSpaceDN w:val="0"/>
        <w:adjustRightInd w:val="0"/>
        <w:spacing w:after="0"/>
        <w:ind w:left="940" w:hanging="720"/>
        <w:rPr>
          <w:color w:val="262626"/>
          <w:szCs w:val="22"/>
        </w:rPr>
      </w:pPr>
      <w:r w:rsidRPr="00F867D0">
        <w:rPr>
          <w:color w:val="262626"/>
          <w:szCs w:val="22"/>
        </w:rPr>
        <w:t>Conservation and enhanced carbon stocks in agriculture, forest, and other land use.</w:t>
      </w:r>
    </w:p>
    <w:p w14:paraId="22B9704D" w14:textId="77777777" w:rsidR="00247D6B" w:rsidRDefault="00247D6B" w:rsidP="00031D16">
      <w:pPr>
        <w:widowControl w:val="0"/>
        <w:autoSpaceDE w:val="0"/>
        <w:autoSpaceDN w:val="0"/>
        <w:adjustRightInd w:val="0"/>
        <w:spacing w:after="0"/>
        <w:rPr>
          <w:color w:val="262626"/>
          <w:szCs w:val="22"/>
        </w:rPr>
      </w:pPr>
    </w:p>
    <w:p w14:paraId="56F035FA" w14:textId="4573C03C" w:rsidR="00501680" w:rsidRDefault="00501680" w:rsidP="00031D16">
      <w:pPr>
        <w:widowControl w:val="0"/>
        <w:autoSpaceDE w:val="0"/>
        <w:autoSpaceDN w:val="0"/>
        <w:adjustRightInd w:val="0"/>
        <w:spacing w:after="0"/>
        <w:rPr>
          <w:color w:val="262626"/>
          <w:szCs w:val="22"/>
        </w:rPr>
      </w:pPr>
      <w:r w:rsidRPr="00F867D0">
        <w:rPr>
          <w:color w:val="262626"/>
          <w:szCs w:val="22"/>
        </w:rPr>
        <w:t xml:space="preserve">The GEF support a wide variety of mitigation strategies. As noted in the </w:t>
      </w:r>
      <w:hyperlink r:id="rId48" w:history="1">
        <w:r w:rsidRPr="00F867D0">
          <w:rPr>
            <w:szCs w:val="22"/>
          </w:rPr>
          <w:t>GEF-6 Climate Change Mitigation Strategy</w:t>
        </w:r>
      </w:hyperlink>
      <w:r w:rsidRPr="00F867D0">
        <w:rPr>
          <w:color w:val="262626"/>
          <w:szCs w:val="22"/>
        </w:rPr>
        <w:t>, the</w:t>
      </w:r>
      <w:r w:rsidR="00E077A6">
        <w:rPr>
          <w:color w:val="262626"/>
          <w:szCs w:val="22"/>
        </w:rPr>
        <w:t xml:space="preserve"> approach has three objectives:</w:t>
      </w:r>
    </w:p>
    <w:p w14:paraId="04A29F82" w14:textId="77777777" w:rsidR="00E077A6" w:rsidRPr="00F867D0" w:rsidRDefault="00E077A6" w:rsidP="00031D16">
      <w:pPr>
        <w:widowControl w:val="0"/>
        <w:autoSpaceDE w:val="0"/>
        <w:autoSpaceDN w:val="0"/>
        <w:adjustRightInd w:val="0"/>
        <w:spacing w:after="0"/>
        <w:rPr>
          <w:color w:val="262626"/>
          <w:szCs w:val="22"/>
        </w:rPr>
      </w:pPr>
    </w:p>
    <w:p w14:paraId="5853A9C9" w14:textId="77777777" w:rsidR="00501680" w:rsidRPr="00F867D0" w:rsidRDefault="00501680" w:rsidP="004F5D3D">
      <w:pPr>
        <w:widowControl w:val="0"/>
        <w:numPr>
          <w:ilvl w:val="0"/>
          <w:numId w:val="48"/>
        </w:numPr>
        <w:tabs>
          <w:tab w:val="left" w:pos="220"/>
          <w:tab w:val="left" w:pos="720"/>
        </w:tabs>
        <w:autoSpaceDE w:val="0"/>
        <w:autoSpaceDN w:val="0"/>
        <w:adjustRightInd w:val="0"/>
        <w:spacing w:after="0"/>
        <w:ind w:hanging="720"/>
        <w:rPr>
          <w:color w:val="auto"/>
          <w:szCs w:val="22"/>
        </w:rPr>
      </w:pPr>
      <w:r w:rsidRPr="00F867D0">
        <w:rPr>
          <w:color w:val="auto"/>
          <w:szCs w:val="22"/>
        </w:rPr>
        <w:t xml:space="preserve">Promote innovation, </w:t>
      </w:r>
      <w:hyperlink r:id="rId49" w:history="1">
        <w:r w:rsidRPr="00F867D0">
          <w:rPr>
            <w:color w:val="auto"/>
            <w:szCs w:val="22"/>
          </w:rPr>
          <w:t>technology transfer</w:t>
        </w:r>
      </w:hyperlink>
      <w:r w:rsidRPr="00F867D0">
        <w:rPr>
          <w:color w:val="auto"/>
          <w:szCs w:val="22"/>
        </w:rPr>
        <w:t>, and supportive policies and strategies.</w:t>
      </w:r>
    </w:p>
    <w:p w14:paraId="22C546EE" w14:textId="77777777" w:rsidR="00CD06AB" w:rsidRPr="00F867D0" w:rsidRDefault="00501680" w:rsidP="004F5D3D">
      <w:pPr>
        <w:widowControl w:val="0"/>
        <w:numPr>
          <w:ilvl w:val="0"/>
          <w:numId w:val="48"/>
        </w:numPr>
        <w:tabs>
          <w:tab w:val="left" w:pos="220"/>
          <w:tab w:val="left" w:pos="720"/>
        </w:tabs>
        <w:autoSpaceDE w:val="0"/>
        <w:autoSpaceDN w:val="0"/>
        <w:adjustRightInd w:val="0"/>
        <w:spacing w:after="0"/>
        <w:ind w:hanging="720"/>
        <w:rPr>
          <w:color w:val="auto"/>
          <w:szCs w:val="22"/>
        </w:rPr>
      </w:pPr>
      <w:r w:rsidRPr="00F867D0">
        <w:rPr>
          <w:color w:val="auto"/>
          <w:szCs w:val="22"/>
        </w:rPr>
        <w:t>Demonstrate mitigation options with systemic impacts.</w:t>
      </w:r>
    </w:p>
    <w:p w14:paraId="232B87B9" w14:textId="59044D84" w:rsidR="007C22E1" w:rsidRPr="00F867D0" w:rsidRDefault="00501680" w:rsidP="004F5D3D">
      <w:pPr>
        <w:widowControl w:val="0"/>
        <w:numPr>
          <w:ilvl w:val="0"/>
          <w:numId w:val="48"/>
        </w:numPr>
        <w:tabs>
          <w:tab w:val="left" w:pos="220"/>
          <w:tab w:val="left" w:pos="720"/>
        </w:tabs>
        <w:autoSpaceDE w:val="0"/>
        <w:autoSpaceDN w:val="0"/>
        <w:adjustRightInd w:val="0"/>
        <w:spacing w:after="0"/>
        <w:ind w:hanging="720"/>
        <w:rPr>
          <w:color w:val="auto"/>
          <w:szCs w:val="22"/>
        </w:rPr>
      </w:pPr>
      <w:r w:rsidRPr="00F867D0">
        <w:rPr>
          <w:color w:val="auto"/>
        </w:rPr>
        <w:t xml:space="preserve">Foster enabling conditions to mainstream mitigation concerns into sustainable development strategies. </w:t>
      </w:r>
    </w:p>
    <w:p w14:paraId="74815283" w14:textId="77777777" w:rsidR="00247D6B" w:rsidRDefault="00247D6B" w:rsidP="00031D16">
      <w:pPr>
        <w:widowControl w:val="0"/>
        <w:tabs>
          <w:tab w:val="left" w:pos="0"/>
        </w:tabs>
        <w:autoSpaceDE w:val="0"/>
        <w:autoSpaceDN w:val="0"/>
        <w:adjustRightInd w:val="0"/>
        <w:spacing w:after="0"/>
        <w:rPr>
          <w:b/>
          <w:szCs w:val="22"/>
        </w:rPr>
      </w:pPr>
    </w:p>
    <w:p w14:paraId="5B3F235B" w14:textId="72F3228C" w:rsidR="00501680" w:rsidRPr="00F867D0" w:rsidRDefault="00501680" w:rsidP="00031D16">
      <w:pPr>
        <w:widowControl w:val="0"/>
        <w:tabs>
          <w:tab w:val="left" w:pos="0"/>
        </w:tabs>
        <w:autoSpaceDE w:val="0"/>
        <w:autoSpaceDN w:val="0"/>
        <w:adjustRightInd w:val="0"/>
        <w:spacing w:after="0"/>
        <w:rPr>
          <w:b/>
          <w:color w:val="262626"/>
          <w:szCs w:val="22"/>
        </w:rPr>
      </w:pPr>
      <w:r w:rsidRPr="00F867D0">
        <w:rPr>
          <w:b/>
          <w:szCs w:val="22"/>
        </w:rPr>
        <w:t xml:space="preserve">Financing </w:t>
      </w:r>
      <w:r w:rsidR="00666080" w:rsidRPr="00F867D0">
        <w:rPr>
          <w:b/>
          <w:szCs w:val="22"/>
        </w:rPr>
        <w:t>m</w:t>
      </w:r>
      <w:r w:rsidRPr="00F867D0">
        <w:rPr>
          <w:b/>
          <w:szCs w:val="22"/>
        </w:rPr>
        <w:t>odalities and potential market mechanisms</w:t>
      </w:r>
      <w:r w:rsidRPr="00F867D0">
        <w:rPr>
          <w:b/>
          <w:color w:val="262626"/>
          <w:szCs w:val="22"/>
        </w:rPr>
        <w:t xml:space="preserve"> </w:t>
      </w:r>
    </w:p>
    <w:p w14:paraId="5E43CF95" w14:textId="77777777" w:rsidR="00E077A6" w:rsidRDefault="00E077A6" w:rsidP="00031D16">
      <w:pPr>
        <w:widowControl w:val="0"/>
        <w:tabs>
          <w:tab w:val="left" w:pos="0"/>
        </w:tabs>
        <w:autoSpaceDE w:val="0"/>
        <w:autoSpaceDN w:val="0"/>
        <w:adjustRightInd w:val="0"/>
        <w:spacing w:after="0"/>
        <w:rPr>
          <w:color w:val="262626"/>
          <w:szCs w:val="22"/>
        </w:rPr>
      </w:pPr>
    </w:p>
    <w:p w14:paraId="6519CD51" w14:textId="5B476D95" w:rsidR="004F5D3D" w:rsidRDefault="00501680" w:rsidP="00031D16">
      <w:pPr>
        <w:widowControl w:val="0"/>
        <w:tabs>
          <w:tab w:val="left" w:pos="0"/>
        </w:tabs>
        <w:autoSpaceDE w:val="0"/>
        <w:autoSpaceDN w:val="0"/>
        <w:adjustRightInd w:val="0"/>
        <w:spacing w:after="0"/>
        <w:rPr>
          <w:color w:val="262626"/>
          <w:szCs w:val="22"/>
        </w:rPr>
      </w:pPr>
      <w:r w:rsidRPr="00F867D0">
        <w:rPr>
          <w:color w:val="262626"/>
          <w:szCs w:val="22"/>
        </w:rPr>
        <w:t>T</w:t>
      </w:r>
      <w:r w:rsidR="008C3ED4">
        <w:rPr>
          <w:color w:val="262626"/>
          <w:szCs w:val="22"/>
        </w:rPr>
        <w:t>he</w:t>
      </w:r>
      <w:r w:rsidRPr="00F867D0">
        <w:rPr>
          <w:color w:val="262626"/>
          <w:szCs w:val="22"/>
        </w:rPr>
        <w:t xml:space="preserve"> GEF is established not only as an innovator, but also as a catalyst. By supporting multi-stakeholder alliances across a broad range of environmental issues, (e.g. to preserve threatened ecosystems, build greener cities, boost food security, promote clean energy etc.) it has leveraged US$5.2 in additional financing for every US$1 invested.</w:t>
      </w:r>
    </w:p>
    <w:p w14:paraId="203C3267" w14:textId="63042DBF" w:rsidR="00501680" w:rsidRPr="00F867D0" w:rsidRDefault="00501680" w:rsidP="00031D16">
      <w:pPr>
        <w:widowControl w:val="0"/>
        <w:tabs>
          <w:tab w:val="left" w:pos="0"/>
        </w:tabs>
        <w:autoSpaceDE w:val="0"/>
        <w:autoSpaceDN w:val="0"/>
        <w:adjustRightInd w:val="0"/>
        <w:spacing w:after="0"/>
        <w:rPr>
          <w:color w:val="262626"/>
          <w:szCs w:val="22"/>
        </w:rPr>
      </w:pPr>
    </w:p>
    <w:p w14:paraId="4C81AB09" w14:textId="11F81E6D" w:rsidR="00501680" w:rsidRDefault="007A73C6" w:rsidP="00031D16">
      <w:pPr>
        <w:widowControl w:val="0"/>
        <w:tabs>
          <w:tab w:val="left" w:pos="0"/>
        </w:tabs>
        <w:autoSpaceDE w:val="0"/>
        <w:autoSpaceDN w:val="0"/>
        <w:adjustRightInd w:val="0"/>
        <w:spacing w:after="0"/>
        <w:rPr>
          <w:color w:val="262626"/>
          <w:szCs w:val="22"/>
        </w:rPr>
      </w:pPr>
      <w:r w:rsidRPr="00F867D0">
        <w:rPr>
          <w:color w:val="262626"/>
          <w:szCs w:val="22"/>
        </w:rPr>
        <w:t>It has used blended finance</w:t>
      </w:r>
      <w:r w:rsidR="00501680" w:rsidRPr="00F867D0">
        <w:rPr>
          <w:color w:val="262626"/>
          <w:szCs w:val="22"/>
        </w:rPr>
        <w:t xml:space="preserve"> (i.e. the synergy between development finance and private capital) to reduce risks and increase the opportunities for private investors. It also helps rally partners from different sectors around an issue. Experience has shown that it incentivizes private investors to </w:t>
      </w:r>
      <w:r w:rsidR="007C22E1" w:rsidRPr="00F867D0">
        <w:rPr>
          <w:color w:val="262626"/>
          <w:szCs w:val="22"/>
        </w:rPr>
        <w:t xml:space="preserve">take action on climate change. </w:t>
      </w:r>
    </w:p>
    <w:p w14:paraId="76B3E9AD" w14:textId="77777777" w:rsidR="004F5D3D" w:rsidRPr="00F867D0" w:rsidRDefault="004F5D3D" w:rsidP="00031D16">
      <w:pPr>
        <w:widowControl w:val="0"/>
        <w:tabs>
          <w:tab w:val="left" w:pos="0"/>
        </w:tabs>
        <w:autoSpaceDE w:val="0"/>
        <w:autoSpaceDN w:val="0"/>
        <w:adjustRightInd w:val="0"/>
        <w:spacing w:after="0"/>
        <w:rPr>
          <w:color w:val="262626"/>
          <w:szCs w:val="22"/>
        </w:rPr>
      </w:pPr>
    </w:p>
    <w:p w14:paraId="258B6418" w14:textId="573212FC" w:rsidR="00501680" w:rsidRPr="00F867D0" w:rsidRDefault="00501680" w:rsidP="00501680">
      <w:pPr>
        <w:widowControl w:val="0"/>
        <w:autoSpaceDE w:val="0"/>
        <w:autoSpaceDN w:val="0"/>
        <w:adjustRightInd w:val="0"/>
        <w:rPr>
          <w:color w:val="262626"/>
          <w:szCs w:val="22"/>
        </w:rPr>
      </w:pPr>
      <w:r w:rsidRPr="00F867D0">
        <w:rPr>
          <w:color w:val="262626"/>
          <w:szCs w:val="22"/>
        </w:rPr>
        <w:t xml:space="preserve">By the end of 2015, the GEF had invested in 1,000 climate mitigation projects, including more than 200 </w:t>
      </w:r>
      <w:r w:rsidR="002845EE">
        <w:rPr>
          <w:color w:val="262626"/>
          <w:szCs w:val="22"/>
        </w:rPr>
        <w:t>EE</w:t>
      </w:r>
      <w:r w:rsidRPr="00F867D0">
        <w:rPr>
          <w:color w:val="262626"/>
          <w:szCs w:val="22"/>
        </w:rPr>
        <w:t xml:space="preserve"> projects. </w:t>
      </w:r>
      <w:r w:rsidR="008C3ED4">
        <w:rPr>
          <w:color w:val="262626"/>
          <w:szCs w:val="22"/>
        </w:rPr>
        <w:t>The</w:t>
      </w:r>
      <w:r w:rsidRPr="00F867D0">
        <w:rPr>
          <w:color w:val="262626"/>
          <w:szCs w:val="22"/>
        </w:rPr>
        <w:t xml:space="preserve"> GEF had helped 46 countries to develop national plans to reduce their GHG emissions. </w:t>
      </w:r>
      <w:r w:rsidR="008C3ED4">
        <w:rPr>
          <w:color w:val="262626"/>
          <w:szCs w:val="22"/>
        </w:rPr>
        <w:t>The</w:t>
      </w:r>
      <w:r w:rsidRPr="00F867D0">
        <w:rPr>
          <w:color w:val="262626"/>
          <w:szCs w:val="22"/>
        </w:rPr>
        <w:t xml:space="preserve"> GEF pump-priming funding of US$4.2 billion in the 1,000 climate mitigation investments generated almost 10-fold additional funding ($38.3 billion) from other partners. </w:t>
      </w:r>
    </w:p>
    <w:p w14:paraId="6F8BAECE" w14:textId="6BE509D9" w:rsidR="00501680" w:rsidRPr="00F867D0" w:rsidRDefault="00501680" w:rsidP="00501680">
      <w:pPr>
        <w:widowControl w:val="0"/>
        <w:autoSpaceDE w:val="0"/>
        <w:autoSpaceDN w:val="0"/>
        <w:adjustRightInd w:val="0"/>
        <w:rPr>
          <w:szCs w:val="22"/>
        </w:rPr>
      </w:pPr>
      <w:r w:rsidRPr="00F867D0">
        <w:rPr>
          <w:szCs w:val="22"/>
        </w:rPr>
        <w:t>Co-financing is optional for GEF enabling activities but is required for all GEF full-size projects (FSPs), medium-side projects (MSPs), and GEF programmes. GEF financing is determined on the basis of the agreed incremental cost principle.</w:t>
      </w:r>
      <w:r w:rsidRPr="00F867D0">
        <w:rPr>
          <w:position w:val="8"/>
          <w:szCs w:val="22"/>
        </w:rPr>
        <w:t xml:space="preserve"> </w:t>
      </w:r>
      <w:r w:rsidRPr="00F867D0">
        <w:rPr>
          <w:szCs w:val="22"/>
        </w:rPr>
        <w:t xml:space="preserve">Co-financing from the private sector or project beneficiaries during implementation, can be counted as confirmed co-financing, provided </w:t>
      </w:r>
      <w:r w:rsidR="008C3ED4">
        <w:rPr>
          <w:szCs w:val="22"/>
        </w:rPr>
        <w:t xml:space="preserve">that </w:t>
      </w:r>
      <w:r w:rsidRPr="00F867D0">
        <w:rPr>
          <w:szCs w:val="22"/>
        </w:rPr>
        <w:t xml:space="preserve">the project document includes clear milestones and minimum matching funding levels. </w:t>
      </w:r>
    </w:p>
    <w:p w14:paraId="5CBDF69E" w14:textId="6FE6C885" w:rsidR="00501680" w:rsidRPr="00F867D0" w:rsidRDefault="00501680" w:rsidP="00501680">
      <w:pPr>
        <w:widowControl w:val="0"/>
        <w:autoSpaceDE w:val="0"/>
        <w:autoSpaceDN w:val="0"/>
        <w:adjustRightInd w:val="0"/>
        <w:rPr>
          <w:szCs w:val="22"/>
        </w:rPr>
      </w:pPr>
      <w:r w:rsidRPr="00F867D0">
        <w:rPr>
          <w:szCs w:val="22"/>
        </w:rPr>
        <w:t xml:space="preserve">A System for Transparent Allocation of Resources </w:t>
      </w:r>
      <w:r w:rsidR="008C3ED4">
        <w:rPr>
          <w:szCs w:val="22"/>
        </w:rPr>
        <w:t>(</w:t>
      </w:r>
      <w:r w:rsidRPr="00F867D0">
        <w:rPr>
          <w:szCs w:val="22"/>
        </w:rPr>
        <w:t>STAR</w:t>
      </w:r>
      <w:r w:rsidR="008C3ED4">
        <w:rPr>
          <w:szCs w:val="22"/>
        </w:rPr>
        <w:t>)</w:t>
      </w:r>
      <w:r w:rsidRPr="00F867D0">
        <w:rPr>
          <w:szCs w:val="22"/>
        </w:rPr>
        <w:t xml:space="preserve"> is used. </w:t>
      </w:r>
      <w:r w:rsidR="008C3ED4">
        <w:rPr>
          <w:szCs w:val="22"/>
        </w:rPr>
        <w:t>The</w:t>
      </w:r>
      <w:r w:rsidRPr="00F867D0">
        <w:rPr>
          <w:szCs w:val="22"/>
        </w:rPr>
        <w:t xml:space="preserve"> GEF Secretariat allocates resources in an indicative way to its eligible countries in a replenishment period. In the fifth replenishment period of the GEF (GEF-5), the STAR covered three focal areas: biodiversity (BD), climate change (CC), and land degradation (LD). Future GEF replenishment periods may have STAR covering other focal areas and programs. </w:t>
      </w:r>
    </w:p>
    <w:p w14:paraId="7EAAE6E2" w14:textId="66E1DF8E" w:rsidR="00501680" w:rsidRPr="00F867D0" w:rsidRDefault="007A73C6" w:rsidP="00031D16">
      <w:pPr>
        <w:spacing w:after="0"/>
        <w:rPr>
          <w:b/>
          <w:color w:val="FF0000"/>
          <w:szCs w:val="22"/>
        </w:rPr>
      </w:pPr>
      <w:r w:rsidRPr="00F867D0">
        <w:rPr>
          <w:b/>
          <w:szCs w:val="22"/>
        </w:rPr>
        <w:t>Examples of relevant GEF-funded projects</w:t>
      </w:r>
      <w:r w:rsidR="00501680" w:rsidRPr="00F867D0">
        <w:rPr>
          <w:b/>
          <w:szCs w:val="22"/>
        </w:rPr>
        <w:t xml:space="preserve"> </w:t>
      </w:r>
    </w:p>
    <w:p w14:paraId="0D75927F" w14:textId="77777777" w:rsidR="00E077A6" w:rsidRDefault="00E077A6" w:rsidP="00031D16">
      <w:pPr>
        <w:widowControl w:val="0"/>
        <w:tabs>
          <w:tab w:val="left" w:pos="0"/>
        </w:tabs>
        <w:autoSpaceDE w:val="0"/>
        <w:autoSpaceDN w:val="0"/>
        <w:adjustRightInd w:val="0"/>
        <w:spacing w:after="0"/>
        <w:rPr>
          <w:szCs w:val="22"/>
        </w:rPr>
      </w:pPr>
    </w:p>
    <w:p w14:paraId="3D406B56" w14:textId="4BA4D469" w:rsidR="00CD06AB" w:rsidRPr="00F867D0" w:rsidRDefault="001815A3" w:rsidP="00031D16">
      <w:pPr>
        <w:widowControl w:val="0"/>
        <w:tabs>
          <w:tab w:val="left" w:pos="0"/>
        </w:tabs>
        <w:autoSpaceDE w:val="0"/>
        <w:autoSpaceDN w:val="0"/>
        <w:adjustRightInd w:val="0"/>
        <w:spacing w:after="0"/>
        <w:rPr>
          <w:szCs w:val="22"/>
        </w:rPr>
      </w:pPr>
      <w:r w:rsidRPr="00F867D0">
        <w:rPr>
          <w:szCs w:val="22"/>
        </w:rPr>
        <w:t>The m</w:t>
      </w:r>
      <w:r w:rsidR="00CD06AB" w:rsidRPr="00F867D0">
        <w:rPr>
          <w:szCs w:val="22"/>
        </w:rPr>
        <w:t xml:space="preserve">ethodologies used in addressing </w:t>
      </w:r>
      <w:r w:rsidR="002845EE">
        <w:rPr>
          <w:szCs w:val="22"/>
        </w:rPr>
        <w:t>EE</w:t>
      </w:r>
      <w:r w:rsidR="00CD06AB" w:rsidRPr="00F867D0">
        <w:rPr>
          <w:szCs w:val="22"/>
        </w:rPr>
        <w:t xml:space="preserve"> in RACHP</w:t>
      </w:r>
      <w:r w:rsidR="00CD06AB" w:rsidRPr="00F867D0">
        <w:rPr>
          <w:color w:val="FF0000"/>
          <w:szCs w:val="22"/>
        </w:rPr>
        <w:t xml:space="preserve"> </w:t>
      </w:r>
      <w:r w:rsidR="00CD06AB" w:rsidRPr="00F867D0">
        <w:rPr>
          <w:szCs w:val="22"/>
        </w:rPr>
        <w:t xml:space="preserve">are better understood through </w:t>
      </w:r>
      <w:r w:rsidRPr="00F867D0">
        <w:rPr>
          <w:szCs w:val="22"/>
        </w:rPr>
        <w:t xml:space="preserve">examples of </w:t>
      </w:r>
      <w:r w:rsidR="00CD06AB" w:rsidRPr="00F867D0">
        <w:rPr>
          <w:szCs w:val="22"/>
        </w:rPr>
        <w:t>GEF funded project</w:t>
      </w:r>
      <w:r w:rsidRPr="00F867D0">
        <w:rPr>
          <w:szCs w:val="22"/>
        </w:rPr>
        <w:t>s</w:t>
      </w:r>
      <w:r w:rsidR="00CD06AB" w:rsidRPr="00F867D0">
        <w:rPr>
          <w:szCs w:val="22"/>
        </w:rPr>
        <w:t xml:space="preserve"> </w:t>
      </w:r>
      <w:r w:rsidR="007A73C6" w:rsidRPr="00F867D0">
        <w:rPr>
          <w:szCs w:val="22"/>
        </w:rPr>
        <w:t>(</w:t>
      </w:r>
      <w:r w:rsidR="004073FA" w:rsidRPr="00F867D0">
        <w:rPr>
          <w:szCs w:val="22"/>
        </w:rPr>
        <w:t xml:space="preserve">such as for </w:t>
      </w:r>
      <w:r w:rsidR="007A73C6" w:rsidRPr="00F867D0">
        <w:rPr>
          <w:szCs w:val="22"/>
        </w:rPr>
        <w:t>Chile and Ghana</w:t>
      </w:r>
      <w:r w:rsidR="004073FA" w:rsidRPr="00F867D0">
        <w:rPr>
          <w:szCs w:val="22"/>
        </w:rPr>
        <w:t xml:space="preserve"> among others</w:t>
      </w:r>
      <w:r w:rsidR="007A73C6" w:rsidRPr="00F867D0">
        <w:rPr>
          <w:szCs w:val="22"/>
        </w:rPr>
        <w:t xml:space="preserve">) </w:t>
      </w:r>
      <w:r w:rsidR="003822CE">
        <w:rPr>
          <w:szCs w:val="22"/>
        </w:rPr>
        <w:t xml:space="preserve">that </w:t>
      </w:r>
      <w:r w:rsidR="007A73C6" w:rsidRPr="00F867D0">
        <w:rPr>
          <w:szCs w:val="22"/>
        </w:rPr>
        <w:t xml:space="preserve">are </w:t>
      </w:r>
      <w:r w:rsidRPr="00F867D0">
        <w:rPr>
          <w:szCs w:val="22"/>
        </w:rPr>
        <w:t xml:space="preserve">described in Annex B and also </w:t>
      </w:r>
      <w:r w:rsidR="004073FA" w:rsidRPr="00F867D0">
        <w:rPr>
          <w:szCs w:val="22"/>
        </w:rPr>
        <w:t xml:space="preserve">available at the GEF database of approved projects </w:t>
      </w:r>
      <w:r w:rsidR="00A516F1" w:rsidRPr="00DD7BAD">
        <w:rPr>
          <w:szCs w:val="22"/>
        </w:rPr>
        <w:t>[</w:t>
      </w:r>
      <w:r w:rsidR="004073FA" w:rsidRPr="00DD7BAD">
        <w:rPr>
          <w:szCs w:val="22"/>
        </w:rPr>
        <w:t>www.thegef.org</w:t>
      </w:r>
      <w:r w:rsidR="00A516F1" w:rsidRPr="00DD7BAD">
        <w:rPr>
          <w:szCs w:val="22"/>
        </w:rPr>
        <w:t>]</w:t>
      </w:r>
      <w:r w:rsidR="007A73C6" w:rsidRPr="00DD7BAD">
        <w:rPr>
          <w:szCs w:val="22"/>
        </w:rPr>
        <w:t>.</w:t>
      </w:r>
      <w:r w:rsidR="00CD06AB" w:rsidRPr="00F867D0">
        <w:rPr>
          <w:szCs w:val="22"/>
        </w:rPr>
        <w:t xml:space="preserve"> </w:t>
      </w:r>
    </w:p>
    <w:p w14:paraId="0BE57BB8" w14:textId="77777777" w:rsidR="00CD06AB" w:rsidRPr="00F867D0" w:rsidRDefault="00CD06AB" w:rsidP="00CD06AB">
      <w:pPr>
        <w:widowControl w:val="0"/>
        <w:autoSpaceDE w:val="0"/>
        <w:autoSpaceDN w:val="0"/>
        <w:adjustRightInd w:val="0"/>
        <w:spacing w:after="0"/>
        <w:rPr>
          <w:rFonts w:eastAsia="MS Mincho"/>
          <w:b/>
          <w:sz w:val="24"/>
          <w:szCs w:val="22"/>
          <w:lang w:eastAsia="ja-JP"/>
        </w:rPr>
      </w:pPr>
    </w:p>
    <w:p w14:paraId="7DC7F0BF" w14:textId="277A8541" w:rsidR="00CD06AB" w:rsidRPr="000F749F" w:rsidRDefault="00CF6D6E" w:rsidP="000F749F">
      <w:pPr>
        <w:pStyle w:val="Heading2"/>
        <w:rPr>
          <w:b w:val="0"/>
        </w:rPr>
      </w:pPr>
      <w:bookmarkStart w:id="113" w:name="_Toc515454396"/>
      <w:r w:rsidRPr="000F749F">
        <w:t>3.3</w:t>
      </w:r>
      <w:r w:rsidRPr="000F749F">
        <w:tab/>
      </w:r>
      <w:r w:rsidR="001815A3" w:rsidRPr="000F749F">
        <w:t xml:space="preserve">Financing </w:t>
      </w:r>
      <w:r w:rsidR="003822CE" w:rsidRPr="000F749F">
        <w:t>I</w:t>
      </w:r>
      <w:r w:rsidR="001815A3" w:rsidRPr="000F749F">
        <w:t>nstitutions</w:t>
      </w:r>
      <w:bookmarkEnd w:id="113"/>
    </w:p>
    <w:p w14:paraId="1A0AB499" w14:textId="715D82A9" w:rsidR="007A73C6" w:rsidRPr="00F867D0" w:rsidRDefault="007A73C6" w:rsidP="007A73C6">
      <w:pPr>
        <w:widowControl w:val="0"/>
        <w:autoSpaceDE w:val="0"/>
        <w:autoSpaceDN w:val="0"/>
        <w:adjustRightInd w:val="0"/>
        <w:spacing w:after="0"/>
        <w:rPr>
          <w:rFonts w:eastAsia="MS Mincho"/>
          <w:szCs w:val="22"/>
          <w:lang w:eastAsia="ja-JP"/>
        </w:rPr>
      </w:pPr>
      <w:r w:rsidRPr="00F867D0">
        <w:rPr>
          <w:rFonts w:eastAsia="MS Mincho"/>
          <w:szCs w:val="22"/>
          <w:lang w:eastAsia="ja-JP"/>
        </w:rPr>
        <w:t>This</w:t>
      </w:r>
      <w:r w:rsidRPr="00F867D0">
        <w:rPr>
          <w:szCs w:val="22"/>
        </w:rPr>
        <w:t xml:space="preserve"> section provides information on </w:t>
      </w:r>
      <w:r w:rsidR="001815A3" w:rsidRPr="00F867D0">
        <w:rPr>
          <w:szCs w:val="22"/>
        </w:rPr>
        <w:t xml:space="preserve">other </w:t>
      </w:r>
      <w:r w:rsidRPr="00F867D0">
        <w:rPr>
          <w:szCs w:val="22"/>
        </w:rPr>
        <w:t>relevant financing institutions, those providing loans for projects under typical loan application requirements and terms. Specifically, the financing institutions discussed below</w:t>
      </w:r>
      <w:r w:rsidR="008C3ED4">
        <w:rPr>
          <w:szCs w:val="22"/>
        </w:rPr>
        <w:t>, which</w:t>
      </w:r>
      <w:r w:rsidR="005829B4" w:rsidRPr="00F867D0">
        <w:rPr>
          <w:rFonts w:eastAsia="MS Mincho"/>
          <w:szCs w:val="22"/>
          <w:lang w:eastAsia="ja-JP"/>
        </w:rPr>
        <w:t xml:space="preserve"> potentially intersect with the objective of providing loans to support improved </w:t>
      </w:r>
      <w:r w:rsidR="002845EE">
        <w:rPr>
          <w:rFonts w:eastAsia="MS Mincho"/>
          <w:szCs w:val="22"/>
          <w:lang w:eastAsia="ja-JP"/>
        </w:rPr>
        <w:t>EE</w:t>
      </w:r>
      <w:r w:rsidR="005829B4" w:rsidRPr="00F867D0">
        <w:rPr>
          <w:rFonts w:eastAsia="MS Mincho"/>
          <w:szCs w:val="22"/>
          <w:lang w:eastAsia="ja-JP"/>
        </w:rPr>
        <w:t xml:space="preserve"> in the RACHP sectors</w:t>
      </w:r>
      <w:r w:rsidR="005829B4" w:rsidRPr="00F867D0">
        <w:rPr>
          <w:szCs w:val="22"/>
        </w:rPr>
        <w:t xml:space="preserve"> </w:t>
      </w:r>
      <w:r w:rsidRPr="00F867D0">
        <w:rPr>
          <w:szCs w:val="22"/>
        </w:rPr>
        <w:t xml:space="preserve">are the Green Climate Fund, the World Bank Group and the </w:t>
      </w:r>
      <w:r w:rsidR="005829B4" w:rsidRPr="00F867D0">
        <w:rPr>
          <w:szCs w:val="22"/>
        </w:rPr>
        <w:t>r</w:t>
      </w:r>
      <w:r w:rsidRPr="00F867D0">
        <w:rPr>
          <w:szCs w:val="22"/>
        </w:rPr>
        <w:t xml:space="preserve">egional </w:t>
      </w:r>
      <w:r w:rsidR="005829B4" w:rsidRPr="00F867D0">
        <w:rPr>
          <w:szCs w:val="22"/>
        </w:rPr>
        <w:t>d</w:t>
      </w:r>
      <w:r w:rsidRPr="00F867D0">
        <w:rPr>
          <w:szCs w:val="22"/>
        </w:rPr>
        <w:t xml:space="preserve">evelopment </w:t>
      </w:r>
      <w:r w:rsidR="005829B4" w:rsidRPr="00F867D0">
        <w:rPr>
          <w:szCs w:val="22"/>
        </w:rPr>
        <w:t>b</w:t>
      </w:r>
      <w:r w:rsidRPr="00F867D0">
        <w:rPr>
          <w:szCs w:val="22"/>
        </w:rPr>
        <w:t>anks</w:t>
      </w:r>
      <w:r w:rsidR="005829B4" w:rsidRPr="00F867D0">
        <w:rPr>
          <w:szCs w:val="22"/>
        </w:rPr>
        <w:t>.</w:t>
      </w:r>
    </w:p>
    <w:p w14:paraId="603AD90C" w14:textId="78C0BD41" w:rsidR="007A73C6" w:rsidRPr="00F867D0" w:rsidRDefault="007A73C6" w:rsidP="00CD06AB">
      <w:pPr>
        <w:widowControl w:val="0"/>
        <w:autoSpaceDE w:val="0"/>
        <w:autoSpaceDN w:val="0"/>
        <w:adjustRightInd w:val="0"/>
        <w:spacing w:after="0"/>
        <w:rPr>
          <w:rFonts w:eastAsia="MS Mincho"/>
          <w:szCs w:val="22"/>
          <w:lang w:eastAsia="ja-JP"/>
        </w:rPr>
      </w:pPr>
    </w:p>
    <w:p w14:paraId="4E544550" w14:textId="35AFB266" w:rsidR="00CF6D6E" w:rsidRPr="000F749F" w:rsidRDefault="00CD06AB" w:rsidP="000F749F">
      <w:pPr>
        <w:pStyle w:val="Heading3"/>
        <w:rPr>
          <w:b w:val="0"/>
        </w:rPr>
      </w:pPr>
      <w:bookmarkStart w:id="114" w:name="_Toc515454397"/>
      <w:r w:rsidRPr="000F749F">
        <w:t>3</w:t>
      </w:r>
      <w:r w:rsidR="00CF6D6E" w:rsidRPr="000F749F">
        <w:t>.3.1</w:t>
      </w:r>
      <w:r w:rsidR="00CF6D6E" w:rsidRPr="000F749F">
        <w:tab/>
        <w:t>Green Climate Fund</w:t>
      </w:r>
      <w:bookmarkEnd w:id="114"/>
    </w:p>
    <w:p w14:paraId="305BC182" w14:textId="77777777" w:rsidR="003822CE" w:rsidRDefault="003822CE" w:rsidP="00DD7BAD">
      <w:pPr>
        <w:spacing w:after="0"/>
        <w:rPr>
          <w:b/>
          <w:szCs w:val="22"/>
          <w:lang w:eastAsia="en-US"/>
        </w:rPr>
      </w:pPr>
    </w:p>
    <w:p w14:paraId="054929BD" w14:textId="77777777" w:rsidR="002C5E4A" w:rsidRDefault="00CF6D6E" w:rsidP="00031D16">
      <w:pPr>
        <w:spacing w:after="0"/>
        <w:rPr>
          <w:b/>
          <w:szCs w:val="22"/>
          <w:lang w:eastAsia="en-US"/>
        </w:rPr>
      </w:pPr>
      <w:r w:rsidRPr="00F867D0">
        <w:rPr>
          <w:b/>
          <w:szCs w:val="22"/>
          <w:lang w:eastAsia="en-US"/>
        </w:rPr>
        <w:t>Overview</w:t>
      </w:r>
    </w:p>
    <w:p w14:paraId="1E25D385" w14:textId="77777777" w:rsidR="00E077A6" w:rsidRDefault="00E077A6" w:rsidP="00031D16">
      <w:pPr>
        <w:spacing w:after="0"/>
        <w:rPr>
          <w:szCs w:val="22"/>
          <w:lang w:eastAsia="en-US"/>
        </w:rPr>
      </w:pPr>
    </w:p>
    <w:p w14:paraId="6DE08DD3" w14:textId="40EEA467" w:rsidR="00343C3B" w:rsidRDefault="00343C3B" w:rsidP="00031D16">
      <w:pPr>
        <w:spacing w:after="0"/>
        <w:rPr>
          <w:szCs w:val="22"/>
          <w:lang w:eastAsia="en-US"/>
        </w:rPr>
      </w:pPr>
      <w:r w:rsidRPr="00F867D0">
        <w:rPr>
          <w:szCs w:val="22"/>
          <w:lang w:eastAsia="en-US"/>
        </w:rPr>
        <w:t>The Green Climate Fund (GCF) is a global fund wh</w:t>
      </w:r>
      <w:r w:rsidR="005829B4" w:rsidRPr="00F867D0">
        <w:rPr>
          <w:szCs w:val="22"/>
          <w:lang w:eastAsia="en-US"/>
        </w:rPr>
        <w:t>ich</w:t>
      </w:r>
      <w:r w:rsidRPr="00F867D0">
        <w:rPr>
          <w:szCs w:val="22"/>
          <w:lang w:eastAsia="en-US"/>
        </w:rPr>
        <w:t xml:space="preserve"> support the efforts of developing countries</w:t>
      </w:r>
      <w:r w:rsidR="008C3ED4">
        <w:rPr>
          <w:szCs w:val="22"/>
          <w:lang w:eastAsia="en-US"/>
        </w:rPr>
        <w:t>,</w:t>
      </w:r>
      <w:r w:rsidRPr="00F867D0">
        <w:rPr>
          <w:szCs w:val="22"/>
          <w:lang w:eastAsia="en-US"/>
        </w:rPr>
        <w:t xml:space="preserve"> </w:t>
      </w:r>
      <w:r w:rsidR="00C84451" w:rsidRPr="00F867D0">
        <w:rPr>
          <w:szCs w:val="22"/>
          <w:lang w:eastAsia="en-US"/>
        </w:rPr>
        <w:t xml:space="preserve">particularly the </w:t>
      </w:r>
      <w:r w:rsidRPr="00F867D0">
        <w:rPr>
          <w:szCs w:val="22"/>
          <w:lang w:eastAsia="en-US"/>
        </w:rPr>
        <w:t>Least Developed Countries (LDCs), Small Island Developing States (SIDS), African States and nations that are particularly vulnerable, to respond to the challenge of climate change. The GCF is financed from a variety of sources</w:t>
      </w:r>
      <w:r w:rsidR="001815A3" w:rsidRPr="00F867D0">
        <w:rPr>
          <w:szCs w:val="22"/>
          <w:lang w:eastAsia="en-US"/>
        </w:rPr>
        <w:t>, from the</w:t>
      </w:r>
      <w:r w:rsidRPr="00F867D0">
        <w:rPr>
          <w:szCs w:val="22"/>
          <w:lang w:eastAsia="en-US"/>
        </w:rPr>
        <w:t xml:space="preserve"> public (developed countries, but also from some developing countries, regions and cities) and private sectors. These resources address the mitigation and adaptation needs and priorities of developing countries through the principle of country ownership. The developing countries have a direct access modality so that national and sub-national organisations can receive funding directly beyond that </w:t>
      </w:r>
      <w:r w:rsidR="00A729DA" w:rsidRPr="00F867D0">
        <w:rPr>
          <w:szCs w:val="22"/>
          <w:lang w:eastAsia="en-US"/>
        </w:rPr>
        <w:t xml:space="preserve">of </w:t>
      </w:r>
      <w:r w:rsidRPr="00F867D0">
        <w:rPr>
          <w:szCs w:val="22"/>
          <w:lang w:eastAsia="en-US"/>
        </w:rPr>
        <w:t xml:space="preserve">the multilateral institutions. </w:t>
      </w:r>
    </w:p>
    <w:p w14:paraId="5E557BF4" w14:textId="77777777" w:rsidR="004F5D3D" w:rsidRPr="00F867D0" w:rsidRDefault="004F5D3D" w:rsidP="00031D16">
      <w:pPr>
        <w:spacing w:after="0"/>
        <w:rPr>
          <w:szCs w:val="22"/>
          <w:lang w:eastAsia="en-US"/>
        </w:rPr>
      </w:pPr>
    </w:p>
    <w:p w14:paraId="0FAB474D" w14:textId="77777777" w:rsidR="00A729DA" w:rsidRPr="00F867D0" w:rsidRDefault="00343C3B" w:rsidP="00063E0F">
      <w:pPr>
        <w:spacing w:after="0"/>
        <w:rPr>
          <w:szCs w:val="22"/>
          <w:lang w:eastAsia="en-US"/>
        </w:rPr>
      </w:pPr>
      <w:r w:rsidRPr="00F867D0">
        <w:rPr>
          <w:szCs w:val="22"/>
          <w:lang w:eastAsia="en-US"/>
        </w:rPr>
        <w:t>The GCF itself use</w:t>
      </w:r>
      <w:r w:rsidR="00A729DA" w:rsidRPr="00F867D0">
        <w:rPr>
          <w:szCs w:val="22"/>
          <w:lang w:eastAsia="en-US"/>
        </w:rPr>
        <w:t>s</w:t>
      </w:r>
      <w:r w:rsidRPr="00F867D0">
        <w:rPr>
          <w:szCs w:val="22"/>
          <w:lang w:eastAsia="en-US"/>
        </w:rPr>
        <w:t xml:space="preserve"> public investment to stimulate private finance multiplying the effect of its initial financing by opening markets to new investments. The </w:t>
      </w:r>
      <w:r w:rsidR="00A729DA" w:rsidRPr="00F867D0">
        <w:rPr>
          <w:szCs w:val="22"/>
          <w:lang w:eastAsia="en-US"/>
        </w:rPr>
        <w:t>GCF</w:t>
      </w:r>
      <w:r w:rsidRPr="00F867D0">
        <w:rPr>
          <w:szCs w:val="22"/>
          <w:lang w:eastAsia="en-US"/>
        </w:rPr>
        <w:t>’s investments can be in the form of grants, loans, equity or guarantees. The GCF portfolio has 76 projects and programmes approved, amounting to US</w:t>
      </w:r>
      <w:r w:rsidR="00A729DA" w:rsidRPr="00F867D0">
        <w:rPr>
          <w:szCs w:val="22"/>
          <w:lang w:eastAsia="en-US"/>
        </w:rPr>
        <w:t>$</w:t>
      </w:r>
      <w:r w:rsidRPr="00F867D0">
        <w:rPr>
          <w:szCs w:val="22"/>
          <w:lang w:eastAsia="en-US"/>
        </w:rPr>
        <w:t xml:space="preserve"> 3,730.2 million to assist developing countries in their low emission and climate resilient development.</w:t>
      </w:r>
    </w:p>
    <w:p w14:paraId="78D26247" w14:textId="77777777" w:rsidR="00E077A6" w:rsidRDefault="00343C3B" w:rsidP="00E077A6">
      <w:pPr>
        <w:spacing w:after="0"/>
        <w:rPr>
          <w:b/>
          <w:szCs w:val="22"/>
          <w:lang w:eastAsia="en-US"/>
        </w:rPr>
      </w:pPr>
      <w:r w:rsidRPr="00F867D0">
        <w:rPr>
          <w:szCs w:val="22"/>
          <w:lang w:eastAsia="en-US"/>
        </w:rPr>
        <w:br/>
      </w:r>
      <w:r w:rsidRPr="00F867D0">
        <w:rPr>
          <w:b/>
          <w:szCs w:val="22"/>
          <w:lang w:eastAsia="en-US"/>
        </w:rPr>
        <w:t xml:space="preserve">Financing </w:t>
      </w:r>
      <w:r w:rsidR="003822CE">
        <w:rPr>
          <w:b/>
          <w:szCs w:val="22"/>
          <w:lang w:eastAsia="en-US"/>
        </w:rPr>
        <w:t>m</w:t>
      </w:r>
      <w:r w:rsidRPr="00F867D0">
        <w:rPr>
          <w:b/>
          <w:szCs w:val="22"/>
          <w:lang w:eastAsia="en-US"/>
        </w:rPr>
        <w:t xml:space="preserve">odalities </w:t>
      </w:r>
      <w:r w:rsidR="00E077A6">
        <w:rPr>
          <w:b/>
          <w:szCs w:val="22"/>
          <w:lang w:eastAsia="en-US"/>
        </w:rPr>
        <w:t>and potential market mechanisms</w:t>
      </w:r>
    </w:p>
    <w:p w14:paraId="413BFC10" w14:textId="77777777" w:rsidR="00E077A6" w:rsidRDefault="00E077A6" w:rsidP="00E077A6">
      <w:pPr>
        <w:spacing w:after="0"/>
        <w:rPr>
          <w:b/>
          <w:szCs w:val="22"/>
          <w:lang w:eastAsia="en-US"/>
        </w:rPr>
      </w:pPr>
    </w:p>
    <w:p w14:paraId="5613AD34" w14:textId="01700351" w:rsidR="00343C3B" w:rsidRPr="00E077A6" w:rsidRDefault="00343C3B" w:rsidP="00E077A6">
      <w:pPr>
        <w:spacing w:after="0"/>
        <w:rPr>
          <w:b/>
          <w:szCs w:val="22"/>
          <w:lang w:eastAsia="en-US"/>
        </w:rPr>
      </w:pPr>
      <w:r w:rsidRPr="00F867D0">
        <w:rPr>
          <w:szCs w:val="22"/>
          <w:lang w:eastAsia="en-US"/>
        </w:rPr>
        <w:t>The GCF implement projects through partnerships with Accredited En</w:t>
      </w:r>
      <w:r w:rsidR="00A729DA" w:rsidRPr="00F867D0">
        <w:rPr>
          <w:szCs w:val="22"/>
          <w:lang w:eastAsia="en-US"/>
        </w:rPr>
        <w:t>tities (AEs) who submit a project</w:t>
      </w:r>
      <w:r w:rsidRPr="00F867D0">
        <w:rPr>
          <w:szCs w:val="22"/>
          <w:lang w:eastAsia="en-US"/>
        </w:rPr>
        <w:t xml:space="preserve"> proposal, in close consultation with </w:t>
      </w:r>
      <w:r w:rsidR="00A729DA" w:rsidRPr="00F867D0">
        <w:rPr>
          <w:szCs w:val="22"/>
          <w:lang w:eastAsia="en-US"/>
        </w:rPr>
        <w:t>national</w:t>
      </w:r>
      <w:r w:rsidRPr="00F867D0">
        <w:rPr>
          <w:szCs w:val="22"/>
          <w:lang w:eastAsia="en-US"/>
        </w:rPr>
        <w:t xml:space="preserve"> focal points. The AE</w:t>
      </w:r>
      <w:r w:rsidR="00A729DA" w:rsidRPr="00F867D0">
        <w:rPr>
          <w:szCs w:val="22"/>
          <w:lang w:eastAsia="en-US"/>
        </w:rPr>
        <w:t xml:space="preserve">s submit </w:t>
      </w:r>
      <w:r w:rsidRPr="00F867D0">
        <w:rPr>
          <w:szCs w:val="22"/>
          <w:lang w:eastAsia="en-US"/>
        </w:rPr>
        <w:t xml:space="preserve">the project proposal for consideration to the </w:t>
      </w:r>
      <w:r w:rsidR="00A729DA" w:rsidRPr="00F867D0">
        <w:rPr>
          <w:szCs w:val="22"/>
          <w:lang w:eastAsia="en-US"/>
        </w:rPr>
        <w:t xml:space="preserve">GCF </w:t>
      </w:r>
      <w:r w:rsidRPr="00F867D0">
        <w:rPr>
          <w:szCs w:val="22"/>
          <w:lang w:eastAsia="en-US"/>
        </w:rPr>
        <w:t xml:space="preserve">Board. Every project the GCF Board agrees to fund must be endorsed, via a no objection letter, by the </w:t>
      </w:r>
      <w:r w:rsidR="00A729DA" w:rsidRPr="00F867D0">
        <w:rPr>
          <w:szCs w:val="22"/>
          <w:lang w:eastAsia="en-US"/>
        </w:rPr>
        <w:t xml:space="preserve">national </w:t>
      </w:r>
      <w:r w:rsidRPr="00F867D0">
        <w:rPr>
          <w:szCs w:val="22"/>
          <w:lang w:eastAsia="en-US"/>
        </w:rPr>
        <w:t>focal point.</w:t>
      </w:r>
    </w:p>
    <w:p w14:paraId="4BE87603" w14:textId="395AA12C" w:rsidR="00343C3B" w:rsidRPr="00F867D0" w:rsidRDefault="00343C3B" w:rsidP="00343C3B">
      <w:pPr>
        <w:rPr>
          <w:szCs w:val="22"/>
          <w:lang w:eastAsia="en-US"/>
        </w:rPr>
      </w:pPr>
      <w:r w:rsidRPr="00F867D0">
        <w:rPr>
          <w:szCs w:val="22"/>
          <w:lang w:eastAsia="en-US"/>
        </w:rPr>
        <w:t>If a project is approved, the AEs are responsible for overseeing, supervising, managing and monitoring the overall GCF-approved projects and programmes. Executing Entities can also do this on behalf of A</w:t>
      </w:r>
      <w:r w:rsidR="00A729DA" w:rsidRPr="00F867D0">
        <w:rPr>
          <w:szCs w:val="22"/>
          <w:lang w:eastAsia="en-US"/>
        </w:rPr>
        <w:t xml:space="preserve">Es </w:t>
      </w:r>
      <w:r w:rsidRPr="00F867D0">
        <w:rPr>
          <w:szCs w:val="22"/>
          <w:lang w:eastAsia="en-US"/>
        </w:rPr>
        <w:t>by channelling funds and carrying out the funded activity. AEs can also respond to Requests for Proposals</w:t>
      </w:r>
      <w:r w:rsidR="00A729DA" w:rsidRPr="00F867D0">
        <w:rPr>
          <w:szCs w:val="22"/>
          <w:lang w:eastAsia="en-US"/>
        </w:rPr>
        <w:t xml:space="preserve"> (RFPs)</w:t>
      </w:r>
      <w:r w:rsidRPr="00F867D0">
        <w:rPr>
          <w:szCs w:val="22"/>
          <w:lang w:eastAsia="en-US"/>
        </w:rPr>
        <w:t> issued by GCF to fill current gaps and need in climate financing. In issuing some R</w:t>
      </w:r>
      <w:r w:rsidR="00A729DA" w:rsidRPr="00F867D0">
        <w:rPr>
          <w:szCs w:val="22"/>
          <w:lang w:eastAsia="en-US"/>
        </w:rPr>
        <w:t>FPs</w:t>
      </w:r>
      <w:r w:rsidRPr="00F867D0">
        <w:rPr>
          <w:szCs w:val="22"/>
          <w:lang w:eastAsia="en-US"/>
        </w:rPr>
        <w:t xml:space="preserve">, </w:t>
      </w:r>
      <w:r w:rsidR="00A729DA" w:rsidRPr="00F867D0">
        <w:rPr>
          <w:szCs w:val="22"/>
          <w:lang w:eastAsia="en-US"/>
        </w:rPr>
        <w:t xml:space="preserve">the </w:t>
      </w:r>
      <w:r w:rsidRPr="00F867D0">
        <w:rPr>
          <w:szCs w:val="22"/>
          <w:lang w:eastAsia="en-US"/>
        </w:rPr>
        <w:t>GCF may accept proposals from entities it has not yet accredited, but in this case, the non-accredited entities will have to team-up with A</w:t>
      </w:r>
      <w:r w:rsidR="00A729DA" w:rsidRPr="00F867D0">
        <w:rPr>
          <w:szCs w:val="22"/>
          <w:lang w:eastAsia="en-US"/>
        </w:rPr>
        <w:t xml:space="preserve">Es </w:t>
      </w:r>
      <w:r w:rsidRPr="00F867D0">
        <w:rPr>
          <w:szCs w:val="22"/>
          <w:lang w:eastAsia="en-US"/>
        </w:rPr>
        <w:t xml:space="preserve">when formally submitting funding proposals to GCF.  </w:t>
      </w:r>
    </w:p>
    <w:p w14:paraId="145BA8E5" w14:textId="77777777" w:rsidR="00E077A6" w:rsidRDefault="00343C3B" w:rsidP="00031D16">
      <w:pPr>
        <w:spacing w:after="0"/>
        <w:rPr>
          <w:b/>
          <w:szCs w:val="22"/>
          <w:lang w:eastAsia="en-US"/>
        </w:rPr>
      </w:pPr>
      <w:r w:rsidRPr="003822CE">
        <w:rPr>
          <w:b/>
          <w:szCs w:val="22"/>
          <w:lang w:eastAsia="en-US"/>
        </w:rPr>
        <w:t>Requests for Proposals</w:t>
      </w:r>
      <w:r w:rsidR="00A729DA" w:rsidRPr="003822CE">
        <w:rPr>
          <w:b/>
          <w:szCs w:val="22"/>
          <w:lang w:eastAsia="en-US"/>
        </w:rPr>
        <w:t xml:space="preserve"> (RFPs)</w:t>
      </w:r>
    </w:p>
    <w:p w14:paraId="6C99D1D8" w14:textId="77777777" w:rsidR="00E077A6" w:rsidRDefault="00E077A6" w:rsidP="00031D16">
      <w:pPr>
        <w:spacing w:after="0"/>
        <w:rPr>
          <w:b/>
          <w:szCs w:val="22"/>
          <w:lang w:eastAsia="en-US"/>
        </w:rPr>
      </w:pPr>
    </w:p>
    <w:p w14:paraId="055E835F" w14:textId="4CC64033" w:rsidR="00343C3B" w:rsidRPr="00E077A6" w:rsidRDefault="00343C3B" w:rsidP="00031D16">
      <w:pPr>
        <w:spacing w:after="0"/>
        <w:rPr>
          <w:b/>
          <w:szCs w:val="22"/>
          <w:lang w:eastAsia="en-US"/>
        </w:rPr>
      </w:pPr>
      <w:r w:rsidRPr="00F867D0">
        <w:rPr>
          <w:szCs w:val="22"/>
          <w:lang w:eastAsia="en-US"/>
        </w:rPr>
        <w:t xml:space="preserve">The GCF has established several supporting programmes to issue </w:t>
      </w:r>
      <w:r w:rsidR="00A729DA" w:rsidRPr="00F867D0">
        <w:rPr>
          <w:szCs w:val="22"/>
          <w:lang w:eastAsia="en-US"/>
        </w:rPr>
        <w:t>RFPs</w:t>
      </w:r>
      <w:r w:rsidRPr="00F867D0">
        <w:rPr>
          <w:szCs w:val="22"/>
          <w:lang w:eastAsia="en-US"/>
        </w:rPr>
        <w:t xml:space="preserve">: </w:t>
      </w:r>
    </w:p>
    <w:p w14:paraId="2C0FC667" w14:textId="77777777" w:rsidR="00E077A6" w:rsidRDefault="00E077A6" w:rsidP="00E077A6">
      <w:pPr>
        <w:pStyle w:val="ListParagraph"/>
        <w:numPr>
          <w:ilvl w:val="0"/>
          <w:numId w:val="0"/>
        </w:numPr>
        <w:ind w:left="720"/>
        <w:rPr>
          <w:lang w:eastAsia="en-US"/>
        </w:rPr>
      </w:pPr>
    </w:p>
    <w:p w14:paraId="35A0D863" w14:textId="45821FEE" w:rsidR="00C82EEB" w:rsidRPr="003822CE" w:rsidRDefault="00343C3B" w:rsidP="00BF4C57">
      <w:pPr>
        <w:pStyle w:val="ListParagraph"/>
        <w:rPr>
          <w:lang w:eastAsia="en-US"/>
        </w:rPr>
      </w:pPr>
      <w:r w:rsidRPr="003822CE">
        <w:rPr>
          <w:lang w:eastAsia="en-US"/>
        </w:rPr>
        <w:t>Micro</w:t>
      </w:r>
      <w:r w:rsidR="00C82EEB" w:rsidRPr="003822CE">
        <w:rPr>
          <w:lang w:eastAsia="en-US"/>
        </w:rPr>
        <w:t>, S</w:t>
      </w:r>
      <w:r w:rsidRPr="003822CE">
        <w:rPr>
          <w:lang w:eastAsia="en-US"/>
        </w:rPr>
        <w:t xml:space="preserve">mall and </w:t>
      </w:r>
      <w:r w:rsidR="00C82EEB" w:rsidRPr="003822CE">
        <w:rPr>
          <w:lang w:eastAsia="en-US"/>
        </w:rPr>
        <w:t>M</w:t>
      </w:r>
      <w:r w:rsidRPr="003822CE">
        <w:rPr>
          <w:lang w:eastAsia="en-US"/>
        </w:rPr>
        <w:t>edium-Sized Enterprises Pilot Programme: The programme aims to support micro, small, and medium</w:t>
      </w:r>
      <w:r w:rsidR="00C82EEB" w:rsidRPr="003822CE">
        <w:rPr>
          <w:lang w:eastAsia="en-US"/>
        </w:rPr>
        <w:t>-sized e</w:t>
      </w:r>
      <w:r w:rsidRPr="003822CE">
        <w:rPr>
          <w:lang w:eastAsia="en-US"/>
        </w:rPr>
        <w:t>nterprises in addressing mitig</w:t>
      </w:r>
      <w:r w:rsidR="00C82EEB" w:rsidRPr="003822CE">
        <w:rPr>
          <w:lang w:eastAsia="en-US"/>
        </w:rPr>
        <w:t>ation and adaptation challenges;</w:t>
      </w:r>
    </w:p>
    <w:p w14:paraId="515B91B1" w14:textId="77777777" w:rsidR="00E077A6" w:rsidRDefault="00E077A6" w:rsidP="00E077A6">
      <w:pPr>
        <w:pStyle w:val="ListParagraph"/>
        <w:numPr>
          <w:ilvl w:val="0"/>
          <w:numId w:val="0"/>
        </w:numPr>
        <w:ind w:left="720"/>
        <w:rPr>
          <w:lang w:eastAsia="en-US"/>
        </w:rPr>
      </w:pPr>
    </w:p>
    <w:p w14:paraId="0570EE6E" w14:textId="14D1D816" w:rsidR="00C82EEB" w:rsidRPr="003822CE" w:rsidRDefault="00343C3B" w:rsidP="00BF4C57">
      <w:pPr>
        <w:pStyle w:val="ListParagraph"/>
        <w:rPr>
          <w:lang w:eastAsia="en-US"/>
        </w:rPr>
      </w:pPr>
      <w:r w:rsidRPr="003822CE">
        <w:rPr>
          <w:lang w:eastAsia="en-US"/>
        </w:rPr>
        <w:t>Enhancing Direct Access: The GCF has allocated US</w:t>
      </w:r>
      <w:r w:rsidR="00C82EEB" w:rsidRPr="003822CE">
        <w:rPr>
          <w:lang w:eastAsia="en-US"/>
        </w:rPr>
        <w:t>$</w:t>
      </w:r>
      <w:r w:rsidRPr="003822CE">
        <w:rPr>
          <w:lang w:eastAsia="en-US"/>
        </w:rPr>
        <w:t xml:space="preserve"> </w:t>
      </w:r>
      <w:r w:rsidR="00C82EEB" w:rsidRPr="003822CE">
        <w:rPr>
          <w:lang w:eastAsia="en-US"/>
        </w:rPr>
        <w:t xml:space="preserve">200 </w:t>
      </w:r>
      <w:r w:rsidRPr="003822CE">
        <w:rPr>
          <w:lang w:eastAsia="en-US"/>
        </w:rPr>
        <w:t>million for 10 pilot funding proposal</w:t>
      </w:r>
      <w:r w:rsidR="00C82EEB" w:rsidRPr="003822CE">
        <w:rPr>
          <w:lang w:eastAsia="en-US"/>
        </w:rPr>
        <w:t>s</w:t>
      </w:r>
      <w:r w:rsidRPr="003822CE">
        <w:rPr>
          <w:lang w:eastAsia="en-US"/>
        </w:rPr>
        <w:t xml:space="preserve"> adopting Enhance Direct Access implement</w:t>
      </w:r>
      <w:r w:rsidR="00C82EEB" w:rsidRPr="003822CE">
        <w:rPr>
          <w:lang w:eastAsia="en-US"/>
        </w:rPr>
        <w:t>ation modalities.</w:t>
      </w:r>
    </w:p>
    <w:p w14:paraId="48306560" w14:textId="77777777" w:rsidR="00E077A6" w:rsidRDefault="00E077A6" w:rsidP="00E077A6">
      <w:pPr>
        <w:pStyle w:val="ListParagraph"/>
        <w:numPr>
          <w:ilvl w:val="0"/>
          <w:numId w:val="0"/>
        </w:numPr>
        <w:ind w:left="720"/>
        <w:rPr>
          <w:lang w:eastAsia="en-US"/>
        </w:rPr>
      </w:pPr>
    </w:p>
    <w:p w14:paraId="5568CBAA" w14:textId="3DFDAF07" w:rsidR="00C82EEB" w:rsidRPr="00F867D0" w:rsidRDefault="00C82EEB" w:rsidP="00BF4C57">
      <w:pPr>
        <w:pStyle w:val="ListParagraph"/>
        <w:rPr>
          <w:lang w:eastAsia="en-US"/>
        </w:rPr>
      </w:pPr>
      <w:r w:rsidRPr="003822CE">
        <w:rPr>
          <w:lang w:eastAsia="en-US"/>
        </w:rPr>
        <w:t>M</w:t>
      </w:r>
      <w:r w:rsidR="00343C3B" w:rsidRPr="003822CE">
        <w:rPr>
          <w:lang w:eastAsia="en-US"/>
        </w:rPr>
        <w:t xml:space="preserve">obilising Funding at Scale Pilot Programme: The GCF has allocated </w:t>
      </w:r>
      <w:r w:rsidRPr="003822CE">
        <w:rPr>
          <w:lang w:eastAsia="en-US"/>
        </w:rPr>
        <w:t>US$ 500 million for this programme t</w:t>
      </w:r>
      <w:r w:rsidR="00343C3B" w:rsidRPr="003822CE">
        <w:rPr>
          <w:lang w:eastAsia="en-US"/>
        </w:rPr>
        <w:t>o identify innovative</w:t>
      </w:r>
      <w:r w:rsidR="00343C3B" w:rsidRPr="00F867D0">
        <w:rPr>
          <w:lang w:eastAsia="en-US"/>
        </w:rPr>
        <w:t>, high-impact projects and programmes that mobilize private sector investment</w:t>
      </w:r>
      <w:r w:rsidRPr="00F867D0">
        <w:rPr>
          <w:lang w:eastAsia="en-US"/>
        </w:rPr>
        <w:t xml:space="preserve"> in climate change activity.</w:t>
      </w:r>
    </w:p>
    <w:p w14:paraId="46937542" w14:textId="77777777" w:rsidR="00C82EEB" w:rsidRPr="00F867D0" w:rsidRDefault="00C82EEB" w:rsidP="00031D16">
      <w:pPr>
        <w:spacing w:after="0"/>
        <w:ind w:left="580"/>
        <w:rPr>
          <w:lang w:eastAsia="en-US"/>
        </w:rPr>
      </w:pPr>
    </w:p>
    <w:p w14:paraId="641303A9" w14:textId="4CB7CD7B" w:rsidR="009C7C4B" w:rsidRDefault="00343C3B" w:rsidP="00031D16">
      <w:pPr>
        <w:spacing w:after="0"/>
        <w:rPr>
          <w:lang w:eastAsia="en-US"/>
        </w:rPr>
      </w:pPr>
      <w:r w:rsidRPr="00F867D0">
        <w:rPr>
          <w:lang w:eastAsia="en-US"/>
        </w:rPr>
        <w:t xml:space="preserve">In addition, the GCF has established a Simplified Approval Process for some small-scale projects (Concept notes) </w:t>
      </w:r>
      <w:r w:rsidR="009C7C4B" w:rsidRPr="00F867D0">
        <w:rPr>
          <w:lang w:eastAsia="en-US"/>
        </w:rPr>
        <w:t>that m</w:t>
      </w:r>
      <w:r w:rsidRPr="00F867D0">
        <w:rPr>
          <w:lang w:eastAsia="en-US"/>
        </w:rPr>
        <w:t xml:space="preserve">ay also be submitted for consideration. Those projects </w:t>
      </w:r>
      <w:r w:rsidR="009C7C4B" w:rsidRPr="00F867D0">
        <w:rPr>
          <w:lang w:eastAsia="en-US"/>
        </w:rPr>
        <w:t xml:space="preserve">may </w:t>
      </w:r>
      <w:r w:rsidRPr="00F867D0">
        <w:rPr>
          <w:lang w:eastAsia="en-US"/>
        </w:rPr>
        <w:t>be presented as long as the project size is up to US</w:t>
      </w:r>
      <w:r w:rsidR="009C7C4B" w:rsidRPr="00F867D0">
        <w:rPr>
          <w:lang w:eastAsia="en-US"/>
        </w:rPr>
        <w:t>$</w:t>
      </w:r>
      <w:r w:rsidRPr="00F867D0">
        <w:rPr>
          <w:lang w:eastAsia="en-US"/>
        </w:rPr>
        <w:t>10 million of the total project budget, the environmental and social risks and impacts are minimal and the small</w:t>
      </w:r>
      <w:r w:rsidR="009C7C4B" w:rsidRPr="00F867D0">
        <w:rPr>
          <w:lang w:eastAsia="en-US"/>
        </w:rPr>
        <w:t>-</w:t>
      </w:r>
      <w:r w:rsidRPr="00F867D0">
        <w:rPr>
          <w:lang w:eastAsia="en-US"/>
        </w:rPr>
        <w:t xml:space="preserve">scale project </w:t>
      </w:r>
      <w:r w:rsidR="006A79E8">
        <w:rPr>
          <w:lang w:eastAsia="en-US"/>
        </w:rPr>
        <w:t>is</w:t>
      </w:r>
      <w:r w:rsidRPr="00F867D0">
        <w:rPr>
          <w:lang w:eastAsia="en-US"/>
        </w:rPr>
        <w:t xml:space="preserve"> ready for scaling up to low-emission and climate-resilient development. Funding proposals are submitted to </w:t>
      </w:r>
      <w:r w:rsidR="009C7C4B" w:rsidRPr="00F867D0">
        <w:rPr>
          <w:lang w:eastAsia="en-US"/>
        </w:rPr>
        <w:t>the GCF S</w:t>
      </w:r>
      <w:r w:rsidRPr="00F867D0">
        <w:rPr>
          <w:lang w:eastAsia="en-US"/>
        </w:rPr>
        <w:t xml:space="preserve">ecretariat for </w:t>
      </w:r>
      <w:r w:rsidR="009C7C4B" w:rsidRPr="00F867D0">
        <w:rPr>
          <w:lang w:eastAsia="en-US"/>
        </w:rPr>
        <w:t xml:space="preserve">the </w:t>
      </w:r>
      <w:r w:rsidRPr="00F867D0">
        <w:rPr>
          <w:lang w:eastAsia="en-US"/>
        </w:rPr>
        <w:t xml:space="preserve">review process before the consideration of their approval by the GCF Board. </w:t>
      </w:r>
    </w:p>
    <w:p w14:paraId="51434154" w14:textId="77777777" w:rsidR="004F5D3D" w:rsidRPr="00F867D0" w:rsidRDefault="004F5D3D" w:rsidP="00031D16">
      <w:pPr>
        <w:spacing w:after="0"/>
        <w:rPr>
          <w:lang w:eastAsia="en-US"/>
        </w:rPr>
      </w:pPr>
    </w:p>
    <w:p w14:paraId="2EE2C3C4" w14:textId="44689B37" w:rsidR="00343C3B" w:rsidRPr="00F867D0" w:rsidRDefault="00343C3B" w:rsidP="00C82EEB">
      <w:pPr>
        <w:rPr>
          <w:lang w:eastAsia="en-US"/>
        </w:rPr>
      </w:pPr>
      <w:r w:rsidRPr="00F867D0">
        <w:rPr>
          <w:lang w:eastAsia="en-US"/>
        </w:rPr>
        <w:t>The Fund has identified 8 impact areas</w:t>
      </w:r>
      <w:r w:rsidR="006A79E8">
        <w:rPr>
          <w:lang w:eastAsia="en-US"/>
        </w:rPr>
        <w:t xml:space="preserve"> that</w:t>
      </w:r>
      <w:r w:rsidRPr="00F867D0">
        <w:rPr>
          <w:lang w:eastAsia="en-US"/>
        </w:rPr>
        <w:t xml:space="preserve"> deliver major mitigation and adaptation benefits (see </w:t>
      </w:r>
      <w:r w:rsidR="009C7C4B" w:rsidRPr="00F867D0">
        <w:rPr>
          <w:lang w:eastAsia="en-US"/>
        </w:rPr>
        <w:t xml:space="preserve">GCF </w:t>
      </w:r>
      <w:r w:rsidRPr="00F867D0">
        <w:rPr>
          <w:lang w:eastAsia="en-US"/>
        </w:rPr>
        <w:t>Decision </w:t>
      </w:r>
      <w:hyperlink r:id="rId50" w:tgtFrame="_blank" w:history="1">
        <w:r w:rsidRPr="00F867D0">
          <w:rPr>
            <w:rStyle w:val="Hyperlink"/>
            <w:szCs w:val="22"/>
            <w:lang w:eastAsia="en-US"/>
          </w:rPr>
          <w:t>B.07/04</w:t>
        </w:r>
      </w:hyperlink>
      <w:r w:rsidRPr="00F867D0">
        <w:rPr>
          <w:lang w:eastAsia="en-US"/>
        </w:rPr>
        <w:t xml:space="preserve">). </w:t>
      </w:r>
      <w:r w:rsidR="009C7C4B" w:rsidRPr="00F867D0">
        <w:rPr>
          <w:lang w:eastAsia="en-US"/>
        </w:rPr>
        <w:t>In particular, t</w:t>
      </w:r>
      <w:r w:rsidRPr="00F867D0">
        <w:rPr>
          <w:lang w:eastAsia="en-US"/>
        </w:rPr>
        <w:t xml:space="preserve">he areas of “Energy efficient buildings, cities and industries” and “Low-emission transport” are </w:t>
      </w:r>
      <w:r w:rsidR="009C7C4B" w:rsidRPr="00F867D0">
        <w:rPr>
          <w:lang w:eastAsia="en-US"/>
        </w:rPr>
        <w:t xml:space="preserve">relevant to the focus of this report. </w:t>
      </w:r>
      <w:r w:rsidRPr="00F867D0">
        <w:rPr>
          <w:lang w:eastAsia="en-US"/>
        </w:rPr>
        <w:t>For the time being</w:t>
      </w:r>
      <w:r w:rsidR="009C7C4B" w:rsidRPr="00F867D0">
        <w:rPr>
          <w:lang w:eastAsia="en-US"/>
        </w:rPr>
        <w:t>,</w:t>
      </w:r>
      <w:r w:rsidRPr="00F867D0">
        <w:rPr>
          <w:lang w:eastAsia="en-US"/>
        </w:rPr>
        <w:t xml:space="preserve"> projects are prepared and submitted to the GCF </w:t>
      </w:r>
      <w:r w:rsidR="009C7C4B" w:rsidRPr="00F867D0">
        <w:rPr>
          <w:lang w:eastAsia="en-US"/>
        </w:rPr>
        <w:t>B</w:t>
      </w:r>
      <w:r w:rsidRPr="00F867D0">
        <w:rPr>
          <w:lang w:eastAsia="en-US"/>
        </w:rPr>
        <w:t xml:space="preserve">oard for approval. The component projects are approved if in line with the guidelines and procedures which are still under development. </w:t>
      </w:r>
    </w:p>
    <w:p w14:paraId="4C7CEF99" w14:textId="2849C4EA" w:rsidR="00343C3B" w:rsidRDefault="00343C3B" w:rsidP="00031D16">
      <w:pPr>
        <w:spacing w:after="0"/>
        <w:rPr>
          <w:szCs w:val="22"/>
          <w:lang w:eastAsia="en-US"/>
        </w:rPr>
      </w:pPr>
      <w:r w:rsidRPr="00F867D0">
        <w:rPr>
          <w:szCs w:val="22"/>
          <w:lang w:eastAsia="en-US"/>
        </w:rPr>
        <w:t xml:space="preserve">With </w:t>
      </w:r>
      <w:r w:rsidR="009C7C4B" w:rsidRPr="00F867D0">
        <w:rPr>
          <w:szCs w:val="22"/>
          <w:lang w:eastAsia="en-US"/>
        </w:rPr>
        <w:t xml:space="preserve">GCF Decision </w:t>
      </w:r>
      <w:r w:rsidRPr="00F867D0">
        <w:rPr>
          <w:szCs w:val="22"/>
          <w:lang w:eastAsia="en-US"/>
        </w:rPr>
        <w:t xml:space="preserve">B.17/10: Establishing strategic programming priorities, the </w:t>
      </w:r>
      <w:r w:rsidR="009C7C4B" w:rsidRPr="00F867D0">
        <w:rPr>
          <w:szCs w:val="22"/>
          <w:lang w:eastAsia="en-US"/>
        </w:rPr>
        <w:t xml:space="preserve">GCF </w:t>
      </w:r>
      <w:r w:rsidRPr="00F867D0">
        <w:rPr>
          <w:szCs w:val="22"/>
          <w:lang w:eastAsia="en-US"/>
        </w:rPr>
        <w:t xml:space="preserve">Secretariat will develop a mapping document that identifies all elements related to project and programme eligibility and selection criteria included for funding proposals for the Board’s consideration at its </w:t>
      </w:r>
      <w:r w:rsidR="009C7C4B" w:rsidRPr="00F867D0">
        <w:rPr>
          <w:szCs w:val="22"/>
          <w:lang w:eastAsia="en-US"/>
        </w:rPr>
        <w:t xml:space="preserve">eighteenth meeting. This also takes </w:t>
      </w:r>
      <w:r w:rsidRPr="00F867D0">
        <w:rPr>
          <w:szCs w:val="22"/>
          <w:lang w:eastAsia="en-US"/>
        </w:rPr>
        <w:t>into account best practices from other multilateral funds and other approa</w:t>
      </w:r>
      <w:r w:rsidR="00E077A6">
        <w:rPr>
          <w:szCs w:val="22"/>
          <w:lang w:eastAsia="en-US"/>
        </w:rPr>
        <w:t>ches to address the following:</w:t>
      </w:r>
    </w:p>
    <w:p w14:paraId="311416FB" w14:textId="77777777" w:rsidR="00E077A6" w:rsidRPr="00F867D0" w:rsidRDefault="00E077A6" w:rsidP="00031D16">
      <w:pPr>
        <w:spacing w:after="0"/>
        <w:rPr>
          <w:szCs w:val="22"/>
          <w:lang w:eastAsia="en-US"/>
        </w:rPr>
      </w:pPr>
    </w:p>
    <w:p w14:paraId="70009FAA" w14:textId="77777777" w:rsidR="00343C3B" w:rsidRPr="00F867D0" w:rsidRDefault="00343C3B" w:rsidP="00736989">
      <w:pPr>
        <w:numPr>
          <w:ilvl w:val="0"/>
          <w:numId w:val="52"/>
        </w:numPr>
        <w:spacing w:after="0"/>
        <w:rPr>
          <w:szCs w:val="22"/>
          <w:lang w:eastAsia="en-US"/>
        </w:rPr>
      </w:pPr>
      <w:r w:rsidRPr="00F867D0">
        <w:rPr>
          <w:szCs w:val="22"/>
          <w:lang w:eastAsia="en-US"/>
        </w:rPr>
        <w:t xml:space="preserve">The development and application of an incremental cost calculation methodology and/or alternative methodologies, as appropriate; </w:t>
      </w:r>
    </w:p>
    <w:p w14:paraId="62FA29DA" w14:textId="31E1678C" w:rsidR="00343C3B" w:rsidRPr="00F867D0" w:rsidRDefault="00343C3B" w:rsidP="00736989">
      <w:pPr>
        <w:numPr>
          <w:ilvl w:val="0"/>
          <w:numId w:val="52"/>
        </w:numPr>
        <w:spacing w:after="0"/>
        <w:rPr>
          <w:szCs w:val="22"/>
          <w:lang w:eastAsia="en-US"/>
        </w:rPr>
      </w:pPr>
      <w:r w:rsidRPr="00F867D0">
        <w:rPr>
          <w:szCs w:val="22"/>
          <w:lang w:eastAsia="en-US"/>
        </w:rPr>
        <w:t xml:space="preserve">Guidance on the approach and scope for providing support to adaptation activities;  </w:t>
      </w:r>
    </w:p>
    <w:p w14:paraId="32247C05" w14:textId="750C97A4" w:rsidR="00343C3B" w:rsidRPr="00F867D0" w:rsidRDefault="00343C3B" w:rsidP="00736989">
      <w:pPr>
        <w:numPr>
          <w:ilvl w:val="0"/>
          <w:numId w:val="52"/>
        </w:numPr>
        <w:spacing w:after="0"/>
        <w:rPr>
          <w:szCs w:val="22"/>
          <w:lang w:eastAsia="en-US"/>
        </w:rPr>
      </w:pPr>
      <w:r w:rsidRPr="00F867D0">
        <w:rPr>
          <w:szCs w:val="22"/>
          <w:lang w:eastAsia="en-US"/>
        </w:rPr>
        <w:t xml:space="preserve">A policy on co-financing; and </w:t>
      </w:r>
    </w:p>
    <w:p w14:paraId="125C7C95" w14:textId="511B3418" w:rsidR="00D44991" w:rsidRPr="00F867D0" w:rsidRDefault="00343C3B" w:rsidP="00736989">
      <w:pPr>
        <w:numPr>
          <w:ilvl w:val="0"/>
          <w:numId w:val="52"/>
        </w:numPr>
        <w:spacing w:after="0"/>
        <w:rPr>
          <w:szCs w:val="22"/>
          <w:lang w:eastAsia="en-US"/>
        </w:rPr>
      </w:pPr>
      <w:r w:rsidRPr="00F867D0">
        <w:rPr>
          <w:szCs w:val="22"/>
          <w:lang w:eastAsia="en-US"/>
        </w:rPr>
        <w:t>Options for further guidance on concessionality</w:t>
      </w:r>
      <w:r w:rsidR="008245A8">
        <w:rPr>
          <w:rStyle w:val="FootnoteReference"/>
          <w:szCs w:val="22"/>
          <w:lang w:eastAsia="en-US"/>
        </w:rPr>
        <w:footnoteReference w:id="20"/>
      </w:r>
      <w:r w:rsidRPr="00F867D0">
        <w:rPr>
          <w:szCs w:val="22"/>
          <w:lang w:eastAsia="en-US"/>
        </w:rPr>
        <w:t>, building on related work</w:t>
      </w:r>
      <w:r w:rsidR="00D44991" w:rsidRPr="00F867D0">
        <w:rPr>
          <w:szCs w:val="22"/>
          <w:lang w:eastAsia="en-US"/>
        </w:rPr>
        <w:t>.</w:t>
      </w:r>
    </w:p>
    <w:p w14:paraId="3CB68DE7" w14:textId="10B5326F" w:rsidR="00343C3B" w:rsidRPr="00F867D0" w:rsidRDefault="00343C3B" w:rsidP="00FB6324">
      <w:pPr>
        <w:spacing w:after="0"/>
        <w:ind w:left="360"/>
        <w:rPr>
          <w:szCs w:val="22"/>
          <w:lang w:eastAsia="en-US"/>
        </w:rPr>
      </w:pPr>
      <w:r w:rsidRPr="00F867D0">
        <w:rPr>
          <w:szCs w:val="22"/>
          <w:lang w:eastAsia="en-US"/>
        </w:rPr>
        <w:t xml:space="preserve"> </w:t>
      </w:r>
    </w:p>
    <w:p w14:paraId="2CB08671" w14:textId="32CD37AE" w:rsidR="00343C3B" w:rsidRPr="00F867D0" w:rsidRDefault="00343C3B" w:rsidP="00031D16">
      <w:pPr>
        <w:spacing w:after="0"/>
        <w:rPr>
          <w:szCs w:val="22"/>
          <w:lang w:eastAsia="en-US"/>
        </w:rPr>
      </w:pPr>
      <w:r w:rsidRPr="00F867D0">
        <w:rPr>
          <w:szCs w:val="22"/>
          <w:lang w:eastAsia="en-US"/>
        </w:rPr>
        <w:t xml:space="preserve">In terms of potential market mechanism, </w:t>
      </w:r>
      <w:r w:rsidR="009C7C4B" w:rsidRPr="00F867D0">
        <w:rPr>
          <w:szCs w:val="22"/>
          <w:lang w:eastAsia="en-US"/>
        </w:rPr>
        <w:t xml:space="preserve">discussions of collaboration took place in 2016 </w:t>
      </w:r>
      <w:r w:rsidRPr="00F867D0">
        <w:rPr>
          <w:szCs w:val="22"/>
          <w:lang w:eastAsia="en-US"/>
        </w:rPr>
        <w:t>between the C</w:t>
      </w:r>
      <w:r w:rsidR="009C7C4B" w:rsidRPr="00F867D0">
        <w:rPr>
          <w:szCs w:val="22"/>
          <w:lang w:eastAsia="en-US"/>
        </w:rPr>
        <w:t>lean Development Mechanism (C</w:t>
      </w:r>
      <w:r w:rsidRPr="00F867D0">
        <w:rPr>
          <w:szCs w:val="22"/>
          <w:lang w:eastAsia="en-US"/>
        </w:rPr>
        <w:t>DM</w:t>
      </w:r>
      <w:r w:rsidR="009C7C4B" w:rsidRPr="00F867D0">
        <w:rPr>
          <w:szCs w:val="22"/>
          <w:lang w:eastAsia="en-US"/>
        </w:rPr>
        <w:t>)</w:t>
      </w:r>
      <w:r w:rsidRPr="00F867D0">
        <w:rPr>
          <w:szCs w:val="22"/>
          <w:lang w:eastAsia="en-US"/>
        </w:rPr>
        <w:t xml:space="preserve"> Executive Board and the </w:t>
      </w:r>
      <w:r w:rsidR="009C7C4B" w:rsidRPr="00F867D0">
        <w:rPr>
          <w:szCs w:val="22"/>
          <w:lang w:eastAsia="en-US"/>
        </w:rPr>
        <w:t xml:space="preserve">GCF </w:t>
      </w:r>
      <w:r w:rsidRPr="00F867D0">
        <w:rPr>
          <w:szCs w:val="22"/>
          <w:lang w:eastAsia="en-US"/>
        </w:rPr>
        <w:t>on how f</w:t>
      </w:r>
      <w:r w:rsidR="009C7C4B" w:rsidRPr="00F867D0">
        <w:rPr>
          <w:szCs w:val="22"/>
          <w:lang w:eastAsia="en-US"/>
        </w:rPr>
        <w:t>i</w:t>
      </w:r>
      <w:r w:rsidRPr="00F867D0">
        <w:rPr>
          <w:szCs w:val="22"/>
          <w:lang w:eastAsia="en-US"/>
        </w:rPr>
        <w:t xml:space="preserve">nancing the CDM </w:t>
      </w:r>
      <w:r w:rsidR="009C7C4B" w:rsidRPr="00F867D0">
        <w:rPr>
          <w:szCs w:val="22"/>
          <w:lang w:eastAsia="en-US"/>
        </w:rPr>
        <w:t xml:space="preserve">may work </w:t>
      </w:r>
      <w:r w:rsidRPr="00F867D0">
        <w:rPr>
          <w:szCs w:val="22"/>
          <w:lang w:eastAsia="en-US"/>
        </w:rPr>
        <w:t>through international climate f</w:t>
      </w:r>
      <w:r w:rsidR="009C7C4B" w:rsidRPr="00F867D0">
        <w:rPr>
          <w:szCs w:val="22"/>
          <w:lang w:eastAsia="en-US"/>
        </w:rPr>
        <w:t>i</w:t>
      </w:r>
      <w:r w:rsidRPr="00F867D0">
        <w:rPr>
          <w:szCs w:val="22"/>
          <w:lang w:eastAsia="en-US"/>
        </w:rPr>
        <w:t xml:space="preserve">nance institutions, but no common understanding </w:t>
      </w:r>
      <w:r w:rsidR="009C7C4B" w:rsidRPr="00F867D0">
        <w:rPr>
          <w:szCs w:val="22"/>
          <w:lang w:eastAsia="en-US"/>
        </w:rPr>
        <w:t xml:space="preserve">emerged </w:t>
      </w:r>
      <w:r w:rsidRPr="00F867D0">
        <w:rPr>
          <w:szCs w:val="22"/>
          <w:lang w:eastAsia="en-US"/>
        </w:rPr>
        <w:t>on how to operationalize linkages between the</w:t>
      </w:r>
      <w:r w:rsidR="009C7C4B" w:rsidRPr="00F867D0">
        <w:rPr>
          <w:szCs w:val="22"/>
          <w:lang w:eastAsia="en-US"/>
        </w:rPr>
        <w:t xml:space="preserve"> two institutions</w:t>
      </w:r>
      <w:r w:rsidRPr="00F867D0">
        <w:rPr>
          <w:szCs w:val="22"/>
          <w:lang w:eastAsia="en-US"/>
        </w:rPr>
        <w:t xml:space="preserve">. </w:t>
      </w:r>
    </w:p>
    <w:p w14:paraId="50AC2BBD" w14:textId="77777777" w:rsidR="004F5D3D" w:rsidRDefault="004F5D3D" w:rsidP="00031D16">
      <w:pPr>
        <w:spacing w:after="0"/>
        <w:rPr>
          <w:b/>
          <w:szCs w:val="22"/>
        </w:rPr>
      </w:pPr>
    </w:p>
    <w:p w14:paraId="4FDAF0DC" w14:textId="180D48BD" w:rsidR="00E45258" w:rsidRPr="00F867D0" w:rsidRDefault="00E45258" w:rsidP="00031D16">
      <w:pPr>
        <w:spacing w:after="0"/>
        <w:rPr>
          <w:b/>
          <w:color w:val="FF0000"/>
          <w:szCs w:val="22"/>
        </w:rPr>
      </w:pPr>
      <w:r w:rsidRPr="00F867D0">
        <w:rPr>
          <w:b/>
          <w:szCs w:val="22"/>
        </w:rPr>
        <w:t xml:space="preserve">Examples of relevant GCF -financed projects </w:t>
      </w:r>
    </w:p>
    <w:p w14:paraId="05C84F22" w14:textId="77777777" w:rsidR="00E077A6" w:rsidRDefault="00E077A6" w:rsidP="00031D16">
      <w:pPr>
        <w:widowControl w:val="0"/>
        <w:tabs>
          <w:tab w:val="left" w:pos="0"/>
        </w:tabs>
        <w:autoSpaceDE w:val="0"/>
        <w:autoSpaceDN w:val="0"/>
        <w:adjustRightInd w:val="0"/>
        <w:spacing w:after="0"/>
        <w:rPr>
          <w:szCs w:val="22"/>
        </w:rPr>
      </w:pPr>
    </w:p>
    <w:p w14:paraId="1D56F686" w14:textId="5AFBB7D5" w:rsidR="00E45258" w:rsidRPr="00F867D0" w:rsidRDefault="00E45258" w:rsidP="00031D16">
      <w:pPr>
        <w:widowControl w:val="0"/>
        <w:tabs>
          <w:tab w:val="left" w:pos="0"/>
        </w:tabs>
        <w:autoSpaceDE w:val="0"/>
        <w:autoSpaceDN w:val="0"/>
        <w:adjustRightInd w:val="0"/>
        <w:spacing w:after="0"/>
        <w:rPr>
          <w:szCs w:val="22"/>
        </w:rPr>
      </w:pPr>
      <w:r w:rsidRPr="00F867D0">
        <w:rPr>
          <w:szCs w:val="22"/>
        </w:rPr>
        <w:t xml:space="preserve">Methodologies used in addressing </w:t>
      </w:r>
      <w:r w:rsidR="002845EE">
        <w:rPr>
          <w:szCs w:val="22"/>
        </w:rPr>
        <w:t>EE</w:t>
      </w:r>
      <w:r w:rsidRPr="00F867D0">
        <w:rPr>
          <w:szCs w:val="22"/>
        </w:rPr>
        <w:t xml:space="preserve"> in the RACHP</w:t>
      </w:r>
      <w:r w:rsidRPr="00F867D0">
        <w:rPr>
          <w:color w:val="FF0000"/>
          <w:szCs w:val="22"/>
        </w:rPr>
        <w:t xml:space="preserve"> </w:t>
      </w:r>
      <w:r w:rsidRPr="00F867D0">
        <w:rPr>
          <w:szCs w:val="22"/>
        </w:rPr>
        <w:t xml:space="preserve">are better understood through a GCF-financed project example contained in Annex B. </w:t>
      </w:r>
    </w:p>
    <w:p w14:paraId="256854A8" w14:textId="77777777" w:rsidR="0038225F" w:rsidRPr="00F867D0" w:rsidRDefault="0038225F" w:rsidP="00CF6D6E">
      <w:pPr>
        <w:widowControl w:val="0"/>
        <w:autoSpaceDE w:val="0"/>
        <w:autoSpaceDN w:val="0"/>
        <w:adjustRightInd w:val="0"/>
        <w:spacing w:after="0"/>
        <w:rPr>
          <w:rFonts w:eastAsia="MS Mincho"/>
          <w:b/>
          <w:sz w:val="24"/>
          <w:szCs w:val="22"/>
          <w:lang w:eastAsia="ja-JP"/>
        </w:rPr>
      </w:pPr>
    </w:p>
    <w:p w14:paraId="4CA4B452" w14:textId="4E22BAE2" w:rsidR="00CF6D6E" w:rsidRPr="000F749F" w:rsidRDefault="00CF6D6E" w:rsidP="000F749F">
      <w:pPr>
        <w:pStyle w:val="Heading3"/>
        <w:rPr>
          <w:b w:val="0"/>
        </w:rPr>
      </w:pPr>
      <w:bookmarkStart w:id="115" w:name="_Toc515454398"/>
      <w:r w:rsidRPr="000F749F">
        <w:t>3.3.2</w:t>
      </w:r>
      <w:r w:rsidRPr="000F749F">
        <w:tab/>
        <w:t>World Bank Group</w:t>
      </w:r>
      <w:bookmarkEnd w:id="115"/>
    </w:p>
    <w:p w14:paraId="035D2872" w14:textId="6FCDB26B" w:rsidR="000639E2" w:rsidRPr="00F867D0" w:rsidRDefault="000639E2" w:rsidP="000639E2">
      <w:pPr>
        <w:widowControl w:val="0"/>
        <w:autoSpaceDE w:val="0"/>
        <w:autoSpaceDN w:val="0"/>
        <w:adjustRightInd w:val="0"/>
        <w:spacing w:after="0"/>
        <w:rPr>
          <w:rFonts w:eastAsia="MS Mincho"/>
          <w:szCs w:val="22"/>
          <w:lang w:eastAsia="ja-JP"/>
        </w:rPr>
      </w:pPr>
      <w:r w:rsidRPr="00F867D0">
        <w:rPr>
          <w:rFonts w:eastAsia="MS Mincho"/>
          <w:szCs w:val="22"/>
          <w:lang w:eastAsia="ja-JP"/>
        </w:rPr>
        <w:t xml:space="preserve">The World Bank Group (WBG) is made </w:t>
      </w:r>
      <w:r w:rsidR="000A31D6">
        <w:rPr>
          <w:rFonts w:eastAsia="MS Mincho"/>
          <w:szCs w:val="22"/>
          <w:lang w:eastAsia="ja-JP"/>
        </w:rPr>
        <w:t>up of five international organis</w:t>
      </w:r>
      <w:r w:rsidRPr="00F867D0">
        <w:rPr>
          <w:rFonts w:eastAsia="MS Mincho"/>
          <w:szCs w:val="22"/>
          <w:lang w:eastAsia="ja-JP"/>
        </w:rPr>
        <w:t>ations that mak</w:t>
      </w:r>
      <w:r w:rsidR="0071693A" w:rsidRPr="00F867D0">
        <w:rPr>
          <w:rFonts w:eastAsia="MS Mincho"/>
          <w:szCs w:val="22"/>
          <w:lang w:eastAsia="ja-JP"/>
        </w:rPr>
        <w:t xml:space="preserve">e leveraged loans and provide assistance to developing and transition countries. </w:t>
      </w:r>
      <w:r w:rsidR="000A31D6">
        <w:rPr>
          <w:rFonts w:eastAsia="MS Mincho"/>
          <w:szCs w:val="22"/>
          <w:lang w:eastAsia="ja-JP"/>
        </w:rPr>
        <w:t>Its five organis</w:t>
      </w:r>
      <w:r w:rsidRPr="00F867D0">
        <w:rPr>
          <w:rFonts w:eastAsia="MS Mincho"/>
          <w:szCs w:val="22"/>
          <w:lang w:eastAsia="ja-JP"/>
        </w:rPr>
        <w:t>ations are the International Bank for Recons</w:t>
      </w:r>
      <w:r w:rsidR="0071693A" w:rsidRPr="00F867D0">
        <w:rPr>
          <w:rFonts w:eastAsia="MS Mincho"/>
          <w:szCs w:val="22"/>
          <w:lang w:eastAsia="ja-JP"/>
        </w:rPr>
        <w:t>truction and Development (IBRD) and t</w:t>
      </w:r>
      <w:r w:rsidRPr="00F867D0">
        <w:rPr>
          <w:rFonts w:eastAsia="MS Mincho"/>
          <w:szCs w:val="22"/>
          <w:lang w:eastAsia="ja-JP"/>
        </w:rPr>
        <w:t>he International Development Association (IDA)</w:t>
      </w:r>
      <w:r w:rsidR="0071693A" w:rsidRPr="00F867D0">
        <w:rPr>
          <w:rFonts w:eastAsia="MS Mincho"/>
          <w:szCs w:val="22"/>
          <w:lang w:eastAsia="ja-JP"/>
        </w:rPr>
        <w:t>, collectively referred to as the World Bank;</w:t>
      </w:r>
      <w:r w:rsidRPr="00F867D0">
        <w:rPr>
          <w:rFonts w:eastAsia="MS Mincho"/>
          <w:szCs w:val="22"/>
          <w:lang w:eastAsia="ja-JP"/>
        </w:rPr>
        <w:t xml:space="preserve"> the International Finance Corporation (IFC), the Multilateral Investment Guarantee Agency (MIGA) and the International Centre for Settlement of Investment Disputes (ICSID).</w:t>
      </w:r>
    </w:p>
    <w:p w14:paraId="27E55A1C" w14:textId="77777777" w:rsidR="000639E2" w:rsidRPr="00F867D0" w:rsidRDefault="000639E2" w:rsidP="000639E2">
      <w:pPr>
        <w:widowControl w:val="0"/>
        <w:autoSpaceDE w:val="0"/>
        <w:autoSpaceDN w:val="0"/>
        <w:adjustRightInd w:val="0"/>
        <w:spacing w:after="0"/>
        <w:rPr>
          <w:rFonts w:eastAsia="MS Mincho"/>
          <w:szCs w:val="22"/>
          <w:lang w:eastAsia="ja-JP"/>
        </w:rPr>
      </w:pPr>
    </w:p>
    <w:p w14:paraId="5BF985FA" w14:textId="3B94CEBE" w:rsidR="0071693A" w:rsidRPr="00F867D0" w:rsidRDefault="000639E2" w:rsidP="000639E2">
      <w:pPr>
        <w:widowControl w:val="0"/>
        <w:autoSpaceDE w:val="0"/>
        <w:autoSpaceDN w:val="0"/>
        <w:adjustRightInd w:val="0"/>
        <w:spacing w:after="0"/>
        <w:rPr>
          <w:rFonts w:eastAsia="MS Mincho"/>
          <w:szCs w:val="22"/>
          <w:lang w:eastAsia="ja-JP"/>
        </w:rPr>
      </w:pPr>
      <w:r w:rsidRPr="00F867D0">
        <w:rPr>
          <w:rFonts w:eastAsia="MS Mincho"/>
          <w:szCs w:val="22"/>
          <w:lang w:eastAsia="ja-JP"/>
        </w:rPr>
        <w:t>The World Bank's (the IBRD</w:t>
      </w:r>
      <w:r w:rsidR="0071693A" w:rsidRPr="00F867D0">
        <w:rPr>
          <w:rFonts w:eastAsia="MS Mincho"/>
          <w:szCs w:val="22"/>
          <w:lang w:eastAsia="ja-JP"/>
        </w:rPr>
        <w:t>’s</w:t>
      </w:r>
      <w:r w:rsidRPr="00F867D0">
        <w:rPr>
          <w:rFonts w:eastAsia="MS Mincho"/>
          <w:szCs w:val="22"/>
          <w:lang w:eastAsia="ja-JP"/>
        </w:rPr>
        <w:t xml:space="preserve"> and IDA's) activities are focused on developing countries, in fields such as human development (e.g.</w:t>
      </w:r>
      <w:r w:rsidR="006A79E8">
        <w:rPr>
          <w:rFonts w:eastAsia="MS Mincho"/>
          <w:szCs w:val="22"/>
          <w:lang w:eastAsia="ja-JP"/>
        </w:rPr>
        <w:t>,</w:t>
      </w:r>
      <w:r w:rsidRPr="00F867D0">
        <w:rPr>
          <w:rFonts w:eastAsia="MS Mincho"/>
          <w:szCs w:val="22"/>
          <w:lang w:eastAsia="ja-JP"/>
        </w:rPr>
        <w:t xml:space="preserve"> education, health), agriculture and rural development (e.g.</w:t>
      </w:r>
      <w:r w:rsidR="006A79E8">
        <w:rPr>
          <w:rFonts w:eastAsia="MS Mincho"/>
          <w:szCs w:val="22"/>
          <w:lang w:eastAsia="ja-JP"/>
        </w:rPr>
        <w:t>,</w:t>
      </w:r>
      <w:r w:rsidRPr="00F867D0">
        <w:rPr>
          <w:rFonts w:eastAsia="MS Mincho"/>
          <w:szCs w:val="22"/>
          <w:lang w:eastAsia="ja-JP"/>
        </w:rPr>
        <w:t xml:space="preserve"> irrigation and rural services), environmental protection (e.g.</w:t>
      </w:r>
      <w:r w:rsidR="006A79E8">
        <w:rPr>
          <w:rFonts w:eastAsia="MS Mincho"/>
          <w:szCs w:val="22"/>
          <w:lang w:eastAsia="ja-JP"/>
        </w:rPr>
        <w:t>,</w:t>
      </w:r>
      <w:r w:rsidRPr="00F867D0">
        <w:rPr>
          <w:rFonts w:eastAsia="MS Mincho"/>
          <w:szCs w:val="22"/>
          <w:lang w:eastAsia="ja-JP"/>
        </w:rPr>
        <w:t xml:space="preserve"> pollution reduction, establishing and enforcing regulations), infrastructure (e.g.</w:t>
      </w:r>
      <w:r w:rsidR="006A79E8">
        <w:rPr>
          <w:rFonts w:eastAsia="MS Mincho"/>
          <w:szCs w:val="22"/>
          <w:lang w:eastAsia="ja-JP"/>
        </w:rPr>
        <w:t>,</w:t>
      </w:r>
      <w:r w:rsidRPr="00F867D0">
        <w:rPr>
          <w:rFonts w:eastAsia="MS Mincho"/>
          <w:szCs w:val="22"/>
          <w:lang w:eastAsia="ja-JP"/>
        </w:rPr>
        <w:t xml:space="preserve"> roads, urban regeneration, and electricity), large industrial construction projects, and governance (e.g.</w:t>
      </w:r>
      <w:r w:rsidR="006A79E8">
        <w:rPr>
          <w:rFonts w:eastAsia="MS Mincho"/>
          <w:szCs w:val="22"/>
          <w:lang w:eastAsia="ja-JP"/>
        </w:rPr>
        <w:t>,</w:t>
      </w:r>
      <w:r w:rsidRPr="00F867D0">
        <w:rPr>
          <w:rFonts w:eastAsia="MS Mincho"/>
          <w:szCs w:val="22"/>
          <w:lang w:eastAsia="ja-JP"/>
        </w:rPr>
        <w:t xml:space="preserve"> anti-corruption, legal institutions development). The IBRD and IDA provide loans at preferential rates to member countries, as well as grants to </w:t>
      </w:r>
      <w:r w:rsidR="007C735F" w:rsidRPr="00F867D0">
        <w:rPr>
          <w:rFonts w:eastAsia="MS Mincho"/>
          <w:szCs w:val="22"/>
          <w:lang w:eastAsia="ja-JP"/>
        </w:rPr>
        <w:t>other</w:t>
      </w:r>
      <w:r w:rsidRPr="00F867D0">
        <w:rPr>
          <w:rFonts w:eastAsia="MS Mincho"/>
          <w:szCs w:val="22"/>
          <w:lang w:eastAsia="ja-JP"/>
        </w:rPr>
        <w:t xml:space="preserve"> countries. Loans or grants for specific projects are often linked to wider policy changes in the sector or the country's economy as a whole. For example, a loan to improve coastal environmental management may be linked to development of new environmental institutions at national and local levels and the implementation of new regulations to limit pollution.</w:t>
      </w:r>
      <w:r w:rsidR="0071693A" w:rsidRPr="00F867D0">
        <w:rPr>
          <w:rFonts w:eastAsia="MS Mincho"/>
          <w:szCs w:val="22"/>
          <w:lang w:eastAsia="ja-JP"/>
        </w:rPr>
        <w:t xml:space="preserve"> </w:t>
      </w:r>
    </w:p>
    <w:p w14:paraId="7C3A334B" w14:textId="77777777" w:rsidR="0071693A" w:rsidRPr="00F867D0" w:rsidRDefault="0071693A" w:rsidP="000639E2">
      <w:pPr>
        <w:widowControl w:val="0"/>
        <w:autoSpaceDE w:val="0"/>
        <w:autoSpaceDN w:val="0"/>
        <w:adjustRightInd w:val="0"/>
        <w:spacing w:after="0"/>
        <w:rPr>
          <w:rFonts w:eastAsia="MS Mincho"/>
          <w:szCs w:val="22"/>
          <w:lang w:eastAsia="ja-JP"/>
        </w:rPr>
      </w:pPr>
    </w:p>
    <w:p w14:paraId="3C45E04B" w14:textId="309EE593" w:rsidR="003223A6" w:rsidRPr="00F867D0" w:rsidRDefault="003223A6" w:rsidP="000639E2">
      <w:pPr>
        <w:widowControl w:val="0"/>
        <w:autoSpaceDE w:val="0"/>
        <w:autoSpaceDN w:val="0"/>
        <w:adjustRightInd w:val="0"/>
        <w:spacing w:after="0"/>
        <w:rPr>
          <w:rFonts w:eastAsia="MS Mincho"/>
          <w:szCs w:val="22"/>
          <w:lang w:eastAsia="ja-JP"/>
        </w:rPr>
      </w:pPr>
      <w:r w:rsidRPr="00F867D0">
        <w:rPr>
          <w:rFonts w:eastAsia="MS Mincho"/>
          <w:szCs w:val="22"/>
          <w:lang w:eastAsia="ja-JP"/>
        </w:rPr>
        <w:t>In its 2016 Clima</w:t>
      </w:r>
      <w:r w:rsidR="00DE7C74" w:rsidRPr="00F867D0">
        <w:rPr>
          <w:rFonts w:eastAsia="MS Mincho"/>
          <w:szCs w:val="22"/>
          <w:lang w:eastAsia="ja-JP"/>
        </w:rPr>
        <w:t>t</w:t>
      </w:r>
      <w:r w:rsidRPr="00F867D0">
        <w:rPr>
          <w:rFonts w:eastAsia="MS Mincho"/>
          <w:szCs w:val="22"/>
          <w:lang w:eastAsia="ja-JP"/>
        </w:rPr>
        <w:t xml:space="preserve">e </w:t>
      </w:r>
      <w:r w:rsidR="00DE7C74" w:rsidRPr="00F867D0">
        <w:rPr>
          <w:rFonts w:eastAsia="MS Mincho"/>
          <w:szCs w:val="22"/>
          <w:lang w:eastAsia="ja-JP"/>
        </w:rPr>
        <w:t xml:space="preserve">Change </w:t>
      </w:r>
      <w:r w:rsidRPr="00F867D0">
        <w:rPr>
          <w:rFonts w:eastAsia="MS Mincho"/>
          <w:szCs w:val="22"/>
          <w:lang w:eastAsia="ja-JP"/>
        </w:rPr>
        <w:t>Action Plan,</w:t>
      </w:r>
      <w:r w:rsidRPr="00F867D0">
        <w:rPr>
          <w:rStyle w:val="FootnoteReference"/>
          <w:rFonts w:eastAsia="MS Mincho"/>
          <w:szCs w:val="22"/>
          <w:lang w:eastAsia="ja-JP"/>
        </w:rPr>
        <w:footnoteReference w:id="21"/>
      </w:r>
      <w:r w:rsidRPr="00F867D0">
        <w:rPr>
          <w:rFonts w:eastAsia="MS Mincho"/>
          <w:szCs w:val="22"/>
          <w:lang w:eastAsia="ja-JP"/>
        </w:rPr>
        <w:t xml:space="preserve"> the W</w:t>
      </w:r>
      <w:r w:rsidR="00DE7C74" w:rsidRPr="00F867D0">
        <w:rPr>
          <w:rFonts w:eastAsia="MS Mincho"/>
          <w:szCs w:val="22"/>
          <w:lang w:eastAsia="ja-JP"/>
        </w:rPr>
        <w:t>orld Bank Group (W</w:t>
      </w:r>
      <w:r w:rsidRPr="00F867D0">
        <w:rPr>
          <w:rFonts w:eastAsia="MS Mincho"/>
          <w:szCs w:val="22"/>
          <w:lang w:eastAsia="ja-JP"/>
        </w:rPr>
        <w:t>BG</w:t>
      </w:r>
      <w:r w:rsidR="00DE7C74" w:rsidRPr="00F867D0">
        <w:rPr>
          <w:rFonts w:eastAsia="MS Mincho"/>
          <w:szCs w:val="22"/>
          <w:lang w:eastAsia="ja-JP"/>
        </w:rPr>
        <w:t>)</w:t>
      </w:r>
      <w:r w:rsidRPr="00F867D0">
        <w:rPr>
          <w:rFonts w:eastAsia="MS Mincho"/>
          <w:szCs w:val="22"/>
          <w:lang w:eastAsia="ja-JP"/>
        </w:rPr>
        <w:t xml:space="preserve"> outlined its commitment to “deepen and scale up its actions in…high-impact areas” including </w:t>
      </w:r>
      <w:r w:rsidR="002845EE">
        <w:rPr>
          <w:rFonts w:eastAsia="MS Mincho"/>
          <w:szCs w:val="22"/>
          <w:lang w:eastAsia="ja-JP"/>
        </w:rPr>
        <w:t>EE</w:t>
      </w:r>
      <w:r w:rsidRPr="00F867D0">
        <w:rPr>
          <w:rFonts w:eastAsia="MS Mincho"/>
          <w:szCs w:val="22"/>
          <w:lang w:eastAsia="ja-JP"/>
        </w:rPr>
        <w:t>: “The WBG will increase its share of energy efficiency operations and aim to invest US$ 1 billion to promote energy efficiency and resilient buildings in urban areas.”</w:t>
      </w:r>
    </w:p>
    <w:p w14:paraId="77F76566" w14:textId="45BCF777" w:rsidR="003223A6" w:rsidRPr="00F867D0" w:rsidRDefault="003223A6" w:rsidP="00CF6D6E">
      <w:pPr>
        <w:widowControl w:val="0"/>
        <w:autoSpaceDE w:val="0"/>
        <w:autoSpaceDN w:val="0"/>
        <w:adjustRightInd w:val="0"/>
        <w:spacing w:after="0"/>
        <w:rPr>
          <w:rFonts w:eastAsia="MS Mincho"/>
          <w:szCs w:val="22"/>
          <w:lang w:eastAsia="ja-JP"/>
        </w:rPr>
      </w:pPr>
    </w:p>
    <w:p w14:paraId="3F0CF380" w14:textId="77777777" w:rsidR="003223A6" w:rsidRPr="00F867D0" w:rsidRDefault="003223A6" w:rsidP="00E077A6">
      <w:pPr>
        <w:widowControl w:val="0"/>
        <w:autoSpaceDE w:val="0"/>
        <w:autoSpaceDN w:val="0"/>
        <w:adjustRightInd w:val="0"/>
        <w:spacing w:after="0"/>
        <w:ind w:left="360"/>
        <w:rPr>
          <w:rFonts w:eastAsia="MS Mincho"/>
          <w:i/>
          <w:szCs w:val="22"/>
          <w:lang w:eastAsia="ja-JP"/>
        </w:rPr>
      </w:pPr>
      <w:r w:rsidRPr="00F867D0">
        <w:rPr>
          <w:rFonts w:eastAsia="MS Mincho"/>
          <w:i/>
          <w:szCs w:val="22"/>
          <w:lang w:eastAsia="ja-JP"/>
        </w:rPr>
        <w:t>The WBG will invest in energy efficiency, especially in the built environment.</w:t>
      </w:r>
    </w:p>
    <w:p w14:paraId="732B1333" w14:textId="4BE17BE9" w:rsidR="003223A6" w:rsidRPr="00F867D0" w:rsidRDefault="003223A6" w:rsidP="00E077A6">
      <w:pPr>
        <w:widowControl w:val="0"/>
        <w:autoSpaceDE w:val="0"/>
        <w:autoSpaceDN w:val="0"/>
        <w:adjustRightInd w:val="0"/>
        <w:spacing w:after="0"/>
        <w:ind w:left="360"/>
        <w:rPr>
          <w:rFonts w:eastAsia="MS Mincho"/>
          <w:i/>
          <w:szCs w:val="22"/>
          <w:lang w:eastAsia="ja-JP"/>
        </w:rPr>
      </w:pPr>
      <w:r w:rsidRPr="00F867D0">
        <w:rPr>
          <w:rFonts w:eastAsia="MS Mincho"/>
          <w:i/>
          <w:szCs w:val="22"/>
          <w:lang w:eastAsia="ja-JP"/>
        </w:rPr>
        <w:t>The WBG will increase the share of energy efficiency operations in the</w:t>
      </w:r>
      <w:r w:rsidR="00DE7C74" w:rsidRPr="00F867D0">
        <w:rPr>
          <w:rFonts w:eastAsia="MS Mincho"/>
          <w:i/>
          <w:szCs w:val="22"/>
          <w:lang w:eastAsia="ja-JP"/>
        </w:rPr>
        <w:t xml:space="preserve"> </w:t>
      </w:r>
      <w:r w:rsidRPr="00F867D0">
        <w:rPr>
          <w:rFonts w:eastAsia="MS Mincho"/>
          <w:i/>
          <w:szCs w:val="22"/>
          <w:lang w:eastAsia="ja-JP"/>
        </w:rPr>
        <w:t>WBG portfolio, with an initial scale-up in the urban space, which offers large</w:t>
      </w:r>
      <w:r w:rsidR="00DE7C74" w:rsidRPr="00F867D0">
        <w:rPr>
          <w:rFonts w:eastAsia="MS Mincho"/>
          <w:i/>
          <w:szCs w:val="22"/>
          <w:lang w:eastAsia="ja-JP"/>
        </w:rPr>
        <w:t xml:space="preserve"> </w:t>
      </w:r>
      <w:r w:rsidRPr="00F867D0">
        <w:rPr>
          <w:rFonts w:eastAsia="MS Mincho"/>
          <w:i/>
          <w:szCs w:val="22"/>
          <w:lang w:eastAsia="ja-JP"/>
        </w:rPr>
        <w:t>emission reduction potential and where the clearest scale-up models exist. It</w:t>
      </w:r>
      <w:r w:rsidR="00DE7C74" w:rsidRPr="00F867D0">
        <w:rPr>
          <w:rFonts w:eastAsia="MS Mincho"/>
          <w:i/>
          <w:szCs w:val="22"/>
          <w:lang w:eastAsia="ja-JP"/>
        </w:rPr>
        <w:t xml:space="preserve"> </w:t>
      </w:r>
      <w:r w:rsidRPr="00F867D0">
        <w:rPr>
          <w:rFonts w:eastAsia="MS Mincho"/>
          <w:i/>
          <w:szCs w:val="22"/>
          <w:lang w:eastAsia="ja-JP"/>
        </w:rPr>
        <w:t>will ensure that 50 percent of World Bank infrastructure operations in the</w:t>
      </w:r>
      <w:r w:rsidR="00DE7C74" w:rsidRPr="00F867D0">
        <w:rPr>
          <w:rFonts w:eastAsia="MS Mincho"/>
          <w:i/>
          <w:szCs w:val="22"/>
          <w:lang w:eastAsia="ja-JP"/>
        </w:rPr>
        <w:t xml:space="preserve"> </w:t>
      </w:r>
      <w:r w:rsidRPr="00F867D0">
        <w:rPr>
          <w:rFonts w:eastAsia="MS Mincho"/>
          <w:i/>
          <w:szCs w:val="22"/>
          <w:lang w:eastAsia="ja-JP"/>
        </w:rPr>
        <w:t>urban space integrates energy efficiency measures (and reduces CO</w:t>
      </w:r>
      <w:r w:rsidRPr="00F867D0">
        <w:rPr>
          <w:rFonts w:eastAsia="MS Mincho"/>
          <w:i/>
          <w:szCs w:val="22"/>
          <w:vertAlign w:val="subscript"/>
          <w:lang w:eastAsia="ja-JP"/>
        </w:rPr>
        <w:t>2</w:t>
      </w:r>
      <w:r w:rsidRPr="00F867D0">
        <w:rPr>
          <w:rFonts w:eastAsia="MS Mincho"/>
          <w:i/>
          <w:szCs w:val="22"/>
          <w:lang w:eastAsia="ja-JP"/>
        </w:rPr>
        <w:t xml:space="preserve"> and</w:t>
      </w:r>
      <w:r w:rsidR="00DE7C74" w:rsidRPr="00F867D0">
        <w:rPr>
          <w:rFonts w:eastAsia="MS Mincho"/>
          <w:i/>
          <w:szCs w:val="22"/>
          <w:lang w:eastAsia="ja-JP"/>
        </w:rPr>
        <w:t xml:space="preserve"> </w:t>
      </w:r>
      <w:r w:rsidRPr="00F867D0">
        <w:rPr>
          <w:rFonts w:eastAsia="MS Mincho"/>
          <w:i/>
          <w:szCs w:val="22"/>
          <w:lang w:eastAsia="ja-JP"/>
        </w:rPr>
        <w:t>hydrofluorocarbon (HFC) emissions). By 2020, the WBG aims to support at</w:t>
      </w:r>
      <w:r w:rsidR="00DE7C74" w:rsidRPr="00F867D0">
        <w:rPr>
          <w:rFonts w:eastAsia="MS Mincho"/>
          <w:i/>
          <w:szCs w:val="22"/>
          <w:lang w:eastAsia="ja-JP"/>
        </w:rPr>
        <w:t xml:space="preserve"> </w:t>
      </w:r>
      <w:r w:rsidRPr="00F867D0">
        <w:rPr>
          <w:rFonts w:eastAsia="MS Mincho"/>
          <w:i/>
          <w:szCs w:val="22"/>
          <w:lang w:eastAsia="ja-JP"/>
        </w:rPr>
        <w:t>least 10 operations, investing at least $1 billion to promote energy efficiency</w:t>
      </w:r>
      <w:r w:rsidR="00DE7C74" w:rsidRPr="00F867D0">
        <w:rPr>
          <w:rFonts w:eastAsia="MS Mincho"/>
          <w:i/>
          <w:szCs w:val="22"/>
          <w:lang w:eastAsia="ja-JP"/>
        </w:rPr>
        <w:t xml:space="preserve"> </w:t>
      </w:r>
      <w:r w:rsidRPr="00F867D0">
        <w:rPr>
          <w:rFonts w:eastAsia="MS Mincho"/>
          <w:i/>
          <w:szCs w:val="22"/>
          <w:lang w:eastAsia="ja-JP"/>
        </w:rPr>
        <w:t>and resilient building</w:t>
      </w:r>
      <w:r w:rsidR="00DE7C74" w:rsidRPr="00F867D0">
        <w:rPr>
          <w:rFonts w:eastAsia="MS Mincho"/>
          <w:i/>
          <w:szCs w:val="22"/>
          <w:lang w:eastAsia="ja-JP"/>
        </w:rPr>
        <w:t>…</w:t>
      </w:r>
      <w:r w:rsidRPr="00F867D0">
        <w:rPr>
          <w:rFonts w:eastAsia="MS Mincho"/>
          <w:i/>
          <w:szCs w:val="22"/>
          <w:lang w:eastAsia="ja-JP"/>
        </w:rPr>
        <w:t xml:space="preserve"> </w:t>
      </w:r>
      <w:r w:rsidR="007B46F5" w:rsidRPr="00F867D0">
        <w:rPr>
          <w:rFonts w:eastAsia="MS Mincho"/>
          <w:i/>
          <w:szCs w:val="22"/>
          <w:lang w:eastAsia="ja-JP"/>
        </w:rPr>
        <w:t>The [International Finance Corporation (</w:t>
      </w:r>
      <w:r w:rsidRPr="00F867D0">
        <w:rPr>
          <w:rFonts w:eastAsia="MS Mincho"/>
          <w:i/>
          <w:szCs w:val="22"/>
          <w:lang w:eastAsia="ja-JP"/>
        </w:rPr>
        <w:t>IFC</w:t>
      </w:r>
      <w:r w:rsidR="007B46F5" w:rsidRPr="00F867D0">
        <w:rPr>
          <w:rFonts w:eastAsia="MS Mincho"/>
          <w:i/>
          <w:szCs w:val="22"/>
          <w:lang w:eastAsia="ja-JP"/>
        </w:rPr>
        <w:t>)]</w:t>
      </w:r>
      <w:r w:rsidRPr="00F867D0">
        <w:rPr>
          <w:rFonts w:eastAsia="MS Mincho"/>
          <w:i/>
          <w:szCs w:val="22"/>
          <w:lang w:eastAsia="ja-JP"/>
        </w:rPr>
        <w:t xml:space="preserve"> will expand</w:t>
      </w:r>
      <w:r w:rsidR="00DE7C74" w:rsidRPr="00F867D0">
        <w:rPr>
          <w:rFonts w:eastAsia="MS Mincho"/>
          <w:i/>
          <w:szCs w:val="22"/>
          <w:lang w:eastAsia="ja-JP"/>
        </w:rPr>
        <w:t xml:space="preserve"> energy efficiency credit lines…</w:t>
      </w:r>
      <w:r w:rsidRPr="00F867D0">
        <w:rPr>
          <w:rFonts w:eastAsia="MS Mincho"/>
          <w:i/>
          <w:szCs w:val="22"/>
          <w:lang w:eastAsia="ja-JP"/>
        </w:rPr>
        <w:t>, propose energy</w:t>
      </w:r>
      <w:r w:rsidR="00DE7C74" w:rsidRPr="00F867D0">
        <w:rPr>
          <w:rFonts w:eastAsia="MS Mincho"/>
          <w:i/>
          <w:szCs w:val="22"/>
          <w:lang w:eastAsia="ja-JP"/>
        </w:rPr>
        <w:t xml:space="preserve"> </w:t>
      </w:r>
      <w:r w:rsidRPr="00F867D0">
        <w:rPr>
          <w:rFonts w:eastAsia="MS Mincho"/>
          <w:i/>
          <w:szCs w:val="22"/>
          <w:lang w:eastAsia="ja-JP"/>
        </w:rPr>
        <w:t>efficiency components in corporate loans and green bonds, and increase advisory</w:t>
      </w:r>
      <w:r w:rsidR="00DE7C74" w:rsidRPr="00F867D0">
        <w:rPr>
          <w:rFonts w:eastAsia="MS Mincho"/>
          <w:i/>
          <w:szCs w:val="22"/>
          <w:lang w:eastAsia="ja-JP"/>
        </w:rPr>
        <w:t xml:space="preserve"> </w:t>
      </w:r>
      <w:r w:rsidRPr="00F867D0">
        <w:rPr>
          <w:rFonts w:eastAsia="MS Mincho"/>
          <w:i/>
          <w:szCs w:val="22"/>
          <w:lang w:eastAsia="ja-JP"/>
        </w:rPr>
        <w:t xml:space="preserve">services </w:t>
      </w:r>
      <w:r w:rsidR="00DE7C74" w:rsidRPr="00F867D0">
        <w:rPr>
          <w:rFonts w:eastAsia="MS Mincho"/>
          <w:i/>
          <w:szCs w:val="22"/>
          <w:lang w:eastAsia="ja-JP"/>
        </w:rPr>
        <w:t>for sector-level interventions.</w:t>
      </w:r>
    </w:p>
    <w:p w14:paraId="4DF922A1" w14:textId="77777777" w:rsidR="003223A6" w:rsidRPr="00F867D0" w:rsidRDefault="003223A6" w:rsidP="00CF6D6E">
      <w:pPr>
        <w:widowControl w:val="0"/>
        <w:autoSpaceDE w:val="0"/>
        <w:autoSpaceDN w:val="0"/>
        <w:adjustRightInd w:val="0"/>
        <w:spacing w:after="0"/>
        <w:rPr>
          <w:rFonts w:eastAsia="MS Mincho"/>
          <w:szCs w:val="22"/>
          <w:lang w:eastAsia="ja-JP"/>
        </w:rPr>
      </w:pPr>
    </w:p>
    <w:p w14:paraId="2045B3AE" w14:textId="44D67C49" w:rsidR="003223A6" w:rsidRPr="00F867D0" w:rsidRDefault="00DE7C74" w:rsidP="00CF6D6E">
      <w:pPr>
        <w:widowControl w:val="0"/>
        <w:autoSpaceDE w:val="0"/>
        <w:autoSpaceDN w:val="0"/>
        <w:adjustRightInd w:val="0"/>
        <w:spacing w:after="0"/>
        <w:rPr>
          <w:rFonts w:eastAsia="MS Mincho"/>
          <w:szCs w:val="22"/>
          <w:lang w:eastAsia="ja-JP"/>
        </w:rPr>
      </w:pPr>
      <w:r w:rsidRPr="00F867D0">
        <w:rPr>
          <w:rFonts w:eastAsia="MS Mincho"/>
          <w:szCs w:val="22"/>
          <w:lang w:eastAsia="ja-JP"/>
        </w:rPr>
        <w:t xml:space="preserve">After the adoption of the Kigali Amendment to the Montreal Protocol in 2016, the WBG stated its “support of the amendment by helping countries phase down HFCs and improve </w:t>
      </w:r>
      <w:r w:rsidR="002845EE">
        <w:rPr>
          <w:rFonts w:eastAsia="MS Mincho"/>
          <w:szCs w:val="22"/>
          <w:lang w:eastAsia="ja-JP"/>
        </w:rPr>
        <w:t>EE</w:t>
      </w:r>
      <w:r w:rsidRPr="00F867D0">
        <w:rPr>
          <w:rFonts w:eastAsia="MS Mincho"/>
          <w:szCs w:val="22"/>
          <w:lang w:eastAsia="ja-JP"/>
        </w:rPr>
        <w:t xml:space="preserve"> in air conditioning and refrigeration, resulting in reduced emissions, decreased peak demand for electricity, and lower consumer electricity costs.”</w:t>
      </w:r>
      <w:r w:rsidRPr="00F867D0">
        <w:rPr>
          <w:rStyle w:val="FootnoteReference"/>
          <w:rFonts w:eastAsia="MS Mincho"/>
          <w:szCs w:val="22"/>
          <w:lang w:eastAsia="ja-JP"/>
        </w:rPr>
        <w:footnoteReference w:id="22"/>
      </w:r>
      <w:r w:rsidRPr="00F867D0">
        <w:rPr>
          <w:rFonts w:eastAsia="MS Mincho"/>
          <w:szCs w:val="22"/>
          <w:lang w:eastAsia="ja-JP"/>
        </w:rPr>
        <w:t xml:space="preserve"> Further, the WBG indicated that as part of its Climate Change Action Plan, it had “developed a support plan that includes ramping up our lending for </w:t>
      </w:r>
      <w:r w:rsidR="002845EE">
        <w:rPr>
          <w:rFonts w:eastAsia="MS Mincho"/>
          <w:szCs w:val="22"/>
          <w:lang w:eastAsia="ja-JP"/>
        </w:rPr>
        <w:t>EE</w:t>
      </w:r>
      <w:r w:rsidRPr="00F867D0">
        <w:rPr>
          <w:rFonts w:eastAsia="MS Mincho"/>
          <w:szCs w:val="22"/>
          <w:lang w:eastAsia="ja-JP"/>
        </w:rPr>
        <w:t xml:space="preserve"> to accompany the HFC phase-down,” so that its expected </w:t>
      </w:r>
      <w:r w:rsidR="00156815" w:rsidRPr="00F867D0">
        <w:rPr>
          <w:rFonts w:eastAsia="MS Mincho"/>
          <w:szCs w:val="22"/>
          <w:lang w:eastAsia="ja-JP"/>
        </w:rPr>
        <w:t>[US]</w:t>
      </w:r>
      <w:r w:rsidR="000C52B6">
        <w:rPr>
          <w:rFonts w:eastAsia="MS Mincho"/>
          <w:szCs w:val="22"/>
          <w:lang w:eastAsia="ja-JP"/>
        </w:rPr>
        <w:t xml:space="preserve"> </w:t>
      </w:r>
      <w:r w:rsidRPr="00F867D0">
        <w:rPr>
          <w:rFonts w:eastAsia="MS Mincho"/>
          <w:szCs w:val="22"/>
          <w:lang w:eastAsia="ja-JP"/>
        </w:rPr>
        <w:t xml:space="preserve">$1 billion in lending by 2020 for </w:t>
      </w:r>
      <w:r w:rsidR="002845EE">
        <w:rPr>
          <w:rFonts w:eastAsia="MS Mincho"/>
          <w:szCs w:val="22"/>
          <w:lang w:eastAsia="ja-JP"/>
        </w:rPr>
        <w:t>EE</w:t>
      </w:r>
      <w:r w:rsidRPr="00F867D0">
        <w:rPr>
          <w:rFonts w:eastAsia="MS Mincho"/>
          <w:szCs w:val="22"/>
          <w:lang w:eastAsia="ja-JP"/>
        </w:rPr>
        <w:t xml:space="preserve"> in urban areas “could help support the development of high-efficiency cooling technologies that also use climate-friendly refrigerants.”</w:t>
      </w:r>
      <w:r w:rsidR="00156815" w:rsidRPr="00F867D0">
        <w:rPr>
          <w:rFonts w:eastAsia="MS Mincho"/>
          <w:szCs w:val="22"/>
          <w:lang w:eastAsia="ja-JP"/>
        </w:rPr>
        <w:t xml:space="preserve"> This financing commitment directly intersects with the objectives of addressing </w:t>
      </w:r>
      <w:r w:rsidR="002845EE">
        <w:rPr>
          <w:rFonts w:eastAsia="MS Mincho"/>
          <w:szCs w:val="22"/>
          <w:lang w:eastAsia="ja-JP"/>
        </w:rPr>
        <w:t>EE</w:t>
      </w:r>
      <w:r w:rsidR="00156815" w:rsidRPr="00F867D0">
        <w:rPr>
          <w:rFonts w:eastAsia="MS Mincho"/>
          <w:szCs w:val="22"/>
          <w:lang w:eastAsia="ja-JP"/>
        </w:rPr>
        <w:t xml:space="preserve"> in RACHP sectors during the phasedown of HFCs.</w:t>
      </w:r>
    </w:p>
    <w:p w14:paraId="1AC0E901" w14:textId="7B62BCA8" w:rsidR="00DE7C74" w:rsidRPr="00F867D0" w:rsidRDefault="00DE7C74" w:rsidP="00CF6D6E">
      <w:pPr>
        <w:widowControl w:val="0"/>
        <w:autoSpaceDE w:val="0"/>
        <w:autoSpaceDN w:val="0"/>
        <w:adjustRightInd w:val="0"/>
        <w:spacing w:after="0"/>
        <w:rPr>
          <w:rFonts w:eastAsia="MS Mincho"/>
          <w:szCs w:val="22"/>
          <w:lang w:eastAsia="ja-JP"/>
        </w:rPr>
      </w:pPr>
    </w:p>
    <w:p w14:paraId="1A489715" w14:textId="635C4A47" w:rsidR="00DE7C74" w:rsidRDefault="00DE7C74" w:rsidP="004F5D3D">
      <w:pPr>
        <w:widowControl w:val="0"/>
        <w:autoSpaceDE w:val="0"/>
        <w:autoSpaceDN w:val="0"/>
        <w:adjustRightInd w:val="0"/>
        <w:spacing w:after="0"/>
        <w:rPr>
          <w:rFonts w:eastAsia="MS Mincho"/>
          <w:szCs w:val="22"/>
          <w:lang w:eastAsia="ja-JP"/>
        </w:rPr>
      </w:pPr>
      <w:r w:rsidRPr="00F867D0">
        <w:rPr>
          <w:rFonts w:eastAsia="MS Mincho"/>
          <w:szCs w:val="22"/>
          <w:lang w:eastAsia="ja-JP"/>
        </w:rPr>
        <w:t>Beyond committing its own financing, the WBG promoted four other steps it would take</w:t>
      </w:r>
      <w:r w:rsidR="007B46F5" w:rsidRPr="00F867D0">
        <w:rPr>
          <w:rFonts w:eastAsia="MS Mincho"/>
          <w:szCs w:val="22"/>
          <w:lang w:eastAsia="ja-JP"/>
        </w:rPr>
        <w:t xml:space="preserve"> to expand i</w:t>
      </w:r>
      <w:r w:rsidRPr="00F867D0">
        <w:rPr>
          <w:rFonts w:eastAsia="MS Mincho"/>
          <w:szCs w:val="22"/>
          <w:lang w:eastAsia="ja-JP"/>
        </w:rPr>
        <w:t>ts work in this area:</w:t>
      </w:r>
    </w:p>
    <w:p w14:paraId="669A6540" w14:textId="77777777" w:rsidR="00E077A6" w:rsidRPr="00F867D0" w:rsidRDefault="00E077A6" w:rsidP="004F5D3D">
      <w:pPr>
        <w:widowControl w:val="0"/>
        <w:autoSpaceDE w:val="0"/>
        <w:autoSpaceDN w:val="0"/>
        <w:adjustRightInd w:val="0"/>
        <w:spacing w:after="0"/>
        <w:rPr>
          <w:rFonts w:eastAsia="MS Mincho"/>
          <w:szCs w:val="22"/>
          <w:lang w:eastAsia="ja-JP"/>
        </w:rPr>
      </w:pPr>
    </w:p>
    <w:p w14:paraId="6DD8D12D" w14:textId="37DC7D00" w:rsidR="00DE7C74" w:rsidRPr="00F867D0" w:rsidRDefault="00DE7C74" w:rsidP="00BF4C57">
      <w:pPr>
        <w:pStyle w:val="ListParagraph"/>
        <w:rPr>
          <w:lang w:eastAsia="ja-JP"/>
        </w:rPr>
      </w:pPr>
      <w:r w:rsidRPr="00F867D0">
        <w:rPr>
          <w:lang w:eastAsia="ja-JP"/>
        </w:rPr>
        <w:t>Undertake studies to identify where impacts could be the greatest</w:t>
      </w:r>
      <w:r w:rsidR="007B46F5" w:rsidRPr="00F867D0">
        <w:rPr>
          <w:lang w:eastAsia="ja-JP"/>
        </w:rPr>
        <w:t xml:space="preserve"> – one study in Pakistan is cited where it is estimated that a</w:t>
      </w:r>
      <w:r w:rsidRPr="00F867D0">
        <w:rPr>
          <w:lang w:eastAsia="ja-JP"/>
        </w:rPr>
        <w:t xml:space="preserve"> transition to new refrigerants could cut power consumption from air conditioning by 40 percent and reduce greenhouse gas emissions by 8 million tons</w:t>
      </w:r>
      <w:r w:rsidR="007B46F5" w:rsidRPr="00F867D0">
        <w:rPr>
          <w:lang w:eastAsia="ja-JP"/>
        </w:rPr>
        <w:t>;</w:t>
      </w:r>
    </w:p>
    <w:p w14:paraId="24344B11" w14:textId="77777777" w:rsidR="00E077A6" w:rsidRDefault="00E077A6" w:rsidP="00E077A6">
      <w:pPr>
        <w:pStyle w:val="ListParagraph"/>
        <w:numPr>
          <w:ilvl w:val="0"/>
          <w:numId w:val="0"/>
        </w:numPr>
        <w:ind w:left="720"/>
        <w:rPr>
          <w:lang w:eastAsia="ja-JP"/>
        </w:rPr>
      </w:pPr>
    </w:p>
    <w:p w14:paraId="31DD8F4E" w14:textId="407A0590" w:rsidR="00DE7C74" w:rsidRPr="00F867D0" w:rsidRDefault="00DE7C74" w:rsidP="00BF4C57">
      <w:pPr>
        <w:pStyle w:val="ListParagraph"/>
        <w:rPr>
          <w:lang w:eastAsia="ja-JP"/>
        </w:rPr>
      </w:pPr>
      <w:r w:rsidRPr="00F867D0">
        <w:rPr>
          <w:lang w:eastAsia="ja-JP"/>
        </w:rPr>
        <w:t>Integrate technical assistance and policy work with concessional financing</w:t>
      </w:r>
      <w:r w:rsidR="007B46F5" w:rsidRPr="00F867D0">
        <w:rPr>
          <w:lang w:eastAsia="ja-JP"/>
        </w:rPr>
        <w:t>;</w:t>
      </w:r>
    </w:p>
    <w:p w14:paraId="75E426C0" w14:textId="77777777" w:rsidR="00E077A6" w:rsidRDefault="00E077A6" w:rsidP="00E077A6">
      <w:pPr>
        <w:pStyle w:val="ListParagraph"/>
        <w:numPr>
          <w:ilvl w:val="0"/>
          <w:numId w:val="0"/>
        </w:numPr>
        <w:ind w:left="720"/>
        <w:rPr>
          <w:lang w:eastAsia="ja-JP"/>
        </w:rPr>
      </w:pPr>
    </w:p>
    <w:p w14:paraId="1BCF62CE" w14:textId="3B8845A2" w:rsidR="00DE7C74" w:rsidRPr="00F867D0" w:rsidRDefault="00DE7C74" w:rsidP="00BF4C57">
      <w:pPr>
        <w:pStyle w:val="ListParagraph"/>
        <w:rPr>
          <w:lang w:eastAsia="ja-JP"/>
        </w:rPr>
      </w:pPr>
      <w:r w:rsidRPr="00F867D0">
        <w:rPr>
          <w:lang w:eastAsia="ja-JP"/>
        </w:rPr>
        <w:t>Deploy new Montreal Protocol financing to help countries</w:t>
      </w:r>
      <w:r w:rsidR="007B46F5" w:rsidRPr="00F867D0">
        <w:rPr>
          <w:lang w:eastAsia="ja-JP"/>
        </w:rPr>
        <w:t>; and</w:t>
      </w:r>
    </w:p>
    <w:p w14:paraId="6A5457DC" w14:textId="77777777" w:rsidR="00E077A6" w:rsidRDefault="00E077A6" w:rsidP="00E077A6">
      <w:pPr>
        <w:pStyle w:val="ListParagraph"/>
        <w:numPr>
          <w:ilvl w:val="0"/>
          <w:numId w:val="0"/>
        </w:numPr>
        <w:ind w:left="720"/>
        <w:rPr>
          <w:lang w:eastAsia="ja-JP"/>
        </w:rPr>
      </w:pPr>
    </w:p>
    <w:p w14:paraId="15EC606F" w14:textId="5685E94F" w:rsidR="00DE7C74" w:rsidRPr="00F867D0" w:rsidRDefault="00DE7C74" w:rsidP="00BF4C57">
      <w:pPr>
        <w:pStyle w:val="ListParagraph"/>
        <w:rPr>
          <w:lang w:eastAsia="ja-JP"/>
        </w:rPr>
      </w:pPr>
      <w:r w:rsidRPr="00F867D0">
        <w:rPr>
          <w:lang w:eastAsia="ja-JP"/>
        </w:rPr>
        <w:t>Share knowledge and practices across countries to accelerate action</w:t>
      </w:r>
      <w:r w:rsidR="007B46F5" w:rsidRPr="00F867D0">
        <w:rPr>
          <w:lang w:eastAsia="ja-JP"/>
        </w:rPr>
        <w:t>.</w:t>
      </w:r>
    </w:p>
    <w:p w14:paraId="3812D5A5" w14:textId="77777777" w:rsidR="003223A6" w:rsidRPr="00F867D0" w:rsidRDefault="003223A6" w:rsidP="00CF6D6E">
      <w:pPr>
        <w:widowControl w:val="0"/>
        <w:autoSpaceDE w:val="0"/>
        <w:autoSpaceDN w:val="0"/>
        <w:adjustRightInd w:val="0"/>
        <w:spacing w:after="0"/>
        <w:rPr>
          <w:rFonts w:eastAsia="MS Mincho"/>
          <w:szCs w:val="22"/>
          <w:lang w:eastAsia="ja-JP"/>
        </w:rPr>
      </w:pPr>
    </w:p>
    <w:p w14:paraId="6647FA24" w14:textId="3FEBAC52" w:rsidR="008504D1" w:rsidRDefault="00156815" w:rsidP="00CF6D6E">
      <w:pPr>
        <w:widowControl w:val="0"/>
        <w:autoSpaceDE w:val="0"/>
        <w:autoSpaceDN w:val="0"/>
        <w:adjustRightInd w:val="0"/>
        <w:spacing w:after="0"/>
        <w:rPr>
          <w:rFonts w:eastAsia="MS Mincho"/>
          <w:szCs w:val="22"/>
          <w:lang w:eastAsia="ja-JP"/>
        </w:rPr>
      </w:pPr>
      <w:r w:rsidRPr="00F867D0">
        <w:rPr>
          <w:rFonts w:eastAsia="MS Mincho"/>
          <w:szCs w:val="22"/>
          <w:lang w:eastAsia="ja-JP"/>
        </w:rPr>
        <w:t xml:space="preserve">The US$1 billion in lending by the WBG is expected to follow normal investment financing policies and procedures. At the time of the preparation of this report, updated information was not available to the Task Force on the status of current project financing and progress to date in meeting the WBG commitment for these funds. </w:t>
      </w:r>
    </w:p>
    <w:p w14:paraId="5B5714D7" w14:textId="77777777" w:rsidR="00D74DF8" w:rsidRDefault="00D74DF8" w:rsidP="00CF6D6E">
      <w:pPr>
        <w:widowControl w:val="0"/>
        <w:autoSpaceDE w:val="0"/>
        <w:autoSpaceDN w:val="0"/>
        <w:adjustRightInd w:val="0"/>
        <w:spacing w:after="0"/>
        <w:rPr>
          <w:rFonts w:eastAsia="MS Mincho"/>
          <w:szCs w:val="22"/>
          <w:lang w:eastAsia="ja-JP"/>
        </w:rPr>
      </w:pPr>
    </w:p>
    <w:p w14:paraId="4794B36E" w14:textId="5A9BF1DB" w:rsidR="00706000" w:rsidRPr="000F749F" w:rsidRDefault="00706000" w:rsidP="000F749F">
      <w:pPr>
        <w:pStyle w:val="Heading3"/>
        <w:rPr>
          <w:b w:val="0"/>
        </w:rPr>
      </w:pPr>
      <w:bookmarkStart w:id="116" w:name="_Toc515454399"/>
      <w:r w:rsidRPr="000F749F">
        <w:t xml:space="preserve">3.3.3 </w:t>
      </w:r>
      <w:r w:rsidR="00247D6B" w:rsidRPr="000F749F">
        <w:tab/>
      </w:r>
      <w:r w:rsidRPr="000F749F">
        <w:t>R</w:t>
      </w:r>
      <w:r w:rsidR="00D74DF8" w:rsidRPr="000F749F">
        <w:t>egional Development Banks</w:t>
      </w:r>
      <w:bookmarkEnd w:id="116"/>
      <w:r w:rsidR="00D74DF8" w:rsidRPr="000F749F">
        <w:t xml:space="preserve"> </w:t>
      </w:r>
    </w:p>
    <w:p w14:paraId="48630BEB" w14:textId="320E1069" w:rsidR="00706000" w:rsidRPr="00A516F1" w:rsidRDefault="00706000" w:rsidP="00031D16">
      <w:pPr>
        <w:pStyle w:val="CommentText"/>
        <w:spacing w:after="0"/>
        <w:rPr>
          <w:rFonts w:ascii="Times New Roman" w:hAnsi="Times New Roman"/>
          <w:sz w:val="22"/>
          <w:szCs w:val="22"/>
        </w:rPr>
      </w:pPr>
      <w:r w:rsidRPr="00A516F1">
        <w:rPr>
          <w:rFonts w:ascii="Times New Roman" w:hAnsi="Times New Roman"/>
          <w:sz w:val="22"/>
          <w:szCs w:val="22"/>
        </w:rPr>
        <w:t xml:space="preserve">At the time of preparation of this report, updated information on the wide variety of activities and lending projects that the various Regional Development Banks promote and implement as part of their development and energy agendas was not available. </w:t>
      </w:r>
    </w:p>
    <w:p w14:paraId="6CCF9E69" w14:textId="77777777" w:rsidR="003223A6" w:rsidRPr="00F867D0" w:rsidRDefault="003223A6" w:rsidP="00CF6D6E">
      <w:pPr>
        <w:widowControl w:val="0"/>
        <w:autoSpaceDE w:val="0"/>
        <w:autoSpaceDN w:val="0"/>
        <w:adjustRightInd w:val="0"/>
        <w:spacing w:after="0"/>
        <w:rPr>
          <w:rFonts w:eastAsia="MS Mincho"/>
          <w:szCs w:val="22"/>
          <w:lang w:eastAsia="ja-JP"/>
        </w:rPr>
      </w:pPr>
    </w:p>
    <w:p w14:paraId="65A686A7" w14:textId="618E284B" w:rsidR="00CF6D6E" w:rsidRPr="000F749F" w:rsidRDefault="00CF6D6E" w:rsidP="000F749F">
      <w:pPr>
        <w:pStyle w:val="Heading3"/>
        <w:rPr>
          <w:b w:val="0"/>
        </w:rPr>
      </w:pPr>
      <w:bookmarkStart w:id="117" w:name="_Toc515454400"/>
      <w:r w:rsidRPr="000F749F">
        <w:t>3.3.</w:t>
      </w:r>
      <w:r w:rsidR="00706000" w:rsidRPr="000F749F">
        <w:t>4</w:t>
      </w:r>
      <w:r w:rsidRPr="000F749F">
        <w:tab/>
      </w:r>
      <w:r w:rsidR="00D44991" w:rsidRPr="000F749F">
        <w:t>GIZ</w:t>
      </w:r>
      <w:r w:rsidR="00ED0A0B" w:rsidRPr="000F749F">
        <w:t xml:space="preserve"> (The Deutsche Gesellschaft für Internationale Zusammenarbeit)</w:t>
      </w:r>
      <w:bookmarkEnd w:id="117"/>
      <w:r w:rsidR="00ED0A0B" w:rsidRPr="000F749F">
        <w:t xml:space="preserve"> </w:t>
      </w:r>
    </w:p>
    <w:p w14:paraId="15C016FB" w14:textId="77777777" w:rsidR="00156815" w:rsidRPr="00F867D0" w:rsidRDefault="00156815" w:rsidP="00CF6D6E">
      <w:pPr>
        <w:widowControl w:val="0"/>
        <w:autoSpaceDE w:val="0"/>
        <w:autoSpaceDN w:val="0"/>
        <w:adjustRightInd w:val="0"/>
        <w:spacing w:after="0"/>
        <w:rPr>
          <w:rFonts w:eastAsia="MS Mincho"/>
          <w:b/>
          <w:sz w:val="24"/>
          <w:szCs w:val="22"/>
          <w:lang w:eastAsia="ja-JP"/>
        </w:rPr>
      </w:pPr>
    </w:p>
    <w:p w14:paraId="0E4404BE" w14:textId="677591B2" w:rsidR="00D44991" w:rsidRPr="00F867D0" w:rsidRDefault="00D44991" w:rsidP="00031D16">
      <w:pPr>
        <w:pStyle w:val="NormalWeb"/>
        <w:shd w:val="clear" w:color="auto" w:fill="FFFFFF"/>
        <w:spacing w:before="0" w:after="0"/>
        <w:rPr>
          <w:rFonts w:eastAsiaTheme="minorHAnsi"/>
          <w:b/>
          <w:szCs w:val="22"/>
          <w:lang w:val="en-GB" w:eastAsia="en-US"/>
        </w:rPr>
      </w:pPr>
      <w:r w:rsidRPr="00F867D0">
        <w:rPr>
          <w:rFonts w:eastAsiaTheme="minorHAnsi"/>
          <w:b/>
          <w:szCs w:val="22"/>
          <w:lang w:val="en-GB" w:eastAsia="en-US"/>
        </w:rPr>
        <w:t>Overview</w:t>
      </w:r>
    </w:p>
    <w:p w14:paraId="32D1A80B" w14:textId="77777777" w:rsidR="00E077A6" w:rsidRDefault="00E077A6" w:rsidP="00031D16">
      <w:pPr>
        <w:pStyle w:val="NormalWeb"/>
        <w:shd w:val="clear" w:color="auto" w:fill="FFFFFF"/>
        <w:spacing w:before="0" w:after="0"/>
        <w:rPr>
          <w:rFonts w:eastAsiaTheme="minorHAnsi"/>
          <w:szCs w:val="22"/>
          <w:lang w:val="en-GB" w:eastAsia="en-US"/>
        </w:rPr>
      </w:pPr>
    </w:p>
    <w:p w14:paraId="34893BDD" w14:textId="56A5D462" w:rsidR="00E077A6" w:rsidRDefault="00D44991" w:rsidP="00031D16">
      <w:pPr>
        <w:pStyle w:val="NormalWeb"/>
        <w:shd w:val="clear" w:color="auto" w:fill="FFFFFF"/>
        <w:spacing w:before="0" w:after="0"/>
        <w:rPr>
          <w:rFonts w:eastAsiaTheme="minorHAnsi"/>
          <w:szCs w:val="22"/>
          <w:lang w:val="en-GB" w:eastAsia="en-US"/>
        </w:rPr>
      </w:pPr>
      <w:r w:rsidRPr="00F867D0">
        <w:rPr>
          <w:rFonts w:eastAsiaTheme="minorHAnsi"/>
          <w:szCs w:val="22"/>
          <w:lang w:val="en-GB" w:eastAsia="en-US"/>
        </w:rPr>
        <w:t>GIZ is an implementing agency</w:t>
      </w:r>
      <w:r w:rsidR="00A516F1">
        <w:rPr>
          <w:rFonts w:eastAsiaTheme="minorHAnsi"/>
          <w:szCs w:val="22"/>
          <w:lang w:val="en-GB" w:eastAsia="en-US"/>
        </w:rPr>
        <w:t>,</w:t>
      </w:r>
      <w:r w:rsidRPr="00F867D0">
        <w:rPr>
          <w:rFonts w:eastAsiaTheme="minorHAnsi"/>
          <w:szCs w:val="22"/>
          <w:lang w:val="en-GB" w:eastAsia="en-US"/>
        </w:rPr>
        <w:t xml:space="preserve"> which has as main commissioning party, the German Federal </w:t>
      </w:r>
    </w:p>
    <w:p w14:paraId="300002A9" w14:textId="15FA0B1E" w:rsidR="00D44991" w:rsidRPr="00F867D0" w:rsidRDefault="00D44991" w:rsidP="00031D16">
      <w:pPr>
        <w:pStyle w:val="NormalWeb"/>
        <w:shd w:val="clear" w:color="auto" w:fill="FFFFFF"/>
        <w:spacing w:before="0" w:after="0"/>
        <w:rPr>
          <w:rFonts w:eastAsiaTheme="minorHAnsi"/>
          <w:szCs w:val="22"/>
          <w:lang w:val="en-GB" w:eastAsia="en-US"/>
        </w:rPr>
      </w:pPr>
      <w:r w:rsidRPr="00F867D0">
        <w:rPr>
          <w:rFonts w:eastAsiaTheme="minorHAnsi"/>
          <w:szCs w:val="22"/>
          <w:lang w:val="en-GB" w:eastAsia="en-US"/>
        </w:rPr>
        <w:t xml:space="preserve">Ministry for Economic Cooperation and Development (BMZ). It is focused in several areas of cooperation including the environment and climate change. Under this area, there are two programs: Integrated Ozone and Climate Protection and Resource Efficient Economy, which support projects in </w:t>
      </w:r>
      <w:r w:rsidR="003C37C3">
        <w:rPr>
          <w:rFonts w:eastAsiaTheme="minorHAnsi"/>
          <w:szCs w:val="22"/>
          <w:lang w:val="en-GB" w:eastAsia="en-US"/>
        </w:rPr>
        <w:t>EE</w:t>
      </w:r>
      <w:r w:rsidRPr="00F867D0">
        <w:rPr>
          <w:rFonts w:eastAsiaTheme="minorHAnsi"/>
          <w:szCs w:val="22"/>
          <w:lang w:val="en-GB" w:eastAsia="en-US"/>
        </w:rPr>
        <w:t xml:space="preserve">. GIZ assists in the selection of environmental-friendly alternatives to ODS and the conversion of production lines to environmental-friendly technologies, including in specific applications in the refrigeration and air conditioning sector (i.e., domestic refrigeration, commercial refrigeration). In addition, GIZ has a Program for Energy Efficiency in Buildings (PEEB) that finances large-scale projects for increasing </w:t>
      </w:r>
      <w:r w:rsidR="003C37C3">
        <w:rPr>
          <w:rFonts w:eastAsiaTheme="minorHAnsi"/>
          <w:szCs w:val="22"/>
          <w:lang w:val="en-GB" w:eastAsia="en-US"/>
        </w:rPr>
        <w:t>EE</w:t>
      </w:r>
      <w:r w:rsidRPr="00F867D0">
        <w:rPr>
          <w:rFonts w:eastAsiaTheme="minorHAnsi"/>
          <w:szCs w:val="22"/>
          <w:lang w:val="en-GB" w:eastAsia="en-US"/>
        </w:rPr>
        <w:t xml:space="preserve"> in buildings in selected partner countries.</w:t>
      </w:r>
    </w:p>
    <w:p w14:paraId="0B72DD92" w14:textId="2132F20D" w:rsidR="00D44991" w:rsidRPr="00F867D0" w:rsidRDefault="00D44991" w:rsidP="00045F2C">
      <w:pPr>
        <w:pStyle w:val="NormalWeb"/>
        <w:shd w:val="clear" w:color="auto" w:fill="FFFFFF"/>
        <w:spacing w:before="0"/>
        <w:rPr>
          <w:rFonts w:eastAsiaTheme="minorHAnsi"/>
          <w:szCs w:val="22"/>
          <w:lang w:val="en-GB" w:eastAsia="en-US"/>
        </w:rPr>
      </w:pPr>
    </w:p>
    <w:p w14:paraId="251D4693" w14:textId="77777777" w:rsidR="00237A11" w:rsidRPr="00F867D0" w:rsidRDefault="00237A11" w:rsidP="00237A11">
      <w:pPr>
        <w:pStyle w:val="Default"/>
        <w:widowControl w:val="0"/>
        <w:contextualSpacing/>
        <w:rPr>
          <w:b/>
          <w:sz w:val="22"/>
          <w:szCs w:val="24"/>
          <w:lang w:val="en-GB"/>
        </w:rPr>
      </w:pPr>
      <w:r w:rsidRPr="00F867D0">
        <w:rPr>
          <w:b/>
          <w:sz w:val="22"/>
          <w:szCs w:val="24"/>
          <w:lang w:val="en-GB"/>
        </w:rPr>
        <w:t>Financing modalities and potential market mechanisms</w:t>
      </w:r>
    </w:p>
    <w:p w14:paraId="3B0EA45D" w14:textId="77777777" w:rsidR="00E077A6" w:rsidRDefault="00E077A6" w:rsidP="00045F2C">
      <w:pPr>
        <w:spacing w:after="0"/>
      </w:pPr>
    </w:p>
    <w:p w14:paraId="053850F1" w14:textId="46A4CB0E" w:rsidR="00237A11" w:rsidRPr="00F867D0" w:rsidRDefault="00237A11" w:rsidP="00045F2C">
      <w:pPr>
        <w:spacing w:after="0"/>
      </w:pPr>
      <w:r w:rsidRPr="00F867D0">
        <w:t>GIZ</w:t>
      </w:r>
      <w:r w:rsidR="00045F2C" w:rsidRPr="00F867D0">
        <w:t xml:space="preserve"> has it</w:t>
      </w:r>
      <w:r w:rsidRPr="00F867D0">
        <w:t xml:space="preserve">s own budget resources for project implementation coming from national financial resources. In addition, GIZ works with international programs and countries, including the private sector, to leverage additional resources, following the financial partnership approach. </w:t>
      </w:r>
    </w:p>
    <w:p w14:paraId="3912E947" w14:textId="56B3A680" w:rsidR="00237A11" w:rsidRPr="00F867D0" w:rsidRDefault="00237A11" w:rsidP="00237A11">
      <w:pPr>
        <w:spacing w:after="0"/>
        <w:ind w:left="720"/>
      </w:pPr>
    </w:p>
    <w:p w14:paraId="75D7C96A" w14:textId="2F1D4C33" w:rsidR="00237A11" w:rsidRPr="00F867D0" w:rsidRDefault="00666080" w:rsidP="00045F2C">
      <w:pPr>
        <w:spacing w:after="0"/>
        <w:rPr>
          <w:b/>
        </w:rPr>
      </w:pPr>
      <w:r w:rsidRPr="00F867D0">
        <w:rPr>
          <w:b/>
        </w:rPr>
        <w:t>Criteria and m</w:t>
      </w:r>
      <w:r w:rsidR="00237A11" w:rsidRPr="00F867D0">
        <w:rPr>
          <w:b/>
        </w:rPr>
        <w:t>eth</w:t>
      </w:r>
      <w:r w:rsidR="006161BF">
        <w:rPr>
          <w:b/>
        </w:rPr>
        <w:t>o</w:t>
      </w:r>
      <w:r w:rsidR="00237A11" w:rsidRPr="00F867D0">
        <w:rPr>
          <w:b/>
        </w:rPr>
        <w:t>dologies</w:t>
      </w:r>
    </w:p>
    <w:p w14:paraId="24631F15" w14:textId="77777777" w:rsidR="00E077A6" w:rsidRDefault="00E077A6" w:rsidP="00045F2C">
      <w:pPr>
        <w:spacing w:after="0"/>
      </w:pPr>
    </w:p>
    <w:p w14:paraId="63C351F1" w14:textId="2DEE2736" w:rsidR="00237A11" w:rsidRPr="00F867D0" w:rsidRDefault="00237A11" w:rsidP="00045F2C">
      <w:pPr>
        <w:spacing w:after="0"/>
      </w:pPr>
      <w:r w:rsidRPr="00F867D0">
        <w:t xml:space="preserve">GIZ finances specific work package or project component where it has expertise and knowledge. </w:t>
      </w:r>
    </w:p>
    <w:p w14:paraId="3A7CAD32" w14:textId="29B8FA9A" w:rsidR="00237A11" w:rsidRPr="00F867D0" w:rsidRDefault="00237A11" w:rsidP="00031D16">
      <w:pPr>
        <w:pStyle w:val="NormalWeb"/>
        <w:shd w:val="clear" w:color="auto" w:fill="FFFFFF"/>
        <w:spacing w:before="0" w:after="0"/>
        <w:rPr>
          <w:rFonts w:eastAsiaTheme="minorHAnsi"/>
          <w:b/>
          <w:szCs w:val="22"/>
          <w:lang w:val="en-GB" w:eastAsia="en-US"/>
        </w:rPr>
      </w:pPr>
    </w:p>
    <w:p w14:paraId="7CB92EA8" w14:textId="77777777" w:rsidR="00DC478B" w:rsidRDefault="00C215D7" w:rsidP="00031D16">
      <w:pPr>
        <w:pStyle w:val="NormalWeb"/>
        <w:shd w:val="clear" w:color="auto" w:fill="FFFFFF"/>
        <w:spacing w:before="0" w:after="0"/>
        <w:rPr>
          <w:rFonts w:eastAsiaTheme="minorHAnsi"/>
          <w:b/>
          <w:szCs w:val="22"/>
          <w:lang w:val="en-GB" w:eastAsia="en-US"/>
        </w:rPr>
      </w:pPr>
      <w:r w:rsidRPr="00F867D0">
        <w:rPr>
          <w:rFonts w:eastAsiaTheme="minorHAnsi"/>
          <w:b/>
          <w:szCs w:val="22"/>
          <w:lang w:val="en-GB" w:eastAsia="en-US"/>
        </w:rPr>
        <w:t>Examples of relevant GIZ-financed projects</w:t>
      </w:r>
    </w:p>
    <w:p w14:paraId="1F7CFDC0" w14:textId="77777777" w:rsidR="00E077A6" w:rsidRDefault="00E077A6" w:rsidP="00031D16">
      <w:pPr>
        <w:pStyle w:val="NormalWeb"/>
        <w:shd w:val="clear" w:color="auto" w:fill="FFFFFF"/>
        <w:spacing w:before="0" w:after="0"/>
      </w:pPr>
    </w:p>
    <w:p w14:paraId="1B29FE4A" w14:textId="0D15FC4E" w:rsidR="00D74DF8" w:rsidRPr="003822CE" w:rsidRDefault="00C215D7" w:rsidP="00031D16">
      <w:pPr>
        <w:pStyle w:val="NormalWeb"/>
        <w:shd w:val="clear" w:color="auto" w:fill="FFFFFF"/>
        <w:spacing w:before="0" w:after="0"/>
      </w:pPr>
      <w:r w:rsidRPr="00F867D0">
        <w:t xml:space="preserve">Below are GIZ </w:t>
      </w:r>
      <w:r w:rsidR="00D44991" w:rsidRPr="00F867D0">
        <w:t xml:space="preserve">project funding examples specifically for the </w:t>
      </w:r>
      <w:r w:rsidRPr="00F867D0">
        <w:t xml:space="preserve">RACHP </w:t>
      </w:r>
      <w:r w:rsidR="00D44991" w:rsidRPr="00F867D0">
        <w:t>sectors</w:t>
      </w:r>
      <w:r w:rsidR="004F5D3D">
        <w:t>:</w:t>
      </w:r>
    </w:p>
    <w:p w14:paraId="1E7D6AD5" w14:textId="6974F474" w:rsidR="00D74DF8" w:rsidRPr="005B6A8B" w:rsidRDefault="00D44991" w:rsidP="00736989">
      <w:pPr>
        <w:pStyle w:val="NormalWeb"/>
        <w:numPr>
          <w:ilvl w:val="0"/>
          <w:numId w:val="82"/>
        </w:numPr>
        <w:shd w:val="clear" w:color="auto" w:fill="FFFFFF"/>
        <w:spacing w:before="0" w:after="0"/>
        <w:rPr>
          <w:rFonts w:eastAsiaTheme="minorHAnsi"/>
          <w:szCs w:val="22"/>
          <w:lang w:val="en-GB" w:eastAsia="en-US"/>
        </w:rPr>
      </w:pPr>
      <w:r w:rsidRPr="00F867D0">
        <w:rPr>
          <w:rFonts w:eastAsiaTheme="minorHAnsi"/>
          <w:b/>
          <w:i/>
          <w:szCs w:val="22"/>
          <w:lang w:val="en-GB" w:eastAsia="en-US"/>
        </w:rPr>
        <w:t>Ind</w:t>
      </w:r>
      <w:r w:rsidR="00C215D7" w:rsidRPr="00F867D0">
        <w:rPr>
          <w:rFonts w:eastAsiaTheme="minorHAnsi"/>
          <w:b/>
          <w:i/>
          <w:szCs w:val="22"/>
          <w:lang w:val="en-GB" w:eastAsia="en-US"/>
        </w:rPr>
        <w:t xml:space="preserve">ia: </w:t>
      </w:r>
      <w:r w:rsidRPr="00F867D0">
        <w:rPr>
          <w:rFonts w:eastAsiaTheme="minorHAnsi"/>
          <w:szCs w:val="22"/>
          <w:lang w:val="en-GB" w:eastAsia="en-US"/>
        </w:rPr>
        <w:t xml:space="preserve">The </w:t>
      </w:r>
      <w:r w:rsidR="00D74DF8">
        <w:rPr>
          <w:rFonts w:eastAsiaTheme="minorHAnsi"/>
          <w:szCs w:val="22"/>
          <w:lang w:val="en-GB" w:eastAsia="en-US"/>
        </w:rPr>
        <w:t xml:space="preserve">demonstration </w:t>
      </w:r>
      <w:r w:rsidRPr="00F867D0">
        <w:rPr>
          <w:rFonts w:eastAsiaTheme="minorHAnsi"/>
          <w:szCs w:val="22"/>
          <w:lang w:val="en-GB" w:eastAsia="en-US"/>
        </w:rPr>
        <w:t xml:space="preserve">project helped the Indian manufacturer Godrej &amp; Boyce to convert its production to systems using environmentally sound hydrocarbon refrigerants and introduce energy-efficient technology, thereby establishing a best-practice model. Since its launch in 2012, Godrej &amp; Boyce sold up to 250,000 AC units and thus achieved a market share of over 11% in </w:t>
      </w:r>
      <w:r w:rsidRPr="005B6A8B">
        <w:rPr>
          <w:rFonts w:eastAsiaTheme="minorHAnsi"/>
          <w:szCs w:val="22"/>
          <w:lang w:val="en-GB" w:eastAsia="en-US"/>
        </w:rPr>
        <w:t>the 5-star AC segment making them the third largest supplier in this segment across India.</w:t>
      </w:r>
      <w:r w:rsidR="00706000" w:rsidRPr="005B6A8B">
        <w:rPr>
          <w:rFonts w:eastAsiaTheme="minorHAnsi"/>
          <w:szCs w:val="22"/>
          <w:lang w:val="en-GB" w:eastAsia="en-US"/>
        </w:rPr>
        <w:t xml:space="preserve"> </w:t>
      </w:r>
      <w:r w:rsidR="00A516F1" w:rsidRPr="005B6A8B">
        <w:rPr>
          <w:rFonts w:eastAsiaTheme="minorHAnsi"/>
          <w:szCs w:val="22"/>
          <w:lang w:val="en-GB" w:eastAsia="en-US"/>
        </w:rPr>
        <w:t>[</w:t>
      </w:r>
      <w:hyperlink r:id="rId51" w:history="1">
        <w:r w:rsidR="00706000" w:rsidRPr="005B6A8B">
          <w:rPr>
            <w:rStyle w:val="Hyperlink"/>
          </w:rPr>
          <w:t>https://www.giz.de/de/weltweit/16863.html</w:t>
        </w:r>
      </w:hyperlink>
      <w:r w:rsidR="00A516F1" w:rsidRPr="005B6A8B">
        <w:rPr>
          <w:rFonts w:eastAsiaTheme="minorHAnsi"/>
          <w:szCs w:val="22"/>
          <w:lang w:val="en-GB" w:eastAsia="en-US"/>
        </w:rPr>
        <w:t>]</w:t>
      </w:r>
    </w:p>
    <w:p w14:paraId="522D0377" w14:textId="456CBCBF" w:rsidR="00156815" w:rsidRPr="005B6A8B" w:rsidRDefault="00D44991" w:rsidP="00736989">
      <w:pPr>
        <w:pStyle w:val="NormalWeb"/>
        <w:numPr>
          <w:ilvl w:val="0"/>
          <w:numId w:val="82"/>
        </w:numPr>
        <w:shd w:val="clear" w:color="auto" w:fill="FFFFFF"/>
        <w:spacing w:before="0" w:after="0"/>
        <w:rPr>
          <w:rFonts w:eastAsiaTheme="minorHAnsi"/>
          <w:szCs w:val="22"/>
          <w:lang w:val="en-GB" w:eastAsia="en-US"/>
        </w:rPr>
      </w:pPr>
      <w:r w:rsidRPr="005B6A8B">
        <w:rPr>
          <w:b/>
          <w:i/>
          <w:lang w:val="en-GB"/>
        </w:rPr>
        <w:t>Swaziland</w:t>
      </w:r>
      <w:r w:rsidR="00C215D7" w:rsidRPr="005B6A8B">
        <w:rPr>
          <w:b/>
          <w:lang w:val="en-GB"/>
        </w:rPr>
        <w:t xml:space="preserve">: </w:t>
      </w:r>
      <w:r w:rsidR="00C215D7" w:rsidRPr="005B6A8B">
        <w:rPr>
          <w:lang w:val="en-GB"/>
        </w:rPr>
        <w:t xml:space="preserve">The project produced refrigerators using alternative refrigerants such as </w:t>
      </w:r>
      <w:r w:rsidRPr="005B6A8B">
        <w:rPr>
          <w:lang w:val="en-GB"/>
        </w:rPr>
        <w:t>isobutane (R600a) and propane (R290)</w:t>
      </w:r>
      <w:r w:rsidR="00C215D7" w:rsidRPr="005B6A8B">
        <w:rPr>
          <w:lang w:val="en-GB"/>
        </w:rPr>
        <w:t xml:space="preserve">. Conducted from 2008-2011 at a cost of </w:t>
      </w:r>
      <w:r w:rsidR="00666080" w:rsidRPr="00097B52">
        <w:rPr>
          <w:lang w:val="en-GB"/>
        </w:rPr>
        <w:t>€</w:t>
      </w:r>
      <w:r w:rsidR="00C215D7" w:rsidRPr="00097B52">
        <w:rPr>
          <w:lang w:val="en-GB"/>
        </w:rPr>
        <w:t>1</w:t>
      </w:r>
      <w:r w:rsidRPr="00097B52">
        <w:rPr>
          <w:lang w:val="en-GB"/>
        </w:rPr>
        <w:t>.4 million</w:t>
      </w:r>
      <w:r w:rsidR="00C215D7" w:rsidRPr="00097B52">
        <w:rPr>
          <w:lang w:val="en-GB"/>
        </w:rPr>
        <w:t xml:space="preserve">, </w:t>
      </w:r>
      <w:r w:rsidR="00666080" w:rsidRPr="00097B52">
        <w:rPr>
          <w:lang w:val="en-GB"/>
        </w:rPr>
        <w:t xml:space="preserve">the project included partners </w:t>
      </w:r>
      <w:r w:rsidR="00C215D7" w:rsidRPr="00097B52">
        <w:rPr>
          <w:lang w:val="en-GB"/>
        </w:rPr>
        <w:t xml:space="preserve">the </w:t>
      </w:r>
      <w:r w:rsidRPr="005B6A8B">
        <w:rPr>
          <w:lang w:val="en-GB"/>
        </w:rPr>
        <w:t>Ministry of Tourism &amp; Environmental Affairs</w:t>
      </w:r>
      <w:r w:rsidR="00045F2C" w:rsidRPr="005B6A8B">
        <w:rPr>
          <w:lang w:val="en-GB"/>
        </w:rPr>
        <w:t xml:space="preserve"> and the </w:t>
      </w:r>
      <w:r w:rsidRPr="005B6A8B">
        <w:rPr>
          <w:lang w:val="en-GB"/>
        </w:rPr>
        <w:t xml:space="preserve">Swaziland </w:t>
      </w:r>
      <w:r w:rsidR="00045F2C" w:rsidRPr="005B6A8B">
        <w:rPr>
          <w:lang w:val="en-GB"/>
        </w:rPr>
        <w:t xml:space="preserve">refrigerator manufacturer </w:t>
      </w:r>
      <w:r w:rsidRPr="005B6A8B">
        <w:rPr>
          <w:lang w:val="en-GB"/>
        </w:rPr>
        <w:t>“The Fridge Factory”, formerly Palfridge</w:t>
      </w:r>
      <w:r w:rsidR="00045F2C" w:rsidRPr="005B6A8B">
        <w:rPr>
          <w:lang w:val="en-GB"/>
        </w:rPr>
        <w:t xml:space="preserve"> </w:t>
      </w:r>
      <w:r w:rsidRPr="005B6A8B">
        <w:rPr>
          <w:lang w:val="en-GB"/>
        </w:rPr>
        <w:t>Swaziland</w:t>
      </w:r>
      <w:r w:rsidR="00045F2C" w:rsidRPr="005B6A8B">
        <w:rPr>
          <w:lang w:val="en-GB"/>
        </w:rPr>
        <w:t xml:space="preserve">. The project is estimated to save </w:t>
      </w:r>
      <w:r w:rsidRPr="005B6A8B">
        <w:rPr>
          <w:lang w:val="en-GB"/>
        </w:rPr>
        <w:t>1.5 million t CO</w:t>
      </w:r>
      <w:r w:rsidRPr="005B6A8B">
        <w:rPr>
          <w:vertAlign w:val="subscript"/>
          <w:lang w:val="en-GB"/>
        </w:rPr>
        <w:t>2</w:t>
      </w:r>
      <w:r w:rsidRPr="005B6A8B">
        <w:rPr>
          <w:lang w:val="en-GB"/>
        </w:rPr>
        <w:t>e</w:t>
      </w:r>
      <w:r w:rsidR="00CF3540" w:rsidRPr="005B6A8B">
        <w:rPr>
          <w:lang w:val="en-GB"/>
        </w:rPr>
        <w:t>q</w:t>
      </w:r>
      <w:r w:rsidR="00045F2C" w:rsidRPr="005B6A8B">
        <w:rPr>
          <w:lang w:val="en-GB"/>
        </w:rPr>
        <w:t xml:space="preserve"> </w:t>
      </w:r>
      <w:r w:rsidRPr="005B6A8B">
        <w:rPr>
          <w:lang w:val="en-GB"/>
        </w:rPr>
        <w:t>in 10 years (directly and indirectly)</w:t>
      </w:r>
      <w:r w:rsidR="00045F2C" w:rsidRPr="005B6A8B">
        <w:rPr>
          <w:lang w:val="en-GB"/>
        </w:rPr>
        <w:t xml:space="preserve">; trained </w:t>
      </w:r>
      <w:r w:rsidRPr="005B6A8B">
        <w:rPr>
          <w:lang w:val="en-GB"/>
        </w:rPr>
        <w:t>500 more qualified employees and service technicians at “The Fridge Factory”</w:t>
      </w:r>
      <w:r w:rsidR="00045F2C" w:rsidRPr="005B6A8B">
        <w:rPr>
          <w:lang w:val="en-GB"/>
        </w:rPr>
        <w:t xml:space="preserve">; and resulted in </w:t>
      </w:r>
      <w:r w:rsidRPr="005B6A8B">
        <w:rPr>
          <w:lang w:val="en-GB"/>
        </w:rPr>
        <w:t>cost reductions for the manufacturers as well as energy savings for the consumer</w:t>
      </w:r>
      <w:r w:rsidR="00045F2C" w:rsidRPr="005B6A8B">
        <w:rPr>
          <w:lang w:val="en-GB"/>
        </w:rPr>
        <w:t>s</w:t>
      </w:r>
      <w:r w:rsidRPr="005B6A8B">
        <w:rPr>
          <w:lang w:val="en-GB"/>
        </w:rPr>
        <w:t xml:space="preserve"> from the use of more efficient </w:t>
      </w:r>
      <w:r w:rsidR="00045F2C" w:rsidRPr="005B6A8B">
        <w:rPr>
          <w:lang w:val="en-GB"/>
        </w:rPr>
        <w:t>refrigerators.</w:t>
      </w:r>
      <w:r w:rsidR="00ED0A0B" w:rsidRPr="005B6A8B">
        <w:rPr>
          <w:lang w:val="en-GB"/>
        </w:rPr>
        <w:t xml:space="preserve"> </w:t>
      </w:r>
      <w:r w:rsidR="00A516F1" w:rsidRPr="005B6A8B">
        <w:rPr>
          <w:rFonts w:eastAsiaTheme="minorHAnsi"/>
          <w:szCs w:val="22"/>
          <w:lang w:val="en-GB" w:eastAsia="en-US"/>
        </w:rPr>
        <w:t>[</w:t>
      </w:r>
      <w:hyperlink r:id="rId52" w:history="1">
        <w:r w:rsidR="00706000" w:rsidRPr="005B6A8B">
          <w:rPr>
            <w:rStyle w:val="Hyperlink"/>
          </w:rPr>
          <w:t>https://www.giz.de/fachexpertise/downloads/giz2012-0103-en-proklima-keeping-cool.pdf</w:t>
        </w:r>
      </w:hyperlink>
      <w:r w:rsidR="00D22687" w:rsidRPr="005B6A8B">
        <w:rPr>
          <w:rStyle w:val="Hyperlink"/>
        </w:rPr>
        <w:t>]</w:t>
      </w:r>
    </w:p>
    <w:p w14:paraId="250BAE49" w14:textId="77777777" w:rsidR="003822CE" w:rsidRDefault="003822CE" w:rsidP="00CF6D6E">
      <w:pPr>
        <w:widowControl w:val="0"/>
        <w:autoSpaceDE w:val="0"/>
        <w:autoSpaceDN w:val="0"/>
        <w:adjustRightInd w:val="0"/>
        <w:spacing w:after="0"/>
        <w:rPr>
          <w:rFonts w:eastAsia="MS Mincho"/>
          <w:b/>
          <w:sz w:val="24"/>
          <w:szCs w:val="22"/>
          <w:lang w:eastAsia="ja-JP"/>
        </w:rPr>
      </w:pPr>
    </w:p>
    <w:p w14:paraId="1AA97971" w14:textId="280E56C8" w:rsidR="00343C3B" w:rsidRPr="00F867D0" w:rsidRDefault="00CF6D6E" w:rsidP="000F749F">
      <w:pPr>
        <w:pStyle w:val="Heading2"/>
      </w:pPr>
      <w:bookmarkStart w:id="118" w:name="_Toc515454401"/>
      <w:r w:rsidRPr="000F749F">
        <w:t>3.4</w:t>
      </w:r>
      <w:r w:rsidRPr="000F749F">
        <w:tab/>
        <w:t>O</w:t>
      </w:r>
      <w:r w:rsidR="00156815" w:rsidRPr="000F749F">
        <w:t>thers</w:t>
      </w:r>
      <w:bookmarkEnd w:id="118"/>
    </w:p>
    <w:p w14:paraId="701A1846" w14:textId="75BE0497" w:rsidR="00045F2C" w:rsidRPr="000F749F" w:rsidRDefault="00045F2C" w:rsidP="00045F2C">
      <w:pPr>
        <w:spacing w:after="0"/>
        <w:rPr>
          <w:rFonts w:cs="Arial"/>
          <w:color w:val="auto"/>
        </w:rPr>
      </w:pPr>
      <w:bookmarkStart w:id="119" w:name="_Toc356240453"/>
      <w:r w:rsidRPr="000F749F">
        <w:rPr>
          <w:rFonts w:cs="Arial"/>
          <w:color w:val="auto"/>
        </w:rPr>
        <w:t xml:space="preserve">The </w:t>
      </w:r>
      <w:r w:rsidR="00B92589" w:rsidRPr="000F749F">
        <w:rPr>
          <w:rFonts w:cs="Arial"/>
          <w:color w:val="auto"/>
        </w:rPr>
        <w:t>E</w:t>
      </w:r>
      <w:r w:rsidRPr="000F749F">
        <w:rPr>
          <w:rFonts w:cs="Arial"/>
          <w:color w:val="auto"/>
        </w:rPr>
        <w:t>U provides funding programmes to help finance European energy projects. Here are</w:t>
      </w:r>
      <w:r w:rsidR="00666080" w:rsidRPr="000F749F">
        <w:rPr>
          <w:rFonts w:cs="Arial"/>
          <w:color w:val="auto"/>
        </w:rPr>
        <w:t xml:space="preserve"> </w:t>
      </w:r>
      <w:r w:rsidRPr="000F749F">
        <w:rPr>
          <w:rFonts w:cs="Arial"/>
          <w:color w:val="auto"/>
        </w:rPr>
        <w:t xml:space="preserve">some general info in relation to the </w:t>
      </w:r>
      <w:r w:rsidR="004F5D3D" w:rsidRPr="000F749F">
        <w:rPr>
          <w:rFonts w:cs="Arial"/>
          <w:color w:val="auto"/>
        </w:rPr>
        <w:t>Global Energy Efficiency and Renewable Energy Fund</w:t>
      </w:r>
      <w:r w:rsidRPr="000F749F">
        <w:rPr>
          <w:rFonts w:cs="Arial"/>
          <w:color w:val="auto"/>
        </w:rPr>
        <w:t xml:space="preserve"> and the Horizon 2020: </w:t>
      </w:r>
    </w:p>
    <w:p w14:paraId="34221DF5" w14:textId="77777777" w:rsidR="00045F2C" w:rsidRPr="00F867D0" w:rsidRDefault="00045F2C" w:rsidP="00045F2C">
      <w:pPr>
        <w:spacing w:after="0"/>
        <w:rPr>
          <w:rFonts w:ascii="Calibri" w:eastAsia="Times New Roman" w:hAnsi="Calibri" w:cs="Calibri"/>
          <w:color w:val="1F497D"/>
        </w:rPr>
      </w:pPr>
    </w:p>
    <w:p w14:paraId="50E73946" w14:textId="77777777" w:rsidR="00E077A6" w:rsidRPr="00E077A6" w:rsidRDefault="00045F2C" w:rsidP="00010926">
      <w:pPr>
        <w:rPr>
          <w:b/>
        </w:rPr>
      </w:pPr>
      <w:r w:rsidRPr="00E077A6">
        <w:rPr>
          <w:b/>
        </w:rPr>
        <w:t>The Global Energy Efficiency and Renewable Energy Fund (GEEREF)</w:t>
      </w:r>
    </w:p>
    <w:p w14:paraId="30B43B63" w14:textId="5F61AC42" w:rsidR="00666080" w:rsidRPr="00F867D0" w:rsidRDefault="00045F2C" w:rsidP="00010926">
      <w:r w:rsidRPr="00F867D0">
        <w:t>The GEREF is an innovative Fund-of-Funds catalysing private sector capital into clean energy projects in developing countries and economies in transition. It was initiated by the European Commission in 2006 and launched in 2008 with funding from the European Union</w:t>
      </w:r>
      <w:r w:rsidR="00666080" w:rsidRPr="00F867D0">
        <w:t>, Germany and Norway, tota</w:t>
      </w:r>
      <w:r w:rsidR="00B92589">
        <w:t>l</w:t>
      </w:r>
      <w:r w:rsidR="00666080" w:rsidRPr="00F867D0">
        <w:t>l</w:t>
      </w:r>
      <w:r w:rsidRPr="00F867D0">
        <w:t>ing € 112 million.</w:t>
      </w:r>
    </w:p>
    <w:p w14:paraId="126A904B" w14:textId="1612EDFE" w:rsidR="00010926" w:rsidRPr="00F867D0" w:rsidRDefault="00045F2C" w:rsidP="00010926">
      <w:pPr>
        <w:rPr>
          <w:color w:val="262626"/>
        </w:rPr>
      </w:pPr>
      <w:r w:rsidRPr="00F867D0">
        <w:t xml:space="preserve">More specifically, GEEREF invests public and private sector risk capital in specialist renewable energy and </w:t>
      </w:r>
      <w:r w:rsidR="003C37C3">
        <w:t>EE</w:t>
      </w:r>
      <w:r w:rsidRPr="00F867D0">
        <w:t xml:space="preserve"> private equity funds developing small and medium-sized projects in emerging markets. GEEREF's funds focus on renewable energy and </w:t>
      </w:r>
      <w:r w:rsidR="003C37C3">
        <w:t>EE</w:t>
      </w:r>
      <w:r w:rsidRPr="00F867D0">
        <w:t xml:space="preserve"> projects</w:t>
      </w:r>
      <w:r w:rsidR="003822CE">
        <w:t>,</w:t>
      </w:r>
      <w:r w:rsidRPr="00F867D0">
        <w:t xml:space="preserve"> which deploy proven technologies. There are currently 146 countries recognised as such and GEEREF’s funds can target all of these other than candidates for accession to the European Union. Priority is given to investment in countries with appropriate policies and regulatory frameworks on </w:t>
      </w:r>
      <w:r w:rsidR="003C37C3">
        <w:t>EE</w:t>
      </w:r>
      <w:r w:rsidRPr="00F867D0">
        <w:t xml:space="preserve"> and renewable energy. </w:t>
      </w:r>
      <w:r w:rsidR="00010926" w:rsidRPr="00F867D0">
        <w:t xml:space="preserve">The projects proposals have to be presented to the Funds according with their policies and procedures. </w:t>
      </w:r>
    </w:p>
    <w:p w14:paraId="2295B407" w14:textId="413B4A9A" w:rsidR="00C90BD0" w:rsidRPr="00F867D0" w:rsidRDefault="00045F2C" w:rsidP="00010926">
      <w:pPr>
        <w:rPr>
          <w:szCs w:val="22"/>
        </w:rPr>
      </w:pPr>
      <w:r w:rsidRPr="00F867D0">
        <w:t xml:space="preserve">GEEREF has committed important volume of financial resources to several private equity funds who are focused on renewable and energy infrastructure investments such as: The Africa renewable Energy Fund (AREF), the Armstrong South East Asia Clean Energy Fund, the Catalyst MENA Clean Energy Fund, the Caucasus Clean Energy Fund, the Frontier Investment Fund, the Emerging Energy Latin America Fund II, the Evolution One fund, and </w:t>
      </w:r>
      <w:r w:rsidRPr="00F867D0">
        <w:rPr>
          <w:szCs w:val="22"/>
        </w:rPr>
        <w:t xml:space="preserve">other. </w:t>
      </w:r>
      <w:r w:rsidR="00010926" w:rsidRPr="00F867D0">
        <w:rPr>
          <w:szCs w:val="22"/>
        </w:rPr>
        <w:t xml:space="preserve"> </w:t>
      </w:r>
    </w:p>
    <w:p w14:paraId="0BBD3CDA" w14:textId="77777777" w:rsidR="00E077A6" w:rsidRDefault="00045F2C" w:rsidP="000F749F">
      <w:r w:rsidRPr="00F867D0">
        <w:t>The Horizon 2020</w:t>
      </w:r>
    </w:p>
    <w:p w14:paraId="1A6B1D44" w14:textId="5670512E" w:rsidR="00010926" w:rsidRPr="00F867D0" w:rsidRDefault="00045F2C" w:rsidP="000F749F">
      <w:r w:rsidRPr="00F867D0">
        <w:t>Horizon 2020 is the biggest EU Research and Innovation programme ever with nearly €80 billion of funding available over 7 years (2014 to 2020)</w:t>
      </w:r>
      <w:r w:rsidR="006A79E8">
        <w:t>. In</w:t>
      </w:r>
      <w:r w:rsidRPr="00F867D0">
        <w:t xml:space="preserve"> addition to the private investment that this money will attract. It promises more breakthroughs, discoveries and world-firsts by taking great id</w:t>
      </w:r>
      <w:r w:rsidR="00C90BD0" w:rsidRPr="00F867D0">
        <w:t>eas from the lab</w:t>
      </w:r>
      <w:r w:rsidR="006A79E8">
        <w:t>oratory</w:t>
      </w:r>
      <w:r w:rsidR="00C90BD0" w:rsidRPr="00F867D0">
        <w:t xml:space="preserve"> to the market.</w:t>
      </w:r>
      <w:r w:rsidR="00010926" w:rsidRPr="00F867D0">
        <w:t xml:space="preserve"> The work programme for "Secure, Clean and Efficient Energy" include the focus area of </w:t>
      </w:r>
      <w:r w:rsidR="003C37C3">
        <w:t>EE</w:t>
      </w:r>
      <w:r w:rsidR="00010926" w:rsidRPr="00F867D0">
        <w:t xml:space="preserve">. Within this area, research and demonstration activities are focusing on buildings, industry, heating and cooling, SMEs and energy-related products and services, integration of ICT and cooperation with the telecom sector. The Horizon 2020 is open to private and public entity from the EU and many developing countries. The </w:t>
      </w:r>
      <w:r w:rsidR="00010926" w:rsidRPr="00F867D0">
        <w:rPr>
          <w:rFonts w:eastAsiaTheme="minorEastAsia"/>
        </w:rPr>
        <w:t>Applicants have to submit their proposal electronically t</w:t>
      </w:r>
      <w:r w:rsidR="006A79E8">
        <w:rPr>
          <w:rFonts w:eastAsiaTheme="minorEastAsia"/>
        </w:rPr>
        <w:t>h</w:t>
      </w:r>
      <w:r w:rsidR="00010926" w:rsidRPr="00F867D0">
        <w:rPr>
          <w:rFonts w:eastAsiaTheme="minorEastAsia"/>
        </w:rPr>
        <w:t xml:space="preserve">rough the website and according with the </w:t>
      </w:r>
      <w:hyperlink r:id="rId53" w:history="1">
        <w:r w:rsidR="00010926" w:rsidRPr="00F867D0">
          <w:rPr>
            <w:rFonts w:eastAsiaTheme="minorEastAsia"/>
          </w:rPr>
          <w:t>guidelines on proposal submission and evaluation</w:t>
        </w:r>
      </w:hyperlink>
      <w:r w:rsidR="00010926" w:rsidRPr="00F867D0">
        <w:rPr>
          <w:rFonts w:eastAsiaTheme="minorEastAsia"/>
        </w:rPr>
        <w:t>.</w:t>
      </w:r>
      <w:bookmarkStart w:id="120" w:name="_Toc509492776"/>
    </w:p>
    <w:p w14:paraId="4F5A5CE3" w14:textId="77777777" w:rsidR="00010926" w:rsidRPr="00F867D0" w:rsidRDefault="00010926">
      <w:pPr>
        <w:spacing w:after="0"/>
        <w:rPr>
          <w:szCs w:val="22"/>
        </w:rPr>
      </w:pPr>
      <w:r w:rsidRPr="00F867D0">
        <w:rPr>
          <w:szCs w:val="22"/>
        </w:rPr>
        <w:br w:type="page"/>
      </w:r>
    </w:p>
    <w:p w14:paraId="19094806" w14:textId="77777777" w:rsidR="00E077A6" w:rsidRDefault="00512C9D">
      <w:pPr>
        <w:pStyle w:val="Heading1"/>
        <w:rPr>
          <w:rStyle w:val="Heading1Char2"/>
          <w:rFonts w:ascii="Times New Roman" w:hAnsi="Times New Roman"/>
          <w:szCs w:val="20"/>
        </w:rPr>
      </w:pPr>
      <w:bookmarkStart w:id="121" w:name="_Hlk514454071"/>
      <w:bookmarkStart w:id="122" w:name="_Toc515454402"/>
      <w:r w:rsidRPr="004F5D3D">
        <w:rPr>
          <w:rStyle w:val="Heading1Char2"/>
          <w:rFonts w:ascii="Times New Roman" w:hAnsi="Times New Roman"/>
        </w:rPr>
        <w:t>4</w:t>
      </w:r>
      <w:r w:rsidR="00386CD4" w:rsidRPr="004F5D3D">
        <w:rPr>
          <w:rStyle w:val="Heading1Char2"/>
          <w:rFonts w:ascii="Times New Roman" w:hAnsi="Times New Roman"/>
        </w:rPr>
        <w:tab/>
        <w:t>References</w:t>
      </w:r>
      <w:bookmarkEnd w:id="120"/>
      <w:bookmarkEnd w:id="121"/>
      <w:bookmarkEnd w:id="122"/>
    </w:p>
    <w:p w14:paraId="575BC265" w14:textId="6DC38E52" w:rsidR="00E077A6" w:rsidRPr="002A3A2D" w:rsidRDefault="00771C95" w:rsidP="00385D9F">
      <w:r w:rsidRPr="000F749F">
        <w:rPr>
          <w:szCs w:val="22"/>
        </w:rPr>
        <w:t xml:space="preserve">Abdelaziz O, Shrestha S, Munk J, Linkous R, Goetzler W, Guernsey M and Kassuga T, 2015. “Alternative Refrigerant Evaluation for High-Ambient-Temperature Environments: R-22 and R-410A Alternatives for Mini-Split Air Conditioners”, ORNL/TM-2015/536. Available at: </w:t>
      </w:r>
      <w:r w:rsidR="00A373D1" w:rsidRPr="00385D9F">
        <w:rPr>
          <w:color w:val="3333FF"/>
          <w:u w:val="single"/>
        </w:rPr>
        <w:t>https://www.energy.gov/sites/prod/files/2015/10/f27/bto_pub59157_101515.pdf.</w:t>
      </w:r>
      <w:r w:rsidR="00385D9F">
        <w:t xml:space="preserve">  Ac</w:t>
      </w:r>
      <w:r w:rsidR="00A373D1" w:rsidRPr="000F749F">
        <w:t>cessed 12 May 2018</w:t>
      </w:r>
    </w:p>
    <w:p w14:paraId="203E876D" w14:textId="77777777" w:rsidR="00771C95" w:rsidRPr="00F867D0" w:rsidRDefault="00771C95" w:rsidP="00771C95">
      <w:pPr>
        <w:rPr>
          <w:szCs w:val="22"/>
        </w:rPr>
      </w:pPr>
      <w:r w:rsidRPr="00F867D0">
        <w:rPr>
          <w:szCs w:val="22"/>
        </w:rPr>
        <w:t xml:space="preserve">Abdelaziz O, Shrestha S, Shen B, Elatar A, Linkous R, Goetzler W, Guernsey M and Bargach Y, 2016. “Alternative Refrigerant Evaluation for High-Ambient-Temperature Environments: R-22 and R-410A Alternatives for Rooftop Air Conditioners”, ORNL/TM-2016/513. Available at: </w:t>
      </w:r>
      <w:hyperlink r:id="rId54" w:history="1">
        <w:r w:rsidRPr="00F867D0">
          <w:rPr>
            <w:rStyle w:val="Hyperlink"/>
            <w:szCs w:val="22"/>
          </w:rPr>
          <w:t>https://www.energy.gov/sites/prod/files/2016/09/f33/ORNL%20High%20Ambient%20RTU%20Testing%20Report.pdf</w:t>
        </w:r>
      </w:hyperlink>
      <w:r w:rsidRPr="00F867D0">
        <w:rPr>
          <w:szCs w:val="22"/>
        </w:rPr>
        <w:t>. Accessed 12 May 2018</w:t>
      </w:r>
    </w:p>
    <w:p w14:paraId="79C8B6A5" w14:textId="77777777" w:rsidR="00771C95" w:rsidRPr="00F867D0" w:rsidRDefault="00771C95" w:rsidP="00771C95">
      <w:pPr>
        <w:rPr>
          <w:szCs w:val="22"/>
        </w:rPr>
      </w:pPr>
      <w:r w:rsidRPr="00F867D0">
        <w:rPr>
          <w:szCs w:val="22"/>
        </w:rPr>
        <w:t xml:space="preserve">AHAM, 2012. Association of Home Appliances Manufacturers voluntary Standard </w:t>
      </w:r>
      <w:r w:rsidRPr="00F867D0">
        <w:rPr>
          <w:color w:val="111111"/>
          <w:szCs w:val="22"/>
        </w:rPr>
        <w:t>AHAM 7001-2012/CSA SPE-7001-12/UL 7001, “Sustainability Standard for Household Refrigeration Appliances”</w:t>
      </w:r>
    </w:p>
    <w:p w14:paraId="60EB9006" w14:textId="2C89D3BF" w:rsidR="00633A4A" w:rsidRPr="00633A4A" w:rsidRDefault="00633A4A" w:rsidP="00633A4A">
      <w:pPr>
        <w:rPr>
          <w:szCs w:val="24"/>
          <w:lang w:val="en-CA"/>
        </w:rPr>
      </w:pPr>
      <w:r w:rsidRPr="00633A4A">
        <w:rPr>
          <w:szCs w:val="24"/>
          <w:lang w:val="en-CA"/>
        </w:rPr>
        <w:t>ASEAN SHINE, 2017. “ASEAN standards for the testing methods harmonized to ISO5151:2010”</w:t>
      </w:r>
      <w:r w:rsidR="00755882">
        <w:rPr>
          <w:szCs w:val="24"/>
          <w:lang w:val="en-CA"/>
        </w:rPr>
        <w:t xml:space="preserve"> Available at:</w:t>
      </w:r>
      <w:r w:rsidRPr="00633A4A">
        <w:rPr>
          <w:szCs w:val="24"/>
          <w:lang w:val="en-CA"/>
        </w:rPr>
        <w:t xml:space="preserve"> </w:t>
      </w:r>
      <w:hyperlink r:id="rId55" w:history="1">
        <w:r w:rsidRPr="00633A4A">
          <w:rPr>
            <w:color w:val="0000FF"/>
            <w:szCs w:val="24"/>
            <w:u w:val="single"/>
            <w:lang w:val="en-CA"/>
          </w:rPr>
          <w:t>http://www.aseanshine.org/asean-shine-task-force/d/asean-standards-for-the-testing-methods-harmonized-to-iso5151-2010</w:t>
        </w:r>
      </w:hyperlink>
      <w:r w:rsidRPr="00633A4A">
        <w:rPr>
          <w:szCs w:val="24"/>
          <w:lang w:val="en-CA"/>
        </w:rPr>
        <w:t>. Accessed 17 May 2018</w:t>
      </w:r>
    </w:p>
    <w:p w14:paraId="4F6FBAEE" w14:textId="77777777" w:rsidR="00D07E69" w:rsidRPr="00F867D0" w:rsidRDefault="00D07E69" w:rsidP="00D07E69">
      <w:pPr>
        <w:rPr>
          <w:szCs w:val="24"/>
        </w:rPr>
      </w:pPr>
      <w:r w:rsidRPr="00F867D0">
        <w:rPr>
          <w:szCs w:val="24"/>
        </w:rPr>
        <w:t xml:space="preserve">ASHRAE, 2013. “Refrigeration Commissioning Guide for Commercial and Industrial Systems”. Available at: </w:t>
      </w:r>
      <w:hyperlink r:id="rId56" w:history="1">
        <w:r w:rsidRPr="00F867D0">
          <w:rPr>
            <w:rStyle w:val="Hyperlink"/>
            <w:szCs w:val="24"/>
          </w:rPr>
          <w:t>https://refcx.ashrae.org/</w:t>
        </w:r>
      </w:hyperlink>
      <w:r w:rsidRPr="00F867D0">
        <w:rPr>
          <w:szCs w:val="24"/>
        </w:rPr>
        <w:t>. Accessed 13 May 2018</w:t>
      </w:r>
    </w:p>
    <w:p w14:paraId="2413DC91" w14:textId="77777777" w:rsidR="00771C95" w:rsidRDefault="00771C95" w:rsidP="00771C95">
      <w:pPr>
        <w:rPr>
          <w:szCs w:val="24"/>
        </w:rPr>
      </w:pPr>
      <w:r w:rsidRPr="00F867D0">
        <w:rPr>
          <w:szCs w:val="24"/>
        </w:rPr>
        <w:t>ASHRAE, 2016. ANSI/ASHRAE/IES Standard 90.1-2016, “Energy Standards for Buildings Except Low-Rise Residential Buildings”</w:t>
      </w:r>
    </w:p>
    <w:p w14:paraId="2E59E7FF" w14:textId="120CFB4B" w:rsidR="00755882" w:rsidRPr="00F867D0" w:rsidRDefault="00755882" w:rsidP="00771C95">
      <w:pPr>
        <w:rPr>
          <w:szCs w:val="24"/>
        </w:rPr>
      </w:pPr>
      <w:r>
        <w:rPr>
          <w:szCs w:val="24"/>
        </w:rPr>
        <w:t>Bhambure J, 2018. Private communication</w:t>
      </w:r>
    </w:p>
    <w:p w14:paraId="29016DA2" w14:textId="77777777" w:rsidR="00771C95" w:rsidRPr="00F867D0" w:rsidRDefault="00771C95" w:rsidP="00771C95">
      <w:pPr>
        <w:rPr>
          <w:szCs w:val="24"/>
        </w:rPr>
      </w:pPr>
      <w:r w:rsidRPr="00F867D0">
        <w:rPr>
          <w:szCs w:val="24"/>
        </w:rPr>
        <w:t xml:space="preserve">Brecht P, Durm D and Rodowick B, 2016. “Refrigerated Transportation Best Practices Guide Advancing the Sanitary Transportation of Human and Animal Food”, Published by the International Refrigerated Transportation Association, 2016. Available at: </w:t>
      </w:r>
      <w:hyperlink r:id="rId57" w:history="1">
        <w:r w:rsidRPr="00F867D0">
          <w:rPr>
            <w:rStyle w:val="Hyperlink"/>
            <w:szCs w:val="24"/>
          </w:rPr>
          <w:t>http://cold.org.gr/library/downloads/Docs/Refrigerated-Transportation-Best-Practices-Guide-2016.pdf</w:t>
        </w:r>
      </w:hyperlink>
      <w:r w:rsidRPr="00F867D0">
        <w:rPr>
          <w:szCs w:val="24"/>
        </w:rPr>
        <w:t>. Accessed 12 May 2018</w:t>
      </w:r>
    </w:p>
    <w:p w14:paraId="69387B8B" w14:textId="4A03FA1C" w:rsidR="00A549B3" w:rsidRDefault="00A549B3" w:rsidP="00771C95">
      <w:pPr>
        <w:rPr>
          <w:szCs w:val="24"/>
        </w:rPr>
      </w:pPr>
      <w:r>
        <w:rPr>
          <w:szCs w:val="24"/>
        </w:rPr>
        <w:t xml:space="preserve">CARBON TRUST, 2017. “Refrigeration. </w:t>
      </w:r>
      <w:r>
        <w:rPr>
          <w:rFonts w:cs="Helvetica"/>
          <w:lang w:val="en"/>
        </w:rPr>
        <w:t>Improve energy efficiency of your chillers and refrigeration systems with our energy-saving guidance</w:t>
      </w:r>
      <w:r>
        <w:rPr>
          <w:szCs w:val="24"/>
        </w:rPr>
        <w:t xml:space="preserve">”. Available at: </w:t>
      </w:r>
      <w:hyperlink r:id="rId58" w:history="1">
        <w:r w:rsidRPr="00031D16">
          <w:rPr>
            <w:rStyle w:val="Hyperlink"/>
          </w:rPr>
          <w:t>https://www.carbontrust.com/resources/guides/energy-efficiency/refrigeration/</w:t>
        </w:r>
      </w:hyperlink>
      <w:r w:rsidRPr="00031D16">
        <w:t>. Accessed 19 May 2018</w:t>
      </w:r>
    </w:p>
    <w:p w14:paraId="36D7BA37" w14:textId="6E0B5164" w:rsidR="00771C95" w:rsidRPr="00F867D0" w:rsidRDefault="00771C95" w:rsidP="00771C95">
      <w:pPr>
        <w:rPr>
          <w:szCs w:val="24"/>
        </w:rPr>
      </w:pPr>
      <w:r w:rsidRPr="00F867D0">
        <w:rPr>
          <w:szCs w:val="24"/>
        </w:rPr>
        <w:t xml:space="preserve">Climate and Clean </w:t>
      </w:r>
      <w:r w:rsidR="00D07E69" w:rsidRPr="00F867D0">
        <w:rPr>
          <w:szCs w:val="24"/>
        </w:rPr>
        <w:t xml:space="preserve">Air </w:t>
      </w:r>
      <w:r w:rsidRPr="00F867D0">
        <w:rPr>
          <w:szCs w:val="24"/>
        </w:rPr>
        <w:t xml:space="preserve">Coalition, 2017. “Annual Report 2016-2017”, available at </w:t>
      </w:r>
      <w:hyperlink r:id="rId59" w:history="1">
        <w:r w:rsidRPr="00F867D0">
          <w:rPr>
            <w:rStyle w:val="Hyperlink"/>
            <w:szCs w:val="24"/>
          </w:rPr>
          <w:t>http://www.ccacoalition.org/sites/default/files/resources/2016-2017_CCAC-Annual-Report_web.pdf</w:t>
        </w:r>
      </w:hyperlink>
      <w:r w:rsidRPr="00F867D0">
        <w:rPr>
          <w:szCs w:val="24"/>
        </w:rPr>
        <w:t>. Accessed 12 May 2018</w:t>
      </w:r>
    </w:p>
    <w:p w14:paraId="0D0FAC12" w14:textId="77777777" w:rsidR="00771C95" w:rsidRPr="00F867D0" w:rsidRDefault="00771C95" w:rsidP="00771C95">
      <w:pPr>
        <w:rPr>
          <w:szCs w:val="22"/>
        </w:rPr>
      </w:pPr>
      <w:r w:rsidRPr="00F867D0">
        <w:rPr>
          <w:szCs w:val="24"/>
        </w:rPr>
        <w:t>de la Rue du Can S, Price L and Zwickel T. “</w:t>
      </w:r>
      <w:r w:rsidRPr="00F867D0">
        <w:rPr>
          <w:color w:val="auto"/>
          <w:shd w:val="clear" w:color="auto" w:fill="FFFFFF"/>
        </w:rPr>
        <w:t>Understanding the full climate change impact of energy consumption and mitigation at the end-use level: A proposed methodology for allocating indirect carbon dioxide emissions</w:t>
      </w:r>
      <w:r w:rsidRPr="00F867D0">
        <w:rPr>
          <w:szCs w:val="24"/>
        </w:rPr>
        <w:t xml:space="preserve">”, </w:t>
      </w:r>
      <w:r w:rsidRPr="00F867D0">
        <w:rPr>
          <w:i/>
          <w:szCs w:val="24"/>
        </w:rPr>
        <w:t>Applied Energy</w:t>
      </w:r>
      <w:r w:rsidRPr="00F867D0">
        <w:rPr>
          <w:szCs w:val="24"/>
        </w:rPr>
        <w:t xml:space="preserve">, 2015;159:548-559 . doi: </w:t>
      </w:r>
      <w:hyperlink r:id="rId60" w:history="1">
        <w:r w:rsidRPr="00F867D0">
          <w:rPr>
            <w:rStyle w:val="Hyperlink"/>
            <w:szCs w:val="22"/>
            <w:lang w:eastAsia="en-US"/>
          </w:rPr>
          <w:t>http://dx.doi.org/10.1016/j.apenergy.2015.08.055</w:t>
        </w:r>
      </w:hyperlink>
      <w:r w:rsidRPr="00F867D0">
        <w:rPr>
          <w:szCs w:val="24"/>
        </w:rPr>
        <w:t>.  Accessed 12 may 2018</w:t>
      </w:r>
    </w:p>
    <w:p w14:paraId="2D48EB15" w14:textId="5E465894" w:rsidR="00771C95" w:rsidRPr="00F867D0" w:rsidRDefault="00771C95" w:rsidP="00385D9F">
      <w:pPr>
        <w:rPr>
          <w:szCs w:val="24"/>
        </w:rPr>
      </w:pPr>
      <w:r w:rsidRPr="00F867D0">
        <w:rPr>
          <w:szCs w:val="24"/>
        </w:rPr>
        <w:t>DOE, 2016. “Technical Support Document: Energy Efficiency Program for Consumer Products: Residential Central Air Conditioners and Heat Pumps”, US Department of Energy</w:t>
      </w:r>
      <w:r w:rsidR="00385D9F">
        <w:rPr>
          <w:szCs w:val="24"/>
        </w:rPr>
        <w:t>. A</w:t>
      </w:r>
      <w:r w:rsidRPr="00F867D0">
        <w:rPr>
          <w:szCs w:val="24"/>
        </w:rPr>
        <w:t xml:space="preserve">vailable at </w:t>
      </w:r>
      <w:hyperlink r:id="rId61" w:history="1">
        <w:r w:rsidRPr="00F867D0">
          <w:rPr>
            <w:rStyle w:val="Hyperlink"/>
            <w:szCs w:val="24"/>
          </w:rPr>
          <w:t>https://www.regulations.gov/document?D=EERE-2014-BT-STD-0048-0098</w:t>
        </w:r>
      </w:hyperlink>
      <w:r w:rsidRPr="00F867D0">
        <w:rPr>
          <w:szCs w:val="24"/>
        </w:rPr>
        <w:t xml:space="preserve">. Accessed 12 May 2018 </w:t>
      </w:r>
    </w:p>
    <w:p w14:paraId="616F557A" w14:textId="77777777" w:rsidR="00771C95" w:rsidRPr="00F867D0" w:rsidRDefault="00771C95" w:rsidP="00771C95">
      <w:pPr>
        <w:rPr>
          <w:szCs w:val="24"/>
        </w:rPr>
      </w:pPr>
      <w:r w:rsidRPr="00F867D0">
        <w:rPr>
          <w:szCs w:val="24"/>
        </w:rPr>
        <w:t xml:space="preserve">Domanski PA and Yana Motta SF, 2000. “Performance of R-22 and its Alternatives Working at High Outdoor Temperatures”, Proceedings of the Eighth International Refrigeration Conference at Purdue University, pp. 47-52, available at </w:t>
      </w:r>
      <w:hyperlink r:id="rId62" w:history="1">
        <w:r w:rsidRPr="00F867D0">
          <w:rPr>
            <w:rStyle w:val="Hyperlink"/>
            <w:szCs w:val="24"/>
          </w:rPr>
          <w:t>https://docs.lib.purdue.edu/cgi/viewcontent.cgi?article=1463&amp;context=iracc</w:t>
        </w:r>
      </w:hyperlink>
      <w:r w:rsidRPr="00F867D0">
        <w:rPr>
          <w:szCs w:val="24"/>
        </w:rPr>
        <w:t>. Accessed 12 may 2018</w:t>
      </w:r>
    </w:p>
    <w:p w14:paraId="072F02CA" w14:textId="77777777" w:rsidR="00771C95" w:rsidRPr="00F867D0" w:rsidRDefault="00771C95" w:rsidP="00771C95">
      <w:pPr>
        <w:rPr>
          <w:szCs w:val="24"/>
        </w:rPr>
      </w:pPr>
      <w:r w:rsidRPr="00F867D0">
        <w:rPr>
          <w:szCs w:val="24"/>
        </w:rPr>
        <w:t xml:space="preserve">EU, 2015. “Better Regulation Toolbox”. European Commission. Available at: </w:t>
      </w:r>
      <w:hyperlink r:id="rId63" w:history="1">
        <w:r w:rsidRPr="00F867D0">
          <w:rPr>
            <w:rStyle w:val="Hyperlink"/>
            <w:szCs w:val="24"/>
          </w:rPr>
          <w:t>http://ec.europa.eu/smart-regulation/guidelines/docs/br_toolbox_en.pdf</w:t>
        </w:r>
      </w:hyperlink>
      <w:r w:rsidRPr="00F867D0">
        <w:rPr>
          <w:szCs w:val="24"/>
        </w:rPr>
        <w:t xml:space="preserve">. Accessed 12 May 2018 </w:t>
      </w:r>
    </w:p>
    <w:p w14:paraId="318AAE37" w14:textId="77777777" w:rsidR="00771C95" w:rsidRPr="00F867D0" w:rsidRDefault="00771C95" w:rsidP="00771C95">
      <w:pPr>
        <w:rPr>
          <w:szCs w:val="24"/>
        </w:rPr>
      </w:pPr>
      <w:r w:rsidRPr="00F867D0">
        <w:rPr>
          <w:szCs w:val="24"/>
        </w:rPr>
        <w:t xml:space="preserve">EuP, Energy using Products, 2009. “Preparatory study on the environmental performance of residential room conditioning appliances (airco and ventilation)”. Available at: </w:t>
      </w:r>
      <w:hyperlink r:id="rId64" w:history="1">
        <w:r w:rsidRPr="00F867D0">
          <w:rPr>
            <w:rStyle w:val="Hyperlink"/>
            <w:szCs w:val="24"/>
          </w:rPr>
          <w:t>http://www.eup-network.de/product-groups/preparatory-studies/completed/</w:t>
        </w:r>
      </w:hyperlink>
      <w:r w:rsidRPr="00F867D0">
        <w:rPr>
          <w:szCs w:val="24"/>
        </w:rPr>
        <w:t>. Accessed 12 May 2018</w:t>
      </w:r>
    </w:p>
    <w:p w14:paraId="304A3B9D" w14:textId="77777777" w:rsidR="00771C95" w:rsidRPr="00F867D0" w:rsidRDefault="00771C95" w:rsidP="00771C95">
      <w:pPr>
        <w:autoSpaceDE w:val="0"/>
        <w:autoSpaceDN w:val="0"/>
        <w:adjustRightInd w:val="0"/>
        <w:rPr>
          <w:szCs w:val="24"/>
        </w:rPr>
      </w:pPr>
      <w:r w:rsidRPr="00F867D0">
        <w:rPr>
          <w:szCs w:val="24"/>
        </w:rPr>
        <w:t>Finckh O, Kolda M and Kujak S. “Manufacturers Experiences with Developing Transport Applications Using Natural Refrigerants”. Proceedings of IIR Gustav Lorentzen Conference, Edinburgh, Scotland, August 2016. paper 1167. doi</w:t>
      </w:r>
      <w:r w:rsidRPr="00F867D0">
        <w:rPr>
          <w:szCs w:val="22"/>
        </w:rPr>
        <w:t xml:space="preserve">: </w:t>
      </w:r>
      <w:hyperlink r:id="rId65" w:history="1">
        <w:r w:rsidRPr="00F867D0">
          <w:rPr>
            <w:rStyle w:val="Hyperlink"/>
            <w:szCs w:val="22"/>
          </w:rPr>
          <w:t>https://1</w:t>
        </w:r>
        <w:r w:rsidRPr="00F867D0">
          <w:rPr>
            <w:rStyle w:val="Hyperlink"/>
            <w:szCs w:val="22"/>
            <w:lang w:eastAsia="en-US"/>
          </w:rPr>
          <w:t>0.18462/iir.gl.2016.1167</w:t>
        </w:r>
      </w:hyperlink>
      <w:r w:rsidRPr="00F867D0">
        <w:rPr>
          <w:color w:val="auto"/>
          <w:sz w:val="18"/>
          <w:szCs w:val="18"/>
          <w:lang w:eastAsia="en-US"/>
        </w:rPr>
        <w:t xml:space="preserve"> </w:t>
      </w:r>
    </w:p>
    <w:p w14:paraId="2ADDC264" w14:textId="43852BFF" w:rsidR="00771C95" w:rsidRPr="00F867D0" w:rsidRDefault="00771C95" w:rsidP="00771C95">
      <w:pPr>
        <w:rPr>
          <w:szCs w:val="24"/>
        </w:rPr>
      </w:pPr>
      <w:r w:rsidRPr="00F867D0">
        <w:rPr>
          <w:szCs w:val="24"/>
        </w:rPr>
        <w:t xml:space="preserve">Fischer SK and Rice CK, 1983. “The Oak Ridge Heat Pump Models: A Steady-State Conmputer Design Model for Air-to-Air Heat Pumps”. Oak Ridge </w:t>
      </w:r>
      <w:r w:rsidR="000C52B6">
        <w:rPr>
          <w:szCs w:val="24"/>
        </w:rPr>
        <w:t>N</w:t>
      </w:r>
      <w:r w:rsidRPr="00F867D0">
        <w:rPr>
          <w:szCs w:val="24"/>
        </w:rPr>
        <w:t xml:space="preserve">ational </w:t>
      </w:r>
      <w:r w:rsidR="000C52B6">
        <w:rPr>
          <w:szCs w:val="24"/>
        </w:rPr>
        <w:t>L</w:t>
      </w:r>
      <w:r w:rsidRPr="00F867D0">
        <w:rPr>
          <w:szCs w:val="24"/>
        </w:rPr>
        <w:t xml:space="preserve">aboratory. Available at: </w:t>
      </w:r>
      <w:hyperlink r:id="rId66" w:history="1">
        <w:r w:rsidRPr="00F867D0">
          <w:rPr>
            <w:rStyle w:val="Hyperlink"/>
            <w:szCs w:val="24"/>
          </w:rPr>
          <w:t>https://web.ornl.gov/~doehpdm/hpdm/814817.pdf</w:t>
        </w:r>
      </w:hyperlink>
      <w:r w:rsidRPr="00F867D0">
        <w:rPr>
          <w:szCs w:val="24"/>
        </w:rPr>
        <w:t>. Accessed 12 May 2018</w:t>
      </w:r>
    </w:p>
    <w:p w14:paraId="18772D54" w14:textId="7BD23C0C" w:rsidR="00771C95" w:rsidRPr="00F867D0" w:rsidRDefault="00771C95" w:rsidP="00771C95">
      <w:pPr>
        <w:rPr>
          <w:szCs w:val="22"/>
        </w:rPr>
      </w:pPr>
      <w:r w:rsidRPr="00F867D0">
        <w:rPr>
          <w:szCs w:val="22"/>
        </w:rPr>
        <w:t>Fischer SK, Rice CK and Jackson WL, 1988. “</w:t>
      </w:r>
      <w:r w:rsidRPr="00F867D0">
        <w:rPr>
          <w:szCs w:val="22"/>
          <w:shd w:val="clear" w:color="auto" w:fill="FFFFFF"/>
        </w:rPr>
        <w:t>The Oak Ridge Heat Pump Design Model: Mark 3 version program documentation</w:t>
      </w:r>
      <w:r w:rsidRPr="00F867D0">
        <w:rPr>
          <w:szCs w:val="22"/>
        </w:rPr>
        <w:t>”.</w:t>
      </w:r>
      <w:r w:rsidRPr="00F867D0">
        <w:rPr>
          <w:szCs w:val="24"/>
        </w:rPr>
        <w:t xml:space="preserve"> Oak Ridge </w:t>
      </w:r>
      <w:r w:rsidR="000C52B6">
        <w:rPr>
          <w:szCs w:val="24"/>
        </w:rPr>
        <w:t>N</w:t>
      </w:r>
      <w:r w:rsidRPr="00F867D0">
        <w:rPr>
          <w:szCs w:val="24"/>
        </w:rPr>
        <w:t xml:space="preserve">ational </w:t>
      </w:r>
      <w:r w:rsidR="000C52B6">
        <w:rPr>
          <w:szCs w:val="24"/>
        </w:rPr>
        <w:t>L</w:t>
      </w:r>
      <w:r w:rsidRPr="00F867D0">
        <w:rPr>
          <w:szCs w:val="24"/>
        </w:rPr>
        <w:t xml:space="preserve">aboratory. Available at: </w:t>
      </w:r>
      <w:hyperlink r:id="rId67" w:history="1">
        <w:r w:rsidRPr="00F867D0">
          <w:rPr>
            <w:rStyle w:val="Hyperlink"/>
            <w:szCs w:val="24"/>
          </w:rPr>
          <w:t>http://adsabs.harvard.edu/abs/1988STIN...8826607F</w:t>
        </w:r>
      </w:hyperlink>
      <w:r w:rsidRPr="00F867D0">
        <w:rPr>
          <w:szCs w:val="24"/>
        </w:rPr>
        <w:t>. Accessed 12 May 2018</w:t>
      </w:r>
    </w:p>
    <w:p w14:paraId="2F12AF6E" w14:textId="77777777" w:rsidR="00771C95" w:rsidRPr="00F867D0" w:rsidRDefault="00771C95" w:rsidP="00771C95">
      <w:pPr>
        <w:spacing w:before="100" w:beforeAutospacing="1" w:after="100" w:afterAutospacing="1"/>
        <w:rPr>
          <w:rFonts w:eastAsia="Times New Roman"/>
          <w:szCs w:val="22"/>
          <w:lang w:eastAsia="it-IT"/>
        </w:rPr>
      </w:pPr>
      <w:r w:rsidRPr="00F867D0">
        <w:rPr>
          <w:szCs w:val="22"/>
        </w:rPr>
        <w:t xml:space="preserve">Fridley DG, </w:t>
      </w:r>
      <w:r w:rsidRPr="00F867D0">
        <w:rPr>
          <w:rFonts w:eastAsia="Times New Roman"/>
          <w:szCs w:val="22"/>
          <w:lang w:eastAsia="it-IT"/>
        </w:rPr>
        <w:t>Rosenquist G, Lin J, Li A, Xin D, Cheng J, 2001. “</w:t>
      </w:r>
      <w:r w:rsidRPr="00F867D0">
        <w:t>Technical and Economic Analysis of Energy Efficiency of Chinese Room Air Conditioners</w:t>
      </w:r>
      <w:r w:rsidRPr="00F867D0">
        <w:rPr>
          <w:rFonts w:eastAsia="Times New Roman"/>
          <w:szCs w:val="22"/>
          <w:lang w:eastAsia="it-IT"/>
        </w:rPr>
        <w:t xml:space="preserve">”. Lawrence Berkeley National Laboratory. Available at: </w:t>
      </w:r>
      <w:hyperlink r:id="rId68" w:history="1">
        <w:r w:rsidRPr="00F867D0">
          <w:rPr>
            <w:rStyle w:val="Hyperlink"/>
            <w:rFonts w:eastAsia="Times New Roman"/>
            <w:szCs w:val="22"/>
            <w:lang w:eastAsia="it-IT"/>
          </w:rPr>
          <w:t>https://cloudfront.escholarship.org/dist/prd/content/qt9cw020f8/qt9cw020f8.pdf?t=lnqwo1</w:t>
        </w:r>
      </w:hyperlink>
      <w:r w:rsidRPr="00F867D0">
        <w:rPr>
          <w:rFonts w:eastAsia="Times New Roman"/>
          <w:szCs w:val="22"/>
          <w:lang w:eastAsia="it-IT"/>
        </w:rPr>
        <w:t>. Accessed 12 May 2018</w:t>
      </w:r>
    </w:p>
    <w:p w14:paraId="7AE0E679" w14:textId="77777777" w:rsidR="00771C95" w:rsidRPr="00F867D0" w:rsidRDefault="00771C95" w:rsidP="00771C95">
      <w:pPr>
        <w:rPr>
          <w:szCs w:val="24"/>
        </w:rPr>
      </w:pPr>
      <w:r w:rsidRPr="00F867D0">
        <w:rPr>
          <w:szCs w:val="24"/>
        </w:rPr>
        <w:t>Gallagher M, Scott T, Oliver Z, Clark-Sutton K, Anderson B and Ruegg R, 2017. “</w:t>
      </w:r>
      <w:r w:rsidRPr="00F867D0">
        <w:t>Benefit-Cost Evaluation of U.S. Department of Energy Investment in HVAC, Water Heating, and Appliance Technologies</w:t>
      </w:r>
      <w:r w:rsidRPr="00F867D0">
        <w:rPr>
          <w:szCs w:val="24"/>
        </w:rPr>
        <w:t xml:space="preserve">”, US Department of Energy, available at </w:t>
      </w:r>
      <w:hyperlink r:id="rId69" w:history="1">
        <w:r w:rsidRPr="00F867D0">
          <w:rPr>
            <w:rStyle w:val="Hyperlink"/>
            <w:szCs w:val="24"/>
          </w:rPr>
          <w:t>https://www.energy.gov/sites/prod/files/2017/09/f36/DOE-EERE-BTO-HVAC_Water%20Heating_Appliances%202017%20Impact%20Evaluation%20Final.pdf</w:t>
        </w:r>
      </w:hyperlink>
      <w:r w:rsidRPr="00F867D0">
        <w:rPr>
          <w:szCs w:val="24"/>
        </w:rPr>
        <w:t>. Accessed 12 May 2018</w:t>
      </w:r>
    </w:p>
    <w:p w14:paraId="20F6B628" w14:textId="77777777" w:rsidR="00771C95" w:rsidRPr="00F867D0" w:rsidRDefault="00771C95" w:rsidP="00771C95">
      <w:pPr>
        <w:rPr>
          <w:szCs w:val="24"/>
        </w:rPr>
      </w:pPr>
      <w:r w:rsidRPr="00F867D0">
        <w:rPr>
          <w:szCs w:val="22"/>
        </w:rPr>
        <w:t xml:space="preserve">Goetzler W, Guernsey M, Young J, Fuhrman J and Abdelaziz O, 2016. “The Future of Air Conditioning for Buildings”. Department of Energy, Available at: </w:t>
      </w:r>
      <w:hyperlink r:id="rId70" w:history="1">
        <w:r w:rsidRPr="00F867D0">
          <w:rPr>
            <w:rStyle w:val="Hyperlink"/>
            <w:szCs w:val="22"/>
          </w:rPr>
          <w:t>https://www.energy.gov/sites/prod/files/2016/07/f33/The%20Future%20of%20AC%20Report%20-%20Full%20Report_0.pdf</w:t>
        </w:r>
      </w:hyperlink>
      <w:r w:rsidRPr="00F867D0">
        <w:rPr>
          <w:szCs w:val="22"/>
        </w:rPr>
        <w:t>. Accessed 12 may 2018</w:t>
      </w:r>
    </w:p>
    <w:p w14:paraId="33B6DC4C" w14:textId="067CE24D" w:rsidR="00771C95" w:rsidRPr="00F867D0" w:rsidRDefault="00771C95" w:rsidP="00771C95">
      <w:pPr>
        <w:rPr>
          <w:szCs w:val="24"/>
        </w:rPr>
      </w:pPr>
      <w:r w:rsidRPr="00F867D0">
        <w:rPr>
          <w:szCs w:val="24"/>
        </w:rPr>
        <w:t>Gulf News, 2011. “District cooling: Cool discomfort”</w:t>
      </w:r>
      <w:r w:rsidR="00764B04">
        <w:rPr>
          <w:szCs w:val="24"/>
        </w:rPr>
        <w:t>.</w:t>
      </w:r>
      <w:r w:rsidRPr="00F867D0">
        <w:rPr>
          <w:szCs w:val="24"/>
        </w:rPr>
        <w:t xml:space="preserve"> </w:t>
      </w:r>
      <w:r w:rsidR="00764B04">
        <w:rPr>
          <w:szCs w:val="24"/>
        </w:rPr>
        <w:t>A</w:t>
      </w:r>
      <w:r w:rsidRPr="00F867D0">
        <w:rPr>
          <w:szCs w:val="24"/>
        </w:rPr>
        <w:t xml:space="preserve">vailable at </w:t>
      </w:r>
      <w:hyperlink r:id="rId71" w:history="1">
        <w:r w:rsidRPr="00F867D0">
          <w:rPr>
            <w:rStyle w:val="Hyperlink"/>
            <w:szCs w:val="24"/>
          </w:rPr>
          <w:t>https://gulfnews.com/news/uae/general/district-cooling-cool-discomfort-1.796929</w:t>
        </w:r>
      </w:hyperlink>
      <w:r w:rsidRPr="00F867D0">
        <w:rPr>
          <w:szCs w:val="24"/>
        </w:rPr>
        <w:t>. Accessed 12 May 2018</w:t>
      </w:r>
    </w:p>
    <w:p w14:paraId="092E1931" w14:textId="77777777" w:rsidR="00771C95" w:rsidRPr="00F867D0" w:rsidRDefault="00771C95" w:rsidP="00771C95">
      <w:pPr>
        <w:rPr>
          <w:szCs w:val="22"/>
        </w:rPr>
      </w:pPr>
      <w:r w:rsidRPr="00F867D0">
        <w:rPr>
          <w:szCs w:val="24"/>
        </w:rPr>
        <w:t xml:space="preserve">Hourahan G, Domanski </w:t>
      </w:r>
      <w:r w:rsidRPr="00F867D0">
        <w:rPr>
          <w:szCs w:val="22"/>
        </w:rPr>
        <w:t>PA and Baxter V.</w:t>
      </w:r>
      <w:r w:rsidRPr="00F867D0">
        <w:rPr>
          <w:i/>
          <w:iCs/>
          <w:szCs w:val="22"/>
        </w:rPr>
        <w:t xml:space="preserve"> </w:t>
      </w:r>
      <w:r w:rsidRPr="00F867D0">
        <w:rPr>
          <w:szCs w:val="22"/>
        </w:rPr>
        <w:t xml:space="preserve">“IEA HPP Annex 36: Quality Installation / Quality Maintenance Sensitivity Analysis”. Proceedings of 10th IEA Heat Pump Conference 2011, Tokyo, Japan. Available at </w:t>
      </w:r>
      <w:hyperlink r:id="rId72" w:history="1">
        <w:r w:rsidRPr="00F867D0">
          <w:rPr>
            <w:rStyle w:val="Hyperlink"/>
            <w:szCs w:val="22"/>
          </w:rPr>
          <w:t>https://www.nist.gov/publications/iea-hpp-annex-36-quality-installation-quality-maintenance-sensitivity-analysis</w:t>
        </w:r>
      </w:hyperlink>
      <w:r w:rsidRPr="00F867D0">
        <w:rPr>
          <w:szCs w:val="22"/>
        </w:rPr>
        <w:t>. Accessed 12 May 2018</w:t>
      </w:r>
    </w:p>
    <w:p w14:paraId="48892E83" w14:textId="77777777" w:rsidR="00771C95" w:rsidRPr="00F867D0" w:rsidRDefault="00771C95" w:rsidP="00771C95">
      <w:pPr>
        <w:rPr>
          <w:szCs w:val="22"/>
        </w:rPr>
      </w:pPr>
      <w:r w:rsidRPr="00F867D0">
        <w:rPr>
          <w:szCs w:val="24"/>
        </w:rPr>
        <w:t xml:space="preserve">Hourahan G, Domanski </w:t>
      </w:r>
      <w:r w:rsidRPr="00F867D0">
        <w:rPr>
          <w:szCs w:val="22"/>
        </w:rPr>
        <w:t>PA and Baxter V, 2015.</w:t>
      </w:r>
      <w:r w:rsidRPr="00F867D0">
        <w:rPr>
          <w:i/>
          <w:iCs/>
          <w:szCs w:val="22"/>
        </w:rPr>
        <w:t xml:space="preserve"> </w:t>
      </w:r>
      <w:r w:rsidRPr="00F867D0">
        <w:rPr>
          <w:szCs w:val="22"/>
        </w:rPr>
        <w:t>“</w:t>
      </w:r>
      <w:r w:rsidRPr="00F867D0">
        <w:t>Summary Article: IEA HPP Annex 36 Quality Installation / Quality Maintenance Sensitivity Studies</w:t>
      </w:r>
      <w:r w:rsidRPr="00F867D0">
        <w:rPr>
          <w:szCs w:val="22"/>
        </w:rPr>
        <w:t xml:space="preserve">”. Available at </w:t>
      </w:r>
      <w:hyperlink r:id="rId73" w:history="1">
        <w:r w:rsidRPr="00F867D0">
          <w:rPr>
            <w:rStyle w:val="Hyperlink"/>
            <w:szCs w:val="22"/>
          </w:rPr>
          <w:t>https://www.osti.gov/servlets/purl/1185921</w:t>
        </w:r>
      </w:hyperlink>
      <w:r w:rsidRPr="00F867D0">
        <w:rPr>
          <w:szCs w:val="22"/>
        </w:rPr>
        <w:t>. Accessed 12 May 2018</w:t>
      </w:r>
    </w:p>
    <w:p w14:paraId="52874327" w14:textId="159300D7" w:rsidR="00C361F5" w:rsidRPr="00C361F5" w:rsidRDefault="00C361F5" w:rsidP="00D07E69">
      <w:pPr>
        <w:rPr>
          <w:szCs w:val="24"/>
        </w:rPr>
      </w:pPr>
      <w:r w:rsidRPr="00F867D0">
        <w:t xml:space="preserve">IEA, 2018. </w:t>
      </w:r>
      <w:r>
        <w:t xml:space="preserve">International Energy Agency, </w:t>
      </w:r>
      <w:r w:rsidRPr="00F867D0">
        <w:t>“The Future of Cooling: Opportunities for energy-e</w:t>
      </w:r>
      <w:r>
        <w:t>fficient air conditioning”</w:t>
      </w:r>
    </w:p>
    <w:p w14:paraId="0A36620D" w14:textId="77777777" w:rsidR="00D07E69" w:rsidRPr="00F867D0" w:rsidRDefault="00D07E69" w:rsidP="00D07E69">
      <w:pPr>
        <w:rPr>
          <w:szCs w:val="22"/>
        </w:rPr>
      </w:pPr>
      <w:r w:rsidRPr="00F867D0">
        <w:rPr>
          <w:szCs w:val="22"/>
        </w:rPr>
        <w:t xml:space="preserve">IIR, 2015. “29th Informatory Note on Refrigeration Technologies, The Role of Refrigeration in the Global Economy”. International Institute of Refrigeration. Available at: </w:t>
      </w:r>
      <w:hyperlink r:id="rId74" w:history="1">
        <w:r w:rsidRPr="00F867D0">
          <w:rPr>
            <w:rStyle w:val="Hyperlink"/>
            <w:szCs w:val="22"/>
          </w:rPr>
          <w:t>http://www.iifiir.org/userfiles/file/publications/notes/NoteTech_29_EN.pdf</w:t>
        </w:r>
      </w:hyperlink>
      <w:r w:rsidRPr="00F867D0">
        <w:rPr>
          <w:szCs w:val="22"/>
        </w:rPr>
        <w:t>. Accessed 12 May 2018</w:t>
      </w:r>
    </w:p>
    <w:p w14:paraId="51CA3CE4" w14:textId="77777777" w:rsidR="00771C95" w:rsidRPr="00F867D0" w:rsidRDefault="00771C95" w:rsidP="00771C95">
      <w:pPr>
        <w:pStyle w:val="Default"/>
        <w:spacing w:after="240"/>
        <w:rPr>
          <w:rFonts w:ascii="Source Sans Pro Black" w:hAnsi="Source Sans Pro Black" w:cs="Source Sans Pro Black"/>
          <w:sz w:val="22"/>
          <w:szCs w:val="22"/>
          <w:lang w:val="en-GB"/>
        </w:rPr>
      </w:pPr>
      <w:r w:rsidRPr="00F867D0">
        <w:rPr>
          <w:sz w:val="22"/>
          <w:szCs w:val="22"/>
          <w:lang w:val="en-GB"/>
        </w:rPr>
        <w:t xml:space="preserve">IIR, 2016. “32nd Informatory Note on Refrigeration Technologies, </w:t>
      </w:r>
      <w:r w:rsidRPr="00F867D0">
        <w:rPr>
          <w:bCs/>
          <w:sz w:val="22"/>
          <w:szCs w:val="22"/>
          <w:lang w:val="en-GB"/>
        </w:rPr>
        <w:t>Harmonization of Life Cycle Climate Performance Methodology</w:t>
      </w:r>
      <w:r w:rsidRPr="00F867D0">
        <w:rPr>
          <w:sz w:val="22"/>
          <w:szCs w:val="22"/>
          <w:lang w:val="en-GB"/>
        </w:rPr>
        <w:t xml:space="preserve">. Available at: </w:t>
      </w:r>
      <w:hyperlink r:id="rId75" w:history="1">
        <w:r w:rsidRPr="00F867D0">
          <w:rPr>
            <w:rStyle w:val="Hyperlink"/>
            <w:sz w:val="22"/>
            <w:szCs w:val="22"/>
            <w:lang w:val="en-GB"/>
          </w:rPr>
          <w:t>http://iifiir.org/userfiles/file/publications/notes/NoteTech_32_EN.pdf</w:t>
        </w:r>
      </w:hyperlink>
      <w:r w:rsidRPr="00F867D0">
        <w:rPr>
          <w:sz w:val="22"/>
          <w:szCs w:val="22"/>
          <w:lang w:val="en-GB"/>
        </w:rPr>
        <w:t>. Accessed 13 May 2018</w:t>
      </w:r>
    </w:p>
    <w:p w14:paraId="440411C6" w14:textId="77777777" w:rsidR="00771C95" w:rsidRPr="00F867D0" w:rsidRDefault="00771C95" w:rsidP="00771C95">
      <w:pPr>
        <w:rPr>
          <w:color w:val="222222"/>
          <w:szCs w:val="22"/>
          <w:shd w:val="clear" w:color="auto" w:fill="FFFFFF"/>
        </w:rPr>
      </w:pPr>
      <w:r w:rsidRPr="00F867D0">
        <w:rPr>
          <w:szCs w:val="22"/>
        </w:rPr>
        <w:t>IPCC, 2013. “Climate Change - The Physical Science Basis, Working Group I Contribution to the Fifth Assessment Report of the Intergovernmental Panel on Climate Change”. Available at:</w:t>
      </w:r>
      <w:r w:rsidRPr="00F867D0">
        <w:t xml:space="preserve"> </w:t>
      </w:r>
      <w:hyperlink r:id="rId76" w:history="1">
        <w:r w:rsidRPr="00F867D0">
          <w:rPr>
            <w:rStyle w:val="Hyperlink"/>
            <w:szCs w:val="22"/>
          </w:rPr>
          <w:t>http://ipcc.ch/report/ar5/wg1/</w:t>
        </w:r>
      </w:hyperlink>
      <w:r w:rsidRPr="00F867D0">
        <w:rPr>
          <w:szCs w:val="22"/>
        </w:rPr>
        <w:t>. Accessed 12 May 2018</w:t>
      </w:r>
    </w:p>
    <w:p w14:paraId="22DF2206" w14:textId="77777777" w:rsidR="00D07E69" w:rsidRPr="00F867D0" w:rsidRDefault="00D07E69" w:rsidP="00D07E69">
      <w:pPr>
        <w:rPr>
          <w:szCs w:val="24"/>
        </w:rPr>
      </w:pPr>
      <w:r w:rsidRPr="00F867D0">
        <w:rPr>
          <w:color w:val="333333"/>
          <w:szCs w:val="22"/>
        </w:rPr>
        <w:t xml:space="preserve">ISO, 2013. ISO 16358, “Air-cooled air conditioners and air-to-air heat pumps -- Testing and calculating methods for seasonal performance factors”, </w:t>
      </w:r>
      <w:r w:rsidRPr="00F867D0">
        <w:rPr>
          <w:szCs w:val="24"/>
        </w:rPr>
        <w:t>Committee ISO/TC 86/SC 6, Edition 1, Publication date 2013-04, ICS 23.120, 27.080</w:t>
      </w:r>
    </w:p>
    <w:p w14:paraId="6B2AA2F5" w14:textId="77777777" w:rsidR="00771C95" w:rsidRPr="00F867D0" w:rsidRDefault="00771C95" w:rsidP="00771C95">
      <w:pPr>
        <w:rPr>
          <w:szCs w:val="24"/>
        </w:rPr>
      </w:pPr>
      <w:r w:rsidRPr="00F867D0">
        <w:rPr>
          <w:szCs w:val="24"/>
        </w:rPr>
        <w:t>ISO, 2017. ISO 5151, "Non-ducted air conditioners and heat pumps — Testing and rating for performance", Committee ISO/TC 86/SC 6, Edition 3, Publication date 2017-07, ICS 23.120, 27.080</w:t>
      </w:r>
    </w:p>
    <w:p w14:paraId="564813B2" w14:textId="77777777" w:rsidR="00771C95" w:rsidRPr="00F867D0" w:rsidRDefault="00771C95" w:rsidP="00771C95">
      <w:pPr>
        <w:rPr>
          <w:szCs w:val="24"/>
        </w:rPr>
      </w:pPr>
      <w:r w:rsidRPr="00F867D0">
        <w:rPr>
          <w:szCs w:val="24"/>
        </w:rPr>
        <w:t>Jordan Times, 2018. “</w:t>
      </w:r>
      <w:r w:rsidRPr="00F867D0">
        <w:rPr>
          <w:rFonts w:ascii="accufont" w:hAnsi="accufont"/>
          <w:color w:val="333333"/>
        </w:rPr>
        <w:t>First energy efficient refrigeration system unveiled at military supermarket</w:t>
      </w:r>
      <w:r w:rsidRPr="00F867D0">
        <w:rPr>
          <w:szCs w:val="24"/>
        </w:rPr>
        <w:t xml:space="preserve">”. Available at: </w:t>
      </w:r>
      <w:hyperlink r:id="rId77" w:history="1">
        <w:r w:rsidRPr="00F867D0">
          <w:rPr>
            <w:rStyle w:val="Hyperlink"/>
            <w:szCs w:val="24"/>
          </w:rPr>
          <w:t>http://www.jordantimes.com/news/local/first-energy-efficient-refrigeration-system-unveiled-military-supermarket</w:t>
        </w:r>
      </w:hyperlink>
      <w:r w:rsidRPr="00F867D0">
        <w:rPr>
          <w:szCs w:val="24"/>
        </w:rPr>
        <w:t>. Accessed 12 May 2018</w:t>
      </w:r>
    </w:p>
    <w:p w14:paraId="26286689" w14:textId="77777777" w:rsidR="00771C95" w:rsidRPr="00F867D0" w:rsidRDefault="00771C95" w:rsidP="00771C95">
      <w:pPr>
        <w:rPr>
          <w:szCs w:val="24"/>
        </w:rPr>
      </w:pPr>
      <w:r w:rsidRPr="00F867D0">
        <w:rPr>
          <w:szCs w:val="24"/>
        </w:rPr>
        <w:t xml:space="preserve">K-CEP, 2016. Kigali Cooling Efficiency Program Knowledge Brief: “Optimization, monitoring, and maintenance of cooling technology”. Available at: </w:t>
      </w:r>
      <w:hyperlink r:id="rId78" w:history="1">
        <w:r w:rsidRPr="00F867D0">
          <w:rPr>
            <w:rStyle w:val="Hyperlink"/>
            <w:szCs w:val="24"/>
          </w:rPr>
          <w:t>http://k-cep.org/wp-content/uploads/2018/03/Optimization-Monitoring-Maintenance-of-Cooling-Technology-v2-subhead....pdf</w:t>
        </w:r>
      </w:hyperlink>
      <w:r w:rsidRPr="00F867D0">
        <w:rPr>
          <w:szCs w:val="24"/>
        </w:rPr>
        <w:t>. Accessed 12 May 2018</w:t>
      </w:r>
    </w:p>
    <w:p w14:paraId="76F26B8F" w14:textId="77777777" w:rsidR="00771C95" w:rsidRPr="00F867D0" w:rsidRDefault="00771C95" w:rsidP="00771C95">
      <w:pPr>
        <w:rPr>
          <w:szCs w:val="24"/>
        </w:rPr>
      </w:pPr>
      <w:r w:rsidRPr="00F867D0">
        <w:rPr>
          <w:szCs w:val="24"/>
        </w:rPr>
        <w:t xml:space="preserve">Klee D and Gigot G, 2011. “Seven Steps to Maximizing Central Plant Efficiency”.  Johnson Controls. Available at: </w:t>
      </w:r>
      <w:hyperlink r:id="rId79" w:history="1">
        <w:r w:rsidRPr="00F867D0">
          <w:rPr>
            <w:rStyle w:val="Hyperlink"/>
            <w:szCs w:val="24"/>
          </w:rPr>
          <w:t>http://seedengr.com/Seven%20Steps%20to%20Maximize%20Central%20Plant%20Efficiency.pdf</w:t>
        </w:r>
      </w:hyperlink>
      <w:r w:rsidRPr="00F867D0">
        <w:rPr>
          <w:szCs w:val="24"/>
        </w:rPr>
        <w:t>. Accessed 12 May 2018</w:t>
      </w:r>
    </w:p>
    <w:p w14:paraId="4D154C54" w14:textId="77777777" w:rsidR="00771C95" w:rsidRPr="00F867D0" w:rsidRDefault="00771C95" w:rsidP="00771C95">
      <w:pPr>
        <w:rPr>
          <w:rStyle w:val="Hyperlink"/>
          <w:rFonts w:ascii="Times-Roman" w:hAnsi="Times-Roman" w:cs="Times-Roman"/>
          <w:sz w:val="24"/>
          <w:szCs w:val="24"/>
          <w:lang w:eastAsia="en-US"/>
        </w:rPr>
      </w:pPr>
      <w:r w:rsidRPr="00F867D0">
        <w:rPr>
          <w:szCs w:val="24"/>
        </w:rPr>
        <w:t>Kuijpers LJM, Kochova N and Vonsild AL. “Low-GWP Conversion: an Energy Efficiency Issue?”, Presented at 13</w:t>
      </w:r>
      <w:r w:rsidRPr="00F867D0">
        <w:rPr>
          <w:szCs w:val="24"/>
          <w:vertAlign w:val="superscript"/>
        </w:rPr>
        <w:t>th</w:t>
      </w:r>
      <w:r w:rsidRPr="00F867D0">
        <w:rPr>
          <w:szCs w:val="24"/>
        </w:rPr>
        <w:t xml:space="preserve"> IIR Gustav Lorentzen Conference, Valencia, Spain, June 2018. doi: </w:t>
      </w:r>
      <w:hyperlink r:id="rId80" w:history="1">
        <w:r w:rsidRPr="00F867D0">
          <w:rPr>
            <w:rStyle w:val="Hyperlink"/>
            <w:szCs w:val="24"/>
          </w:rPr>
          <w:t>https://</w:t>
        </w:r>
        <w:r w:rsidRPr="00F867D0">
          <w:rPr>
            <w:rStyle w:val="Hyperlink"/>
            <w:rFonts w:ascii="Times-Roman" w:hAnsi="Times-Roman" w:cs="Times-Roman"/>
            <w:sz w:val="24"/>
            <w:szCs w:val="24"/>
            <w:lang w:eastAsia="en-US"/>
          </w:rPr>
          <w:t>10.18462/iir.gl.2018.1369</w:t>
        </w:r>
      </w:hyperlink>
    </w:p>
    <w:p w14:paraId="451E0443" w14:textId="3F1512BD" w:rsidR="00771C95" w:rsidRPr="00F867D0" w:rsidRDefault="00771C95" w:rsidP="00385D9F">
      <w:pPr>
        <w:rPr>
          <w:szCs w:val="24"/>
        </w:rPr>
      </w:pPr>
      <w:r w:rsidRPr="005969A3">
        <w:rPr>
          <w:szCs w:val="24"/>
        </w:rPr>
        <w:t>Kuwait Times, 2018</w:t>
      </w:r>
      <w:r w:rsidRPr="00F867D0">
        <w:rPr>
          <w:szCs w:val="24"/>
        </w:rPr>
        <w:t>. “</w:t>
      </w:r>
      <w:r w:rsidRPr="00F867D0">
        <w:rPr>
          <w:color w:val="393939"/>
        </w:rPr>
        <w:t>Air-conditioners consume bulk of power in Kuwait: Minister</w:t>
      </w:r>
      <w:r w:rsidRPr="00F867D0">
        <w:rPr>
          <w:szCs w:val="24"/>
        </w:rPr>
        <w:t>”</w:t>
      </w:r>
      <w:r w:rsidR="00385D9F">
        <w:rPr>
          <w:szCs w:val="24"/>
        </w:rPr>
        <w:t>. A</w:t>
      </w:r>
      <w:r w:rsidRPr="00F867D0">
        <w:rPr>
          <w:szCs w:val="24"/>
        </w:rPr>
        <w:t xml:space="preserve">vailable at </w:t>
      </w:r>
      <w:hyperlink r:id="rId81" w:history="1">
        <w:r w:rsidRPr="00F867D0">
          <w:rPr>
            <w:rStyle w:val="Hyperlink"/>
            <w:szCs w:val="24"/>
          </w:rPr>
          <w:t>http://news.kuwaittimes.net/website/air-conditioners-consume-bulk-power-kuwait-minister/</w:t>
        </w:r>
      </w:hyperlink>
      <w:r w:rsidRPr="00F867D0">
        <w:rPr>
          <w:szCs w:val="24"/>
        </w:rPr>
        <w:t>. Accessed 12 May 2018</w:t>
      </w:r>
    </w:p>
    <w:p w14:paraId="2B965EB3" w14:textId="77777777" w:rsidR="00771C95" w:rsidRDefault="00771C95" w:rsidP="00771C95">
      <w:pPr>
        <w:widowControl w:val="0"/>
        <w:rPr>
          <w:szCs w:val="24"/>
        </w:rPr>
      </w:pPr>
      <w:r w:rsidRPr="00F867D0">
        <w:rPr>
          <w:szCs w:val="24"/>
        </w:rPr>
        <w:t>Li T. “Performance of R290 RAC and Risk Assessments”. Presented at 4th Symposium of Alternative Refrigerants in High-Ambient Countries; Risk Assessment of Future Refrigerants. Dubai, UAE October 2014</w:t>
      </w:r>
    </w:p>
    <w:p w14:paraId="52793988" w14:textId="45A66C48" w:rsidR="002C5E4A" w:rsidRDefault="002C5E4A" w:rsidP="00771C95">
      <w:pPr>
        <w:widowControl w:val="0"/>
        <w:rPr>
          <w:szCs w:val="24"/>
        </w:rPr>
      </w:pPr>
      <w:r>
        <w:rPr>
          <w:szCs w:val="24"/>
        </w:rPr>
        <w:t>Li T, 2018. Private communication</w:t>
      </w:r>
    </w:p>
    <w:p w14:paraId="267CC39D" w14:textId="3BF07342" w:rsidR="00385D9F" w:rsidRDefault="002C5E4A" w:rsidP="00771C95">
      <w:pPr>
        <w:rPr>
          <w:color w:val="222222"/>
          <w:szCs w:val="22"/>
          <w:shd w:val="clear" w:color="auto" w:fill="FFFFFF"/>
        </w:rPr>
      </w:pPr>
      <w:r w:rsidRPr="00F867D0">
        <w:rPr>
          <w:color w:val="222222"/>
          <w:szCs w:val="22"/>
          <w:shd w:val="clear" w:color="auto" w:fill="FFFFFF"/>
        </w:rPr>
        <w:t>Lin J and Rosenquist G. "Stay cool with less work: China's new energy-efficiency standards for air conditioners"</w:t>
      </w:r>
      <w:r>
        <w:rPr>
          <w:color w:val="222222"/>
          <w:szCs w:val="22"/>
          <w:shd w:val="clear" w:color="auto" w:fill="FFFFFF"/>
        </w:rPr>
        <w:t>,</w:t>
      </w:r>
      <w:r w:rsidRPr="00F867D0">
        <w:rPr>
          <w:color w:val="222222"/>
          <w:szCs w:val="22"/>
          <w:shd w:val="clear" w:color="auto" w:fill="FFFFFF"/>
        </w:rPr>
        <w:t> </w:t>
      </w:r>
      <w:r w:rsidRPr="00F867D0">
        <w:rPr>
          <w:i/>
          <w:iCs/>
          <w:color w:val="222222"/>
          <w:szCs w:val="22"/>
          <w:shd w:val="clear" w:color="auto" w:fill="FFFFFF"/>
        </w:rPr>
        <w:t>Energy Policy</w:t>
      </w:r>
      <w:r w:rsidRPr="00F867D0">
        <w:rPr>
          <w:color w:val="222222"/>
          <w:szCs w:val="22"/>
          <w:shd w:val="clear" w:color="auto" w:fill="FFFFFF"/>
        </w:rPr>
        <w:t xml:space="preserve"> 2008;36.3:1090-1095. doi: </w:t>
      </w:r>
      <w:hyperlink r:id="rId82" w:history="1">
        <w:r w:rsidR="00385D9F" w:rsidRPr="00851DBE">
          <w:rPr>
            <w:rStyle w:val="Hyperlink"/>
            <w:szCs w:val="22"/>
            <w:shd w:val="clear" w:color="auto" w:fill="FFFFFF"/>
          </w:rPr>
          <w:t>https://doi.org/10.1016/j.enpol.2007.11.019. Accessed 12 May 2018</w:t>
        </w:r>
      </w:hyperlink>
    </w:p>
    <w:p w14:paraId="3839BB7B" w14:textId="1B69278B" w:rsidR="00771C95" w:rsidRPr="00F867D0" w:rsidRDefault="00771C95" w:rsidP="00771C95">
      <w:pPr>
        <w:rPr>
          <w:szCs w:val="22"/>
        </w:rPr>
      </w:pPr>
      <w:r w:rsidRPr="00F867D0">
        <w:rPr>
          <w:szCs w:val="22"/>
        </w:rPr>
        <w:t xml:space="preserve">Majurin J, Sorenson E, Steinke D and Herried M, 2017. “Chemical Stability Assessments of R-514A and R-1233zd(E)”. ASHRAE (LV-17-C086), available at: </w:t>
      </w:r>
      <w:hyperlink r:id="rId83" w:anchor="jumps" w:history="1">
        <w:r w:rsidRPr="00F867D0">
          <w:rPr>
            <w:rStyle w:val="Hyperlink"/>
            <w:szCs w:val="22"/>
          </w:rPr>
          <w:t>https://www.techstreet.com/standards/lv-17-c086-chemical-stability-assessments-of-r-514a-and-r-1233zd-e?product_id=1944988#jumps</w:t>
        </w:r>
      </w:hyperlink>
      <w:r w:rsidRPr="00F867D0">
        <w:rPr>
          <w:szCs w:val="22"/>
        </w:rPr>
        <w:t>. Accessed 13 May 2018</w:t>
      </w:r>
    </w:p>
    <w:p w14:paraId="340D3EA5" w14:textId="0CC9F0DC" w:rsidR="00A331D1" w:rsidRDefault="00A331D1" w:rsidP="00771C95">
      <w:pPr>
        <w:rPr>
          <w:szCs w:val="24"/>
        </w:rPr>
      </w:pPr>
      <w:r w:rsidRPr="000822E8">
        <w:rPr>
          <w:lang w:val="en-US"/>
        </w:rPr>
        <w:t>McLinden</w:t>
      </w:r>
      <w:r>
        <w:rPr>
          <w:lang w:val="en-US"/>
        </w:rPr>
        <w:t xml:space="preserve"> MO</w:t>
      </w:r>
      <w:r w:rsidRPr="000822E8">
        <w:rPr>
          <w:lang w:val="en-US"/>
        </w:rPr>
        <w:t>, Brown</w:t>
      </w:r>
      <w:r>
        <w:rPr>
          <w:lang w:val="en-US"/>
        </w:rPr>
        <w:t xml:space="preserve"> SJ</w:t>
      </w:r>
      <w:r w:rsidRPr="000822E8">
        <w:rPr>
          <w:lang w:val="en-US"/>
        </w:rPr>
        <w:t>, Brignoli</w:t>
      </w:r>
      <w:r>
        <w:rPr>
          <w:lang w:val="en-US"/>
        </w:rPr>
        <w:t xml:space="preserve"> R</w:t>
      </w:r>
      <w:r w:rsidRPr="000822E8">
        <w:rPr>
          <w:lang w:val="en-US"/>
        </w:rPr>
        <w:t>, Kazakov</w:t>
      </w:r>
      <w:r>
        <w:rPr>
          <w:lang w:val="en-US"/>
        </w:rPr>
        <w:t xml:space="preserve"> AF and</w:t>
      </w:r>
      <w:r w:rsidRPr="000822E8">
        <w:rPr>
          <w:lang w:val="en-US"/>
        </w:rPr>
        <w:t xml:space="preserve"> Domanski</w:t>
      </w:r>
      <w:r>
        <w:rPr>
          <w:lang w:val="en-US"/>
        </w:rPr>
        <w:t xml:space="preserve"> PA</w:t>
      </w:r>
      <w:r w:rsidRPr="000822E8">
        <w:rPr>
          <w:lang w:val="en-US"/>
        </w:rPr>
        <w:t>, “Limited options for low-global-warming-potential refrigerants”, Nature Communications 8, Article number: 14476 (2017)</w:t>
      </w:r>
      <w:r>
        <w:rPr>
          <w:lang w:val="en-US"/>
        </w:rPr>
        <w:t xml:space="preserve">. </w:t>
      </w:r>
      <w:r w:rsidRPr="00385D9F">
        <w:rPr>
          <w:color w:val="3333FF"/>
          <w:u w:val="single"/>
          <w:lang w:val="en-US"/>
        </w:rPr>
        <w:t>doi:</w:t>
      </w:r>
      <w:r w:rsidRPr="00385D9F">
        <w:rPr>
          <w:color w:val="3333FF"/>
          <w:lang w:val="en-US"/>
        </w:rPr>
        <w:t xml:space="preserve"> </w:t>
      </w:r>
      <w:r w:rsidRPr="00385D9F">
        <w:rPr>
          <w:color w:val="3333FF"/>
          <w:u w:val="single"/>
          <w:lang w:val="en-US"/>
        </w:rPr>
        <w:t>10.1038/ncomms14476</w:t>
      </w:r>
      <w:r>
        <w:rPr>
          <w:lang w:val="en-US"/>
        </w:rPr>
        <w:t>. Accessed 19 May 2018</w:t>
      </w:r>
    </w:p>
    <w:p w14:paraId="19DA2624" w14:textId="77777777" w:rsidR="00771C95" w:rsidRDefault="00771C95" w:rsidP="00771C95">
      <w:pPr>
        <w:rPr>
          <w:szCs w:val="24"/>
        </w:rPr>
      </w:pPr>
      <w:r w:rsidRPr="00F867D0">
        <w:rPr>
          <w:szCs w:val="24"/>
        </w:rPr>
        <w:t xml:space="preserve">Montgomery RD and Baker R. “Study Verifies Coil Cleaning Savings Energy”. </w:t>
      </w:r>
      <w:r w:rsidRPr="00F867D0">
        <w:rPr>
          <w:i/>
          <w:szCs w:val="24"/>
        </w:rPr>
        <w:t>ASHRAE Journal</w:t>
      </w:r>
      <w:r w:rsidRPr="00F867D0">
        <w:rPr>
          <w:szCs w:val="24"/>
        </w:rPr>
        <w:t xml:space="preserve">, 2006;48(11):34-36 </w:t>
      </w:r>
    </w:p>
    <w:p w14:paraId="0FD298E4" w14:textId="66BF3851" w:rsidR="007A308B" w:rsidRDefault="009D5977" w:rsidP="00771C95">
      <w:r w:rsidRPr="005969A3">
        <w:rPr>
          <w:szCs w:val="22"/>
        </w:rPr>
        <w:t>Mota-Babiloni</w:t>
      </w:r>
      <w:r w:rsidRPr="005969A3">
        <w:t xml:space="preserve"> A, Navarro-Esbrì J, Makhnatch P and Molés F. “</w:t>
      </w:r>
      <w:r w:rsidRPr="005969A3">
        <w:rPr>
          <w:rStyle w:val="title-text"/>
          <w:bCs/>
          <w:color w:val="505050"/>
          <w:szCs w:val="22"/>
        </w:rPr>
        <w:t>Refrigerant R32 as lower GWP working fluid in residential</w:t>
      </w:r>
      <w:r w:rsidRPr="00031D16">
        <w:rPr>
          <w:rStyle w:val="title-text"/>
          <w:bCs/>
          <w:color w:val="505050"/>
          <w:szCs w:val="22"/>
        </w:rPr>
        <w:t xml:space="preserve"> air conditioning systems in Europe and the USA</w:t>
      </w:r>
      <w:r w:rsidRPr="009D5977">
        <w:rPr>
          <w:rStyle w:val="title-text"/>
          <w:bCs/>
          <w:color w:val="505050"/>
        </w:rPr>
        <w:t xml:space="preserve">”.  </w:t>
      </w:r>
      <w:r w:rsidRPr="00031D16">
        <w:rPr>
          <w:rStyle w:val="title-text"/>
          <w:bCs/>
          <w:i/>
          <w:color w:val="505050"/>
        </w:rPr>
        <w:t>Renewable and Sustainable Energy Review</w:t>
      </w:r>
      <w:r w:rsidR="003B44F2">
        <w:rPr>
          <w:rStyle w:val="title-text"/>
          <w:bCs/>
          <w:i/>
          <w:color w:val="505050"/>
        </w:rPr>
        <w:t>s</w:t>
      </w:r>
      <w:r>
        <w:rPr>
          <w:rStyle w:val="title-text"/>
          <w:bCs/>
          <w:color w:val="505050"/>
        </w:rPr>
        <w:t xml:space="preserve"> </w:t>
      </w:r>
      <w:r w:rsidRPr="00F867D0">
        <w:rPr>
          <w:color w:val="222222"/>
          <w:shd w:val="clear" w:color="auto" w:fill="FFFFFF"/>
        </w:rPr>
        <w:t>20</w:t>
      </w:r>
      <w:r>
        <w:rPr>
          <w:color w:val="222222"/>
          <w:shd w:val="clear" w:color="auto" w:fill="FFFFFF"/>
        </w:rPr>
        <w:t>17</w:t>
      </w:r>
      <w:r w:rsidRPr="00F867D0">
        <w:rPr>
          <w:color w:val="222222"/>
          <w:shd w:val="clear" w:color="auto" w:fill="FFFFFF"/>
        </w:rPr>
        <w:t>;</w:t>
      </w:r>
      <w:r>
        <w:rPr>
          <w:color w:val="222222"/>
          <w:shd w:val="clear" w:color="auto" w:fill="FFFFFF"/>
        </w:rPr>
        <w:t>80</w:t>
      </w:r>
      <w:r w:rsidRPr="00F867D0">
        <w:rPr>
          <w:color w:val="222222"/>
          <w:shd w:val="clear" w:color="auto" w:fill="FFFFFF"/>
        </w:rPr>
        <w:t>:10</w:t>
      </w:r>
      <w:r>
        <w:rPr>
          <w:color w:val="222222"/>
          <w:shd w:val="clear" w:color="auto" w:fill="FFFFFF"/>
        </w:rPr>
        <w:t>31</w:t>
      </w:r>
      <w:r w:rsidRPr="00F867D0">
        <w:rPr>
          <w:color w:val="222222"/>
          <w:shd w:val="clear" w:color="auto" w:fill="FFFFFF"/>
        </w:rPr>
        <w:t>-10</w:t>
      </w:r>
      <w:r>
        <w:rPr>
          <w:color w:val="222222"/>
          <w:shd w:val="clear" w:color="auto" w:fill="FFFFFF"/>
        </w:rPr>
        <w:t>42</w:t>
      </w:r>
      <w:r w:rsidRPr="009D5977">
        <w:rPr>
          <w:rStyle w:val="title-text"/>
          <w:bCs/>
          <w:color w:val="505050"/>
        </w:rPr>
        <w:t>.</w:t>
      </w:r>
      <w:r>
        <w:rPr>
          <w:rStyle w:val="title-text"/>
          <w:bCs/>
          <w:color w:val="505050"/>
        </w:rPr>
        <w:t xml:space="preserve"> </w:t>
      </w:r>
      <w:r w:rsidRPr="009D5977">
        <w:rPr>
          <w:rStyle w:val="title-text"/>
          <w:bCs/>
          <w:color w:val="505050"/>
        </w:rPr>
        <w:t xml:space="preserve">doi: </w:t>
      </w:r>
      <w:hyperlink r:id="rId84" w:history="1">
        <w:r w:rsidR="007A308B" w:rsidRPr="0005419A">
          <w:rPr>
            <w:rStyle w:val="Hyperlink"/>
          </w:rPr>
          <w:t>https://doi.org/10.1016/j.rser.2017.05.216. Accessed 19 May 2018</w:t>
        </w:r>
      </w:hyperlink>
    </w:p>
    <w:p w14:paraId="4D7AC374" w14:textId="3276BA37" w:rsidR="00EE145D" w:rsidRDefault="00EE145D" w:rsidP="00771C95">
      <w:pPr>
        <w:rPr>
          <w:szCs w:val="24"/>
        </w:rPr>
      </w:pPr>
      <w:r>
        <w:rPr>
          <w:szCs w:val="24"/>
        </w:rPr>
        <w:t>Okada T, 2018. Private communication</w:t>
      </w:r>
    </w:p>
    <w:p w14:paraId="60F5FF5A" w14:textId="77777777" w:rsidR="00771C95" w:rsidRPr="00F867D0" w:rsidRDefault="00771C95" w:rsidP="00771C95">
      <w:pPr>
        <w:rPr>
          <w:szCs w:val="24"/>
        </w:rPr>
      </w:pPr>
      <w:r w:rsidRPr="00F867D0">
        <w:rPr>
          <w:szCs w:val="24"/>
        </w:rPr>
        <w:t xml:space="preserve">ORNL, 1996. “ORNL Heat Pump Design Model – Description of Heat Pump Specification Data”, available at: </w:t>
      </w:r>
      <w:hyperlink r:id="rId85" w:history="1">
        <w:r w:rsidRPr="00F867D0">
          <w:rPr>
            <w:rStyle w:val="Hyperlink"/>
            <w:szCs w:val="24"/>
          </w:rPr>
          <w:t>https://web.ornl.gov/~doehpdm/hpdm/MarkV_95D_Input_Data_Guide.pdf</w:t>
        </w:r>
      </w:hyperlink>
      <w:r w:rsidRPr="00F867D0">
        <w:rPr>
          <w:szCs w:val="24"/>
        </w:rPr>
        <w:t>. Accessed 13 May 2018</w:t>
      </w:r>
    </w:p>
    <w:p w14:paraId="31FDBAF1" w14:textId="189071DE" w:rsidR="00D07E69" w:rsidRPr="00F867D0" w:rsidRDefault="00D07E69" w:rsidP="00D07E69">
      <w:pPr>
        <w:autoSpaceDE w:val="0"/>
        <w:autoSpaceDN w:val="0"/>
        <w:adjustRightInd w:val="0"/>
        <w:rPr>
          <w:szCs w:val="22"/>
        </w:rPr>
      </w:pPr>
      <w:r w:rsidRPr="00F867D0">
        <w:rPr>
          <w:szCs w:val="22"/>
        </w:rPr>
        <w:t xml:space="preserve">PRAHA, 2016. </w:t>
      </w:r>
      <w:r w:rsidRPr="00F867D0">
        <w:rPr>
          <w:color w:val="auto"/>
          <w:szCs w:val="22"/>
        </w:rPr>
        <w:t>“</w:t>
      </w:r>
      <w:r w:rsidRPr="00F867D0">
        <w:rPr>
          <w:bCs/>
          <w:color w:val="auto"/>
          <w:szCs w:val="22"/>
          <w:lang w:eastAsia="en-US"/>
        </w:rPr>
        <w:t>Promoting Low-GWP Refrigerants for Air-Conditioning Sectors in High-Ambient Temperature Countries (PRAHA)</w:t>
      </w:r>
      <w:r w:rsidRPr="00F867D0">
        <w:rPr>
          <w:color w:val="auto"/>
          <w:szCs w:val="22"/>
        </w:rPr>
        <w:t xml:space="preserve">”. Project </w:t>
      </w:r>
      <w:r w:rsidRPr="00F867D0">
        <w:rPr>
          <w:color w:val="auto"/>
          <w:szCs w:val="22"/>
          <w:lang w:eastAsia="en-US"/>
        </w:rPr>
        <w:t xml:space="preserve">ASP/REF/69/DEM/56 &amp; ASP/REF/69/DEM/56 </w:t>
      </w:r>
      <w:r w:rsidRPr="00F867D0">
        <w:rPr>
          <w:color w:val="auto"/>
          <w:szCs w:val="22"/>
        </w:rPr>
        <w:t xml:space="preserve">Report. Available at: </w:t>
      </w:r>
      <w:hyperlink r:id="rId86" w:history="1">
        <w:r w:rsidRPr="00F867D0">
          <w:rPr>
            <w:color w:val="0000FF"/>
            <w:szCs w:val="22"/>
            <w:u w:val="single"/>
          </w:rPr>
          <w:t>http://multilateralfund.org/Our%20Work/DemonProject/Document%20Library/7610p2%20-%20PRAHA.pdf</w:t>
        </w:r>
      </w:hyperlink>
      <w:r w:rsidRPr="00F867D0">
        <w:rPr>
          <w:szCs w:val="22"/>
        </w:rPr>
        <w:t>. Accessed 13 May 2018</w:t>
      </w:r>
    </w:p>
    <w:p w14:paraId="2BAD7710" w14:textId="36A17ADD" w:rsidR="007979AE" w:rsidRDefault="007979AE" w:rsidP="00771C95">
      <w:pPr>
        <w:rPr>
          <w:szCs w:val="22"/>
        </w:rPr>
      </w:pPr>
      <w:r>
        <w:rPr>
          <w:szCs w:val="22"/>
        </w:rPr>
        <w:t xml:space="preserve">PRAHA2, 2017. “Finding Climate Friendly Ways to Cool Down”. Available at: </w:t>
      </w:r>
      <w:hyperlink r:id="rId87" w:history="1">
        <w:r w:rsidR="008115B8" w:rsidRPr="00950911">
          <w:rPr>
            <w:rStyle w:val="Hyperlink"/>
            <w:szCs w:val="22"/>
          </w:rPr>
          <w:t>https://www.unido.org/sites/default/files/2017-07/UNIDO_leaflet_10_Praha_170228-2_0.pdf. Accessed 19 May 2018</w:t>
        </w:r>
      </w:hyperlink>
    </w:p>
    <w:p w14:paraId="7041409C" w14:textId="77777777" w:rsidR="007A308B" w:rsidRDefault="008115B8" w:rsidP="00771C95">
      <w:pPr>
        <w:rPr>
          <w:szCs w:val="22"/>
        </w:rPr>
      </w:pPr>
      <w:r>
        <w:rPr>
          <w:szCs w:val="22"/>
        </w:rPr>
        <w:t>REFPROP, 2013. Lemmon EW, Huber ML and McLinden MO. NIST Standard Reference Database 23. Version 9.1</w:t>
      </w:r>
    </w:p>
    <w:p w14:paraId="58521C73" w14:textId="630C7715" w:rsidR="00771C95" w:rsidRPr="00F867D0" w:rsidRDefault="00771C95" w:rsidP="00771C95">
      <w:pPr>
        <w:rPr>
          <w:szCs w:val="22"/>
        </w:rPr>
      </w:pPr>
      <w:r w:rsidRPr="00F867D0">
        <w:rPr>
          <w:szCs w:val="22"/>
        </w:rPr>
        <w:t>Schwarz W, Leisewitz A, Gschrey B, Herold A, Gores S, Papst I, Usinger J, Colbourne D, Kauffeld M, Pedersen PH and Croiset I, 2013. “Preparatory study for a review of Regulation (EC) No 842/2006 on certain fluorinated greenhouse gases”</w:t>
      </w:r>
      <w:r w:rsidR="000C52B6">
        <w:rPr>
          <w:szCs w:val="22"/>
        </w:rPr>
        <w:t>.</w:t>
      </w:r>
      <w:r w:rsidRPr="00F867D0">
        <w:rPr>
          <w:szCs w:val="22"/>
        </w:rPr>
        <w:t xml:space="preserve"> Annexes to the Final Report Prepared for the European Commission in the context of Service Contract No 070307/2009/548866/SER/C4</w:t>
      </w:r>
    </w:p>
    <w:p w14:paraId="49CF5F7D" w14:textId="77777777" w:rsidR="00771C95" w:rsidRPr="00F867D0" w:rsidRDefault="00771C95" w:rsidP="00771C95">
      <w:pPr>
        <w:rPr>
          <w:szCs w:val="24"/>
        </w:rPr>
      </w:pPr>
      <w:r w:rsidRPr="00F867D0">
        <w:rPr>
          <w:szCs w:val="24"/>
        </w:rPr>
        <w:t>Shah N, Abhyankar N, Park WY, Phadke A, Diddi S, Ahuja D, Mukherjee PK and Walia A, 2016. “</w:t>
      </w:r>
      <w:r w:rsidRPr="00F867D0">
        <w:t>Cost-Benefit of Improving the Efficiency of Room Air Conditioners (Inverter and Fixed Speed) in India</w:t>
      </w:r>
      <w:r w:rsidRPr="00F867D0">
        <w:rPr>
          <w:szCs w:val="24"/>
        </w:rPr>
        <w:t xml:space="preserve">”. Lawrence Berkeley National Laboratory. Available at: </w:t>
      </w:r>
      <w:hyperlink r:id="rId88" w:history="1">
        <w:r w:rsidRPr="00F867D0">
          <w:rPr>
            <w:rStyle w:val="Hyperlink"/>
            <w:szCs w:val="24"/>
          </w:rPr>
          <w:t>https://cloudfront.escholarship.org/dist/prd/content/qt2v6646cf/qt2v6646cf.pdf</w:t>
        </w:r>
      </w:hyperlink>
      <w:r w:rsidRPr="00F867D0">
        <w:rPr>
          <w:szCs w:val="24"/>
        </w:rPr>
        <w:t>. Accessed 12 May 2018</w:t>
      </w:r>
    </w:p>
    <w:p w14:paraId="338F21C4" w14:textId="77777777" w:rsidR="00771C95" w:rsidRPr="00F867D0" w:rsidRDefault="00771C95" w:rsidP="00771C95">
      <w:pPr>
        <w:rPr>
          <w:szCs w:val="24"/>
        </w:rPr>
      </w:pPr>
      <w:r w:rsidRPr="00F867D0">
        <w:rPr>
          <w:szCs w:val="24"/>
        </w:rPr>
        <w:t>Shah N, Park WY and Gerke B, 2017. “</w:t>
      </w:r>
      <w:r w:rsidRPr="00F867D0">
        <w:rPr>
          <w:szCs w:val="22"/>
        </w:rPr>
        <w:t>Assessment of commercially available energy-efficient room air conditioners including models with low global warming potential (GWP) refrigerants</w:t>
      </w:r>
      <w:r w:rsidRPr="00F867D0">
        <w:rPr>
          <w:szCs w:val="24"/>
        </w:rPr>
        <w:t xml:space="preserve">”. Lawrence Berkeley National Laboratory. Available at: </w:t>
      </w:r>
      <w:hyperlink r:id="rId89" w:history="1">
        <w:r w:rsidRPr="00F867D0">
          <w:rPr>
            <w:rStyle w:val="Hyperlink"/>
            <w:szCs w:val="24"/>
          </w:rPr>
          <w:t>https://cloudfront.escholarship.org/dist/prd/content/qt01h8g7zb/qt01h8g7zb.pdf?t=ozde3a</w:t>
        </w:r>
      </w:hyperlink>
      <w:r w:rsidRPr="00F867D0">
        <w:rPr>
          <w:szCs w:val="24"/>
        </w:rPr>
        <w:t>. Accessed 12 May 2018</w:t>
      </w:r>
    </w:p>
    <w:p w14:paraId="6DDC3B08" w14:textId="2BB53BDF" w:rsidR="00D07E69" w:rsidRDefault="00D07E69" w:rsidP="00D07E69">
      <w:pPr>
        <w:rPr>
          <w:szCs w:val="22"/>
        </w:rPr>
      </w:pPr>
      <w:r w:rsidRPr="00F867D0">
        <w:rPr>
          <w:szCs w:val="22"/>
        </w:rPr>
        <w:t>Shah N, Waide P, and Phadke A. 2014, “Cooling the Planet: Opportunities for Deployment of Superefficient Room Air Conditioners”, Lawrence Berkel</w:t>
      </w:r>
      <w:r w:rsidR="007A308B">
        <w:rPr>
          <w:szCs w:val="22"/>
        </w:rPr>
        <w:t>ey National Laboratory. A</w:t>
      </w:r>
      <w:r w:rsidRPr="00F867D0">
        <w:rPr>
          <w:szCs w:val="22"/>
        </w:rPr>
        <w:t xml:space="preserve">vailable at </w:t>
      </w:r>
      <w:hyperlink r:id="rId90" w:history="1">
        <w:r w:rsidRPr="00F867D0">
          <w:rPr>
            <w:rStyle w:val="Hyperlink"/>
            <w:szCs w:val="22"/>
          </w:rPr>
          <w:t>https://cloudfront.escholarship.org/dist/prd/content/qt253583c5/qt253583c5.pdf</w:t>
        </w:r>
      </w:hyperlink>
      <w:r w:rsidRPr="00F867D0">
        <w:rPr>
          <w:szCs w:val="22"/>
        </w:rPr>
        <w:t>. Accessed 12 May 2018</w:t>
      </w:r>
    </w:p>
    <w:p w14:paraId="57B87AB3" w14:textId="19EA5A53" w:rsidR="005B6A8B" w:rsidRDefault="005B6A8B" w:rsidP="005B6A8B">
      <w:pPr>
        <w:widowControl w:val="0"/>
        <w:autoSpaceDE w:val="0"/>
        <w:autoSpaceDN w:val="0"/>
        <w:adjustRightInd w:val="0"/>
        <w:spacing w:after="0"/>
        <w:rPr>
          <w:color w:val="auto"/>
          <w:szCs w:val="22"/>
          <w:lang w:val="en-US" w:eastAsia="en-US"/>
        </w:rPr>
      </w:pPr>
      <w:r w:rsidRPr="005B6A8B">
        <w:rPr>
          <w:color w:val="auto"/>
          <w:szCs w:val="22"/>
          <w:lang w:val="en-US" w:eastAsia="en-US"/>
        </w:rPr>
        <w:t>Shen B, Abdelaziz O, Shrestha</w:t>
      </w:r>
      <w:r>
        <w:rPr>
          <w:color w:val="auto"/>
          <w:szCs w:val="22"/>
          <w:lang w:val="en-US" w:eastAsia="en-US"/>
        </w:rPr>
        <w:t xml:space="preserve"> S</w:t>
      </w:r>
      <w:r w:rsidRPr="005B6A8B">
        <w:rPr>
          <w:color w:val="auto"/>
          <w:szCs w:val="22"/>
          <w:lang w:val="en-US" w:eastAsia="en-US"/>
        </w:rPr>
        <w:t>, Elatar A</w:t>
      </w:r>
      <w:r>
        <w:rPr>
          <w:color w:val="auto"/>
          <w:szCs w:val="22"/>
          <w:lang w:val="en-US" w:eastAsia="en-US"/>
        </w:rPr>
        <w:t>.</w:t>
      </w:r>
      <w:r w:rsidRPr="005B6A8B">
        <w:rPr>
          <w:color w:val="auto"/>
          <w:szCs w:val="22"/>
          <w:lang w:val="en-US" w:eastAsia="en-US"/>
        </w:rPr>
        <w:t xml:space="preserve"> 2017 "Model-based</w:t>
      </w:r>
      <w:r w:rsidR="00764B04">
        <w:rPr>
          <w:color w:val="auto"/>
          <w:szCs w:val="22"/>
          <w:lang w:val="en-US" w:eastAsia="en-US"/>
        </w:rPr>
        <w:t xml:space="preserve"> optimization of packaged rooftop air conditioners using low global warming potential refrigerants</w:t>
      </w:r>
      <w:r w:rsidRPr="005B6A8B">
        <w:rPr>
          <w:color w:val="auto"/>
          <w:szCs w:val="22"/>
          <w:lang w:val="en-US" w:eastAsia="en-US"/>
        </w:rPr>
        <w:t>," International Journal of Refrigeration, ISSN</w:t>
      </w:r>
      <w:r w:rsidR="00A373D1">
        <w:rPr>
          <w:color w:val="auto"/>
          <w:szCs w:val="22"/>
          <w:lang w:val="en-US" w:eastAsia="en-US"/>
        </w:rPr>
        <w:t xml:space="preserve"> </w:t>
      </w:r>
      <w:r w:rsidRPr="005B6A8B">
        <w:rPr>
          <w:color w:val="auto"/>
          <w:szCs w:val="22"/>
          <w:lang w:val="en-US" w:eastAsia="en-US"/>
        </w:rPr>
        <w:t xml:space="preserve">0140-7007, available at </w:t>
      </w:r>
      <w:hyperlink r:id="rId91" w:history="1">
        <w:r w:rsidRPr="005B6A8B">
          <w:rPr>
            <w:color w:val="386EFF"/>
            <w:szCs w:val="22"/>
            <w:u w:val="single" w:color="386EFF"/>
            <w:lang w:val="en-US" w:eastAsia="en-US"/>
          </w:rPr>
          <w:t>https://doi.org/10.1016/j.ijrefrig.2017.10.028</w:t>
        </w:r>
      </w:hyperlink>
      <w:r w:rsidRPr="005B6A8B">
        <w:rPr>
          <w:color w:val="auto"/>
          <w:szCs w:val="22"/>
          <w:lang w:val="en-US" w:eastAsia="en-US"/>
        </w:rPr>
        <w:t>. A</w:t>
      </w:r>
      <w:r>
        <w:rPr>
          <w:color w:val="auto"/>
          <w:szCs w:val="22"/>
          <w:lang w:val="en-US" w:eastAsia="en-US"/>
        </w:rPr>
        <w:t>c</w:t>
      </w:r>
      <w:r w:rsidRPr="005B6A8B">
        <w:rPr>
          <w:color w:val="auto"/>
          <w:szCs w:val="22"/>
          <w:lang w:val="en-US" w:eastAsia="en-US"/>
        </w:rPr>
        <w:t>cessed 12 May 201</w:t>
      </w:r>
      <w:r>
        <w:rPr>
          <w:color w:val="auto"/>
          <w:szCs w:val="22"/>
          <w:lang w:val="en-US" w:eastAsia="en-US"/>
        </w:rPr>
        <w:t>8</w:t>
      </w:r>
      <w:r>
        <w:rPr>
          <w:rFonts w:ascii="Helvetica" w:hAnsi="Helvetica" w:cs="Helvetica"/>
          <w:color w:val="auto"/>
          <w:sz w:val="24"/>
          <w:szCs w:val="24"/>
          <w:lang w:val="en-US" w:eastAsia="en-US"/>
        </w:rPr>
        <w:t xml:space="preserve"> </w:t>
      </w:r>
    </w:p>
    <w:p w14:paraId="5E54CEAC" w14:textId="77777777" w:rsidR="005B6A8B" w:rsidRPr="005B6A8B" w:rsidRDefault="005B6A8B" w:rsidP="005B6A8B">
      <w:pPr>
        <w:widowControl w:val="0"/>
        <w:autoSpaceDE w:val="0"/>
        <w:autoSpaceDN w:val="0"/>
        <w:adjustRightInd w:val="0"/>
        <w:spacing w:after="0"/>
        <w:rPr>
          <w:color w:val="auto"/>
          <w:szCs w:val="22"/>
          <w:lang w:val="en-US" w:eastAsia="en-US"/>
        </w:rPr>
      </w:pPr>
    </w:p>
    <w:p w14:paraId="150F3080" w14:textId="77777777" w:rsidR="00771C95" w:rsidRPr="00F867D0" w:rsidRDefault="00771C95" w:rsidP="00771C95">
      <w:pPr>
        <w:rPr>
          <w:szCs w:val="24"/>
        </w:rPr>
      </w:pPr>
      <w:r w:rsidRPr="00F867D0">
        <w:rPr>
          <w:szCs w:val="24"/>
        </w:rPr>
        <w:t>Swain MJ, 2009. “</w:t>
      </w:r>
      <w:r w:rsidRPr="00F867D0">
        <w:t>Energy use in the catering sector. Case study – Refrigeration at the Langford Canteen University of Bristol”</w:t>
      </w:r>
      <w:r w:rsidRPr="00F867D0">
        <w:rPr>
          <w:szCs w:val="24"/>
        </w:rPr>
        <w:t xml:space="preserve">. FRPERC JOB2006013. Available at: </w:t>
      </w:r>
      <w:hyperlink r:id="rId92" w:history="1">
        <w:r w:rsidRPr="00F867D0">
          <w:rPr>
            <w:rStyle w:val="Hyperlink"/>
            <w:szCs w:val="24"/>
          </w:rPr>
          <w:t>http://www.grimsby.ac.uk/documents/defra/catr-casestudy.pdf</w:t>
        </w:r>
      </w:hyperlink>
      <w:r w:rsidRPr="00F867D0">
        <w:rPr>
          <w:szCs w:val="24"/>
        </w:rPr>
        <w:t xml:space="preserve">. Accessed 12 May 2018. </w:t>
      </w:r>
    </w:p>
    <w:p w14:paraId="02C45F3E" w14:textId="36649F65" w:rsidR="00771C95" w:rsidRPr="00F867D0" w:rsidRDefault="00771C95" w:rsidP="00771C95">
      <w:pPr>
        <w:rPr>
          <w:szCs w:val="24"/>
        </w:rPr>
      </w:pPr>
      <w:r w:rsidRPr="00F867D0">
        <w:rPr>
          <w:szCs w:val="24"/>
        </w:rPr>
        <w:t xml:space="preserve">TERI, 2017. “Energy Efficiency Improvement and Refrigerant Replacement”, Presented at OEWG39 side </w:t>
      </w:r>
      <w:r w:rsidR="000C52B6">
        <w:rPr>
          <w:szCs w:val="24"/>
        </w:rPr>
        <w:t>e</w:t>
      </w:r>
      <w:r w:rsidRPr="00F867D0">
        <w:rPr>
          <w:szCs w:val="24"/>
        </w:rPr>
        <w:t>vent</w:t>
      </w:r>
      <w:r w:rsidR="000C52B6">
        <w:rPr>
          <w:szCs w:val="24"/>
        </w:rPr>
        <w:t>.</w:t>
      </w:r>
      <w:r w:rsidRPr="00F867D0">
        <w:rPr>
          <w:szCs w:val="24"/>
        </w:rPr>
        <w:t xml:space="preserve"> </w:t>
      </w:r>
      <w:r w:rsidR="000C52B6">
        <w:rPr>
          <w:szCs w:val="24"/>
        </w:rPr>
        <w:t>A</w:t>
      </w:r>
      <w:r w:rsidRPr="00F867D0">
        <w:rPr>
          <w:szCs w:val="24"/>
        </w:rPr>
        <w:t xml:space="preserve">vailable at </w:t>
      </w:r>
      <w:hyperlink r:id="rId93" w:history="1">
        <w:r w:rsidRPr="00F867D0">
          <w:rPr>
            <w:rStyle w:val="Hyperlink"/>
            <w:szCs w:val="24"/>
          </w:rPr>
          <w:t>http://conf.montreal-protocol.org/meeting/oewg/oewg-39/events-publications/Observer%20Publications/EE-MPside-event_WB-TERI_Jul17_Final.pdf</w:t>
        </w:r>
      </w:hyperlink>
      <w:r w:rsidRPr="00F867D0">
        <w:rPr>
          <w:szCs w:val="24"/>
        </w:rPr>
        <w:t>. Accessed 12 May 2018</w:t>
      </w:r>
    </w:p>
    <w:p w14:paraId="42867E9A" w14:textId="3990A7AB" w:rsidR="00771C95" w:rsidRPr="00F867D0" w:rsidRDefault="00771C95" w:rsidP="00771C95">
      <w:pPr>
        <w:rPr>
          <w:rFonts w:cs="Arial"/>
        </w:rPr>
      </w:pPr>
      <w:r w:rsidRPr="00F867D0">
        <w:rPr>
          <w:szCs w:val="24"/>
        </w:rPr>
        <w:t>U4E, 2017. “Accelerating the Global Adoption of Energy-Efficient and Climate-Friendly Air Conditioners</w:t>
      </w:r>
      <w:r w:rsidRPr="00F867D0">
        <w:rPr>
          <w:rFonts w:cs="Arial"/>
          <w:vanish/>
        </w:rPr>
        <w:t>Accelerating the Global Adoption of Energy-Efficient and Climate-Friendly Air Conditioners</w:t>
      </w:r>
      <w:r w:rsidRPr="00F867D0">
        <w:rPr>
          <w:vanish/>
        </w:rPr>
        <w:t>Accelerating the Global Adoption of Energy-Efficient and Climate-Friendly Air Conditioners</w:t>
      </w:r>
      <w:r w:rsidRPr="00F867D0">
        <w:rPr>
          <w:rFonts w:cs="Arial"/>
          <w:vanish/>
        </w:rPr>
        <w:t>Accelerating the Global Adoption of Energy-Efficient and Climate-Friendly Air Conditioners</w:t>
      </w:r>
      <w:r w:rsidRPr="00F867D0">
        <w:rPr>
          <w:szCs w:val="24"/>
        </w:rPr>
        <w:t>”</w:t>
      </w:r>
      <w:r w:rsidR="000C52B6">
        <w:rPr>
          <w:szCs w:val="24"/>
        </w:rPr>
        <w:t>.</w:t>
      </w:r>
      <w:r w:rsidRPr="00F867D0">
        <w:rPr>
          <w:szCs w:val="24"/>
        </w:rPr>
        <w:t xml:space="preserve"> </w:t>
      </w:r>
      <w:r w:rsidR="000C52B6">
        <w:rPr>
          <w:szCs w:val="24"/>
        </w:rPr>
        <w:t>A</w:t>
      </w:r>
      <w:r w:rsidRPr="00F867D0">
        <w:rPr>
          <w:szCs w:val="24"/>
        </w:rPr>
        <w:t xml:space="preserve">vailable at </w:t>
      </w:r>
      <w:r w:rsidRPr="00F867D0">
        <w:rPr>
          <w:rFonts w:cs="Arial"/>
          <w:vanish/>
        </w:rPr>
        <w:t>Accelerating the Global Adoption of Energy-Efficient and Climate-Friendly Air Conditioners</w:t>
      </w:r>
      <w:r w:rsidRPr="00F867D0">
        <w:t xml:space="preserve"> </w:t>
      </w:r>
      <w:hyperlink r:id="rId94" w:history="1">
        <w:r w:rsidRPr="00F867D0">
          <w:rPr>
            <w:rStyle w:val="Hyperlink"/>
            <w:rFonts w:cs="Arial"/>
          </w:rPr>
          <w:t>http://united4efficiency.org/wp-content/uploads/2017/06/U4E-ACGuide-201705-Final.pdf</w:t>
        </w:r>
      </w:hyperlink>
      <w:r w:rsidRPr="00F867D0">
        <w:rPr>
          <w:rFonts w:cs="Arial"/>
        </w:rPr>
        <w:t>. Accessed12 May 2018</w:t>
      </w:r>
    </w:p>
    <w:p w14:paraId="3CB3B2D0" w14:textId="77777777" w:rsidR="00771C95" w:rsidRPr="00F867D0" w:rsidRDefault="00771C95" w:rsidP="00771C95">
      <w:pPr>
        <w:rPr>
          <w:szCs w:val="24"/>
        </w:rPr>
      </w:pPr>
      <w:r w:rsidRPr="00F867D0">
        <w:rPr>
          <w:szCs w:val="24"/>
        </w:rPr>
        <w:t xml:space="preserve">UNEP, 2014. Assessment Report of the Refrigeration, Air Conditioning and Heat Pumps Technical Options Committee (RTOC). Available at: </w:t>
      </w:r>
      <w:hyperlink r:id="rId95" w:history="1">
        <w:r w:rsidRPr="00F867D0">
          <w:rPr>
            <w:rStyle w:val="Hyperlink"/>
            <w:szCs w:val="24"/>
          </w:rPr>
          <w:t>http://ozone.unep.org/sites/ozone/files/documents/RTOC-Assessment-Report-2014.pdf</w:t>
        </w:r>
      </w:hyperlink>
      <w:r w:rsidRPr="00F867D0">
        <w:rPr>
          <w:szCs w:val="24"/>
        </w:rPr>
        <w:t>. Accessed 12 May 2018</w:t>
      </w:r>
    </w:p>
    <w:p w14:paraId="54DFB060" w14:textId="6640FA8B" w:rsidR="00771C95" w:rsidRPr="00F867D0" w:rsidRDefault="00771C95" w:rsidP="00771C95">
      <w:pPr>
        <w:rPr>
          <w:szCs w:val="24"/>
        </w:rPr>
      </w:pPr>
      <w:r w:rsidRPr="00F867D0">
        <w:rPr>
          <w:szCs w:val="24"/>
        </w:rPr>
        <w:t>UNEP, 2016. TEAP TF report under Decision XXVII/4 “Further Information on Alternatives to Ozone-Depletion Substances”</w:t>
      </w:r>
      <w:r w:rsidR="000C52B6">
        <w:rPr>
          <w:szCs w:val="24"/>
        </w:rPr>
        <w:t>.</w:t>
      </w:r>
      <w:r w:rsidRPr="00F867D0">
        <w:rPr>
          <w:szCs w:val="24"/>
        </w:rPr>
        <w:t xml:space="preserve"> </w:t>
      </w:r>
      <w:r w:rsidR="000C52B6">
        <w:rPr>
          <w:szCs w:val="24"/>
        </w:rPr>
        <w:t>A</w:t>
      </w:r>
      <w:r w:rsidRPr="00F867D0">
        <w:rPr>
          <w:szCs w:val="24"/>
        </w:rPr>
        <w:t xml:space="preserve">vailable at </w:t>
      </w:r>
      <w:hyperlink r:id="rId96" w:history="1">
        <w:r w:rsidRPr="00F867D0">
          <w:rPr>
            <w:rStyle w:val="Hyperlink"/>
            <w:szCs w:val="24"/>
          </w:rPr>
          <w:t>http://conf.montreal-protocol.org/meeting/mop/mop-28/presession/Background%20Documents%20are%20available%20in%20English%20only/TEAP_TFXXVII-4_Report_September2016.pdf</w:t>
        </w:r>
      </w:hyperlink>
      <w:r w:rsidRPr="00F867D0">
        <w:rPr>
          <w:szCs w:val="24"/>
        </w:rPr>
        <w:t xml:space="preserve">. Accessed 12 </w:t>
      </w:r>
      <w:r w:rsidR="000822E8" w:rsidRPr="00F867D0">
        <w:rPr>
          <w:szCs w:val="24"/>
        </w:rPr>
        <w:t xml:space="preserve">May </w:t>
      </w:r>
      <w:r w:rsidRPr="00F867D0">
        <w:rPr>
          <w:szCs w:val="24"/>
        </w:rPr>
        <w:t>2018</w:t>
      </w:r>
    </w:p>
    <w:p w14:paraId="247E3269" w14:textId="41B12785" w:rsidR="00771C95" w:rsidRPr="00F867D0" w:rsidRDefault="00771C95" w:rsidP="00771C95">
      <w:pPr>
        <w:rPr>
          <w:szCs w:val="24"/>
        </w:rPr>
      </w:pPr>
      <w:r w:rsidRPr="00F867D0">
        <w:rPr>
          <w:szCs w:val="24"/>
        </w:rPr>
        <w:t>UNEP, 2017a. TEAP WG report under Decision XXVIII/3 “Energy Efficiency”</w:t>
      </w:r>
      <w:r w:rsidR="000C52B6">
        <w:rPr>
          <w:szCs w:val="24"/>
        </w:rPr>
        <w:t>.</w:t>
      </w:r>
      <w:r w:rsidRPr="00F867D0">
        <w:rPr>
          <w:szCs w:val="24"/>
        </w:rPr>
        <w:t xml:space="preserve"> </w:t>
      </w:r>
      <w:r w:rsidR="000C52B6">
        <w:rPr>
          <w:szCs w:val="24"/>
        </w:rPr>
        <w:t>A</w:t>
      </w:r>
      <w:r w:rsidRPr="00F867D0">
        <w:rPr>
          <w:szCs w:val="24"/>
        </w:rPr>
        <w:t xml:space="preserve">vailable at </w:t>
      </w:r>
      <w:hyperlink r:id="rId97" w:history="1">
        <w:r w:rsidRPr="00F867D0">
          <w:rPr>
            <w:rStyle w:val="Hyperlink"/>
            <w:szCs w:val="24"/>
          </w:rPr>
          <w:t>http://conf.montreal-protocol.org/meeting/mop/cop11-mop29/presession/Background-Documents/TEAP-EEWG-Report-october2017.pdf</w:t>
        </w:r>
      </w:hyperlink>
      <w:r w:rsidRPr="00F867D0">
        <w:rPr>
          <w:szCs w:val="24"/>
        </w:rPr>
        <w:t>. Accessed 12 May 2018</w:t>
      </w:r>
    </w:p>
    <w:p w14:paraId="1860B054" w14:textId="4C2EE473" w:rsidR="00771C95" w:rsidRPr="00F867D0" w:rsidRDefault="00771C95" w:rsidP="00771C95">
      <w:pPr>
        <w:rPr>
          <w:szCs w:val="24"/>
        </w:rPr>
      </w:pPr>
      <w:r w:rsidRPr="00F867D0">
        <w:rPr>
          <w:szCs w:val="24"/>
        </w:rPr>
        <w:t xml:space="preserve">UNEP, 2017b. TEAP </w:t>
      </w:r>
      <w:r w:rsidRPr="00F867D0">
        <w:rPr>
          <w:bCs/>
          <w:szCs w:val="24"/>
        </w:rPr>
        <w:t>TF report under Decision XXVIII/4 “Safety Standards for Flammable Low Global Warming Potential (GWP) Refrigerants”</w:t>
      </w:r>
      <w:r w:rsidR="000C52B6">
        <w:rPr>
          <w:bCs/>
          <w:szCs w:val="24"/>
        </w:rPr>
        <w:t>.</w:t>
      </w:r>
      <w:r w:rsidRPr="00F867D0">
        <w:rPr>
          <w:bCs/>
          <w:szCs w:val="24"/>
        </w:rPr>
        <w:t xml:space="preserve"> </w:t>
      </w:r>
      <w:r w:rsidR="000C52B6">
        <w:rPr>
          <w:szCs w:val="24"/>
        </w:rPr>
        <w:t>A</w:t>
      </w:r>
      <w:r w:rsidRPr="00F867D0">
        <w:rPr>
          <w:szCs w:val="24"/>
        </w:rPr>
        <w:t xml:space="preserve">vailable at </w:t>
      </w:r>
      <w:hyperlink r:id="rId98" w:history="1">
        <w:r w:rsidRPr="00F867D0">
          <w:rPr>
            <w:rStyle w:val="Hyperlink"/>
            <w:szCs w:val="24"/>
          </w:rPr>
          <w:t>http://conf.montreal-protocol.org/meeting/oewg/oewg-39/presession/Background-Documents/TEAP-XXVIII_4-TF-Report-May%202017.pdf</w:t>
        </w:r>
      </w:hyperlink>
      <w:r w:rsidRPr="00F867D0">
        <w:rPr>
          <w:szCs w:val="24"/>
        </w:rPr>
        <w:t>. Accessed 12 May 2018</w:t>
      </w:r>
    </w:p>
    <w:p w14:paraId="5059333F" w14:textId="77777777" w:rsidR="00771C95" w:rsidRPr="00F867D0" w:rsidRDefault="00771C95" w:rsidP="00771C95">
      <w:pPr>
        <w:rPr>
          <w:szCs w:val="24"/>
        </w:rPr>
      </w:pPr>
      <w:r w:rsidRPr="00F867D0">
        <w:rPr>
          <w:szCs w:val="24"/>
        </w:rPr>
        <w:t>Usinger J, 2016. “</w:t>
      </w:r>
      <w:r w:rsidRPr="00F867D0">
        <w:t>Energy Efficiency in the RAC Sector</w:t>
      </w:r>
      <w:r w:rsidRPr="00F867D0">
        <w:rPr>
          <w:szCs w:val="24"/>
        </w:rPr>
        <w:t xml:space="preserve">”. Green Cooling Initiative. Tel Aviv, Israel. Available at: </w:t>
      </w:r>
      <w:hyperlink r:id="rId99" w:history="1">
        <w:r w:rsidRPr="00F867D0">
          <w:rPr>
            <w:rStyle w:val="Hyperlink"/>
            <w:szCs w:val="24"/>
          </w:rPr>
          <w:t>http://www.sviva.gov.il/English/env_topics/climatechange/Mitigation/Documents/Energy-Efficiency-in-the-RAC-Sector-June-2016.pdf</w:t>
        </w:r>
      </w:hyperlink>
      <w:r w:rsidRPr="00F867D0">
        <w:rPr>
          <w:szCs w:val="24"/>
        </w:rPr>
        <w:t>. Accessed 12 May 2018</w:t>
      </w:r>
    </w:p>
    <w:p w14:paraId="090FE297" w14:textId="77777777" w:rsidR="00771C95" w:rsidRPr="00F867D0" w:rsidRDefault="00771C95" w:rsidP="00771C95">
      <w:pPr>
        <w:rPr>
          <w:szCs w:val="22"/>
        </w:rPr>
      </w:pPr>
      <w:r w:rsidRPr="00F867D0">
        <w:rPr>
          <w:szCs w:val="22"/>
        </w:rPr>
        <w:t xml:space="preserve">Wang X and Amrane K. "AHRI Low Global Warming Potential Alternative Refrigerants Evaluation Program (Low-GWP AREP) – Summary of Phase I Testing Results", 2014. Proceedings of the International Refrigeration and Air Conditioning Conference at Purdue University. Paper 1416. Available at: </w:t>
      </w:r>
      <w:hyperlink r:id="rId100" w:history="1">
        <w:r w:rsidRPr="00F867D0">
          <w:rPr>
            <w:rStyle w:val="Hyperlink"/>
            <w:szCs w:val="22"/>
          </w:rPr>
          <w:t>http://docs.lib.purdue.edu/iracc/1416</w:t>
        </w:r>
      </w:hyperlink>
      <w:r w:rsidRPr="00F867D0">
        <w:rPr>
          <w:szCs w:val="22"/>
        </w:rPr>
        <w:t>. Accessed 12 May 2018</w:t>
      </w:r>
    </w:p>
    <w:p w14:paraId="41746125" w14:textId="77777777" w:rsidR="00771C95" w:rsidRPr="00F867D0" w:rsidRDefault="00771C95" w:rsidP="00771C95">
      <w:pPr>
        <w:rPr>
          <w:szCs w:val="22"/>
        </w:rPr>
      </w:pPr>
      <w:r w:rsidRPr="00F867D0">
        <w:rPr>
          <w:szCs w:val="22"/>
        </w:rPr>
        <w:t>Wang X and Amrane K. "AHRI Low Global Warming Potential Alternative Refrigerants Evaluation Program (Low-GWP AREP) – Summary of Phase II Testing Results", 2016. International Refrigeration and Air Conditioning Conference. Paper 1586. Available at:</w:t>
      </w:r>
      <w:hyperlink r:id="rId101" w:history="1">
        <w:r w:rsidRPr="00F867D0">
          <w:t xml:space="preserve"> </w:t>
        </w:r>
        <w:r w:rsidRPr="00F867D0">
          <w:rPr>
            <w:rStyle w:val="Hyperlink"/>
            <w:szCs w:val="22"/>
          </w:rPr>
          <w:t>http://docs.lib.purdue.edu/iracc/1586</w:t>
        </w:r>
      </w:hyperlink>
      <w:r w:rsidRPr="00F867D0">
        <w:rPr>
          <w:szCs w:val="22"/>
        </w:rPr>
        <w:t>. Accessed 12 May 2018</w:t>
      </w:r>
    </w:p>
    <w:p w14:paraId="28BF9B50" w14:textId="300CB815" w:rsidR="00771C95" w:rsidRPr="00F867D0" w:rsidRDefault="00771C95" w:rsidP="00385D9F">
      <w:pPr>
        <w:keepLines/>
        <w:rPr>
          <w:szCs w:val="24"/>
        </w:rPr>
      </w:pPr>
      <w:r w:rsidRPr="005969A3">
        <w:rPr>
          <w:szCs w:val="24"/>
        </w:rPr>
        <w:t>Wiel S and McMahon JE, 2005</w:t>
      </w:r>
      <w:r w:rsidRPr="00F867D0">
        <w:rPr>
          <w:szCs w:val="24"/>
        </w:rPr>
        <w:t>. “</w:t>
      </w:r>
      <w:hyperlink r:id="rId102" w:history="1">
        <w:r w:rsidRPr="00F867D0">
          <w:rPr>
            <w:rFonts w:eastAsia="DengXian"/>
            <w:color w:val="auto"/>
            <w:szCs w:val="22"/>
          </w:rPr>
          <w:t>Energy-Efficiency Labels and Standards: A Guidebook for Appliances, Equipment, and Lighting” 2</w:t>
        </w:r>
        <w:r w:rsidRPr="00F867D0">
          <w:rPr>
            <w:rFonts w:eastAsia="DengXian"/>
            <w:color w:val="auto"/>
            <w:szCs w:val="22"/>
            <w:vertAlign w:val="superscript"/>
          </w:rPr>
          <w:t>nd</w:t>
        </w:r>
        <w:r w:rsidRPr="00F867D0">
          <w:rPr>
            <w:rFonts w:eastAsia="DengXian"/>
            <w:color w:val="auto"/>
            <w:szCs w:val="22"/>
          </w:rPr>
          <w:t xml:space="preserve"> Edition</w:t>
        </w:r>
      </w:hyperlink>
      <w:r w:rsidRPr="00F867D0">
        <w:rPr>
          <w:szCs w:val="24"/>
        </w:rPr>
        <w:t xml:space="preserve">, </w:t>
      </w:r>
      <w:r w:rsidRPr="00F867D0">
        <w:t>Collaborative Labeling and Appliance Standards Program (CLASP)</w:t>
      </w:r>
      <w:r w:rsidR="00385D9F">
        <w:t>. A</w:t>
      </w:r>
      <w:r w:rsidRPr="00F867D0">
        <w:t xml:space="preserve">vailable at </w:t>
      </w:r>
      <w:hyperlink r:id="rId103" w:history="1">
        <w:r w:rsidRPr="00F867D0">
          <w:rPr>
            <w:rStyle w:val="Hyperlink"/>
          </w:rPr>
          <w:t>https://cloudfront.escholarship.org/dist/prd/content/qt01d3r8jg/qt01d3r8jg.pdf</w:t>
        </w:r>
      </w:hyperlink>
      <w:r w:rsidRPr="00F867D0">
        <w:t>.</w:t>
      </w:r>
      <w:r w:rsidRPr="00F867D0">
        <w:rPr>
          <w:szCs w:val="22"/>
        </w:rPr>
        <w:t xml:space="preserve"> Accessed 12 May 2018</w:t>
      </w:r>
    </w:p>
    <w:p w14:paraId="59B621DB" w14:textId="36FB97B5" w:rsidR="00633A4A" w:rsidRDefault="00771C95" w:rsidP="000F749F">
      <w:pPr>
        <w:pStyle w:val="CommentText"/>
        <w:keepLines/>
        <w:rPr>
          <w:rFonts w:ascii="Times New Roman" w:hAnsi="Times New Roman"/>
          <w:sz w:val="22"/>
          <w:szCs w:val="22"/>
        </w:rPr>
      </w:pPr>
      <w:r w:rsidRPr="00F867D0">
        <w:rPr>
          <w:rFonts w:ascii="Times New Roman" w:hAnsi="Times New Roman"/>
          <w:sz w:val="22"/>
          <w:szCs w:val="22"/>
        </w:rPr>
        <w:t xml:space="preserve">Yang Z and Bandivadekar A, 2017. “Light-duty Vehicle Greenhouse Gas and Fuel Economy Standards: 2017 Global Update”. International Council on Clean Transportation (ICCT). Available at: </w:t>
      </w:r>
      <w:hyperlink r:id="rId104" w:history="1">
        <w:r w:rsidRPr="00F867D0">
          <w:rPr>
            <w:rStyle w:val="Hyperlink"/>
            <w:rFonts w:ascii="Times New Roman" w:hAnsi="Times New Roman"/>
            <w:sz w:val="22"/>
            <w:szCs w:val="22"/>
          </w:rPr>
          <w:t>https://www.theicct.org/sites/default/files/publications/2017-Global-LDV-Standards-Update_ICCT-Report_23062017_vF.pdf</w:t>
        </w:r>
      </w:hyperlink>
      <w:r w:rsidRPr="00F867D0">
        <w:rPr>
          <w:rFonts w:ascii="Times New Roman" w:hAnsi="Times New Roman"/>
          <w:sz w:val="22"/>
          <w:szCs w:val="22"/>
        </w:rPr>
        <w:t>. Accessed 12 May 2018</w:t>
      </w:r>
    </w:p>
    <w:p w14:paraId="6CF7DCC2" w14:textId="77777777" w:rsidR="00633A4A" w:rsidRDefault="00633A4A">
      <w:pPr>
        <w:spacing w:after="0"/>
        <w:rPr>
          <w:color w:val="auto"/>
          <w:szCs w:val="22"/>
        </w:rPr>
      </w:pPr>
      <w:r>
        <w:rPr>
          <w:szCs w:val="22"/>
        </w:rPr>
        <w:br w:type="page"/>
      </w:r>
    </w:p>
    <w:p w14:paraId="53D6C99A" w14:textId="41046972" w:rsidR="00633A4A" w:rsidRPr="000F749F" w:rsidRDefault="00633A4A" w:rsidP="000F749F">
      <w:pPr>
        <w:pStyle w:val="Heading1"/>
        <w:rPr>
          <w:rStyle w:val="Heading1Char2"/>
          <w:rFonts w:ascii="Times New Roman" w:hAnsi="Times New Roman"/>
        </w:rPr>
      </w:pPr>
      <w:bookmarkStart w:id="123" w:name="_Toc515454403"/>
      <w:r w:rsidRPr="000F749F">
        <w:rPr>
          <w:rStyle w:val="Heading1Char2"/>
          <w:rFonts w:ascii="Times New Roman" w:hAnsi="Times New Roman"/>
        </w:rPr>
        <w:t>5</w:t>
      </w:r>
      <w:r w:rsidRPr="000F749F">
        <w:rPr>
          <w:rStyle w:val="Heading1Char2"/>
          <w:rFonts w:ascii="Times New Roman" w:hAnsi="Times New Roman"/>
        </w:rPr>
        <w:tab/>
        <w:t>Glossary</w:t>
      </w:r>
      <w:r w:rsidR="000C52B6" w:rsidRPr="000F749F">
        <w:footnoteReference w:id="23"/>
      </w:r>
      <w:bookmarkEnd w:id="123"/>
    </w:p>
    <w:p w14:paraId="4ED78CB3" w14:textId="3A721FE2" w:rsidR="00571A40" w:rsidRDefault="00571A40" w:rsidP="00633A4A">
      <w:pPr>
        <w:spacing w:before="120"/>
        <w:ind w:left="851" w:hanging="851"/>
        <w:rPr>
          <w:b/>
          <w:szCs w:val="22"/>
        </w:rPr>
      </w:pPr>
      <w:r>
        <w:rPr>
          <w:b/>
          <w:szCs w:val="22"/>
        </w:rPr>
        <w:t xml:space="preserve">APF: </w:t>
      </w:r>
      <w:r>
        <w:rPr>
          <w:szCs w:val="22"/>
        </w:rPr>
        <w:t>Annual Performance Factor (s</w:t>
      </w:r>
      <w:r w:rsidRPr="00031D16">
        <w:rPr>
          <w:szCs w:val="22"/>
        </w:rPr>
        <w:t xml:space="preserve">ee Seasonal Energy </w:t>
      </w:r>
      <w:r>
        <w:rPr>
          <w:szCs w:val="22"/>
        </w:rPr>
        <w:t>E</w:t>
      </w:r>
      <w:r w:rsidRPr="00031D16">
        <w:rPr>
          <w:szCs w:val="22"/>
        </w:rPr>
        <w:t>fficiency Ratio</w:t>
      </w:r>
      <w:r>
        <w:rPr>
          <w:szCs w:val="22"/>
        </w:rPr>
        <w:t>)</w:t>
      </w:r>
    </w:p>
    <w:p w14:paraId="5229D4EA" w14:textId="5A665E20" w:rsidR="00203240" w:rsidRPr="00203240" w:rsidRDefault="00203240" w:rsidP="00203240">
      <w:pPr>
        <w:spacing w:before="120"/>
        <w:ind w:left="851" w:hanging="851"/>
        <w:rPr>
          <w:b/>
          <w:bCs/>
          <w:szCs w:val="22"/>
        </w:rPr>
      </w:pPr>
      <w:r>
        <w:rPr>
          <w:b/>
          <w:bCs/>
          <w:szCs w:val="22"/>
        </w:rPr>
        <w:t>C</w:t>
      </w:r>
      <w:r w:rsidRPr="00203240">
        <w:rPr>
          <w:b/>
          <w:bCs/>
          <w:szCs w:val="22"/>
        </w:rPr>
        <w:t>oefficient of performance</w:t>
      </w:r>
      <w:r>
        <w:rPr>
          <w:b/>
          <w:bCs/>
          <w:szCs w:val="22"/>
        </w:rPr>
        <w:t xml:space="preserve"> (</w:t>
      </w:r>
      <w:r w:rsidRPr="00203240">
        <w:rPr>
          <w:b/>
          <w:szCs w:val="22"/>
        </w:rPr>
        <w:t>COP</w:t>
      </w:r>
      <w:r>
        <w:rPr>
          <w:b/>
          <w:szCs w:val="22"/>
        </w:rPr>
        <w:t>, s</w:t>
      </w:r>
      <w:r w:rsidRPr="00203240">
        <w:rPr>
          <w:b/>
          <w:szCs w:val="22"/>
        </w:rPr>
        <w:t>ometimes CP or CoP)</w:t>
      </w:r>
      <w:r>
        <w:rPr>
          <w:b/>
          <w:szCs w:val="22"/>
        </w:rPr>
        <w:t>:</w:t>
      </w:r>
      <w:r w:rsidRPr="00203240">
        <w:rPr>
          <w:b/>
          <w:szCs w:val="22"/>
        </w:rPr>
        <w:t xml:space="preserve"> </w:t>
      </w:r>
      <w:r>
        <w:rPr>
          <w:szCs w:val="22"/>
        </w:rPr>
        <w:t xml:space="preserve">For </w:t>
      </w:r>
      <w:r w:rsidRPr="00031D16">
        <w:rPr>
          <w:szCs w:val="22"/>
        </w:rPr>
        <w:t>a heat pump, refrigerator or air conditioning system</w:t>
      </w:r>
      <w:r>
        <w:rPr>
          <w:szCs w:val="22"/>
        </w:rPr>
        <w:t>, this i</w:t>
      </w:r>
      <w:r w:rsidRPr="00031D16">
        <w:rPr>
          <w:szCs w:val="22"/>
        </w:rPr>
        <w:t>s a ratio of useful heating or cooling provided to work required. Higher COPs equate to lower operating costs</w:t>
      </w:r>
      <w:r>
        <w:rPr>
          <w:szCs w:val="22"/>
        </w:rPr>
        <w:t>.</w:t>
      </w:r>
    </w:p>
    <w:p w14:paraId="7200EBAA" w14:textId="2A42725B" w:rsidR="00633A4A" w:rsidRPr="00633A4A" w:rsidRDefault="00633A4A" w:rsidP="00633A4A">
      <w:pPr>
        <w:spacing w:before="120"/>
        <w:ind w:left="851" w:hanging="851"/>
        <w:rPr>
          <w:szCs w:val="22"/>
        </w:rPr>
      </w:pPr>
      <w:r w:rsidRPr="00633A4A">
        <w:rPr>
          <w:b/>
          <w:szCs w:val="22"/>
        </w:rPr>
        <w:t>Cooling capacity:</w:t>
      </w:r>
      <w:r w:rsidRPr="00633A4A">
        <w:rPr>
          <w:szCs w:val="22"/>
        </w:rPr>
        <w:t xml:space="preserve"> A measure of a system’s ability to remove heat. Measured in kW, Btu/h, or refrigeration ton (RT), where 1 RT = 3.5 kW = 12,000 Btu/h.</w:t>
      </w:r>
    </w:p>
    <w:p w14:paraId="285DC6FB" w14:textId="77777777" w:rsidR="00633A4A" w:rsidRPr="00633A4A" w:rsidRDefault="00633A4A" w:rsidP="00633A4A">
      <w:pPr>
        <w:spacing w:before="120"/>
        <w:ind w:left="851" w:hanging="851"/>
        <w:rPr>
          <w:szCs w:val="22"/>
        </w:rPr>
      </w:pPr>
      <w:r w:rsidRPr="00633A4A">
        <w:rPr>
          <w:b/>
          <w:szCs w:val="22"/>
        </w:rPr>
        <w:t>Cooling/heating load:</w:t>
      </w:r>
      <w:r w:rsidRPr="00633A4A">
        <w:rPr>
          <w:szCs w:val="22"/>
        </w:rPr>
        <w:t xml:space="preserve"> The amount of energy needed to heat or cool to a desired level of service. Improving insulation in a building is a strategy for reducing heating and cooling load while providing the same level of comfort to the occupant.</w:t>
      </w:r>
    </w:p>
    <w:p w14:paraId="0D33CC11" w14:textId="16583CF3" w:rsidR="00764B04" w:rsidRDefault="00764B04" w:rsidP="00764B04">
      <w:pPr>
        <w:spacing w:before="120"/>
        <w:ind w:left="851" w:hanging="851"/>
        <w:rPr>
          <w:b/>
          <w:szCs w:val="22"/>
        </w:rPr>
      </w:pPr>
      <w:r w:rsidRPr="004140F6">
        <w:rPr>
          <w:rFonts w:eastAsia="MS Mincho"/>
          <w:b/>
        </w:rPr>
        <w:t>Coefficient of Performance (COP)</w:t>
      </w:r>
      <w:r w:rsidRPr="00E376A5">
        <w:rPr>
          <w:rFonts w:eastAsia="MS Mincho"/>
          <w:b/>
        </w:rPr>
        <w:t>:</w:t>
      </w:r>
      <w:r w:rsidRPr="00C43E73">
        <w:rPr>
          <w:rFonts w:eastAsia="MS Mincho"/>
        </w:rPr>
        <w:t xml:space="preserve"> COP is defined as the ratio between the cooling capacity and the power consumed by the </w:t>
      </w:r>
      <w:r>
        <w:rPr>
          <w:rFonts w:eastAsia="MS Mincho"/>
        </w:rPr>
        <w:t>system</w:t>
      </w:r>
      <w:r w:rsidRPr="00C43E73">
        <w:rPr>
          <w:rFonts w:eastAsia="MS Mincho"/>
        </w:rPr>
        <w:t>. COP is also used for heat pumps and in this case it is defined as the ratio between the heating capacity and the power consumed by the sy</w:t>
      </w:r>
      <w:r>
        <w:rPr>
          <w:rFonts w:eastAsia="MS Mincho"/>
        </w:rPr>
        <w:t>s</w:t>
      </w:r>
      <w:r w:rsidRPr="00C43E73">
        <w:rPr>
          <w:rFonts w:eastAsia="MS Mincho"/>
        </w:rPr>
        <w:t>tem.</w:t>
      </w:r>
    </w:p>
    <w:p w14:paraId="30A74627" w14:textId="73FB5D36" w:rsidR="00633A4A" w:rsidRPr="00633A4A" w:rsidRDefault="00633A4A" w:rsidP="00633A4A">
      <w:pPr>
        <w:spacing w:before="120"/>
        <w:ind w:left="851" w:hanging="851"/>
        <w:rPr>
          <w:szCs w:val="22"/>
        </w:rPr>
      </w:pPr>
      <w:r w:rsidRPr="00633A4A">
        <w:rPr>
          <w:b/>
          <w:szCs w:val="22"/>
        </w:rPr>
        <w:t>CSPF:</w:t>
      </w:r>
      <w:r w:rsidRPr="00633A4A">
        <w:rPr>
          <w:szCs w:val="22"/>
        </w:rPr>
        <w:t xml:space="preserve"> Cooling season performance factor</w:t>
      </w:r>
      <w:r w:rsidR="00571A40">
        <w:rPr>
          <w:szCs w:val="22"/>
        </w:rPr>
        <w:t xml:space="preserve"> (s</w:t>
      </w:r>
      <w:r w:rsidR="00571A40" w:rsidRPr="00B21A0C">
        <w:rPr>
          <w:szCs w:val="22"/>
        </w:rPr>
        <w:t xml:space="preserve">ee Seasonal Energy </w:t>
      </w:r>
      <w:r w:rsidR="00571A40">
        <w:rPr>
          <w:szCs w:val="22"/>
        </w:rPr>
        <w:t>E</w:t>
      </w:r>
      <w:r w:rsidR="00571A40" w:rsidRPr="00B21A0C">
        <w:rPr>
          <w:szCs w:val="22"/>
        </w:rPr>
        <w:t>fficiency Ratio</w:t>
      </w:r>
      <w:r w:rsidR="00571A40">
        <w:rPr>
          <w:szCs w:val="22"/>
        </w:rPr>
        <w:t>)</w:t>
      </w:r>
      <w:r w:rsidRPr="00633A4A">
        <w:rPr>
          <w:szCs w:val="22"/>
        </w:rPr>
        <w:t>.</w:t>
      </w:r>
    </w:p>
    <w:p w14:paraId="1C3B1E23" w14:textId="77777777" w:rsidR="00633A4A" w:rsidRPr="00633A4A" w:rsidRDefault="00633A4A" w:rsidP="00633A4A">
      <w:pPr>
        <w:spacing w:before="120"/>
        <w:ind w:left="851" w:hanging="851"/>
        <w:rPr>
          <w:lang w:eastAsia="en-US"/>
        </w:rPr>
      </w:pPr>
      <w:r w:rsidRPr="00633A4A">
        <w:rPr>
          <w:b/>
          <w:szCs w:val="22"/>
        </w:rPr>
        <w:t xml:space="preserve">Design efficiency: </w:t>
      </w:r>
      <w:r w:rsidRPr="00633A4A">
        <w:rPr>
          <w:lang w:eastAsia="en-US"/>
        </w:rPr>
        <w:t>The energy performance of equipment as designed or as shipped, same as nameplate efficiency.</w:t>
      </w:r>
    </w:p>
    <w:p w14:paraId="22FFE1A2" w14:textId="52C5C24F" w:rsidR="00633A4A" w:rsidRPr="00633A4A" w:rsidRDefault="00633A4A" w:rsidP="00633A4A">
      <w:pPr>
        <w:spacing w:before="120"/>
        <w:ind w:left="851" w:hanging="851"/>
        <w:rPr>
          <w:szCs w:val="22"/>
          <w:lang w:val="en-US"/>
        </w:rPr>
      </w:pPr>
      <w:r w:rsidRPr="00633A4A">
        <w:rPr>
          <w:b/>
          <w:szCs w:val="22"/>
        </w:rPr>
        <w:t>Energy</w:t>
      </w:r>
      <w:r w:rsidR="00764B04">
        <w:rPr>
          <w:b/>
          <w:szCs w:val="22"/>
        </w:rPr>
        <w:t>E</w:t>
      </w:r>
      <w:r w:rsidRPr="00633A4A">
        <w:rPr>
          <w:b/>
          <w:szCs w:val="22"/>
        </w:rPr>
        <w:t>fficiency Ratio (EER):</w:t>
      </w:r>
      <w:r w:rsidRPr="00633A4A">
        <w:rPr>
          <w:szCs w:val="22"/>
        </w:rPr>
        <w:t xml:space="preserve"> R</w:t>
      </w:r>
      <w:r w:rsidRPr="00633A4A">
        <w:rPr>
          <w:szCs w:val="22"/>
          <w:lang w:val="en-US"/>
        </w:rPr>
        <w:t>atio of the </w:t>
      </w:r>
      <w:r w:rsidRPr="00633A4A">
        <w:rPr>
          <w:bCs/>
          <w:szCs w:val="22"/>
          <w:lang w:val="en-US"/>
        </w:rPr>
        <w:t>cooling</w:t>
      </w:r>
      <w:r w:rsidRPr="00633A4A">
        <w:rPr>
          <w:szCs w:val="22"/>
          <w:lang w:val="en-US"/>
        </w:rPr>
        <w:t xml:space="preserve"> output divided by </w:t>
      </w:r>
      <w:r w:rsidRPr="00633A4A">
        <w:rPr>
          <w:lang w:val="en-US"/>
        </w:rPr>
        <w:t xml:space="preserve">the </w:t>
      </w:r>
      <w:r w:rsidRPr="00633A4A">
        <w:rPr>
          <w:szCs w:val="22"/>
        </w:rPr>
        <w:t>electrical energy input</w:t>
      </w:r>
      <w:r w:rsidRPr="00633A4A">
        <w:t xml:space="preserve"> </w:t>
      </w:r>
      <w:r w:rsidRPr="00633A4A">
        <w:rPr>
          <w:bCs/>
          <w:color w:val="262626"/>
          <w:kern w:val="2"/>
          <w:szCs w:val="22"/>
          <w:lang w:val="en-US"/>
        </w:rPr>
        <w:t>when measured at full load (i.e., at the</w:t>
      </w:r>
      <w:r w:rsidRPr="00633A4A">
        <w:rPr>
          <w:lang w:val="en-US"/>
        </w:rPr>
        <w:t xml:space="preserve"> </w:t>
      </w:r>
      <w:r w:rsidRPr="00633A4A">
        <w:rPr>
          <w:rFonts w:eastAsia="Calibri"/>
        </w:rPr>
        <w:t>maximum cooling capacity or the design point)</w:t>
      </w:r>
      <w:r w:rsidR="00764B04">
        <w:rPr>
          <w:rFonts w:eastAsia="Calibri"/>
        </w:rPr>
        <w:t xml:space="preserve"> and </w:t>
      </w:r>
      <w:r w:rsidRPr="00633A4A">
        <w:rPr>
          <w:rFonts w:eastAsia="Calibri"/>
        </w:rPr>
        <w:t>is measured in W/W or Btu/h/W (1 W = 3.412 Btu/h).</w:t>
      </w:r>
    </w:p>
    <w:p w14:paraId="4D7FD12D" w14:textId="77777777" w:rsidR="00633A4A" w:rsidRPr="00633A4A" w:rsidRDefault="00633A4A" w:rsidP="00633A4A">
      <w:pPr>
        <w:spacing w:before="120"/>
        <w:ind w:left="851" w:hanging="851"/>
        <w:rPr>
          <w:lang w:eastAsia="en-US"/>
        </w:rPr>
      </w:pPr>
      <w:r w:rsidRPr="00633A4A">
        <w:rPr>
          <w:b/>
          <w:lang w:eastAsia="en-US"/>
        </w:rPr>
        <w:t xml:space="preserve">Energy performance: </w:t>
      </w:r>
      <w:r w:rsidRPr="00633A4A">
        <w:rPr>
          <w:lang w:eastAsia="en-US"/>
        </w:rPr>
        <w:t>The amount of energy consumed for a piece of equipment or system to perform a specific level of service.</w:t>
      </w:r>
    </w:p>
    <w:p w14:paraId="69A1A54F" w14:textId="1DDF4F40" w:rsidR="00571A40" w:rsidRPr="00031D16" w:rsidRDefault="00571A40" w:rsidP="00571A40">
      <w:pPr>
        <w:spacing w:before="120"/>
        <w:ind w:left="851" w:hanging="851"/>
        <w:rPr>
          <w:b/>
          <w:szCs w:val="22"/>
        </w:rPr>
      </w:pPr>
      <w:r>
        <w:rPr>
          <w:b/>
          <w:szCs w:val="22"/>
        </w:rPr>
        <w:t xml:space="preserve">HSPF: </w:t>
      </w:r>
      <w:r w:rsidRPr="00031D16">
        <w:rPr>
          <w:szCs w:val="22"/>
        </w:rPr>
        <w:t>Heating Seasonal Performance Factor</w:t>
      </w:r>
      <w:r>
        <w:rPr>
          <w:b/>
          <w:szCs w:val="22"/>
        </w:rPr>
        <w:t xml:space="preserve"> </w:t>
      </w:r>
      <w:r>
        <w:rPr>
          <w:szCs w:val="22"/>
        </w:rPr>
        <w:t>(s</w:t>
      </w:r>
      <w:r w:rsidRPr="00B21A0C">
        <w:rPr>
          <w:szCs w:val="22"/>
        </w:rPr>
        <w:t xml:space="preserve">ee Seasonal Energy </w:t>
      </w:r>
      <w:r>
        <w:rPr>
          <w:szCs w:val="22"/>
        </w:rPr>
        <w:t>E</w:t>
      </w:r>
      <w:r w:rsidRPr="00B21A0C">
        <w:rPr>
          <w:szCs w:val="22"/>
        </w:rPr>
        <w:t>fficiency Ratio</w:t>
      </w:r>
      <w:r>
        <w:rPr>
          <w:szCs w:val="22"/>
        </w:rPr>
        <w:t>)</w:t>
      </w:r>
    </w:p>
    <w:p w14:paraId="3B889692" w14:textId="77777777" w:rsidR="00633A4A" w:rsidRPr="00633A4A" w:rsidRDefault="00633A4A" w:rsidP="00633A4A">
      <w:pPr>
        <w:spacing w:before="120"/>
        <w:ind w:left="851" w:hanging="851"/>
        <w:rPr>
          <w:b/>
          <w:szCs w:val="22"/>
        </w:rPr>
      </w:pPr>
      <w:r w:rsidRPr="00633A4A">
        <w:rPr>
          <w:b/>
          <w:lang w:eastAsia="en-US"/>
        </w:rPr>
        <w:t>Installed efficiency:</w:t>
      </w:r>
      <w:r w:rsidRPr="00633A4A">
        <w:rPr>
          <w:lang w:eastAsia="en-US"/>
        </w:rPr>
        <w:t xml:space="preserve"> The energy performance of equipment as installed.</w:t>
      </w:r>
    </w:p>
    <w:p w14:paraId="0205361C" w14:textId="77777777" w:rsidR="00633A4A" w:rsidRPr="00633A4A" w:rsidRDefault="00633A4A" w:rsidP="00633A4A">
      <w:pPr>
        <w:spacing w:before="120"/>
        <w:ind w:left="851" w:hanging="851"/>
        <w:rPr>
          <w:szCs w:val="22"/>
        </w:rPr>
      </w:pPr>
      <w:r w:rsidRPr="00633A4A">
        <w:rPr>
          <w:b/>
          <w:szCs w:val="22"/>
        </w:rPr>
        <w:t>ISEER:</w:t>
      </w:r>
      <w:r w:rsidRPr="00633A4A">
        <w:rPr>
          <w:szCs w:val="22"/>
        </w:rPr>
        <w:t xml:space="preserve"> Indian Seasonal Energy Efficiency Ratio.</w:t>
      </w:r>
    </w:p>
    <w:p w14:paraId="1CF98633" w14:textId="77777777" w:rsidR="00633A4A" w:rsidRPr="00633A4A" w:rsidRDefault="00633A4A" w:rsidP="00633A4A">
      <w:pPr>
        <w:spacing w:before="120"/>
        <w:ind w:left="851" w:hanging="851"/>
        <w:rPr>
          <w:szCs w:val="22"/>
          <w:lang w:val="en-US"/>
        </w:rPr>
      </w:pPr>
      <w:r w:rsidRPr="00633A4A">
        <w:rPr>
          <w:b/>
          <w:bCs/>
          <w:szCs w:val="22"/>
          <w:lang w:val="en-US"/>
        </w:rPr>
        <w:t>Kilowatthour (kWh):</w:t>
      </w:r>
      <w:r w:rsidRPr="00633A4A">
        <w:rPr>
          <w:szCs w:val="22"/>
          <w:lang w:val="en-US"/>
        </w:rPr>
        <w:t>  A measure of electricity defined as a unit of work or energy, measured as 1 kilowatt (1,000 watts) of power expended for 1 hour. One kWh is equivalent to 3,412 British Thermal Units (Btu).</w:t>
      </w:r>
    </w:p>
    <w:p w14:paraId="2B9E0495" w14:textId="77777777" w:rsidR="00633A4A" w:rsidRPr="00633A4A" w:rsidRDefault="00633A4A" w:rsidP="00633A4A">
      <w:pPr>
        <w:spacing w:before="120"/>
        <w:ind w:left="851" w:hanging="851"/>
        <w:rPr>
          <w:szCs w:val="22"/>
        </w:rPr>
      </w:pPr>
      <w:r w:rsidRPr="00633A4A">
        <w:rPr>
          <w:b/>
          <w:szCs w:val="22"/>
        </w:rPr>
        <w:t>Manufacturing cost:</w:t>
      </w:r>
      <w:r w:rsidRPr="00633A4A">
        <w:rPr>
          <w:szCs w:val="22"/>
        </w:rPr>
        <w:t xml:space="preserve"> cost to manufacture the equipment.</w:t>
      </w:r>
    </w:p>
    <w:p w14:paraId="68229F7E" w14:textId="77777777" w:rsidR="00633A4A" w:rsidRPr="00BB266C" w:rsidRDefault="00633A4A" w:rsidP="00633A4A">
      <w:pPr>
        <w:spacing w:before="120"/>
        <w:ind w:left="851" w:hanging="851"/>
        <w:rPr>
          <w:szCs w:val="22"/>
        </w:rPr>
      </w:pPr>
      <w:r w:rsidRPr="00BB266C">
        <w:rPr>
          <w:b/>
          <w:szCs w:val="22"/>
        </w:rPr>
        <w:t>Million tonnes oil equivalent (Mtoe):</w:t>
      </w:r>
      <w:r w:rsidRPr="00BB266C">
        <w:rPr>
          <w:szCs w:val="22"/>
        </w:rPr>
        <w:t xml:space="preserve"> 1 Mtoe = 11.63 billion kWh </w:t>
      </w:r>
    </w:p>
    <w:p w14:paraId="134D9D09" w14:textId="409E9704" w:rsidR="00633A4A" w:rsidRPr="00BB266C" w:rsidRDefault="00633A4A" w:rsidP="00633A4A">
      <w:pPr>
        <w:spacing w:before="120"/>
        <w:ind w:left="851" w:hanging="851"/>
        <w:rPr>
          <w:b/>
          <w:szCs w:val="22"/>
        </w:rPr>
      </w:pPr>
      <w:r w:rsidRPr="00BB266C">
        <w:rPr>
          <w:b/>
          <w:szCs w:val="22"/>
        </w:rPr>
        <w:t>Nominal design point:</w:t>
      </w:r>
      <w:r w:rsidR="005B57F2" w:rsidRPr="00BB266C">
        <w:rPr>
          <w:b/>
          <w:szCs w:val="22"/>
        </w:rPr>
        <w:t xml:space="preserve"> </w:t>
      </w:r>
      <w:r w:rsidR="005B57F2" w:rsidRPr="00BB266C">
        <w:rPr>
          <w:szCs w:val="22"/>
        </w:rPr>
        <w:t>represents the set of conditions (e.g. indoor and outdoor temperatures) used to design the system</w:t>
      </w:r>
    </w:p>
    <w:p w14:paraId="238E2A34" w14:textId="77777777" w:rsidR="00633A4A" w:rsidRPr="00BB266C" w:rsidRDefault="00633A4A" w:rsidP="00633A4A">
      <w:pPr>
        <w:spacing w:before="120"/>
        <w:ind w:left="851" w:hanging="851"/>
        <w:rPr>
          <w:szCs w:val="22"/>
        </w:rPr>
      </w:pPr>
      <w:r w:rsidRPr="00BB266C">
        <w:rPr>
          <w:b/>
          <w:szCs w:val="22"/>
        </w:rPr>
        <w:t>Operating cost:</w:t>
      </w:r>
      <w:r w:rsidRPr="00BB266C">
        <w:rPr>
          <w:szCs w:val="22"/>
        </w:rPr>
        <w:t xml:space="preserve"> The cost to the equipment user to operate the equipment.</w:t>
      </w:r>
    </w:p>
    <w:p w14:paraId="1FF5CEC1" w14:textId="65E18EFA" w:rsidR="00633A4A" w:rsidRPr="00031D16" w:rsidRDefault="00633A4A" w:rsidP="00633A4A">
      <w:pPr>
        <w:spacing w:before="120"/>
        <w:ind w:left="851" w:hanging="851"/>
        <w:rPr>
          <w:szCs w:val="22"/>
        </w:rPr>
      </w:pPr>
      <w:r w:rsidRPr="00BB266C">
        <w:rPr>
          <w:b/>
          <w:szCs w:val="22"/>
        </w:rPr>
        <w:t xml:space="preserve">Part-load operation: </w:t>
      </w:r>
      <w:r w:rsidR="00DF7F9A" w:rsidRPr="00BB266C">
        <w:rPr>
          <w:szCs w:val="22"/>
        </w:rPr>
        <w:t>condition that happens when the system has to face a load lower than nominal (</w:t>
      </w:r>
      <w:r w:rsidR="002C5E4A">
        <w:rPr>
          <w:szCs w:val="22"/>
        </w:rPr>
        <w:t xml:space="preserve">nominal conditions are </w:t>
      </w:r>
      <w:r w:rsidR="00DF7F9A" w:rsidRPr="00BB266C">
        <w:rPr>
          <w:szCs w:val="22"/>
        </w:rPr>
        <w:t>used for the design of the system). RACHP systems usually operate at part-load conditions for most part of their life cycle.</w:t>
      </w:r>
    </w:p>
    <w:p w14:paraId="34098EFE" w14:textId="77777777" w:rsidR="00633A4A" w:rsidRPr="00633A4A" w:rsidRDefault="00633A4A" w:rsidP="00633A4A">
      <w:pPr>
        <w:spacing w:before="120"/>
        <w:ind w:left="851" w:hanging="851"/>
        <w:rPr>
          <w:szCs w:val="22"/>
        </w:rPr>
      </w:pPr>
      <w:r w:rsidRPr="00633A4A">
        <w:rPr>
          <w:b/>
          <w:szCs w:val="22"/>
        </w:rPr>
        <w:t>Peak Load:</w:t>
      </w:r>
      <w:r w:rsidRPr="00633A4A">
        <w:rPr>
          <w:szCs w:val="22"/>
        </w:rPr>
        <w:t xml:space="preserve"> The highest electricity demand occurring within a given period on an electric grid.</w:t>
      </w:r>
    </w:p>
    <w:p w14:paraId="6DBF67AF" w14:textId="77777777" w:rsidR="00633A4A" w:rsidRPr="00633A4A" w:rsidRDefault="00633A4A" w:rsidP="00633A4A">
      <w:pPr>
        <w:spacing w:before="120"/>
        <w:ind w:left="851" w:hanging="851"/>
        <w:rPr>
          <w:szCs w:val="22"/>
        </w:rPr>
      </w:pPr>
      <w:r w:rsidRPr="00633A4A">
        <w:rPr>
          <w:b/>
          <w:szCs w:val="22"/>
        </w:rPr>
        <w:t>Percent energy efficiency improvement:</w:t>
      </w:r>
      <w:r w:rsidRPr="00633A4A">
        <w:rPr>
          <w:szCs w:val="22"/>
        </w:rPr>
        <w:t xml:space="preserve"> percent change in energy consumption of an efficient unit compared with a base unit.</w:t>
      </w:r>
    </w:p>
    <w:p w14:paraId="62F9945E" w14:textId="77777777" w:rsidR="00633A4A" w:rsidRPr="00633A4A" w:rsidRDefault="00633A4A" w:rsidP="00633A4A">
      <w:pPr>
        <w:spacing w:before="120"/>
        <w:ind w:left="851" w:hanging="851"/>
        <w:rPr>
          <w:szCs w:val="22"/>
        </w:rPr>
      </w:pPr>
      <w:r w:rsidRPr="00633A4A">
        <w:rPr>
          <w:b/>
          <w:szCs w:val="22"/>
        </w:rPr>
        <w:t>Refrigeration Ton (RT)</w:t>
      </w:r>
      <w:r w:rsidRPr="00633A4A">
        <w:rPr>
          <w:szCs w:val="22"/>
        </w:rPr>
        <w:t>: Measure of cooling capacity, where 1 ton refers to 12,000 Btu, equivalent to the energy required to freeze 2000 pounds of water in 24 hours.</w:t>
      </w:r>
    </w:p>
    <w:p w14:paraId="1BBDB44A" w14:textId="77777777" w:rsidR="00633A4A" w:rsidRPr="00633A4A" w:rsidRDefault="00633A4A" w:rsidP="00633A4A">
      <w:pPr>
        <w:spacing w:before="120"/>
        <w:ind w:left="851" w:hanging="851"/>
        <w:rPr>
          <w:szCs w:val="22"/>
        </w:rPr>
      </w:pPr>
      <w:r w:rsidRPr="00633A4A">
        <w:rPr>
          <w:b/>
          <w:szCs w:val="22"/>
        </w:rPr>
        <w:t>Retail price:</w:t>
      </w:r>
      <w:r w:rsidRPr="00633A4A">
        <w:rPr>
          <w:szCs w:val="22"/>
        </w:rPr>
        <w:t xml:space="preserve"> Price to purchase the equipment.</w:t>
      </w:r>
    </w:p>
    <w:p w14:paraId="57BA4210" w14:textId="7EFF0327" w:rsidR="00633A4A" w:rsidRPr="00633A4A" w:rsidRDefault="00633A4A" w:rsidP="00633A4A">
      <w:pPr>
        <w:spacing w:before="120"/>
        <w:ind w:left="851" w:hanging="851"/>
        <w:rPr>
          <w:szCs w:val="22"/>
        </w:rPr>
      </w:pPr>
      <w:r w:rsidRPr="00633A4A">
        <w:rPr>
          <w:b/>
          <w:szCs w:val="22"/>
        </w:rPr>
        <w:t>Seasonal Energy Efficiency Ratio (SEER):</w:t>
      </w:r>
      <w:r w:rsidRPr="00633A4A">
        <w:rPr>
          <w:szCs w:val="22"/>
        </w:rPr>
        <w:t xml:space="preserve"> Ratio of cooling output </w:t>
      </w:r>
      <w:r w:rsidRPr="00633A4A">
        <w:t>divided by the</w:t>
      </w:r>
      <w:r w:rsidRPr="00633A4A">
        <w:rPr>
          <w:szCs w:val="22"/>
        </w:rPr>
        <w:t xml:space="preserve"> electrical energy input, </w:t>
      </w:r>
      <w:r w:rsidRPr="00633A4A">
        <w:t>measured at full and part-load, and weighted to represent</w:t>
      </w:r>
      <w:r w:rsidRPr="00633A4A">
        <w:rPr>
          <w:szCs w:val="22"/>
        </w:rPr>
        <w:t xml:space="preserve"> the overall performance of the device for the weather over a typical cooling season in each given country.</w:t>
      </w:r>
      <w:r w:rsidRPr="00633A4A">
        <w:t xml:space="preserve"> </w:t>
      </w:r>
      <w:r w:rsidRPr="00633A4A">
        <w:rPr>
          <w:rFonts w:eastAsia="Calibri"/>
        </w:rPr>
        <w:t xml:space="preserve">An alternative name to SEER is the </w:t>
      </w:r>
      <w:r w:rsidR="00571A40">
        <w:rPr>
          <w:rFonts w:eastAsia="Calibri"/>
          <w:b/>
        </w:rPr>
        <w:t>C</w:t>
      </w:r>
      <w:r w:rsidRPr="00633A4A">
        <w:rPr>
          <w:rFonts w:eastAsia="Calibri"/>
          <w:b/>
        </w:rPr>
        <w:t xml:space="preserve">ooling </w:t>
      </w:r>
      <w:r w:rsidR="00571A40">
        <w:rPr>
          <w:rFonts w:eastAsia="Calibri"/>
          <w:b/>
        </w:rPr>
        <w:t>S</w:t>
      </w:r>
      <w:r w:rsidRPr="00633A4A">
        <w:rPr>
          <w:rFonts w:eastAsia="Calibri"/>
          <w:b/>
        </w:rPr>
        <w:t xml:space="preserve">easonal </w:t>
      </w:r>
      <w:r w:rsidR="00571A40">
        <w:rPr>
          <w:rFonts w:eastAsia="Calibri"/>
          <w:b/>
        </w:rPr>
        <w:t>P</w:t>
      </w:r>
      <w:r w:rsidRPr="00633A4A">
        <w:rPr>
          <w:rFonts w:eastAsia="Calibri"/>
          <w:b/>
        </w:rPr>
        <w:t xml:space="preserve">erformance </w:t>
      </w:r>
      <w:r w:rsidR="00571A40">
        <w:rPr>
          <w:rFonts w:eastAsia="Calibri"/>
          <w:b/>
        </w:rPr>
        <w:t>F</w:t>
      </w:r>
      <w:r w:rsidRPr="00633A4A">
        <w:rPr>
          <w:rFonts w:eastAsia="Calibri"/>
          <w:b/>
        </w:rPr>
        <w:t>actor (CSPF)</w:t>
      </w:r>
      <w:r w:rsidRPr="00633A4A">
        <w:rPr>
          <w:rFonts w:eastAsia="Calibri"/>
        </w:rPr>
        <w:t xml:space="preserve">. </w:t>
      </w:r>
      <w:r w:rsidRPr="00633A4A">
        <w:rPr>
          <w:rFonts w:eastAsia="Calibri"/>
          <w:b/>
        </w:rPr>
        <w:t xml:space="preserve">Heating </w:t>
      </w:r>
      <w:r w:rsidR="00571A40">
        <w:rPr>
          <w:rFonts w:eastAsia="Calibri"/>
          <w:b/>
        </w:rPr>
        <w:t>S</w:t>
      </w:r>
      <w:r w:rsidRPr="00633A4A">
        <w:rPr>
          <w:rFonts w:eastAsia="Calibri"/>
          <w:b/>
        </w:rPr>
        <w:t xml:space="preserve">easonal </w:t>
      </w:r>
      <w:r w:rsidR="00571A40">
        <w:rPr>
          <w:rFonts w:eastAsia="Calibri"/>
          <w:b/>
        </w:rPr>
        <w:t>P</w:t>
      </w:r>
      <w:r w:rsidRPr="00633A4A">
        <w:rPr>
          <w:rFonts w:eastAsia="Calibri"/>
          <w:b/>
        </w:rPr>
        <w:t xml:space="preserve">erformance </w:t>
      </w:r>
      <w:r w:rsidR="00571A40">
        <w:rPr>
          <w:rFonts w:eastAsia="Calibri"/>
          <w:b/>
        </w:rPr>
        <w:t>F</w:t>
      </w:r>
      <w:r w:rsidRPr="00633A4A">
        <w:rPr>
          <w:rFonts w:eastAsia="Calibri"/>
          <w:b/>
        </w:rPr>
        <w:t>actor (HSPF)</w:t>
      </w:r>
      <w:r w:rsidRPr="00633A4A">
        <w:rPr>
          <w:rFonts w:eastAsia="Calibri"/>
        </w:rPr>
        <w:t xml:space="preserve"> is used for heating mode. </w:t>
      </w:r>
      <w:r w:rsidRPr="00633A4A">
        <w:rPr>
          <w:rFonts w:eastAsia="Calibri"/>
          <w:b/>
        </w:rPr>
        <w:t>Annual Performance Factor (APF)</w:t>
      </w:r>
      <w:r w:rsidRPr="00633A4A">
        <w:rPr>
          <w:rFonts w:eastAsia="Calibri"/>
        </w:rPr>
        <w:t xml:space="preserve"> is a metric used for reversible heat-pump room air conditioners that heat and cool.</w:t>
      </w:r>
    </w:p>
    <w:p w14:paraId="1F854F15" w14:textId="77777777" w:rsidR="00633A4A" w:rsidRPr="00633A4A" w:rsidRDefault="00633A4A" w:rsidP="00633A4A">
      <w:pPr>
        <w:spacing w:before="120"/>
        <w:ind w:left="851" w:hanging="851"/>
        <w:rPr>
          <w:color w:val="auto"/>
          <w:szCs w:val="22"/>
        </w:rPr>
      </w:pPr>
      <w:r w:rsidRPr="00633A4A">
        <w:rPr>
          <w:b/>
          <w:color w:val="auto"/>
          <w:szCs w:val="22"/>
        </w:rPr>
        <w:t xml:space="preserve">Unit energy consumption: </w:t>
      </w:r>
      <w:r w:rsidRPr="00633A4A">
        <w:rPr>
          <w:color w:val="auto"/>
          <w:szCs w:val="22"/>
        </w:rPr>
        <w:t>The amount of energy consumed by a unit of equipment, usually over one year.</w:t>
      </w:r>
    </w:p>
    <w:p w14:paraId="5837A85A" w14:textId="77777777" w:rsidR="00633A4A" w:rsidRPr="00633A4A" w:rsidRDefault="00633A4A" w:rsidP="00633A4A">
      <w:pPr>
        <w:spacing w:before="120"/>
        <w:ind w:left="851" w:hanging="851"/>
        <w:rPr>
          <w:szCs w:val="22"/>
        </w:rPr>
      </w:pPr>
      <w:r w:rsidRPr="00633A4A">
        <w:rPr>
          <w:b/>
          <w:color w:val="auto"/>
          <w:szCs w:val="22"/>
        </w:rPr>
        <w:t xml:space="preserve">Variable speed drives (VSD): </w:t>
      </w:r>
      <w:r w:rsidRPr="00633A4A">
        <w:rPr>
          <w:color w:val="auto"/>
          <w:szCs w:val="22"/>
        </w:rPr>
        <w:t>A type of motor controller that drives an electric motor by varying the frequency and voltage supplied to the electric motor, also known as inverter.</w:t>
      </w:r>
    </w:p>
    <w:p w14:paraId="213986F8" w14:textId="77777777" w:rsidR="00771C95" w:rsidRPr="00F867D0" w:rsidRDefault="00771C95" w:rsidP="00771C95">
      <w:pPr>
        <w:pStyle w:val="CommentText"/>
        <w:rPr>
          <w:rFonts w:ascii="Times New Roman" w:hAnsi="Times New Roman"/>
          <w:sz w:val="22"/>
          <w:szCs w:val="22"/>
        </w:rPr>
      </w:pPr>
    </w:p>
    <w:p w14:paraId="755C93FB" w14:textId="77777777" w:rsidR="00C07ADA" w:rsidRPr="00F867D0" w:rsidRDefault="00C07ADA" w:rsidP="00D7091F">
      <w:pPr>
        <w:rPr>
          <w:szCs w:val="24"/>
        </w:rPr>
      </w:pPr>
    </w:p>
    <w:p w14:paraId="7BA6013C" w14:textId="77777777" w:rsidR="00C07ADA" w:rsidRPr="00F867D0" w:rsidRDefault="00C07ADA" w:rsidP="00D7091F">
      <w:pPr>
        <w:rPr>
          <w:szCs w:val="24"/>
        </w:rPr>
      </w:pPr>
    </w:p>
    <w:p w14:paraId="19C0A83D" w14:textId="77777777" w:rsidR="007C735F" w:rsidRPr="00F867D0" w:rsidRDefault="007C735F" w:rsidP="0094239E">
      <w:pPr>
        <w:spacing w:after="0"/>
        <w:rPr>
          <w:szCs w:val="22"/>
        </w:rPr>
      </w:pPr>
    </w:p>
    <w:p w14:paraId="11E5942D" w14:textId="77777777" w:rsidR="007C735F" w:rsidRPr="00F867D0" w:rsidRDefault="007C735F" w:rsidP="00CD7A7B">
      <w:pPr>
        <w:rPr>
          <w:color w:val="222222"/>
          <w:szCs w:val="22"/>
          <w:shd w:val="clear" w:color="auto" w:fill="FFFFFF"/>
        </w:rPr>
      </w:pPr>
    </w:p>
    <w:p w14:paraId="00EEF843" w14:textId="5E5A4531" w:rsidR="004D2587" w:rsidRPr="00F867D0" w:rsidRDefault="004D2587" w:rsidP="004D2587">
      <w:pPr>
        <w:ind w:left="2160" w:hanging="2160"/>
        <w:rPr>
          <w:szCs w:val="24"/>
        </w:rPr>
      </w:pPr>
      <w:r w:rsidRPr="00F867D0">
        <w:rPr>
          <w:szCs w:val="24"/>
        </w:rPr>
        <w:tab/>
        <w:t xml:space="preserve"> </w:t>
      </w:r>
    </w:p>
    <w:p w14:paraId="7EB6783E" w14:textId="2C116809" w:rsidR="004D2587" w:rsidRPr="00F867D0" w:rsidRDefault="004D2587">
      <w:pPr>
        <w:spacing w:after="0"/>
        <w:rPr>
          <w:szCs w:val="22"/>
        </w:rPr>
      </w:pPr>
      <w:r w:rsidRPr="00F867D0">
        <w:rPr>
          <w:szCs w:val="22"/>
        </w:rPr>
        <w:br w:type="page"/>
      </w:r>
    </w:p>
    <w:p w14:paraId="3AEE01CC" w14:textId="77777777" w:rsidR="00A00EEF" w:rsidRPr="000F749F" w:rsidRDefault="00A663AA" w:rsidP="000F749F">
      <w:pPr>
        <w:pStyle w:val="Heading1"/>
        <w:jc w:val="center"/>
        <w:rPr>
          <w:rStyle w:val="Heading1Char2"/>
          <w:rFonts w:ascii="Times New Roman" w:hAnsi="Times New Roman"/>
        </w:rPr>
      </w:pPr>
      <w:bookmarkStart w:id="124" w:name="_Toc515449104"/>
      <w:bookmarkStart w:id="125" w:name="_Toc515454404"/>
      <w:bookmarkEnd w:id="12"/>
      <w:bookmarkEnd w:id="17"/>
      <w:bookmarkEnd w:id="119"/>
      <w:r w:rsidRPr="000F749F">
        <w:rPr>
          <w:rStyle w:val="Heading1Char2"/>
          <w:rFonts w:ascii="Times New Roman" w:hAnsi="Times New Roman"/>
        </w:rPr>
        <w:t>A</w:t>
      </w:r>
      <w:r w:rsidR="00A00EEF" w:rsidRPr="000F749F">
        <w:rPr>
          <w:rStyle w:val="Heading1Char2"/>
          <w:rFonts w:ascii="Times New Roman" w:hAnsi="Times New Roman"/>
        </w:rPr>
        <w:t>NNEX A</w:t>
      </w:r>
      <w:bookmarkEnd w:id="124"/>
      <w:bookmarkEnd w:id="125"/>
    </w:p>
    <w:p w14:paraId="22A62E62" w14:textId="13EB0A12" w:rsidR="00A663AA" w:rsidRPr="000F749F" w:rsidRDefault="00A663AA" w:rsidP="000F749F">
      <w:pPr>
        <w:pStyle w:val="Heading1"/>
        <w:jc w:val="center"/>
        <w:rPr>
          <w:rStyle w:val="Heading1Char2"/>
          <w:rFonts w:ascii="Times New Roman" w:hAnsi="Times New Roman"/>
        </w:rPr>
      </w:pPr>
      <w:bookmarkStart w:id="126" w:name="_Toc515454405"/>
      <w:r w:rsidRPr="000F749F">
        <w:rPr>
          <w:rStyle w:val="Heading1Char2"/>
          <w:rFonts w:ascii="Times New Roman" w:hAnsi="Times New Roman"/>
        </w:rPr>
        <w:t>Sector-specific challenges to the uptake of technologies</w:t>
      </w:r>
      <w:bookmarkEnd w:id="126"/>
    </w:p>
    <w:p w14:paraId="407A4882" w14:textId="77777777" w:rsidR="00A663AA" w:rsidRPr="000F749F" w:rsidRDefault="00A663AA" w:rsidP="000F749F">
      <w:pPr>
        <w:pStyle w:val="Heading2"/>
        <w:rPr>
          <w:b w:val="0"/>
        </w:rPr>
      </w:pPr>
      <w:bookmarkStart w:id="127" w:name="_Toc515454406"/>
      <w:r w:rsidRPr="000F749F">
        <w:t>A.1</w:t>
      </w:r>
      <w:r w:rsidRPr="000F749F">
        <w:tab/>
        <w:t>Domestic refrigeration</w:t>
      </w:r>
      <w:bookmarkEnd w:id="127"/>
    </w:p>
    <w:p w14:paraId="2E3C7BA5" w14:textId="41340865" w:rsidR="00A663AA" w:rsidRDefault="00C1590C" w:rsidP="00A663AA">
      <w:pPr>
        <w:widowControl w:val="0"/>
        <w:autoSpaceDE w:val="0"/>
        <w:autoSpaceDN w:val="0"/>
        <w:adjustRightInd w:val="0"/>
        <w:spacing w:after="0"/>
        <w:ind w:right="193"/>
        <w:rPr>
          <w:rFonts w:eastAsia="Times New Roman"/>
          <w:b/>
          <w:color w:val="auto"/>
          <w:szCs w:val="22"/>
          <w:lang w:eastAsia="fr-FR"/>
        </w:rPr>
      </w:pPr>
      <w:r>
        <w:rPr>
          <w:rFonts w:eastAsia="Times New Roman"/>
          <w:b/>
          <w:color w:val="auto"/>
          <w:szCs w:val="22"/>
          <w:lang w:eastAsia="fr-FR"/>
        </w:rPr>
        <w:t>State of the art</w:t>
      </w:r>
    </w:p>
    <w:p w14:paraId="0432D09A" w14:textId="77777777" w:rsidR="00C1590C" w:rsidRPr="00F867D0" w:rsidRDefault="00C1590C" w:rsidP="00A663AA">
      <w:pPr>
        <w:widowControl w:val="0"/>
        <w:autoSpaceDE w:val="0"/>
        <w:autoSpaceDN w:val="0"/>
        <w:adjustRightInd w:val="0"/>
        <w:spacing w:after="0"/>
        <w:ind w:right="193"/>
        <w:rPr>
          <w:rFonts w:eastAsia="Times New Roman"/>
          <w:b/>
          <w:color w:val="auto"/>
          <w:szCs w:val="22"/>
          <w:lang w:eastAsia="fr-FR"/>
        </w:rPr>
      </w:pPr>
    </w:p>
    <w:p w14:paraId="6160294E" w14:textId="07BC357B" w:rsidR="00A663AA" w:rsidRPr="00F867D0" w:rsidRDefault="001815A3" w:rsidP="00A663AA">
      <w:pPr>
        <w:widowControl w:val="0"/>
        <w:autoSpaceDE w:val="0"/>
        <w:autoSpaceDN w:val="0"/>
        <w:adjustRightInd w:val="0"/>
        <w:spacing w:after="0"/>
        <w:ind w:right="193"/>
        <w:rPr>
          <w:rFonts w:eastAsia="Times New Roman"/>
          <w:color w:val="auto"/>
          <w:szCs w:val="22"/>
          <w:lang w:eastAsia="fr-FR"/>
        </w:rPr>
      </w:pPr>
      <w:r w:rsidRPr="00F867D0">
        <w:rPr>
          <w:rFonts w:eastAsia="Times New Roman"/>
          <w:color w:val="auto"/>
          <w:szCs w:val="22"/>
          <w:lang w:eastAsia="fr-FR"/>
        </w:rPr>
        <w:t>D</w:t>
      </w:r>
      <w:r w:rsidR="00A663AA" w:rsidRPr="00F867D0">
        <w:rPr>
          <w:rFonts w:eastAsia="Times New Roman"/>
          <w:color w:val="auto"/>
          <w:szCs w:val="22"/>
          <w:lang w:eastAsia="fr-FR"/>
        </w:rPr>
        <w:t xml:space="preserve">omestic refrigeration </w:t>
      </w:r>
      <w:r w:rsidRPr="00F867D0">
        <w:rPr>
          <w:rFonts w:eastAsia="Times New Roman"/>
          <w:color w:val="auto"/>
          <w:szCs w:val="22"/>
          <w:lang w:eastAsia="fr-FR"/>
        </w:rPr>
        <w:t>includes</w:t>
      </w:r>
      <w:r w:rsidR="00A663AA" w:rsidRPr="00F867D0">
        <w:rPr>
          <w:rFonts w:eastAsia="Times New Roman"/>
          <w:color w:val="auto"/>
          <w:szCs w:val="22"/>
          <w:lang w:eastAsia="fr-FR"/>
        </w:rPr>
        <w:t xml:space="preserve"> appliances that are broadly used domestically, such as refrigerators, freezers and combined refrigerator/freezer products. Small beverage dispensing machines and similar products are commonly included in domestic refrigeration but represent a small fraction </w:t>
      </w:r>
      <w:r w:rsidR="00A663AA" w:rsidRPr="00F867D0">
        <w:rPr>
          <w:rFonts w:eastAsia="Times New Roman"/>
          <w:color w:val="auto"/>
          <w:spacing w:val="-4"/>
          <w:szCs w:val="22"/>
          <w:lang w:eastAsia="fr-FR"/>
        </w:rPr>
        <w:t xml:space="preserve">of total units. </w:t>
      </w:r>
      <w:r w:rsidR="00A663AA" w:rsidRPr="00F867D0">
        <w:rPr>
          <w:rFonts w:eastAsia="Times New Roman"/>
          <w:color w:val="auto"/>
          <w:szCs w:val="22"/>
          <w:lang w:eastAsia="fr-FR"/>
        </w:rPr>
        <w:t xml:space="preserve">Approximately 170 million domestic refrigerators and freezers are produced annually </w:t>
      </w:r>
      <w:r w:rsidR="00D07E69" w:rsidRPr="00F867D0">
        <w:rPr>
          <w:rFonts w:eastAsia="Times New Roman"/>
          <w:color w:val="auto"/>
          <w:szCs w:val="22"/>
          <w:lang w:eastAsia="fr-FR"/>
        </w:rPr>
        <w:t>[</w:t>
      </w:r>
      <w:r w:rsidR="006A2D73" w:rsidRPr="00F867D0">
        <w:rPr>
          <w:rFonts w:eastAsia="Times New Roman"/>
          <w:color w:val="auto"/>
          <w:szCs w:val="22"/>
          <w:lang w:eastAsia="fr-FR"/>
        </w:rPr>
        <w:t>UNEP,</w:t>
      </w:r>
      <w:r w:rsidR="00A663AA" w:rsidRPr="00F867D0">
        <w:rPr>
          <w:rFonts w:eastAsia="Times New Roman"/>
          <w:color w:val="auto"/>
          <w:szCs w:val="22"/>
          <w:lang w:eastAsia="fr-FR"/>
        </w:rPr>
        <w:t xml:space="preserve"> 201</w:t>
      </w:r>
      <w:r w:rsidR="00D41EAD" w:rsidRPr="00F867D0">
        <w:rPr>
          <w:rFonts w:eastAsia="Times New Roman"/>
          <w:color w:val="auto"/>
          <w:szCs w:val="22"/>
          <w:lang w:eastAsia="fr-FR"/>
        </w:rPr>
        <w:t>4]</w:t>
      </w:r>
      <w:r w:rsidR="00A663AA" w:rsidRPr="00F867D0">
        <w:rPr>
          <w:rFonts w:eastAsia="Times New Roman"/>
          <w:color w:val="auto"/>
          <w:szCs w:val="22"/>
          <w:lang w:eastAsia="fr-FR"/>
        </w:rPr>
        <w:t xml:space="preserve">. Long product life and large annual production volume combine for an estimated 2.0 to 2.3 billion units global installed inventory. </w:t>
      </w:r>
      <w:r w:rsidR="00D41EAD" w:rsidRPr="00F867D0">
        <w:rPr>
          <w:rFonts w:eastAsia="Times New Roman"/>
          <w:color w:val="auto"/>
          <w:szCs w:val="22"/>
          <w:lang w:eastAsia="fr-FR"/>
        </w:rPr>
        <w:t>[</w:t>
      </w:r>
      <w:r w:rsidR="00A663AA" w:rsidRPr="00F867D0">
        <w:rPr>
          <w:rFonts w:eastAsia="Times New Roman"/>
          <w:color w:val="auto"/>
          <w:szCs w:val="22"/>
          <w:lang w:eastAsia="fr-FR"/>
        </w:rPr>
        <w:t>IIR</w:t>
      </w:r>
      <w:r w:rsidR="00D41EAD" w:rsidRPr="00F867D0">
        <w:rPr>
          <w:rFonts w:eastAsia="Times New Roman"/>
          <w:color w:val="auto"/>
          <w:szCs w:val="22"/>
          <w:lang w:eastAsia="fr-FR"/>
        </w:rPr>
        <w:t xml:space="preserve">, </w:t>
      </w:r>
      <w:r w:rsidR="00A663AA" w:rsidRPr="00F867D0">
        <w:rPr>
          <w:rFonts w:eastAsia="Times New Roman"/>
          <w:color w:val="auto"/>
          <w:szCs w:val="22"/>
          <w:lang w:eastAsia="fr-FR"/>
        </w:rPr>
        <w:t>2015</w:t>
      </w:r>
      <w:r w:rsidR="00D41EAD" w:rsidRPr="00F867D0">
        <w:rPr>
          <w:rFonts w:eastAsia="Times New Roman"/>
          <w:color w:val="auto"/>
          <w:szCs w:val="22"/>
          <w:lang w:eastAsia="fr-FR"/>
        </w:rPr>
        <w:t>]</w:t>
      </w:r>
      <w:r w:rsidR="00A663AA" w:rsidRPr="00F867D0">
        <w:rPr>
          <w:rFonts w:eastAsia="Times New Roman"/>
          <w:color w:val="auto"/>
          <w:szCs w:val="22"/>
          <w:lang w:eastAsia="fr-FR"/>
        </w:rPr>
        <w:t xml:space="preserve"> estimated that domestic refrigerators and freezers consume almost 4% of global electricity.  The energy consumption of typical household refrigerators has dropped by around 65% in the last 15 years. Globally, energy efficiencies of refrigerators have been increasing constantly, as evident from the evolution of the energy labels in all many countries. </w:t>
      </w:r>
    </w:p>
    <w:p w14:paraId="411D704D" w14:textId="77777777" w:rsidR="00A663AA" w:rsidRPr="00F867D0" w:rsidRDefault="00A663AA" w:rsidP="00A663AA">
      <w:pPr>
        <w:widowControl w:val="0"/>
        <w:autoSpaceDE w:val="0"/>
        <w:autoSpaceDN w:val="0"/>
        <w:adjustRightInd w:val="0"/>
        <w:spacing w:after="0"/>
        <w:ind w:right="193"/>
        <w:rPr>
          <w:rFonts w:eastAsia="Times New Roman"/>
          <w:color w:val="auto"/>
          <w:szCs w:val="22"/>
          <w:lang w:eastAsia="fr-FR"/>
        </w:rPr>
      </w:pPr>
    </w:p>
    <w:p w14:paraId="216A0115" w14:textId="0994FCF2" w:rsidR="00A663AA" w:rsidRDefault="00A663AA" w:rsidP="00A663AA">
      <w:pPr>
        <w:widowControl w:val="0"/>
        <w:autoSpaceDE w:val="0"/>
        <w:autoSpaceDN w:val="0"/>
        <w:adjustRightInd w:val="0"/>
        <w:spacing w:after="0"/>
        <w:ind w:right="193"/>
        <w:rPr>
          <w:rFonts w:eastAsia="Times New Roman"/>
          <w:b/>
          <w:color w:val="auto"/>
          <w:szCs w:val="22"/>
          <w:lang w:eastAsia="fr-FR"/>
        </w:rPr>
      </w:pPr>
      <w:r w:rsidRPr="00F867D0">
        <w:rPr>
          <w:rFonts w:eastAsia="Times New Roman"/>
          <w:b/>
          <w:color w:val="auto"/>
          <w:szCs w:val="22"/>
          <w:lang w:eastAsia="fr-FR"/>
        </w:rPr>
        <w:t>Op</w:t>
      </w:r>
      <w:r w:rsidR="00C1590C">
        <w:rPr>
          <w:rFonts w:eastAsia="Times New Roman"/>
          <w:b/>
          <w:color w:val="auto"/>
          <w:szCs w:val="22"/>
          <w:lang w:eastAsia="fr-FR"/>
        </w:rPr>
        <w:t>portunities</w:t>
      </w:r>
    </w:p>
    <w:p w14:paraId="33B88890" w14:textId="77777777" w:rsidR="00C1590C" w:rsidRPr="00F867D0" w:rsidRDefault="00C1590C" w:rsidP="00A663AA">
      <w:pPr>
        <w:widowControl w:val="0"/>
        <w:autoSpaceDE w:val="0"/>
        <w:autoSpaceDN w:val="0"/>
        <w:adjustRightInd w:val="0"/>
        <w:spacing w:after="0"/>
        <w:ind w:right="193"/>
        <w:rPr>
          <w:rFonts w:eastAsia="Times New Roman"/>
          <w:b/>
          <w:color w:val="auto"/>
          <w:szCs w:val="22"/>
          <w:lang w:eastAsia="fr-FR"/>
        </w:rPr>
      </w:pPr>
    </w:p>
    <w:p w14:paraId="0A2B4286" w14:textId="59E0E95D" w:rsidR="00A663AA" w:rsidRPr="00F867D0" w:rsidRDefault="001815A3" w:rsidP="00A663AA">
      <w:pPr>
        <w:widowControl w:val="0"/>
        <w:autoSpaceDE w:val="0"/>
        <w:autoSpaceDN w:val="0"/>
        <w:adjustRightInd w:val="0"/>
        <w:spacing w:after="0"/>
        <w:ind w:right="193"/>
        <w:rPr>
          <w:rFonts w:eastAsia="Times New Roman"/>
          <w:color w:val="auto"/>
          <w:szCs w:val="22"/>
          <w:lang w:eastAsia="fr-FR"/>
        </w:rPr>
      </w:pPr>
      <w:r w:rsidRPr="00F867D0">
        <w:rPr>
          <w:rFonts w:eastAsia="Times New Roman"/>
          <w:color w:val="auto"/>
          <w:szCs w:val="22"/>
          <w:lang w:eastAsia="fr-FR"/>
        </w:rPr>
        <w:t>The conversion of n</w:t>
      </w:r>
      <w:r w:rsidR="00A663AA" w:rsidRPr="00F867D0">
        <w:rPr>
          <w:rFonts w:eastAsia="Times New Roman"/>
          <w:color w:val="auto"/>
          <w:szCs w:val="22"/>
          <w:lang w:eastAsia="fr-FR"/>
        </w:rPr>
        <w:t xml:space="preserve">ew refrigerator production from ODS was completed </w:t>
      </w:r>
      <w:r w:rsidRPr="00F867D0">
        <w:rPr>
          <w:rFonts w:eastAsia="Times New Roman"/>
          <w:color w:val="auto"/>
          <w:szCs w:val="22"/>
          <w:lang w:eastAsia="fr-FR"/>
        </w:rPr>
        <w:t xml:space="preserve">worldwide </w:t>
      </w:r>
      <w:r w:rsidR="00A663AA" w:rsidRPr="00F867D0">
        <w:rPr>
          <w:rFonts w:eastAsia="Times New Roman"/>
          <w:color w:val="auto"/>
          <w:szCs w:val="22"/>
          <w:lang w:eastAsia="fr-FR"/>
        </w:rPr>
        <w:t xml:space="preserve">by 2008. HC-600a (isobutane) or HFC-134a continues to be the refrigerant options for new production. No other new refrigerant has matured yet to become an energy-efficient and cost-competitive alternative. It was projected that by 2020, about 75% of new refrigerator production will use HC-600a (possibly with a small share by unsaturated HFC refrigerants) and the rest will use HFC-134a </w:t>
      </w:r>
      <w:r w:rsidR="00D41EAD" w:rsidRPr="00F867D0">
        <w:rPr>
          <w:rFonts w:eastAsia="Times New Roman"/>
          <w:color w:val="auto"/>
          <w:szCs w:val="22"/>
          <w:lang w:eastAsia="fr-FR"/>
        </w:rPr>
        <w:t>[</w:t>
      </w:r>
      <w:r w:rsidR="00A663AA" w:rsidRPr="00F867D0">
        <w:rPr>
          <w:rFonts w:eastAsia="Times New Roman"/>
          <w:color w:val="auto"/>
          <w:szCs w:val="22"/>
          <w:lang w:eastAsia="fr-FR"/>
        </w:rPr>
        <w:t>UNEP, 2014</w:t>
      </w:r>
      <w:r w:rsidR="00D41EAD" w:rsidRPr="00F867D0">
        <w:rPr>
          <w:rFonts w:eastAsia="Times New Roman"/>
          <w:color w:val="auto"/>
          <w:szCs w:val="22"/>
          <w:lang w:eastAsia="fr-FR"/>
        </w:rPr>
        <w:t>]</w:t>
      </w:r>
      <w:r w:rsidR="00A663AA" w:rsidRPr="00F867D0">
        <w:rPr>
          <w:rFonts w:eastAsia="Times New Roman"/>
          <w:color w:val="auto"/>
          <w:szCs w:val="22"/>
          <w:lang w:eastAsia="fr-FR"/>
        </w:rPr>
        <w:t xml:space="preserve">. </w:t>
      </w:r>
      <w:r w:rsidRPr="00F867D0">
        <w:rPr>
          <w:rFonts w:eastAsia="Times New Roman"/>
          <w:color w:val="auto"/>
          <w:szCs w:val="22"/>
          <w:lang w:eastAsia="fr-FR"/>
        </w:rPr>
        <w:t xml:space="preserve">Following the </w:t>
      </w:r>
      <w:r w:rsidR="00A663AA" w:rsidRPr="00F867D0">
        <w:rPr>
          <w:rFonts w:eastAsia="Times New Roman"/>
          <w:color w:val="auto"/>
          <w:szCs w:val="22"/>
          <w:lang w:eastAsia="fr-FR"/>
        </w:rPr>
        <w:t xml:space="preserve">Kigali Amendment, refrigerant migration from HFC-134a to HC-600a is expected to accelerate, driven by local regulations on HFCs. </w:t>
      </w:r>
    </w:p>
    <w:p w14:paraId="155422B5" w14:textId="77777777" w:rsidR="009F09A9" w:rsidRPr="00F867D0" w:rsidRDefault="009F09A9" w:rsidP="00A663AA">
      <w:pPr>
        <w:spacing w:after="0"/>
        <w:rPr>
          <w:rFonts w:eastAsia="Times New Roman"/>
          <w:color w:val="auto"/>
          <w:szCs w:val="22"/>
          <w:lang w:eastAsia="fr-FR"/>
        </w:rPr>
      </w:pPr>
    </w:p>
    <w:p w14:paraId="38A3CC0C" w14:textId="200BA229" w:rsidR="00A663AA" w:rsidRPr="00F867D0" w:rsidRDefault="00A663AA" w:rsidP="00A663AA">
      <w:pPr>
        <w:spacing w:after="0"/>
        <w:rPr>
          <w:rFonts w:eastAsia="Times New Roman"/>
          <w:color w:val="auto"/>
          <w:szCs w:val="22"/>
          <w:lang w:eastAsia="fr-FR"/>
        </w:rPr>
      </w:pPr>
      <w:r w:rsidRPr="00F867D0">
        <w:rPr>
          <w:rFonts w:eastAsia="Times New Roman"/>
          <w:color w:val="auto"/>
          <w:szCs w:val="22"/>
          <w:lang w:eastAsia="fr-FR"/>
        </w:rPr>
        <w:t>Energy labelling and minimum standards have been introduced in both developed and developing countries and are reviewed and upgraded on a regular basis, driving the product to reduced energy consumption levels. One example is the AHAM 7001-2012 Sustainability Standard for Household Refrigeration Appliances</w:t>
      </w:r>
      <w:r w:rsidR="00B96793" w:rsidRPr="00F867D0">
        <w:rPr>
          <w:rFonts w:eastAsia="Times New Roman"/>
          <w:color w:val="auto"/>
          <w:szCs w:val="22"/>
          <w:lang w:eastAsia="fr-FR"/>
        </w:rPr>
        <w:t xml:space="preserve"> [AHAM, 2012]</w:t>
      </w:r>
      <w:r w:rsidRPr="00F867D0">
        <w:rPr>
          <w:rFonts w:eastAsia="Times New Roman"/>
          <w:color w:val="auto"/>
          <w:szCs w:val="22"/>
          <w:lang w:eastAsia="fr-FR"/>
        </w:rPr>
        <w:t>, developed and endorsed by multiple stakeholders, including environmental, industry, government and consumers.</w:t>
      </w:r>
    </w:p>
    <w:p w14:paraId="33C19DFA" w14:textId="77777777" w:rsidR="003C37C3" w:rsidRDefault="003C37C3" w:rsidP="00A663AA">
      <w:pPr>
        <w:spacing w:after="0"/>
        <w:rPr>
          <w:rFonts w:eastAsia="Times New Roman"/>
          <w:color w:val="auto"/>
          <w:szCs w:val="22"/>
          <w:lang w:eastAsia="fr-FR"/>
        </w:rPr>
      </w:pPr>
    </w:p>
    <w:p w14:paraId="7ED7B921" w14:textId="6EE0EF80" w:rsidR="00A663AA" w:rsidRPr="00F867D0" w:rsidRDefault="00A663AA" w:rsidP="00A663AA">
      <w:pPr>
        <w:spacing w:after="0"/>
        <w:rPr>
          <w:rFonts w:eastAsia="Times New Roman"/>
          <w:color w:val="auto"/>
          <w:szCs w:val="22"/>
          <w:lang w:eastAsia="fr-FR"/>
        </w:rPr>
      </w:pPr>
      <w:r w:rsidRPr="00F867D0">
        <w:rPr>
          <w:rFonts w:eastAsia="Times New Roman"/>
          <w:color w:val="auto"/>
          <w:szCs w:val="22"/>
          <w:lang w:eastAsia="fr-FR"/>
        </w:rPr>
        <w:t>Significant technology options to improve product E</w:t>
      </w:r>
      <w:r w:rsidR="003C37C3">
        <w:rPr>
          <w:rFonts w:eastAsia="Times New Roman"/>
          <w:color w:val="auto"/>
          <w:szCs w:val="22"/>
          <w:lang w:eastAsia="fr-FR"/>
        </w:rPr>
        <w:t>E</w:t>
      </w:r>
      <w:r w:rsidRPr="00F867D0">
        <w:rPr>
          <w:rFonts w:eastAsia="Times New Roman"/>
          <w:color w:val="auto"/>
          <w:szCs w:val="22"/>
          <w:lang w:eastAsia="fr-FR"/>
        </w:rPr>
        <w:t xml:space="preserve"> have been already demonstrated in mass production for robustness and long-term reliability. Both mandatory and voluntary </w:t>
      </w:r>
      <w:r w:rsidR="003C37C3">
        <w:rPr>
          <w:rFonts w:eastAsia="Times New Roman"/>
          <w:color w:val="auto"/>
          <w:szCs w:val="22"/>
          <w:lang w:eastAsia="fr-FR"/>
        </w:rPr>
        <w:t>EE</w:t>
      </w:r>
      <w:r w:rsidRPr="00F867D0">
        <w:rPr>
          <w:rFonts w:eastAsia="Times New Roman"/>
          <w:color w:val="auto"/>
          <w:szCs w:val="22"/>
          <w:lang w:eastAsia="fr-FR"/>
        </w:rPr>
        <w:t xml:space="preserve"> regulation programs catalysed refrigerator efficiency development efforts. There are global standards and protocol developed for energy test (IEC 62552-1, 2 and 3, 2015)</w:t>
      </w:r>
      <w:r w:rsidR="00B96793" w:rsidRPr="00F867D0">
        <w:rPr>
          <w:rFonts w:eastAsia="Times New Roman"/>
          <w:color w:val="auto"/>
          <w:szCs w:val="22"/>
          <w:lang w:eastAsia="fr-FR"/>
        </w:rPr>
        <w:t xml:space="preserve"> [UNEP, 2017b]</w:t>
      </w:r>
      <w:r w:rsidRPr="00F867D0">
        <w:rPr>
          <w:rFonts w:eastAsia="Times New Roman"/>
          <w:color w:val="auto"/>
          <w:szCs w:val="22"/>
          <w:lang w:eastAsia="fr-FR"/>
        </w:rPr>
        <w:t xml:space="preserve">. A number of improved </w:t>
      </w:r>
      <w:r w:rsidR="003C37C3">
        <w:rPr>
          <w:rFonts w:eastAsia="Times New Roman"/>
          <w:color w:val="auto"/>
          <w:szCs w:val="22"/>
          <w:lang w:eastAsia="fr-FR"/>
        </w:rPr>
        <w:t>EE</w:t>
      </w:r>
      <w:r w:rsidRPr="00F867D0">
        <w:rPr>
          <w:rFonts w:eastAsia="Times New Roman"/>
          <w:color w:val="auto"/>
          <w:szCs w:val="22"/>
          <w:lang w:eastAsia="fr-FR"/>
        </w:rPr>
        <w:t xml:space="preserve"> design options are fully mature, and future improvements of these options are expected to be evolutionary. Examples of these options include: </w:t>
      </w:r>
    </w:p>
    <w:p w14:paraId="34E61FD9" w14:textId="77777777" w:rsidR="00A663AA" w:rsidRPr="00F867D0" w:rsidRDefault="00A663AA" w:rsidP="00736989">
      <w:pPr>
        <w:numPr>
          <w:ilvl w:val="0"/>
          <w:numId w:val="57"/>
        </w:numPr>
        <w:spacing w:after="0"/>
        <w:rPr>
          <w:color w:val="auto"/>
          <w:kern w:val="2"/>
          <w:szCs w:val="22"/>
          <w:lang w:eastAsia="fr-FR"/>
        </w:rPr>
      </w:pPr>
      <w:r w:rsidRPr="00F867D0">
        <w:rPr>
          <w:color w:val="auto"/>
          <w:kern w:val="2"/>
          <w:szCs w:val="22"/>
          <w:lang w:eastAsia="fr-FR"/>
        </w:rPr>
        <w:t xml:space="preserve">efficient compressors, </w:t>
      </w:r>
    </w:p>
    <w:p w14:paraId="7B60A138" w14:textId="77777777" w:rsidR="00A663AA" w:rsidRPr="00F867D0" w:rsidRDefault="00A663AA" w:rsidP="00736989">
      <w:pPr>
        <w:numPr>
          <w:ilvl w:val="0"/>
          <w:numId w:val="57"/>
        </w:numPr>
        <w:spacing w:after="0"/>
        <w:rPr>
          <w:color w:val="auto"/>
          <w:kern w:val="2"/>
          <w:szCs w:val="22"/>
          <w:lang w:eastAsia="fr-FR"/>
        </w:rPr>
      </w:pPr>
      <w:r w:rsidRPr="00F867D0">
        <w:rPr>
          <w:color w:val="auto"/>
          <w:kern w:val="2"/>
          <w:szCs w:val="22"/>
          <w:lang w:eastAsia="fr-FR"/>
        </w:rPr>
        <w:t xml:space="preserve">high efficiency heat exchangers, </w:t>
      </w:r>
    </w:p>
    <w:p w14:paraId="4515D5EF" w14:textId="77777777" w:rsidR="00A663AA" w:rsidRPr="00F867D0" w:rsidRDefault="00A663AA" w:rsidP="00736989">
      <w:pPr>
        <w:numPr>
          <w:ilvl w:val="0"/>
          <w:numId w:val="57"/>
        </w:numPr>
        <w:spacing w:after="0"/>
        <w:rPr>
          <w:color w:val="auto"/>
          <w:kern w:val="2"/>
          <w:szCs w:val="22"/>
          <w:lang w:eastAsia="fr-FR"/>
        </w:rPr>
      </w:pPr>
      <w:r w:rsidRPr="00F867D0">
        <w:rPr>
          <w:color w:val="auto"/>
          <w:kern w:val="2"/>
          <w:szCs w:val="22"/>
          <w:lang w:eastAsia="fr-FR"/>
        </w:rPr>
        <w:t xml:space="preserve">improved low thermal loss cabinet structures and gaskets, and </w:t>
      </w:r>
    </w:p>
    <w:p w14:paraId="71BCFD93" w14:textId="77777777" w:rsidR="00A663AA" w:rsidRPr="00F867D0" w:rsidRDefault="00A663AA" w:rsidP="00736989">
      <w:pPr>
        <w:numPr>
          <w:ilvl w:val="0"/>
          <w:numId w:val="57"/>
        </w:numPr>
        <w:spacing w:after="0"/>
        <w:rPr>
          <w:color w:val="auto"/>
          <w:kern w:val="2"/>
          <w:szCs w:val="22"/>
          <w:lang w:eastAsia="fr-FR"/>
        </w:rPr>
      </w:pPr>
      <w:r w:rsidRPr="00F867D0">
        <w:rPr>
          <w:color w:val="auto"/>
          <w:kern w:val="2"/>
          <w:szCs w:val="22"/>
          <w:lang w:eastAsia="fr-FR"/>
        </w:rPr>
        <w:t xml:space="preserve">less variable manufacturing processes. </w:t>
      </w:r>
    </w:p>
    <w:p w14:paraId="7A58E2BD" w14:textId="77777777" w:rsidR="00A663AA" w:rsidRPr="00F867D0" w:rsidRDefault="00A663AA" w:rsidP="00A663AA">
      <w:pPr>
        <w:spacing w:after="0"/>
        <w:rPr>
          <w:rFonts w:eastAsia="Times New Roman"/>
          <w:color w:val="auto"/>
          <w:szCs w:val="22"/>
          <w:lang w:eastAsia="fr-FR"/>
        </w:rPr>
      </w:pPr>
      <w:r w:rsidRPr="00F867D0">
        <w:rPr>
          <w:rFonts w:eastAsia="Times New Roman"/>
          <w:color w:val="auto"/>
          <w:szCs w:val="22"/>
          <w:lang w:eastAsia="fr-FR"/>
        </w:rPr>
        <w:t xml:space="preserve">Extension of these to all global domestic refrigeration would yield significant benefit but is generally constrained by availability of capital funds and related product cost implications. </w:t>
      </w:r>
    </w:p>
    <w:p w14:paraId="3EFF740E" w14:textId="77777777" w:rsidR="00A663AA" w:rsidRPr="00F867D0" w:rsidRDefault="00A663AA" w:rsidP="00A663AA">
      <w:pPr>
        <w:spacing w:after="0"/>
        <w:rPr>
          <w:rFonts w:eastAsia="Times New Roman"/>
          <w:color w:val="auto"/>
          <w:szCs w:val="22"/>
          <w:lang w:eastAsia="fr-FR"/>
        </w:rPr>
      </w:pPr>
    </w:p>
    <w:p w14:paraId="69141F9D" w14:textId="77777777" w:rsidR="00A663AA" w:rsidRPr="00F867D0" w:rsidRDefault="00A663AA" w:rsidP="00A663AA">
      <w:pPr>
        <w:spacing w:after="0"/>
        <w:rPr>
          <w:rFonts w:eastAsia="Times New Roman"/>
          <w:color w:val="auto"/>
          <w:szCs w:val="22"/>
          <w:lang w:eastAsia="fr-FR"/>
        </w:rPr>
      </w:pPr>
      <w:r w:rsidRPr="00F867D0">
        <w:rPr>
          <w:rFonts w:eastAsia="Times New Roman"/>
          <w:color w:val="auto"/>
          <w:szCs w:val="22"/>
          <w:lang w:eastAsia="fr-FR"/>
        </w:rPr>
        <w:t xml:space="preserve">Design options with less economic justification are sometimes introduced in premium-cost models having incentive subsidies. Options that presently have limited or newly introduced application include: </w:t>
      </w:r>
    </w:p>
    <w:p w14:paraId="440DC4C5" w14:textId="77777777" w:rsidR="00A663AA" w:rsidRPr="00F867D0" w:rsidRDefault="00A663AA" w:rsidP="00736989">
      <w:pPr>
        <w:numPr>
          <w:ilvl w:val="0"/>
          <w:numId w:val="58"/>
        </w:numPr>
        <w:spacing w:after="0"/>
        <w:rPr>
          <w:color w:val="auto"/>
          <w:kern w:val="2"/>
          <w:szCs w:val="22"/>
          <w:lang w:eastAsia="fr-FR"/>
        </w:rPr>
      </w:pPr>
      <w:r w:rsidRPr="00F867D0">
        <w:rPr>
          <w:color w:val="auto"/>
          <w:kern w:val="2"/>
          <w:szCs w:val="22"/>
          <w:lang w:eastAsia="fr-FR"/>
        </w:rPr>
        <w:t>variable speed compressors,</w:t>
      </w:r>
    </w:p>
    <w:p w14:paraId="5F428145" w14:textId="77777777" w:rsidR="00A663AA" w:rsidRPr="00F867D0" w:rsidRDefault="00A663AA" w:rsidP="00736989">
      <w:pPr>
        <w:numPr>
          <w:ilvl w:val="0"/>
          <w:numId w:val="58"/>
        </w:numPr>
        <w:spacing w:after="0"/>
        <w:rPr>
          <w:color w:val="auto"/>
          <w:kern w:val="2"/>
          <w:szCs w:val="22"/>
          <w:lang w:eastAsia="fr-FR"/>
        </w:rPr>
      </w:pPr>
      <w:r w:rsidRPr="00F867D0">
        <w:rPr>
          <w:color w:val="auto"/>
          <w:kern w:val="2"/>
          <w:szCs w:val="22"/>
          <w:lang w:eastAsia="fr-FR"/>
        </w:rPr>
        <w:t>intelligent controls,</w:t>
      </w:r>
    </w:p>
    <w:p w14:paraId="15662DC1" w14:textId="77777777" w:rsidR="00A663AA" w:rsidRPr="00F867D0" w:rsidRDefault="00A663AA" w:rsidP="00736989">
      <w:pPr>
        <w:numPr>
          <w:ilvl w:val="0"/>
          <w:numId w:val="58"/>
        </w:numPr>
        <w:spacing w:after="0"/>
        <w:rPr>
          <w:color w:val="auto"/>
          <w:kern w:val="2"/>
          <w:szCs w:val="22"/>
          <w:lang w:eastAsia="fr-FR"/>
        </w:rPr>
      </w:pPr>
      <w:r w:rsidRPr="00F867D0">
        <w:rPr>
          <w:color w:val="auto"/>
          <w:kern w:val="2"/>
          <w:szCs w:val="22"/>
          <w:lang w:eastAsia="fr-FR"/>
        </w:rPr>
        <w:t>system reconfigurations, such as dual evaporators,</w:t>
      </w:r>
    </w:p>
    <w:p w14:paraId="0BF5F7FE" w14:textId="77777777" w:rsidR="00A663AA" w:rsidRPr="00F867D0" w:rsidRDefault="00A663AA" w:rsidP="00736989">
      <w:pPr>
        <w:numPr>
          <w:ilvl w:val="0"/>
          <w:numId w:val="58"/>
        </w:numPr>
        <w:spacing w:after="0"/>
        <w:rPr>
          <w:color w:val="auto"/>
          <w:kern w:val="2"/>
          <w:szCs w:val="22"/>
          <w:lang w:eastAsia="fr-FR"/>
        </w:rPr>
      </w:pPr>
      <w:r w:rsidRPr="00F867D0">
        <w:rPr>
          <w:color w:val="auto"/>
          <w:kern w:val="2"/>
          <w:szCs w:val="22"/>
          <w:lang w:eastAsia="fr-FR"/>
        </w:rPr>
        <w:t xml:space="preserve">advanced insulation systems, and </w:t>
      </w:r>
    </w:p>
    <w:p w14:paraId="76378B8F" w14:textId="77777777" w:rsidR="00A663AA" w:rsidRPr="00F867D0" w:rsidRDefault="00A663AA" w:rsidP="00736989">
      <w:pPr>
        <w:numPr>
          <w:ilvl w:val="0"/>
          <w:numId w:val="58"/>
        </w:numPr>
        <w:spacing w:after="0"/>
        <w:rPr>
          <w:color w:val="auto"/>
          <w:kern w:val="2"/>
          <w:szCs w:val="22"/>
          <w:lang w:eastAsia="fr-FR"/>
        </w:rPr>
      </w:pPr>
      <w:r w:rsidRPr="00F867D0">
        <w:rPr>
          <w:color w:val="auto"/>
          <w:kern w:val="2"/>
          <w:szCs w:val="22"/>
          <w:lang w:eastAsia="fr-FR"/>
        </w:rPr>
        <w:t xml:space="preserve">Demand Side Management (DSM) initiatives requiring interactive communication with energy providers in order to implement the Smart Grid concept. </w:t>
      </w:r>
    </w:p>
    <w:p w14:paraId="7B863015" w14:textId="77777777" w:rsidR="004D7B4D" w:rsidRPr="00F867D0" w:rsidRDefault="004D7B4D" w:rsidP="00A663AA">
      <w:pPr>
        <w:widowControl w:val="0"/>
        <w:autoSpaceDE w:val="0"/>
        <w:autoSpaceDN w:val="0"/>
        <w:adjustRightInd w:val="0"/>
        <w:spacing w:after="0"/>
        <w:ind w:right="193"/>
        <w:rPr>
          <w:rFonts w:eastAsia="Times New Roman"/>
          <w:color w:val="auto"/>
          <w:szCs w:val="22"/>
          <w:lang w:eastAsia="fr-FR"/>
        </w:rPr>
      </w:pPr>
    </w:p>
    <w:p w14:paraId="4BF1E74F" w14:textId="2A82EB36" w:rsidR="00A663AA" w:rsidRPr="00F867D0" w:rsidRDefault="00A663AA" w:rsidP="00A663AA">
      <w:pPr>
        <w:widowControl w:val="0"/>
        <w:autoSpaceDE w:val="0"/>
        <w:autoSpaceDN w:val="0"/>
        <w:adjustRightInd w:val="0"/>
        <w:spacing w:after="0"/>
        <w:ind w:right="193"/>
        <w:rPr>
          <w:rFonts w:eastAsia="Times New Roman"/>
          <w:color w:val="auto"/>
          <w:szCs w:val="22"/>
          <w:lang w:eastAsia="fr-FR"/>
        </w:rPr>
      </w:pPr>
      <w:r w:rsidRPr="00F867D0">
        <w:rPr>
          <w:rFonts w:eastAsia="Times New Roman"/>
          <w:color w:val="auto"/>
          <w:szCs w:val="22"/>
          <w:lang w:eastAsia="fr-FR"/>
        </w:rPr>
        <w:t>The premium-cost of these options currently restrict their application to high-end models and constrain their proliferation for general use. A further constraint is the fact that not all energy saving measures result in a reduced energy value during tests according to the current test standards. The new universal test protocol mentioned earlier attempts to improve this situation.</w:t>
      </w:r>
    </w:p>
    <w:p w14:paraId="1A438D01" w14:textId="77777777" w:rsidR="00A663AA" w:rsidRPr="00F867D0" w:rsidRDefault="00A663AA" w:rsidP="00A663AA">
      <w:pPr>
        <w:widowControl w:val="0"/>
        <w:tabs>
          <w:tab w:val="left" w:pos="1560"/>
        </w:tabs>
        <w:autoSpaceDE w:val="0"/>
        <w:autoSpaceDN w:val="0"/>
        <w:adjustRightInd w:val="0"/>
        <w:spacing w:after="0"/>
        <w:ind w:right="193"/>
        <w:rPr>
          <w:rFonts w:eastAsia="Times New Roman"/>
          <w:color w:val="auto"/>
          <w:szCs w:val="22"/>
          <w:lang w:eastAsia="fr-FR"/>
        </w:rPr>
      </w:pPr>
    </w:p>
    <w:p w14:paraId="2C8527E5" w14:textId="7C34598A" w:rsidR="00A663AA" w:rsidRDefault="00C1590C" w:rsidP="00A663AA">
      <w:pPr>
        <w:widowControl w:val="0"/>
        <w:tabs>
          <w:tab w:val="left" w:pos="1560"/>
        </w:tabs>
        <w:autoSpaceDE w:val="0"/>
        <w:autoSpaceDN w:val="0"/>
        <w:adjustRightInd w:val="0"/>
        <w:spacing w:after="0"/>
        <w:ind w:right="193"/>
        <w:rPr>
          <w:rFonts w:eastAsia="Times New Roman"/>
          <w:b/>
          <w:color w:val="auto"/>
          <w:szCs w:val="22"/>
          <w:lang w:eastAsia="fr-FR"/>
        </w:rPr>
      </w:pPr>
      <w:r>
        <w:rPr>
          <w:rFonts w:eastAsia="Times New Roman"/>
          <w:b/>
          <w:color w:val="auto"/>
          <w:szCs w:val="22"/>
          <w:lang w:eastAsia="fr-FR"/>
        </w:rPr>
        <w:t>Challenges</w:t>
      </w:r>
    </w:p>
    <w:p w14:paraId="7F5BFEB0" w14:textId="77777777" w:rsidR="00C1590C" w:rsidRPr="00F867D0" w:rsidRDefault="00C1590C" w:rsidP="00A663AA">
      <w:pPr>
        <w:widowControl w:val="0"/>
        <w:tabs>
          <w:tab w:val="left" w:pos="1560"/>
        </w:tabs>
        <w:autoSpaceDE w:val="0"/>
        <w:autoSpaceDN w:val="0"/>
        <w:adjustRightInd w:val="0"/>
        <w:spacing w:after="0"/>
        <w:ind w:right="193"/>
        <w:rPr>
          <w:rFonts w:eastAsia="Times New Roman"/>
          <w:b/>
          <w:color w:val="auto"/>
          <w:szCs w:val="22"/>
          <w:lang w:eastAsia="fr-FR"/>
        </w:rPr>
      </w:pPr>
    </w:p>
    <w:p w14:paraId="0B584F71" w14:textId="251431A3" w:rsidR="00A663AA" w:rsidRPr="00F867D0" w:rsidRDefault="001815A3" w:rsidP="00A663AA">
      <w:pPr>
        <w:widowControl w:val="0"/>
        <w:tabs>
          <w:tab w:val="left" w:pos="1560"/>
        </w:tabs>
        <w:autoSpaceDE w:val="0"/>
        <w:autoSpaceDN w:val="0"/>
        <w:adjustRightInd w:val="0"/>
        <w:spacing w:after="0"/>
        <w:ind w:right="193"/>
        <w:rPr>
          <w:rFonts w:eastAsia="Times New Roman"/>
          <w:color w:val="auto"/>
          <w:szCs w:val="22"/>
          <w:lang w:eastAsia="fr-FR"/>
        </w:rPr>
      </w:pPr>
      <w:r w:rsidRPr="00F867D0">
        <w:rPr>
          <w:rFonts w:eastAsia="Times New Roman"/>
          <w:color w:val="auto"/>
          <w:szCs w:val="22"/>
          <w:lang w:eastAsia="fr-FR"/>
        </w:rPr>
        <w:t>T</w:t>
      </w:r>
      <w:r w:rsidR="00A663AA" w:rsidRPr="00F867D0">
        <w:rPr>
          <w:rFonts w:eastAsia="Times New Roman"/>
          <w:color w:val="auto"/>
          <w:szCs w:val="22"/>
          <w:lang w:eastAsia="fr-FR"/>
        </w:rPr>
        <w:t xml:space="preserve">he investment cost for a manufacturing facility for domestic refrigerators using HC-600a is marginally higher than that of HFC-134a </w:t>
      </w:r>
      <w:r w:rsidR="00D41EAD" w:rsidRPr="00F867D0">
        <w:rPr>
          <w:rFonts w:eastAsia="Times New Roman"/>
          <w:color w:val="auto"/>
          <w:szCs w:val="22"/>
          <w:lang w:eastAsia="fr-FR"/>
        </w:rPr>
        <w:t>[</w:t>
      </w:r>
      <w:r w:rsidRPr="00F867D0">
        <w:rPr>
          <w:rFonts w:eastAsia="Times New Roman"/>
          <w:color w:val="auto"/>
          <w:szCs w:val="22"/>
          <w:lang w:eastAsia="fr-FR"/>
        </w:rPr>
        <w:t>Schwarz et al.</w:t>
      </w:r>
      <w:r w:rsidR="00D41EAD" w:rsidRPr="00F867D0">
        <w:rPr>
          <w:rFonts w:eastAsia="Times New Roman"/>
          <w:color w:val="auto"/>
          <w:szCs w:val="22"/>
          <w:lang w:eastAsia="fr-FR"/>
        </w:rPr>
        <w:t>,</w:t>
      </w:r>
      <w:r w:rsidRPr="00F867D0">
        <w:rPr>
          <w:rFonts w:eastAsia="Times New Roman"/>
          <w:color w:val="auto"/>
          <w:szCs w:val="22"/>
          <w:lang w:eastAsia="fr-FR"/>
        </w:rPr>
        <w:t xml:space="preserve"> 2013</w:t>
      </w:r>
      <w:r w:rsidR="00D41EAD" w:rsidRPr="00F867D0">
        <w:rPr>
          <w:rFonts w:eastAsia="Times New Roman"/>
          <w:color w:val="auto"/>
          <w:szCs w:val="22"/>
          <w:lang w:eastAsia="fr-FR"/>
        </w:rPr>
        <w:t>]</w:t>
      </w:r>
      <w:r w:rsidR="00D07E69" w:rsidRPr="00F867D0">
        <w:rPr>
          <w:rFonts w:eastAsia="Times New Roman"/>
          <w:color w:val="auto"/>
          <w:szCs w:val="22"/>
          <w:lang w:eastAsia="fr-FR"/>
        </w:rPr>
        <w:t>.</w:t>
      </w:r>
      <w:r w:rsidRPr="00F867D0">
        <w:rPr>
          <w:rFonts w:eastAsia="Times New Roman"/>
          <w:color w:val="auto"/>
          <w:szCs w:val="22"/>
          <w:lang w:eastAsia="fr-FR"/>
        </w:rPr>
        <w:t xml:space="preserve"> </w:t>
      </w:r>
      <w:r w:rsidR="00A663AA" w:rsidRPr="00F867D0">
        <w:rPr>
          <w:rFonts w:eastAsia="Times New Roman"/>
          <w:color w:val="auto"/>
          <w:szCs w:val="22"/>
          <w:lang w:eastAsia="fr-FR"/>
        </w:rPr>
        <w:t xml:space="preserve">This is </w:t>
      </w:r>
      <w:r w:rsidRPr="00F867D0">
        <w:rPr>
          <w:rFonts w:eastAsia="Times New Roman"/>
          <w:color w:val="auto"/>
          <w:szCs w:val="22"/>
          <w:lang w:eastAsia="fr-FR"/>
        </w:rPr>
        <w:t>mainly</w:t>
      </w:r>
      <w:r w:rsidR="00A663AA" w:rsidRPr="00F867D0">
        <w:rPr>
          <w:rFonts w:eastAsia="Times New Roman"/>
          <w:color w:val="auto"/>
          <w:szCs w:val="22"/>
          <w:lang w:eastAsia="fr-FR"/>
        </w:rPr>
        <w:t xml:space="preserve"> due to the requirements for safety systems</w:t>
      </w:r>
      <w:r w:rsidRPr="00F867D0">
        <w:rPr>
          <w:rFonts w:eastAsia="Times New Roman"/>
          <w:color w:val="auto"/>
          <w:szCs w:val="22"/>
          <w:lang w:eastAsia="fr-FR"/>
        </w:rPr>
        <w:t xml:space="preserve"> in relation to flammability</w:t>
      </w:r>
      <w:r w:rsidR="00A663AA" w:rsidRPr="00F867D0">
        <w:rPr>
          <w:rFonts w:eastAsia="Times New Roman"/>
          <w:color w:val="auto"/>
          <w:szCs w:val="22"/>
          <w:lang w:eastAsia="fr-FR"/>
        </w:rPr>
        <w:t xml:space="preserve">. The annual running costs and lifetime cost of HC-600a equipment are </w:t>
      </w:r>
      <w:r w:rsidR="00B4076B" w:rsidRPr="00F867D0">
        <w:rPr>
          <w:rFonts w:eastAsia="Times New Roman"/>
          <w:color w:val="auto"/>
          <w:szCs w:val="22"/>
          <w:lang w:eastAsia="fr-FR"/>
        </w:rPr>
        <w:t xml:space="preserve">also </w:t>
      </w:r>
      <w:r w:rsidR="00A663AA" w:rsidRPr="00F867D0">
        <w:rPr>
          <w:rFonts w:eastAsia="Times New Roman"/>
          <w:color w:val="auto"/>
          <w:szCs w:val="22"/>
          <w:lang w:eastAsia="fr-FR"/>
        </w:rPr>
        <w:t xml:space="preserve">lower, resulting in an overall negative life cycle cost differential in the case of HC-600a. </w:t>
      </w:r>
    </w:p>
    <w:p w14:paraId="55C0155D" w14:textId="77777777" w:rsidR="00B4076B" w:rsidRPr="00F867D0" w:rsidRDefault="00B4076B" w:rsidP="00A663AA">
      <w:pPr>
        <w:widowControl w:val="0"/>
        <w:autoSpaceDE w:val="0"/>
        <w:autoSpaceDN w:val="0"/>
        <w:adjustRightInd w:val="0"/>
        <w:spacing w:after="0"/>
        <w:ind w:right="-476"/>
        <w:rPr>
          <w:rFonts w:eastAsia="Times New Roman"/>
          <w:color w:val="auto"/>
          <w:szCs w:val="22"/>
          <w:lang w:eastAsia="fr-FR"/>
        </w:rPr>
      </w:pPr>
    </w:p>
    <w:p w14:paraId="55EC4DF5" w14:textId="79598CA6" w:rsidR="00A663AA" w:rsidRPr="00F867D0" w:rsidRDefault="00A663AA" w:rsidP="002C5E4A">
      <w:pPr>
        <w:widowControl w:val="0"/>
        <w:autoSpaceDE w:val="0"/>
        <w:autoSpaceDN w:val="0"/>
        <w:adjustRightInd w:val="0"/>
        <w:spacing w:after="0"/>
        <w:ind w:right="4"/>
        <w:rPr>
          <w:rFonts w:eastAsia="Times New Roman"/>
          <w:color w:val="auto"/>
          <w:szCs w:val="22"/>
          <w:lang w:eastAsia="fr-FR"/>
        </w:rPr>
      </w:pPr>
      <w:r w:rsidRPr="00F867D0">
        <w:rPr>
          <w:rFonts w:eastAsia="Times New Roman"/>
          <w:color w:val="auto"/>
          <w:szCs w:val="22"/>
          <w:lang w:eastAsia="fr-FR"/>
        </w:rPr>
        <w:t xml:space="preserve">HC-600a is the main energy-efficient and cost-competitive alternative. Concerns with the high flammability, which existed at the introduction of the refrigerant in 1994 in Europe, have been addressed with design features and safety standards, particularly as the charges required for domestic refrigeration are much smaller </w:t>
      </w:r>
      <w:r w:rsidR="00B4076B" w:rsidRPr="00F867D0">
        <w:rPr>
          <w:rFonts w:eastAsia="Times New Roman"/>
          <w:color w:val="auto"/>
          <w:szCs w:val="22"/>
          <w:lang w:eastAsia="fr-FR"/>
        </w:rPr>
        <w:t>than</w:t>
      </w:r>
      <w:r w:rsidRPr="00F867D0">
        <w:rPr>
          <w:rFonts w:eastAsia="Times New Roman"/>
          <w:color w:val="auto"/>
          <w:szCs w:val="22"/>
          <w:lang w:eastAsia="fr-FR"/>
        </w:rPr>
        <w:t xml:space="preserve"> HFC-134a. When the safety requirements are met (e.g. IEC 60335-2-24</w:t>
      </w:r>
      <w:r w:rsidR="00B96793" w:rsidRPr="00F867D0">
        <w:rPr>
          <w:rFonts w:eastAsia="Times New Roman"/>
          <w:color w:val="auto"/>
          <w:szCs w:val="22"/>
          <w:lang w:eastAsia="fr-FR"/>
        </w:rPr>
        <w:t>, [UNEP, 2017b]</w:t>
      </w:r>
      <w:r w:rsidRPr="00F867D0">
        <w:rPr>
          <w:rFonts w:eastAsia="Times New Roman"/>
          <w:color w:val="auto"/>
          <w:szCs w:val="22"/>
          <w:lang w:eastAsia="fr-FR"/>
        </w:rPr>
        <w:t xml:space="preserve">) and adequate risk assessment to address the flammable nature of the refrigerant, HC-600a is the ideal refrigerant for domestic refrigeration products, giving </w:t>
      </w:r>
      <w:r w:rsidR="00B4076B" w:rsidRPr="00F867D0">
        <w:rPr>
          <w:rFonts w:eastAsia="Times New Roman"/>
          <w:color w:val="auto"/>
          <w:szCs w:val="22"/>
          <w:lang w:eastAsia="fr-FR"/>
        </w:rPr>
        <w:t xml:space="preserve">approximately </w:t>
      </w:r>
      <w:r w:rsidRPr="00F867D0">
        <w:rPr>
          <w:rFonts w:eastAsia="Times New Roman"/>
          <w:color w:val="auto"/>
          <w:szCs w:val="22"/>
          <w:lang w:eastAsia="fr-FR"/>
        </w:rPr>
        <w:t xml:space="preserve">5 % </w:t>
      </w:r>
      <w:r w:rsidR="00B4076B" w:rsidRPr="00F867D0">
        <w:rPr>
          <w:rFonts w:eastAsia="Times New Roman"/>
          <w:color w:val="auto"/>
          <w:szCs w:val="22"/>
          <w:lang w:eastAsia="fr-FR"/>
        </w:rPr>
        <w:t>greater</w:t>
      </w:r>
      <w:r w:rsidRPr="00F867D0">
        <w:rPr>
          <w:rFonts w:eastAsia="Times New Roman"/>
          <w:color w:val="auto"/>
          <w:szCs w:val="22"/>
          <w:lang w:eastAsia="fr-FR"/>
        </w:rPr>
        <w:t xml:space="preserve"> efficiency than HFC-134a while at the same time reducing noise level of the unit. </w:t>
      </w:r>
    </w:p>
    <w:p w14:paraId="6DD802C5" w14:textId="77777777" w:rsidR="00B4076B" w:rsidRPr="00F867D0" w:rsidRDefault="00B4076B" w:rsidP="00A663AA">
      <w:pPr>
        <w:widowControl w:val="0"/>
        <w:autoSpaceDE w:val="0"/>
        <w:autoSpaceDN w:val="0"/>
        <w:adjustRightInd w:val="0"/>
        <w:spacing w:after="0"/>
        <w:ind w:right="193"/>
        <w:rPr>
          <w:rFonts w:eastAsia="Times New Roman"/>
          <w:color w:val="auto"/>
          <w:szCs w:val="22"/>
          <w:lang w:eastAsia="fr-FR"/>
        </w:rPr>
      </w:pPr>
    </w:p>
    <w:p w14:paraId="65779AC6" w14:textId="4650F7D0" w:rsidR="00A663AA" w:rsidRPr="00F867D0" w:rsidRDefault="00A663AA" w:rsidP="00A663AA">
      <w:pPr>
        <w:widowControl w:val="0"/>
        <w:autoSpaceDE w:val="0"/>
        <w:autoSpaceDN w:val="0"/>
        <w:adjustRightInd w:val="0"/>
        <w:spacing w:after="0"/>
        <w:ind w:right="193"/>
        <w:rPr>
          <w:rFonts w:eastAsia="Times New Roman"/>
          <w:color w:val="auto"/>
          <w:szCs w:val="22"/>
          <w:lang w:eastAsia="fr-FR"/>
        </w:rPr>
      </w:pPr>
      <w:r w:rsidRPr="00F867D0">
        <w:rPr>
          <w:rFonts w:eastAsia="Times New Roman"/>
          <w:color w:val="auto"/>
          <w:szCs w:val="22"/>
          <w:lang w:eastAsia="fr-FR"/>
        </w:rPr>
        <w:t xml:space="preserve">HC-600a is right now the standard refrigerant for European domestic refrigerators and freezers originally and is proliferating into other regions, including Article 5 countries. Worldwide over 50 million appliances were produced annually with HC-600a in 2010. Increased </w:t>
      </w:r>
      <w:r w:rsidR="003C37C3">
        <w:rPr>
          <w:rFonts w:eastAsia="Times New Roman"/>
          <w:color w:val="auto"/>
          <w:szCs w:val="22"/>
          <w:lang w:eastAsia="fr-FR"/>
        </w:rPr>
        <w:t>EE</w:t>
      </w:r>
      <w:r w:rsidRPr="00F867D0">
        <w:rPr>
          <w:rFonts w:eastAsia="Times New Roman"/>
          <w:color w:val="auto"/>
          <w:szCs w:val="22"/>
          <w:lang w:eastAsia="fr-FR"/>
        </w:rPr>
        <w:t xml:space="preserve"> and the low GWP of the HC-600a refrigerant reduce the climate impact of household refrigerators, due to mitigation of direct (refrigerant) and indirect (CO</w:t>
      </w:r>
      <w:r w:rsidRPr="00F867D0">
        <w:rPr>
          <w:rFonts w:eastAsia="Times New Roman"/>
          <w:color w:val="auto"/>
          <w:szCs w:val="22"/>
          <w:vertAlign w:val="subscript"/>
          <w:lang w:eastAsia="fr-FR"/>
        </w:rPr>
        <w:t xml:space="preserve">2 </w:t>
      </w:r>
      <w:r w:rsidRPr="00F867D0">
        <w:rPr>
          <w:rFonts w:eastAsia="Times New Roman"/>
          <w:color w:val="auto"/>
          <w:szCs w:val="22"/>
          <w:lang w:eastAsia="fr-FR"/>
        </w:rPr>
        <w:t>associated with electricity consumption) GHG emissions, compared to HFC-134a.</w:t>
      </w:r>
    </w:p>
    <w:p w14:paraId="2102C01D" w14:textId="77777777" w:rsidR="0038225F" w:rsidRPr="00F867D0" w:rsidRDefault="0038225F" w:rsidP="00A663AA">
      <w:pPr>
        <w:spacing w:after="0"/>
        <w:rPr>
          <w:rFonts w:eastAsia="Times New Roman"/>
          <w:color w:val="auto"/>
          <w:szCs w:val="22"/>
          <w:lang w:eastAsia="fr-FR"/>
        </w:rPr>
      </w:pPr>
    </w:p>
    <w:p w14:paraId="2BC5BAC2" w14:textId="32D7629F" w:rsidR="00A663AA" w:rsidRPr="00F867D0" w:rsidRDefault="00A663AA" w:rsidP="00A663AA">
      <w:pPr>
        <w:spacing w:after="0"/>
        <w:rPr>
          <w:rFonts w:eastAsia="Times New Roman"/>
          <w:color w:val="auto"/>
          <w:szCs w:val="22"/>
          <w:lang w:eastAsia="fr-FR"/>
        </w:rPr>
      </w:pPr>
      <w:r w:rsidRPr="00F867D0">
        <w:rPr>
          <w:rFonts w:eastAsia="Times New Roman"/>
          <w:color w:val="auto"/>
          <w:szCs w:val="22"/>
          <w:lang w:eastAsia="fr-FR"/>
        </w:rPr>
        <w:t xml:space="preserve">In general, there are no significant technical barriers to the use of HC-600a, </w:t>
      </w:r>
      <w:r w:rsidR="00B4076B" w:rsidRPr="00F867D0">
        <w:rPr>
          <w:rFonts w:eastAsia="Times New Roman"/>
          <w:color w:val="auto"/>
          <w:szCs w:val="22"/>
          <w:lang w:eastAsia="fr-FR"/>
        </w:rPr>
        <w:t xml:space="preserve">which are being used by an estimated </w:t>
      </w:r>
      <w:r w:rsidRPr="00F867D0">
        <w:rPr>
          <w:rFonts w:eastAsia="Times New Roman"/>
          <w:color w:val="auto"/>
          <w:szCs w:val="22"/>
          <w:lang w:eastAsia="fr-FR"/>
        </w:rPr>
        <w:t>800 million domestic refrigerators in the field to date.</w:t>
      </w:r>
      <w:r w:rsidR="00B4076B" w:rsidRPr="00F867D0">
        <w:rPr>
          <w:rFonts w:eastAsia="Times New Roman"/>
          <w:color w:val="auto"/>
          <w:szCs w:val="22"/>
          <w:lang w:eastAsia="fr-FR"/>
        </w:rPr>
        <w:t xml:space="preserve"> </w:t>
      </w:r>
      <w:r w:rsidRPr="00F867D0">
        <w:rPr>
          <w:rFonts w:eastAsia="Times New Roman"/>
          <w:color w:val="auto"/>
          <w:szCs w:val="22"/>
          <w:lang w:eastAsia="fr-FR"/>
        </w:rPr>
        <w:t xml:space="preserve">In the USA, the use of HC-600a is limited by safety concerns, however significant progress is being made to convert from HFC-134a to HC-600a with the market introduction of freezers and small refrigerators. The service infrastructure is being developed even if US products using HC-600a tend to be non-serviceable systems as these include a second barrier to refrigerant leakage such as plastic liner. </w:t>
      </w:r>
    </w:p>
    <w:p w14:paraId="5B9A7AA5" w14:textId="77777777" w:rsidR="00A663AA" w:rsidRPr="00F867D0" w:rsidRDefault="00A663AA" w:rsidP="00A663AA">
      <w:pPr>
        <w:spacing w:after="0"/>
        <w:rPr>
          <w:rFonts w:eastAsia="Times New Roman"/>
          <w:color w:val="auto"/>
          <w:szCs w:val="22"/>
          <w:lang w:eastAsia="fr-FR"/>
        </w:rPr>
      </w:pPr>
    </w:p>
    <w:p w14:paraId="505FE16F" w14:textId="77777777" w:rsidR="00A663AA" w:rsidRPr="000F749F" w:rsidRDefault="00A663AA" w:rsidP="000F749F">
      <w:pPr>
        <w:pStyle w:val="Heading2"/>
        <w:rPr>
          <w:b w:val="0"/>
        </w:rPr>
      </w:pPr>
      <w:bookmarkStart w:id="128" w:name="_Toc515454407"/>
      <w:r w:rsidRPr="000F749F">
        <w:t>A.2</w:t>
      </w:r>
      <w:r w:rsidRPr="000F749F">
        <w:tab/>
        <w:t>Commercial refrigeration</w:t>
      </w:r>
      <w:bookmarkEnd w:id="128"/>
    </w:p>
    <w:p w14:paraId="095842D5" w14:textId="1056E379" w:rsidR="00A663AA" w:rsidRDefault="00A663AA" w:rsidP="00A663AA">
      <w:pPr>
        <w:spacing w:after="0"/>
        <w:rPr>
          <w:b/>
          <w:szCs w:val="22"/>
        </w:rPr>
      </w:pPr>
      <w:r w:rsidRPr="00F867D0">
        <w:rPr>
          <w:b/>
          <w:szCs w:val="22"/>
        </w:rPr>
        <w:t>State of the art</w:t>
      </w:r>
    </w:p>
    <w:p w14:paraId="70615340" w14:textId="77777777" w:rsidR="00C1590C" w:rsidRPr="00F867D0" w:rsidRDefault="00C1590C" w:rsidP="00A663AA">
      <w:pPr>
        <w:spacing w:after="0"/>
        <w:rPr>
          <w:b/>
          <w:szCs w:val="22"/>
        </w:rPr>
      </w:pPr>
    </w:p>
    <w:p w14:paraId="1A08A140" w14:textId="77777777" w:rsidR="00A663AA" w:rsidRPr="00F867D0" w:rsidRDefault="00A663AA" w:rsidP="00A663AA">
      <w:pPr>
        <w:spacing w:after="0"/>
        <w:rPr>
          <w:szCs w:val="22"/>
        </w:rPr>
      </w:pPr>
      <w:r w:rsidRPr="00F867D0">
        <w:rPr>
          <w:szCs w:val="22"/>
        </w:rPr>
        <w:t>Commercial refrigeration is characterized by storing and displaying food and beverages at different levels of temperature within retail stores with sales areas varying in size from approximately 10 m</w:t>
      </w:r>
      <w:r w:rsidRPr="00F867D0">
        <w:rPr>
          <w:szCs w:val="22"/>
          <w:vertAlign w:val="superscript"/>
        </w:rPr>
        <w:t>2</w:t>
      </w:r>
      <w:r w:rsidRPr="00F867D0">
        <w:rPr>
          <w:szCs w:val="22"/>
        </w:rPr>
        <w:t xml:space="preserve"> to 20,000 m</w:t>
      </w:r>
      <w:r w:rsidRPr="00F867D0">
        <w:rPr>
          <w:szCs w:val="22"/>
          <w:vertAlign w:val="superscript"/>
        </w:rPr>
        <w:t>2</w:t>
      </w:r>
      <w:r w:rsidRPr="00F867D0">
        <w:rPr>
          <w:szCs w:val="22"/>
        </w:rPr>
        <w:t>. The refrigerating capacities of equipment vary from hundreds of Watts to as high as 1.5 MW. Two main levels of temperatures are generated by refrigeration systems from around 0°C to 8°C for the conservation of fresh food and beverages, and around -18°C for frozen food and ice cream.</w:t>
      </w:r>
    </w:p>
    <w:p w14:paraId="581ECCBF" w14:textId="77777777" w:rsidR="00A663AA" w:rsidRPr="00F867D0" w:rsidRDefault="00A663AA" w:rsidP="00A663AA">
      <w:pPr>
        <w:spacing w:after="0"/>
        <w:rPr>
          <w:szCs w:val="22"/>
        </w:rPr>
      </w:pPr>
    </w:p>
    <w:p w14:paraId="30A19394" w14:textId="2B276079" w:rsidR="00A663AA" w:rsidRPr="00F867D0" w:rsidRDefault="00A663AA" w:rsidP="00A663AA">
      <w:pPr>
        <w:spacing w:after="0"/>
        <w:rPr>
          <w:szCs w:val="22"/>
        </w:rPr>
      </w:pPr>
      <w:r w:rsidRPr="00F867D0">
        <w:rPr>
          <w:szCs w:val="22"/>
        </w:rPr>
        <w:t xml:space="preserve">In many non-Article 5 countries R-404A is widely used in commercial refrigeration.  It has a very high GWP (3922) and is not the best efficiency refrigerant.  HCFC-22 is widely used in Article 5 countries, although </w:t>
      </w:r>
      <w:r w:rsidR="00B4076B" w:rsidRPr="00F867D0">
        <w:rPr>
          <w:szCs w:val="22"/>
        </w:rPr>
        <w:t xml:space="preserve">it </w:t>
      </w:r>
      <w:r w:rsidRPr="00F867D0">
        <w:rPr>
          <w:szCs w:val="22"/>
        </w:rPr>
        <w:t>is beginning to be replaced with R-404A.</w:t>
      </w:r>
    </w:p>
    <w:p w14:paraId="41A76696" w14:textId="77777777" w:rsidR="00A663AA" w:rsidRPr="00F867D0" w:rsidRDefault="00A663AA" w:rsidP="00A663AA">
      <w:pPr>
        <w:spacing w:after="0"/>
        <w:rPr>
          <w:szCs w:val="22"/>
        </w:rPr>
      </w:pPr>
    </w:p>
    <w:p w14:paraId="4E176FD1" w14:textId="7D059895" w:rsidR="00A663AA" w:rsidRDefault="00A663AA" w:rsidP="000F749F">
      <w:pPr>
        <w:keepNext/>
        <w:keepLines/>
        <w:spacing w:after="0"/>
        <w:rPr>
          <w:b/>
          <w:szCs w:val="22"/>
        </w:rPr>
      </w:pPr>
      <w:r w:rsidRPr="00F867D0">
        <w:rPr>
          <w:b/>
          <w:szCs w:val="22"/>
        </w:rPr>
        <w:t>Opportunities and challenges</w:t>
      </w:r>
    </w:p>
    <w:p w14:paraId="5ABB7D1F" w14:textId="77777777" w:rsidR="00C1590C" w:rsidRPr="00F867D0" w:rsidRDefault="00C1590C" w:rsidP="000F749F">
      <w:pPr>
        <w:keepNext/>
        <w:keepLines/>
        <w:spacing w:after="0"/>
        <w:rPr>
          <w:b/>
          <w:szCs w:val="22"/>
        </w:rPr>
      </w:pPr>
    </w:p>
    <w:p w14:paraId="74299145" w14:textId="77777777" w:rsidR="00A663AA" w:rsidRPr="00F867D0" w:rsidRDefault="00A663AA" w:rsidP="00A663AA">
      <w:pPr>
        <w:spacing w:after="0"/>
        <w:rPr>
          <w:szCs w:val="22"/>
        </w:rPr>
      </w:pPr>
      <w:r w:rsidRPr="00F867D0">
        <w:rPr>
          <w:szCs w:val="22"/>
        </w:rPr>
        <w:t xml:space="preserve">In general, lower GWP options for this sector include HFO and HFC blends, lower GWP HFCs, hydrocarbons, ammonia (R-717) and carbon dioxide (R-744). The type of equipment, their location, the ambient conditions for heat rejection, availability of trained personnel for installation and maintenance, and the refrigerant choice affect the efficiency, first cost and operating costs of the equipment.  In order to improve energy performance, several options are available for all types of commercial refrigeration equipment, and these can be applied to all of the lower GWP replacement refrigerants as well.  Some of these are: </w:t>
      </w:r>
    </w:p>
    <w:p w14:paraId="79B6F6EE" w14:textId="77777777" w:rsidR="00A663AA" w:rsidRPr="00F867D0" w:rsidRDefault="00A663AA" w:rsidP="00736989">
      <w:pPr>
        <w:numPr>
          <w:ilvl w:val="0"/>
          <w:numId w:val="59"/>
        </w:numPr>
        <w:spacing w:after="0"/>
        <w:rPr>
          <w:color w:val="auto"/>
          <w:kern w:val="2"/>
          <w:szCs w:val="22"/>
        </w:rPr>
      </w:pPr>
      <w:r w:rsidRPr="00F867D0">
        <w:rPr>
          <w:color w:val="auto"/>
          <w:kern w:val="2"/>
          <w:szCs w:val="22"/>
        </w:rPr>
        <w:t xml:space="preserve">use of glass doors or improved doors to reduce thermal load; </w:t>
      </w:r>
    </w:p>
    <w:p w14:paraId="7B2BF3D4" w14:textId="77777777" w:rsidR="00A663AA" w:rsidRPr="00F867D0" w:rsidRDefault="00A663AA" w:rsidP="00736989">
      <w:pPr>
        <w:numPr>
          <w:ilvl w:val="0"/>
          <w:numId w:val="59"/>
        </w:numPr>
        <w:spacing w:after="0"/>
        <w:rPr>
          <w:color w:val="auto"/>
          <w:kern w:val="2"/>
          <w:szCs w:val="22"/>
        </w:rPr>
      </w:pPr>
      <w:r w:rsidRPr="00F867D0">
        <w:rPr>
          <w:color w:val="auto"/>
          <w:kern w:val="2"/>
          <w:szCs w:val="22"/>
        </w:rPr>
        <w:t xml:space="preserve">door heaters and electronically controlled door “smart” door heaters to prevent or reduce the effect of condensation on the glass doors;  </w:t>
      </w:r>
    </w:p>
    <w:p w14:paraId="60361775" w14:textId="77777777" w:rsidR="00A663AA" w:rsidRPr="00F867D0" w:rsidRDefault="00A663AA" w:rsidP="00736989">
      <w:pPr>
        <w:numPr>
          <w:ilvl w:val="0"/>
          <w:numId w:val="59"/>
        </w:numPr>
        <w:spacing w:after="0"/>
        <w:rPr>
          <w:color w:val="auto"/>
          <w:kern w:val="2"/>
          <w:szCs w:val="22"/>
        </w:rPr>
      </w:pPr>
      <w:r w:rsidRPr="00F867D0">
        <w:rPr>
          <w:color w:val="auto"/>
          <w:kern w:val="2"/>
          <w:szCs w:val="22"/>
        </w:rPr>
        <w:t>higher efficiency fan motors, compressors;</w:t>
      </w:r>
    </w:p>
    <w:p w14:paraId="162EBEB2" w14:textId="77777777" w:rsidR="00A663AA" w:rsidRPr="00F867D0" w:rsidRDefault="00A663AA" w:rsidP="00736989">
      <w:pPr>
        <w:numPr>
          <w:ilvl w:val="0"/>
          <w:numId w:val="59"/>
        </w:numPr>
        <w:spacing w:after="0"/>
        <w:rPr>
          <w:color w:val="auto"/>
          <w:kern w:val="2"/>
          <w:szCs w:val="22"/>
        </w:rPr>
      </w:pPr>
      <w:r w:rsidRPr="00F867D0">
        <w:rPr>
          <w:color w:val="auto"/>
          <w:kern w:val="2"/>
          <w:szCs w:val="22"/>
        </w:rPr>
        <w:t xml:space="preserve">variable speed for part load performance improvement of fans and compressors; </w:t>
      </w:r>
    </w:p>
    <w:p w14:paraId="1A566851" w14:textId="77777777" w:rsidR="00A663AA" w:rsidRPr="00F867D0" w:rsidRDefault="00A663AA" w:rsidP="00736989">
      <w:pPr>
        <w:numPr>
          <w:ilvl w:val="0"/>
          <w:numId w:val="59"/>
        </w:numPr>
        <w:spacing w:after="0"/>
        <w:rPr>
          <w:color w:val="auto"/>
          <w:kern w:val="2"/>
          <w:szCs w:val="22"/>
        </w:rPr>
      </w:pPr>
      <w:r w:rsidRPr="00F867D0">
        <w:rPr>
          <w:color w:val="auto"/>
          <w:kern w:val="2"/>
          <w:szCs w:val="22"/>
        </w:rPr>
        <w:t xml:space="preserve">low energy, high performance LED lighting (has dual effect of consuming less energy and reducing parasitic heat load in the cooled space);  </w:t>
      </w:r>
    </w:p>
    <w:p w14:paraId="7FECA0FF" w14:textId="77777777" w:rsidR="00A663AA" w:rsidRPr="00F867D0" w:rsidRDefault="00A663AA" w:rsidP="00736989">
      <w:pPr>
        <w:numPr>
          <w:ilvl w:val="0"/>
          <w:numId w:val="59"/>
        </w:numPr>
        <w:spacing w:after="0"/>
        <w:rPr>
          <w:color w:val="auto"/>
          <w:kern w:val="2"/>
          <w:szCs w:val="22"/>
        </w:rPr>
      </w:pPr>
      <w:r w:rsidRPr="00F867D0">
        <w:rPr>
          <w:color w:val="auto"/>
          <w:kern w:val="2"/>
          <w:szCs w:val="22"/>
        </w:rPr>
        <w:t>larger and/or more efficient heat exchangers for evaporators and more importantly for condensing.</w:t>
      </w:r>
    </w:p>
    <w:p w14:paraId="33E951F8" w14:textId="77777777" w:rsidR="00A663AA" w:rsidRPr="00F867D0" w:rsidRDefault="00A663AA" w:rsidP="00A663AA">
      <w:pPr>
        <w:spacing w:after="0"/>
        <w:rPr>
          <w:szCs w:val="22"/>
        </w:rPr>
      </w:pPr>
    </w:p>
    <w:p w14:paraId="18FA7056" w14:textId="77777777" w:rsidR="00A663AA" w:rsidRPr="00F867D0" w:rsidRDefault="00A663AA" w:rsidP="00A663AA">
      <w:pPr>
        <w:spacing w:after="0"/>
        <w:rPr>
          <w:i/>
          <w:szCs w:val="22"/>
        </w:rPr>
      </w:pPr>
      <w:r w:rsidRPr="00F867D0">
        <w:rPr>
          <w:szCs w:val="22"/>
        </w:rPr>
        <w:t>Some opportunities and challenges specific to the type of equipment in this sector are discussed below.</w:t>
      </w:r>
    </w:p>
    <w:p w14:paraId="55805E1C" w14:textId="77777777" w:rsidR="0038225F" w:rsidRPr="00F867D0" w:rsidRDefault="0038225F" w:rsidP="00A663AA">
      <w:pPr>
        <w:spacing w:after="0"/>
        <w:rPr>
          <w:i/>
          <w:szCs w:val="22"/>
          <w:u w:val="single"/>
        </w:rPr>
      </w:pPr>
    </w:p>
    <w:p w14:paraId="5AB45388" w14:textId="5A5C6EEC" w:rsidR="00A663AA" w:rsidRPr="00F867D0" w:rsidRDefault="00A663AA" w:rsidP="00A663AA">
      <w:pPr>
        <w:spacing w:after="0"/>
        <w:rPr>
          <w:color w:val="auto"/>
          <w:kern w:val="2"/>
          <w:szCs w:val="22"/>
        </w:rPr>
      </w:pPr>
      <w:r w:rsidRPr="00F867D0">
        <w:rPr>
          <w:i/>
          <w:szCs w:val="22"/>
          <w:u w:val="single"/>
        </w:rPr>
        <w:t>Stand-alone equipment</w:t>
      </w:r>
      <w:r w:rsidRPr="00F867D0">
        <w:rPr>
          <w:szCs w:val="22"/>
        </w:rPr>
        <w:t xml:space="preserve"> are self-contained refrigeration systems and comprise a wide variety of appliances: ice-cream freezers, ice machines, beverage vending machines, and display cases. While HCFC-22, HFC-134a and R-404A refrigerants dominate this application, in Europe, and lately in other markets, the use of HC-290 and R-744 is steadily growing. New lower GWP HFCs, HFOs and their blends are also becoming commercially available and will find increased use in the near future.  Some of these alternatives, especially R-290, have better efficiency characteristics than refrigerants such as R-404A.  State-of-the-art stand-alone units are often considerably more efficient than older units, although the choice of refrigerant only has a small impact – other design improvements as listed earlier deliver most of the efficiency gains.</w:t>
      </w:r>
    </w:p>
    <w:p w14:paraId="3B90EF3F" w14:textId="77777777" w:rsidR="009F09A9" w:rsidRPr="00F867D0" w:rsidRDefault="009F09A9" w:rsidP="00A663AA">
      <w:pPr>
        <w:spacing w:after="0"/>
        <w:rPr>
          <w:szCs w:val="22"/>
        </w:rPr>
      </w:pPr>
    </w:p>
    <w:p w14:paraId="52F55C66" w14:textId="27183944" w:rsidR="00A663AA" w:rsidRPr="00F867D0" w:rsidRDefault="00A663AA" w:rsidP="00A663AA">
      <w:pPr>
        <w:spacing w:after="0"/>
        <w:rPr>
          <w:szCs w:val="22"/>
        </w:rPr>
      </w:pPr>
      <w:r w:rsidRPr="00F867D0">
        <w:rPr>
          <w:szCs w:val="22"/>
        </w:rPr>
        <w:t xml:space="preserve">Stand-alone equipment efficiency is regulated by regional (such as the EU Ecodesign) and national performance standards (like the Department of Energy in the U.S.).  In some countries, prescriptive requirements for components such as fan motors are also used to regulate efficiency of the system.  Well established test procedures and laboratories exist that can test and certify </w:t>
      </w:r>
      <w:r w:rsidR="006161BF">
        <w:rPr>
          <w:szCs w:val="22"/>
        </w:rPr>
        <w:t>this</w:t>
      </w:r>
      <w:r w:rsidRPr="00F867D0">
        <w:rPr>
          <w:szCs w:val="22"/>
        </w:rPr>
        <w:t xml:space="preserve"> equipment in Article 2 countries; developing this capability in Article 5 countries will be important for increasing the use of efficient stand-alone equipment.</w:t>
      </w:r>
    </w:p>
    <w:p w14:paraId="29E6A6A6" w14:textId="77777777" w:rsidR="00A663AA" w:rsidRPr="00F867D0" w:rsidRDefault="00A663AA" w:rsidP="00A663AA">
      <w:pPr>
        <w:spacing w:after="0"/>
        <w:rPr>
          <w:i/>
          <w:szCs w:val="22"/>
          <w:u w:val="single"/>
        </w:rPr>
      </w:pPr>
    </w:p>
    <w:p w14:paraId="1093EFDF" w14:textId="77777777" w:rsidR="00A663AA" w:rsidRPr="00F867D0" w:rsidRDefault="00A663AA" w:rsidP="00A663AA">
      <w:pPr>
        <w:spacing w:after="0"/>
        <w:rPr>
          <w:szCs w:val="22"/>
        </w:rPr>
      </w:pPr>
      <w:r w:rsidRPr="00F867D0">
        <w:rPr>
          <w:i/>
          <w:szCs w:val="22"/>
          <w:u w:val="single"/>
        </w:rPr>
        <w:t>Condensing units</w:t>
      </w:r>
      <w:r w:rsidRPr="00F867D0">
        <w:rPr>
          <w:szCs w:val="22"/>
        </w:rPr>
        <w:t xml:space="preserve"> exhibit refrigerating capacities ranging typically from 1 kW to 20 kW. They are composed of one (or two) compressor(s), one condenser, and one receiver assembled into a so-called “condensing unit”, which is typically located external to the sales area. Lower GWP HFCs, HFOs and their blends are the majority of the substitutes for the incumbent refrigerants. The use of hydrocarbon HC-290 can be expected to grow in this application and as in the case of the stand-alone equipment, the higher thermodynamic performance of HC-290 can lead to better overall system efficiency. However, high flammability restricts R-290 refrigerant charge, so it can only be used in very small condensing units. R-744 is also being promoted in some areas for this application and the challenge for this refrigerant is the transcritical cycle efficiency of the basic system. Mass-produced R-744 condensing units with good seasonal efficiency have recently been commercialized by some manufacturers.</w:t>
      </w:r>
    </w:p>
    <w:p w14:paraId="1665EF05" w14:textId="77777777" w:rsidR="00A663AA" w:rsidRPr="00F867D0" w:rsidRDefault="00A663AA" w:rsidP="00A663AA">
      <w:pPr>
        <w:spacing w:after="0"/>
        <w:rPr>
          <w:szCs w:val="22"/>
        </w:rPr>
      </w:pPr>
    </w:p>
    <w:p w14:paraId="5F8F3E59" w14:textId="77777777" w:rsidR="00A663AA" w:rsidRPr="00F867D0" w:rsidRDefault="00A663AA" w:rsidP="00A663AA">
      <w:pPr>
        <w:spacing w:after="0"/>
        <w:rPr>
          <w:szCs w:val="22"/>
        </w:rPr>
      </w:pPr>
      <w:r w:rsidRPr="00F867D0">
        <w:rPr>
          <w:szCs w:val="22"/>
        </w:rPr>
        <w:t xml:space="preserve">In the case of </w:t>
      </w:r>
      <w:r w:rsidRPr="00F867D0">
        <w:rPr>
          <w:i/>
          <w:szCs w:val="22"/>
          <w:u w:val="single"/>
        </w:rPr>
        <w:t>condensing units</w:t>
      </w:r>
      <w:r w:rsidRPr="00F867D0">
        <w:rPr>
          <w:szCs w:val="22"/>
        </w:rPr>
        <w:t>, in addition to the opportunities listed earlier, some of the additional efficiency improvement methods available for all refrigerants are:</w:t>
      </w:r>
    </w:p>
    <w:p w14:paraId="1557CAA1" w14:textId="77777777" w:rsidR="00A663AA" w:rsidRPr="00F867D0" w:rsidRDefault="00A663AA" w:rsidP="00736989">
      <w:pPr>
        <w:numPr>
          <w:ilvl w:val="0"/>
          <w:numId w:val="54"/>
        </w:numPr>
        <w:spacing w:after="0"/>
        <w:ind w:left="714" w:hanging="357"/>
        <w:rPr>
          <w:color w:val="auto"/>
          <w:kern w:val="2"/>
          <w:szCs w:val="22"/>
        </w:rPr>
      </w:pPr>
      <w:r w:rsidRPr="00F867D0">
        <w:rPr>
          <w:color w:val="auto"/>
          <w:kern w:val="2"/>
          <w:szCs w:val="22"/>
        </w:rPr>
        <w:t>reducing thermal load by better insulation etc.;</w:t>
      </w:r>
    </w:p>
    <w:p w14:paraId="64054459" w14:textId="77777777" w:rsidR="00A663AA" w:rsidRPr="00F867D0" w:rsidRDefault="00A663AA" w:rsidP="00736989">
      <w:pPr>
        <w:numPr>
          <w:ilvl w:val="0"/>
          <w:numId w:val="54"/>
        </w:numPr>
        <w:spacing w:after="0"/>
        <w:ind w:left="714" w:hanging="357"/>
        <w:rPr>
          <w:color w:val="auto"/>
          <w:kern w:val="2"/>
          <w:szCs w:val="22"/>
        </w:rPr>
      </w:pPr>
      <w:r w:rsidRPr="00F867D0">
        <w:rPr>
          <w:color w:val="auto"/>
          <w:kern w:val="2"/>
          <w:szCs w:val="22"/>
        </w:rPr>
        <w:t xml:space="preserve">designing for annual versus peak load energy performance; </w:t>
      </w:r>
    </w:p>
    <w:p w14:paraId="391BFD93" w14:textId="77777777" w:rsidR="00A663AA" w:rsidRPr="00F867D0" w:rsidRDefault="00A663AA" w:rsidP="00736989">
      <w:pPr>
        <w:numPr>
          <w:ilvl w:val="0"/>
          <w:numId w:val="54"/>
        </w:numPr>
        <w:spacing w:after="0"/>
        <w:ind w:left="714" w:hanging="357"/>
        <w:rPr>
          <w:color w:val="auto"/>
          <w:kern w:val="2"/>
          <w:szCs w:val="22"/>
        </w:rPr>
      </w:pPr>
      <w:r w:rsidRPr="00F867D0">
        <w:rPr>
          <w:color w:val="auto"/>
          <w:kern w:val="2"/>
          <w:szCs w:val="22"/>
        </w:rPr>
        <w:t xml:space="preserve">the use of mechanical subcooling or vapor injection subcooling of liquid to the evaporator; </w:t>
      </w:r>
    </w:p>
    <w:p w14:paraId="01DBB1D2" w14:textId="77777777" w:rsidR="00A663AA" w:rsidRPr="00F867D0" w:rsidRDefault="00A663AA" w:rsidP="00736989">
      <w:pPr>
        <w:numPr>
          <w:ilvl w:val="0"/>
          <w:numId w:val="54"/>
        </w:numPr>
        <w:spacing w:after="0"/>
        <w:ind w:left="714" w:hanging="357"/>
        <w:rPr>
          <w:color w:val="auto"/>
          <w:kern w:val="2"/>
          <w:szCs w:val="22"/>
        </w:rPr>
      </w:pPr>
      <w:r w:rsidRPr="00F867D0">
        <w:rPr>
          <w:color w:val="auto"/>
          <w:kern w:val="2"/>
          <w:szCs w:val="22"/>
        </w:rPr>
        <w:t xml:space="preserve">increased use of electronic valves and controls; </w:t>
      </w:r>
    </w:p>
    <w:p w14:paraId="6441685B" w14:textId="77777777" w:rsidR="00A663AA" w:rsidRPr="00F867D0" w:rsidRDefault="00A663AA" w:rsidP="00736989">
      <w:pPr>
        <w:numPr>
          <w:ilvl w:val="0"/>
          <w:numId w:val="54"/>
        </w:numPr>
        <w:spacing w:after="0"/>
        <w:ind w:left="714" w:hanging="357"/>
        <w:rPr>
          <w:color w:val="auto"/>
          <w:kern w:val="2"/>
          <w:szCs w:val="22"/>
        </w:rPr>
      </w:pPr>
      <w:r w:rsidRPr="00F867D0">
        <w:rPr>
          <w:color w:val="auto"/>
          <w:kern w:val="2"/>
          <w:szCs w:val="22"/>
        </w:rPr>
        <w:t>“floating” the condenser temperature down with the ambient especially when electronics controls and valves are used.</w:t>
      </w:r>
    </w:p>
    <w:p w14:paraId="053001C9" w14:textId="77777777" w:rsidR="009F09A9" w:rsidRPr="00F867D0" w:rsidRDefault="009F09A9" w:rsidP="00A663AA">
      <w:pPr>
        <w:spacing w:after="0"/>
        <w:rPr>
          <w:szCs w:val="22"/>
        </w:rPr>
      </w:pPr>
    </w:p>
    <w:p w14:paraId="3C4D4533" w14:textId="67599DE6" w:rsidR="00A663AA" w:rsidRPr="00F867D0" w:rsidRDefault="00A663AA" w:rsidP="00A663AA">
      <w:pPr>
        <w:spacing w:after="0"/>
        <w:rPr>
          <w:szCs w:val="22"/>
        </w:rPr>
      </w:pPr>
      <w:r w:rsidRPr="00F867D0">
        <w:rPr>
          <w:szCs w:val="22"/>
        </w:rPr>
        <w:t xml:space="preserve">Efficiency is often regulated by regional and national performance standards which include not just the refrigeration system but also the insulation panels, lighting and doors.  In some countries, prescriptive requirements for components such as fan motors are also used to regulate efficiency of the system.  Established test procedures and laboratories exist that can test and certify </w:t>
      </w:r>
      <w:r w:rsidR="006161BF">
        <w:rPr>
          <w:szCs w:val="22"/>
        </w:rPr>
        <w:t>this</w:t>
      </w:r>
      <w:r w:rsidRPr="00F867D0">
        <w:rPr>
          <w:szCs w:val="22"/>
        </w:rPr>
        <w:t xml:space="preserve"> equipment in Article 2 countries; developing this capability in Article 5 countries will be important for increasing the use of efficient condensing units.  In addition, since the installation and commissioning of these systems is done in the field, trained installers and technicians is important for optimum performance to design.  Too often, failure to install and commission correctly leads to higher energy consumption.  When flammable refrigerants are used, safe handling by trained personnel is another important factor.</w:t>
      </w:r>
    </w:p>
    <w:p w14:paraId="7B6493B5" w14:textId="77777777" w:rsidR="00A663AA" w:rsidRPr="00F867D0" w:rsidRDefault="00A663AA" w:rsidP="00A663AA">
      <w:pPr>
        <w:spacing w:after="0"/>
        <w:rPr>
          <w:szCs w:val="22"/>
        </w:rPr>
      </w:pPr>
    </w:p>
    <w:p w14:paraId="5C839351" w14:textId="77777777" w:rsidR="00A663AA" w:rsidRPr="00F867D0" w:rsidRDefault="00A663AA" w:rsidP="00A663AA">
      <w:pPr>
        <w:spacing w:after="0"/>
        <w:rPr>
          <w:szCs w:val="22"/>
        </w:rPr>
      </w:pPr>
      <w:r w:rsidRPr="00F867D0">
        <w:rPr>
          <w:i/>
          <w:szCs w:val="22"/>
          <w:u w:val="single"/>
        </w:rPr>
        <w:t>Centralized and Distributed systems</w:t>
      </w:r>
      <w:r w:rsidRPr="00F867D0">
        <w:rPr>
          <w:szCs w:val="22"/>
        </w:rPr>
        <w:t xml:space="preserve"> are the preferred options in larger supermarkets. They operate with racks of compressors installed in a machinery room (as in the case of a centralized system) or on the rooftop while cooling coils are in the display cabinets or cold rooms. Distributed systems may be thought of as multiple smaller centralized systems which lead to lower charge levels. Two main design options are used: direct and indirect systems.</w:t>
      </w:r>
    </w:p>
    <w:p w14:paraId="3EB78156" w14:textId="77777777" w:rsidR="00A663AA" w:rsidRPr="00F867D0" w:rsidRDefault="00A663AA" w:rsidP="00A663AA">
      <w:pPr>
        <w:spacing w:after="0"/>
        <w:rPr>
          <w:szCs w:val="22"/>
        </w:rPr>
      </w:pPr>
      <w:r w:rsidRPr="00F867D0">
        <w:rPr>
          <w:i/>
          <w:szCs w:val="22"/>
        </w:rPr>
        <w:t>Direct systems</w:t>
      </w:r>
      <w:r w:rsidRPr="00F867D0">
        <w:rPr>
          <w:szCs w:val="22"/>
        </w:rPr>
        <w:t xml:space="preserve"> are the most widespread. The refrigerant circulates from the machinery room to the sales area or cold rooms, where it evaporates in display-case heat exchangers, and then returns in vapour phase to the suction headers of the compressor racks. </w:t>
      </w:r>
    </w:p>
    <w:p w14:paraId="5ED59967" w14:textId="77777777" w:rsidR="009F09A9" w:rsidRPr="00F867D0" w:rsidRDefault="009F09A9" w:rsidP="00A663AA">
      <w:pPr>
        <w:spacing w:after="0"/>
        <w:rPr>
          <w:szCs w:val="22"/>
        </w:rPr>
      </w:pPr>
    </w:p>
    <w:p w14:paraId="20E9A433" w14:textId="4DAC1CB1" w:rsidR="00A663AA" w:rsidRPr="00F867D0" w:rsidRDefault="00A663AA" w:rsidP="00A663AA">
      <w:pPr>
        <w:spacing w:after="0"/>
        <w:rPr>
          <w:szCs w:val="22"/>
        </w:rPr>
      </w:pPr>
      <w:r w:rsidRPr="00F867D0">
        <w:rPr>
          <w:szCs w:val="22"/>
        </w:rPr>
        <w:t>Basic transcritical R-744 systems perform every well in colder ambient air conditions and perform poorly in high ambient regions where the system is operating predominantly in the transcritical mode.  Subcritical R-744 systems are often cascaded with a lower GWP HFC, HFC/HFO blend or an HFO and can have higher efficiency than existing R-404A systems.</w:t>
      </w:r>
    </w:p>
    <w:p w14:paraId="4F896CAC" w14:textId="77777777" w:rsidR="0038225F" w:rsidRPr="00F867D0" w:rsidRDefault="0038225F" w:rsidP="00A663AA">
      <w:pPr>
        <w:spacing w:after="0"/>
        <w:rPr>
          <w:szCs w:val="22"/>
        </w:rPr>
      </w:pPr>
    </w:p>
    <w:p w14:paraId="3E4CF7D8" w14:textId="46B10D81" w:rsidR="00A663AA" w:rsidRPr="00F867D0" w:rsidRDefault="00A663AA" w:rsidP="00A663AA">
      <w:pPr>
        <w:spacing w:after="0"/>
        <w:rPr>
          <w:szCs w:val="22"/>
        </w:rPr>
      </w:pPr>
      <w:r w:rsidRPr="00F867D0">
        <w:rPr>
          <w:szCs w:val="22"/>
        </w:rPr>
        <w:t xml:space="preserve">As far as </w:t>
      </w:r>
      <w:r w:rsidRPr="00F867D0">
        <w:rPr>
          <w:i/>
          <w:szCs w:val="22"/>
          <w:u w:val="single"/>
        </w:rPr>
        <w:t>centralized and distributed systems</w:t>
      </w:r>
      <w:r w:rsidRPr="00F867D0">
        <w:rPr>
          <w:szCs w:val="22"/>
        </w:rPr>
        <w:t xml:space="preserve"> are concerned, with the exception of transcritical R-744 in high ambient conditions, system efficiencies are comparable to the HCFC-22 and R-404A systems that are being replaced. Since these systems are typically custom designed and installed, very few regulations exist for </w:t>
      </w:r>
      <w:r w:rsidR="003C37C3">
        <w:rPr>
          <w:szCs w:val="22"/>
        </w:rPr>
        <w:t>EE</w:t>
      </w:r>
      <w:r w:rsidRPr="00F867D0">
        <w:rPr>
          <w:szCs w:val="22"/>
        </w:rPr>
        <w:t xml:space="preserve">. However, market forces drive these systems to implement various efficiency improvement methods that are applicable for all refrigerants: </w:t>
      </w:r>
    </w:p>
    <w:p w14:paraId="29CCDF9A" w14:textId="77777777" w:rsidR="00A663AA" w:rsidRPr="00F867D0" w:rsidRDefault="00A663AA" w:rsidP="00736989">
      <w:pPr>
        <w:numPr>
          <w:ilvl w:val="0"/>
          <w:numId w:val="60"/>
        </w:numPr>
        <w:spacing w:after="0"/>
        <w:rPr>
          <w:color w:val="auto"/>
          <w:kern w:val="2"/>
          <w:szCs w:val="22"/>
        </w:rPr>
      </w:pPr>
      <w:r w:rsidRPr="00F867D0">
        <w:rPr>
          <w:color w:val="auto"/>
          <w:kern w:val="2"/>
          <w:szCs w:val="22"/>
        </w:rPr>
        <w:t>reducing thermal load;</w:t>
      </w:r>
    </w:p>
    <w:p w14:paraId="33AAF163" w14:textId="77777777" w:rsidR="00A663AA" w:rsidRPr="00F867D0" w:rsidRDefault="00A663AA" w:rsidP="00736989">
      <w:pPr>
        <w:numPr>
          <w:ilvl w:val="0"/>
          <w:numId w:val="60"/>
        </w:numPr>
        <w:spacing w:after="0"/>
        <w:rPr>
          <w:color w:val="auto"/>
          <w:kern w:val="2"/>
          <w:szCs w:val="22"/>
        </w:rPr>
      </w:pPr>
      <w:r w:rsidRPr="00F867D0">
        <w:rPr>
          <w:color w:val="auto"/>
          <w:kern w:val="2"/>
          <w:szCs w:val="22"/>
        </w:rPr>
        <w:t xml:space="preserve">designing for annual versus peak load energy performance; </w:t>
      </w:r>
    </w:p>
    <w:p w14:paraId="3FFB1FA8" w14:textId="77777777" w:rsidR="00A663AA" w:rsidRPr="00F867D0" w:rsidRDefault="00A663AA" w:rsidP="00736989">
      <w:pPr>
        <w:numPr>
          <w:ilvl w:val="0"/>
          <w:numId w:val="60"/>
        </w:numPr>
        <w:spacing w:after="0"/>
        <w:rPr>
          <w:color w:val="auto"/>
          <w:kern w:val="2"/>
          <w:szCs w:val="22"/>
        </w:rPr>
      </w:pPr>
      <w:r w:rsidRPr="00F867D0">
        <w:rPr>
          <w:color w:val="auto"/>
          <w:kern w:val="2"/>
          <w:szCs w:val="22"/>
        </w:rPr>
        <w:t xml:space="preserve">the use of mechanical subcooling of liquid to the evaporator; </w:t>
      </w:r>
    </w:p>
    <w:p w14:paraId="1FFA4ED1" w14:textId="77777777" w:rsidR="00A663AA" w:rsidRPr="00F867D0" w:rsidRDefault="00A663AA" w:rsidP="00736989">
      <w:pPr>
        <w:numPr>
          <w:ilvl w:val="0"/>
          <w:numId w:val="60"/>
        </w:numPr>
        <w:spacing w:after="0"/>
        <w:rPr>
          <w:color w:val="auto"/>
          <w:kern w:val="2"/>
          <w:szCs w:val="22"/>
        </w:rPr>
      </w:pPr>
      <w:r w:rsidRPr="00F867D0">
        <w:rPr>
          <w:color w:val="auto"/>
          <w:kern w:val="2"/>
          <w:szCs w:val="22"/>
        </w:rPr>
        <w:t>the use of vapor injection subcooling of liquid to the evaporator;</w:t>
      </w:r>
    </w:p>
    <w:p w14:paraId="60AE7925" w14:textId="77777777" w:rsidR="00A663AA" w:rsidRPr="00F867D0" w:rsidRDefault="00A663AA" w:rsidP="00736989">
      <w:pPr>
        <w:numPr>
          <w:ilvl w:val="0"/>
          <w:numId w:val="60"/>
        </w:numPr>
        <w:spacing w:after="0"/>
        <w:rPr>
          <w:color w:val="auto"/>
          <w:kern w:val="2"/>
          <w:szCs w:val="22"/>
        </w:rPr>
      </w:pPr>
      <w:r w:rsidRPr="00F867D0">
        <w:rPr>
          <w:color w:val="auto"/>
          <w:kern w:val="2"/>
          <w:szCs w:val="22"/>
        </w:rPr>
        <w:t>the use of “parallel compression” especially in the case of transcritical R-744 systems;</w:t>
      </w:r>
    </w:p>
    <w:p w14:paraId="206A7CC0" w14:textId="77777777" w:rsidR="00A663AA" w:rsidRPr="00F867D0" w:rsidRDefault="00A663AA" w:rsidP="00736989">
      <w:pPr>
        <w:numPr>
          <w:ilvl w:val="0"/>
          <w:numId w:val="60"/>
        </w:numPr>
        <w:spacing w:after="0"/>
        <w:rPr>
          <w:color w:val="auto"/>
          <w:kern w:val="2"/>
          <w:szCs w:val="22"/>
        </w:rPr>
      </w:pPr>
      <w:r w:rsidRPr="00F867D0">
        <w:rPr>
          <w:color w:val="auto"/>
          <w:kern w:val="2"/>
          <w:szCs w:val="22"/>
        </w:rPr>
        <w:t>higher efficiency fan motors and compressors;</w:t>
      </w:r>
    </w:p>
    <w:p w14:paraId="30409257" w14:textId="77777777" w:rsidR="00A663AA" w:rsidRPr="00F867D0" w:rsidRDefault="00A663AA" w:rsidP="00736989">
      <w:pPr>
        <w:numPr>
          <w:ilvl w:val="0"/>
          <w:numId w:val="60"/>
        </w:numPr>
        <w:spacing w:after="0"/>
        <w:rPr>
          <w:color w:val="auto"/>
          <w:kern w:val="2"/>
          <w:szCs w:val="22"/>
        </w:rPr>
      </w:pPr>
      <w:r w:rsidRPr="00F867D0">
        <w:rPr>
          <w:color w:val="auto"/>
          <w:kern w:val="2"/>
          <w:szCs w:val="22"/>
        </w:rPr>
        <w:t xml:space="preserve">variable speed drives for fans and compressors; </w:t>
      </w:r>
    </w:p>
    <w:p w14:paraId="383ADD1C" w14:textId="77777777" w:rsidR="00A663AA" w:rsidRPr="00F867D0" w:rsidRDefault="00A663AA" w:rsidP="00736989">
      <w:pPr>
        <w:numPr>
          <w:ilvl w:val="0"/>
          <w:numId w:val="60"/>
        </w:numPr>
        <w:spacing w:after="0"/>
        <w:rPr>
          <w:color w:val="auto"/>
          <w:kern w:val="2"/>
          <w:szCs w:val="22"/>
        </w:rPr>
      </w:pPr>
      <w:r w:rsidRPr="00F867D0">
        <w:rPr>
          <w:color w:val="auto"/>
          <w:kern w:val="2"/>
          <w:szCs w:val="22"/>
        </w:rPr>
        <w:t>compressor intercooling with vapor or liquid injection</w:t>
      </w:r>
    </w:p>
    <w:p w14:paraId="45415C47" w14:textId="77777777" w:rsidR="00A663AA" w:rsidRPr="00F867D0" w:rsidRDefault="00A663AA" w:rsidP="00736989">
      <w:pPr>
        <w:numPr>
          <w:ilvl w:val="0"/>
          <w:numId w:val="60"/>
        </w:numPr>
        <w:spacing w:after="0"/>
        <w:rPr>
          <w:color w:val="auto"/>
          <w:kern w:val="2"/>
          <w:szCs w:val="22"/>
        </w:rPr>
      </w:pPr>
      <w:r w:rsidRPr="00F867D0">
        <w:rPr>
          <w:color w:val="auto"/>
          <w:kern w:val="2"/>
          <w:szCs w:val="22"/>
        </w:rPr>
        <w:t>variable capacity compressors;</w:t>
      </w:r>
    </w:p>
    <w:p w14:paraId="777DF937" w14:textId="77777777" w:rsidR="00A663AA" w:rsidRPr="00F867D0" w:rsidRDefault="00A663AA" w:rsidP="00736989">
      <w:pPr>
        <w:numPr>
          <w:ilvl w:val="0"/>
          <w:numId w:val="60"/>
        </w:numPr>
        <w:spacing w:after="0"/>
        <w:rPr>
          <w:color w:val="auto"/>
          <w:kern w:val="2"/>
          <w:szCs w:val="22"/>
        </w:rPr>
      </w:pPr>
      <w:r w:rsidRPr="00F867D0">
        <w:rPr>
          <w:color w:val="auto"/>
          <w:kern w:val="2"/>
          <w:szCs w:val="22"/>
        </w:rPr>
        <w:t xml:space="preserve">increased use of electronic expansion valves and controls; </w:t>
      </w:r>
    </w:p>
    <w:p w14:paraId="36CEA2A0" w14:textId="77777777" w:rsidR="00A663AA" w:rsidRPr="00F867D0" w:rsidRDefault="00A663AA" w:rsidP="00736989">
      <w:pPr>
        <w:numPr>
          <w:ilvl w:val="0"/>
          <w:numId w:val="60"/>
        </w:numPr>
        <w:spacing w:after="0"/>
        <w:rPr>
          <w:color w:val="auto"/>
          <w:kern w:val="2"/>
          <w:szCs w:val="22"/>
        </w:rPr>
      </w:pPr>
      <w:r w:rsidRPr="00F867D0">
        <w:rPr>
          <w:color w:val="auto"/>
          <w:kern w:val="2"/>
          <w:szCs w:val="22"/>
        </w:rPr>
        <w:t>larger condensers;</w:t>
      </w:r>
    </w:p>
    <w:p w14:paraId="3041A07A" w14:textId="77777777" w:rsidR="00A663AA" w:rsidRPr="00F867D0" w:rsidRDefault="00A663AA" w:rsidP="00736989">
      <w:pPr>
        <w:numPr>
          <w:ilvl w:val="0"/>
          <w:numId w:val="60"/>
        </w:numPr>
        <w:spacing w:after="0"/>
        <w:rPr>
          <w:color w:val="auto"/>
          <w:kern w:val="2"/>
          <w:szCs w:val="22"/>
        </w:rPr>
      </w:pPr>
      <w:r w:rsidRPr="00F867D0">
        <w:rPr>
          <w:color w:val="auto"/>
          <w:kern w:val="2"/>
          <w:szCs w:val="22"/>
        </w:rPr>
        <w:t>“adiabatic condensers” where the dry inlet air to the condenser is “cooled” by adding moisture;</w:t>
      </w:r>
    </w:p>
    <w:p w14:paraId="60B645AE" w14:textId="77777777" w:rsidR="00A663AA" w:rsidRPr="00F867D0" w:rsidRDefault="00A663AA" w:rsidP="00736989">
      <w:pPr>
        <w:numPr>
          <w:ilvl w:val="0"/>
          <w:numId w:val="60"/>
        </w:numPr>
        <w:spacing w:after="0"/>
        <w:rPr>
          <w:color w:val="auto"/>
          <w:kern w:val="2"/>
          <w:szCs w:val="22"/>
        </w:rPr>
      </w:pPr>
      <w:r w:rsidRPr="00F867D0">
        <w:rPr>
          <w:color w:val="auto"/>
          <w:kern w:val="2"/>
          <w:szCs w:val="22"/>
        </w:rPr>
        <w:t>“floating” the condenser temperature down with the ambient especially when electronics controls and valves are used.</w:t>
      </w:r>
    </w:p>
    <w:p w14:paraId="75772EBB" w14:textId="77777777" w:rsidR="009F09A9" w:rsidRPr="00F867D0" w:rsidRDefault="009F09A9" w:rsidP="00A663AA">
      <w:pPr>
        <w:spacing w:after="0"/>
        <w:rPr>
          <w:szCs w:val="22"/>
        </w:rPr>
      </w:pPr>
    </w:p>
    <w:p w14:paraId="4B9C0A7D" w14:textId="115FF33F" w:rsidR="00A663AA" w:rsidRPr="00F867D0" w:rsidRDefault="00A663AA" w:rsidP="00A663AA">
      <w:pPr>
        <w:spacing w:after="0"/>
        <w:rPr>
          <w:szCs w:val="22"/>
        </w:rPr>
      </w:pPr>
      <w:r w:rsidRPr="00F867D0">
        <w:rPr>
          <w:szCs w:val="22"/>
        </w:rPr>
        <w:t xml:space="preserve">In the case of transcritical R-744 systems, the use of ejectors as a method to improve </w:t>
      </w:r>
      <w:r w:rsidR="003C37C3">
        <w:rPr>
          <w:szCs w:val="22"/>
        </w:rPr>
        <w:t>EE</w:t>
      </w:r>
      <w:r w:rsidRPr="00F867D0">
        <w:rPr>
          <w:szCs w:val="22"/>
        </w:rPr>
        <w:t xml:space="preserve"> is growing.  But in all these instances, higher efficiency is traded off for greater equipment cost and complexity, which leads to better and increased training needs for installers and maintenance technicians.  </w:t>
      </w:r>
    </w:p>
    <w:p w14:paraId="3C4B34ED" w14:textId="77777777" w:rsidR="00A663AA" w:rsidRPr="00F867D0" w:rsidRDefault="00A663AA" w:rsidP="00A663AA">
      <w:pPr>
        <w:spacing w:after="0"/>
        <w:rPr>
          <w:szCs w:val="22"/>
        </w:rPr>
      </w:pPr>
    </w:p>
    <w:p w14:paraId="2C3A47EF" w14:textId="61B1C741" w:rsidR="00A663AA" w:rsidRPr="000F749F" w:rsidRDefault="00A663AA" w:rsidP="000F749F">
      <w:pPr>
        <w:pStyle w:val="Heading2"/>
        <w:rPr>
          <w:b w:val="0"/>
        </w:rPr>
      </w:pPr>
      <w:bookmarkStart w:id="129" w:name="_Toc515454408"/>
      <w:r w:rsidRPr="000F749F">
        <w:t>A.3</w:t>
      </w:r>
      <w:r w:rsidRPr="000F749F">
        <w:tab/>
        <w:t xml:space="preserve">Residential and </w:t>
      </w:r>
      <w:r w:rsidR="00E42472" w:rsidRPr="000F749F">
        <w:t>c</w:t>
      </w:r>
      <w:r w:rsidRPr="000F749F">
        <w:t>ommercial AC</w:t>
      </w:r>
      <w:bookmarkEnd w:id="129"/>
    </w:p>
    <w:p w14:paraId="52E65B83" w14:textId="7CBD7F1C" w:rsidR="00A663AA" w:rsidRDefault="00A663AA" w:rsidP="00A663AA">
      <w:pPr>
        <w:spacing w:after="0"/>
        <w:rPr>
          <w:b/>
          <w:szCs w:val="22"/>
          <w:lang w:eastAsia="en-US"/>
        </w:rPr>
      </w:pPr>
      <w:r w:rsidRPr="00F867D0">
        <w:rPr>
          <w:b/>
          <w:szCs w:val="22"/>
          <w:lang w:eastAsia="en-US"/>
        </w:rPr>
        <w:t>State of the art</w:t>
      </w:r>
    </w:p>
    <w:p w14:paraId="0CC241F9" w14:textId="77777777" w:rsidR="00C1590C" w:rsidRPr="00F867D0" w:rsidRDefault="00C1590C" w:rsidP="00A663AA">
      <w:pPr>
        <w:spacing w:after="0"/>
        <w:rPr>
          <w:b/>
          <w:szCs w:val="22"/>
          <w:lang w:eastAsia="en-US"/>
        </w:rPr>
      </w:pPr>
    </w:p>
    <w:p w14:paraId="6A519990" w14:textId="29036226" w:rsidR="00A663AA" w:rsidRPr="00F867D0" w:rsidRDefault="00633A4A" w:rsidP="00A663AA">
      <w:pPr>
        <w:spacing w:after="0"/>
        <w:rPr>
          <w:szCs w:val="22"/>
          <w:lang w:eastAsia="en-US"/>
        </w:rPr>
      </w:pPr>
      <w:r>
        <w:rPr>
          <w:szCs w:val="22"/>
          <w:lang w:val="nl-NL" w:eastAsia="en-US"/>
        </w:rPr>
        <w:t xml:space="preserve">The International Energy Agency projects that the global stock for air conditioners (residential and commercial) will grow from 1.6 billion today to 5.6 billion by 2050, with more than half of the growth in residential AC ownership taking place in China and India, and significant growth in Africa and the Middle East (IEA, 2018). </w:t>
      </w:r>
      <w:r w:rsidR="00A663AA" w:rsidRPr="00F867D0">
        <w:rPr>
          <w:szCs w:val="22"/>
          <w:lang w:eastAsia="en-US"/>
        </w:rPr>
        <w:t xml:space="preserve">Under such circumstances, especially in A5countries, the air conditioner of HFC-22 refrigerant is still mainstream, and improvement of </w:t>
      </w:r>
      <w:r w:rsidR="003C37C3">
        <w:rPr>
          <w:szCs w:val="22"/>
          <w:lang w:eastAsia="en-US"/>
        </w:rPr>
        <w:t>EE</w:t>
      </w:r>
      <w:r w:rsidR="00A663AA" w:rsidRPr="00F867D0">
        <w:rPr>
          <w:szCs w:val="22"/>
          <w:lang w:eastAsia="en-US"/>
        </w:rPr>
        <w:t xml:space="preserve"> along with phase-out of HCFC refrigerant is an urgent issue.</w:t>
      </w:r>
    </w:p>
    <w:p w14:paraId="577D1582" w14:textId="131B737B" w:rsidR="00A663AA" w:rsidRPr="00F867D0" w:rsidRDefault="00A663AA" w:rsidP="00A663AA">
      <w:pPr>
        <w:spacing w:after="0"/>
        <w:rPr>
          <w:szCs w:val="22"/>
          <w:lang w:eastAsia="en-US"/>
        </w:rPr>
      </w:pPr>
      <w:r w:rsidRPr="00F867D0">
        <w:rPr>
          <w:szCs w:val="22"/>
          <w:lang w:eastAsia="en-US"/>
        </w:rPr>
        <w:t xml:space="preserve">Metrics such as Energy Efficiency Ratio (EER) or Seasonal Energy Efficiency Ratio (SEER) have been mainly used for evaluating </w:t>
      </w:r>
      <w:r w:rsidR="003C37C3">
        <w:rPr>
          <w:szCs w:val="22"/>
          <w:lang w:eastAsia="en-US"/>
        </w:rPr>
        <w:t>EE</w:t>
      </w:r>
      <w:r w:rsidRPr="00F867D0">
        <w:rPr>
          <w:szCs w:val="22"/>
          <w:lang w:eastAsia="en-US"/>
        </w:rPr>
        <w:t xml:space="preserve"> so far. In many countries, </w:t>
      </w:r>
      <w:r w:rsidR="00C361F5">
        <w:rPr>
          <w:szCs w:val="22"/>
          <w:lang w:eastAsia="en-US"/>
        </w:rPr>
        <w:t>M</w:t>
      </w:r>
      <w:r w:rsidRPr="00F867D0">
        <w:rPr>
          <w:szCs w:val="22"/>
          <w:lang w:eastAsia="en-US"/>
        </w:rPr>
        <w:t xml:space="preserve">inimum </w:t>
      </w:r>
      <w:r w:rsidR="00C361F5">
        <w:rPr>
          <w:szCs w:val="22"/>
          <w:lang w:eastAsia="en-US"/>
        </w:rPr>
        <w:t>E</w:t>
      </w:r>
      <w:r w:rsidRPr="00F867D0">
        <w:rPr>
          <w:szCs w:val="22"/>
          <w:lang w:eastAsia="en-US"/>
        </w:rPr>
        <w:t xml:space="preserve">nergy </w:t>
      </w:r>
      <w:r w:rsidR="00C361F5">
        <w:rPr>
          <w:szCs w:val="22"/>
          <w:lang w:eastAsia="en-US"/>
        </w:rPr>
        <w:t>P</w:t>
      </w:r>
      <w:r w:rsidRPr="00F867D0">
        <w:rPr>
          <w:szCs w:val="22"/>
          <w:lang w:eastAsia="en-US"/>
        </w:rPr>
        <w:t xml:space="preserve">erformance </w:t>
      </w:r>
      <w:r w:rsidR="00C361F5">
        <w:rPr>
          <w:szCs w:val="22"/>
          <w:lang w:eastAsia="en-US"/>
        </w:rPr>
        <w:t>S</w:t>
      </w:r>
      <w:r w:rsidRPr="00F867D0">
        <w:rPr>
          <w:szCs w:val="22"/>
          <w:lang w:eastAsia="en-US"/>
        </w:rPr>
        <w:t>tandards (MEPS</w:t>
      </w:r>
      <w:r w:rsidR="00C361F5">
        <w:rPr>
          <w:szCs w:val="22"/>
          <w:lang w:eastAsia="en-US"/>
        </w:rPr>
        <w:t>, see Section 2.2.2</w:t>
      </w:r>
      <w:r w:rsidRPr="00F867D0">
        <w:rPr>
          <w:szCs w:val="22"/>
          <w:lang w:eastAsia="en-US"/>
        </w:rPr>
        <w:t xml:space="preserve">) have been introduced to improve the </w:t>
      </w:r>
      <w:r w:rsidR="003C37C3">
        <w:rPr>
          <w:szCs w:val="22"/>
          <w:lang w:eastAsia="en-US"/>
        </w:rPr>
        <w:t>EE</w:t>
      </w:r>
      <w:r w:rsidRPr="00F867D0">
        <w:rPr>
          <w:szCs w:val="22"/>
          <w:lang w:eastAsia="en-US"/>
        </w:rPr>
        <w:t xml:space="preserve"> of air conditioners, and these markets have been transformed toward higher </w:t>
      </w:r>
      <w:r w:rsidR="003C37C3">
        <w:rPr>
          <w:szCs w:val="22"/>
          <w:lang w:eastAsia="en-US"/>
        </w:rPr>
        <w:t>EE</w:t>
      </w:r>
      <w:r w:rsidRPr="00F867D0">
        <w:rPr>
          <w:szCs w:val="22"/>
          <w:lang w:eastAsia="en-US"/>
        </w:rPr>
        <w:t>. However, significant additional technical potential still remains since the best ACs on the market are much more efficient than the average AC.</w:t>
      </w:r>
    </w:p>
    <w:p w14:paraId="74AF0127" w14:textId="77777777" w:rsidR="00A663AA" w:rsidRPr="00F867D0" w:rsidRDefault="00A663AA" w:rsidP="00A663AA">
      <w:pPr>
        <w:spacing w:after="0"/>
        <w:rPr>
          <w:szCs w:val="22"/>
          <w:lang w:eastAsia="en-US"/>
        </w:rPr>
      </w:pPr>
    </w:p>
    <w:p w14:paraId="78CC28B4" w14:textId="4E6BB646" w:rsidR="00A663AA" w:rsidRDefault="00A663AA" w:rsidP="00A663AA">
      <w:pPr>
        <w:spacing w:after="0"/>
        <w:rPr>
          <w:b/>
          <w:szCs w:val="22"/>
          <w:lang w:eastAsia="en-US"/>
        </w:rPr>
      </w:pPr>
      <w:r w:rsidRPr="00F867D0">
        <w:rPr>
          <w:b/>
          <w:szCs w:val="22"/>
          <w:lang w:eastAsia="en-US"/>
        </w:rPr>
        <w:t>Opportunities and challenges</w:t>
      </w:r>
    </w:p>
    <w:p w14:paraId="153C8AB3" w14:textId="77777777" w:rsidR="00C1590C" w:rsidRPr="00F867D0" w:rsidRDefault="00C1590C" w:rsidP="00A663AA">
      <w:pPr>
        <w:spacing w:after="0"/>
        <w:rPr>
          <w:b/>
          <w:szCs w:val="22"/>
          <w:lang w:eastAsia="en-US"/>
        </w:rPr>
      </w:pPr>
    </w:p>
    <w:p w14:paraId="51FC6FC2" w14:textId="1F29FD3E" w:rsidR="00A663AA" w:rsidRPr="00F867D0" w:rsidRDefault="00981D72" w:rsidP="00A663AA">
      <w:pPr>
        <w:spacing w:after="0"/>
        <w:rPr>
          <w:szCs w:val="22"/>
          <w:lang w:eastAsia="en-US"/>
        </w:rPr>
      </w:pPr>
      <w:r>
        <w:rPr>
          <w:szCs w:val="22"/>
          <w:lang w:eastAsia="en-US"/>
        </w:rPr>
        <w:t>T</w:t>
      </w:r>
      <w:r w:rsidR="00A663AA" w:rsidRPr="00F867D0">
        <w:rPr>
          <w:szCs w:val="22"/>
          <w:lang w:eastAsia="en-US"/>
        </w:rPr>
        <w:t xml:space="preserve">he technology of choice greatly depends on the equipment type, application, and load. This is largely due to the larger cost associated with energy efficient improvement measures. For example, an inverter compressor technology is less likely to be adopted in packaged or rooftop units, however it is already widely accepted in the large-scale chiller installations. Another example is the MCHX which shows high potential for </w:t>
      </w:r>
      <w:r w:rsidR="003C37C3">
        <w:rPr>
          <w:szCs w:val="22"/>
          <w:lang w:eastAsia="en-US"/>
        </w:rPr>
        <w:t>EE</w:t>
      </w:r>
      <w:r w:rsidR="00A663AA" w:rsidRPr="00F867D0">
        <w:rPr>
          <w:szCs w:val="22"/>
          <w:lang w:eastAsia="en-US"/>
        </w:rPr>
        <w:t xml:space="preserve"> when used as a condenser for both packaged units and air-cooled chillers. Finally, an important technology for the commercial AC sector is the high efficiency motors and blowers. Baseline AC motors are significantly less efficient that permanent magnet and electronically commutated motors that have the potential for being used along with a variable frequency drive to further increase the energy savings associated with air movement (through ducted systems) and with chilled water pumping (through chilled water pipe systems).</w:t>
      </w:r>
    </w:p>
    <w:p w14:paraId="11FB6E3F" w14:textId="77777777" w:rsidR="009F09A9" w:rsidRPr="00F867D0" w:rsidRDefault="009F09A9" w:rsidP="00A663AA">
      <w:pPr>
        <w:spacing w:after="0"/>
        <w:rPr>
          <w:szCs w:val="22"/>
          <w:lang w:eastAsia="en-US"/>
        </w:rPr>
      </w:pPr>
    </w:p>
    <w:p w14:paraId="5C583FD7" w14:textId="4E06FAB6" w:rsidR="00A663AA" w:rsidRPr="00F867D0" w:rsidRDefault="00A663AA" w:rsidP="00A663AA">
      <w:pPr>
        <w:spacing w:after="0"/>
        <w:rPr>
          <w:szCs w:val="22"/>
          <w:lang w:eastAsia="en-US"/>
        </w:rPr>
      </w:pPr>
      <w:r w:rsidRPr="00F867D0">
        <w:rPr>
          <w:szCs w:val="22"/>
          <w:lang w:eastAsia="en-US"/>
        </w:rPr>
        <w:t xml:space="preserve">It is also important to understand the thermodynamic challenges and limitations as well as the possible opportunities that alternative low GWP refrigerants provide. The thermodynamic efficiency of all alternative low GWP refrigerants are lower than that of HCFC-22; except for ammonia (which is classified as </w:t>
      </w:r>
      <w:r w:rsidR="006A2D73" w:rsidRPr="00F867D0">
        <w:rPr>
          <w:szCs w:val="22"/>
          <w:lang w:eastAsia="en-US"/>
        </w:rPr>
        <w:t xml:space="preserve">B2L, </w:t>
      </w:r>
      <w:r w:rsidRPr="00F867D0">
        <w:rPr>
          <w:szCs w:val="22"/>
          <w:lang w:eastAsia="en-US"/>
        </w:rPr>
        <w:t xml:space="preserve">toxic mildly flammable refrigerant). Propane and R-450 have thermodynamic efficiency within 2.5% of HCFC-22 by at the cost of 15% and 45% reduction in thermodynamic capacity respectively. Other alternative refrigerants show a trade-off between thermodynamic capacity and efficiency. In contrast to the thermodynamic cycle limitation, system manufacturers were able to match or exceed the performance of HCFC-22 with alternative refrigerants. </w:t>
      </w:r>
    </w:p>
    <w:p w14:paraId="4A52F05C" w14:textId="77777777" w:rsidR="009F09A9" w:rsidRPr="00F867D0" w:rsidRDefault="009F09A9" w:rsidP="00A663AA">
      <w:pPr>
        <w:spacing w:after="0"/>
        <w:rPr>
          <w:szCs w:val="22"/>
          <w:lang w:eastAsia="en-US"/>
        </w:rPr>
      </w:pPr>
    </w:p>
    <w:p w14:paraId="1834FA6D" w14:textId="5B4B38E8" w:rsidR="009F09A9" w:rsidRPr="00F867D0" w:rsidRDefault="00A663AA" w:rsidP="00A663AA">
      <w:pPr>
        <w:spacing w:after="0"/>
        <w:rPr>
          <w:lang w:eastAsia="en-US"/>
        </w:rPr>
      </w:pPr>
      <w:r w:rsidRPr="00F867D0">
        <w:rPr>
          <w:szCs w:val="22"/>
          <w:lang w:eastAsia="en-US"/>
        </w:rPr>
        <w:t xml:space="preserve">For example, in non-A5 countries, while the manufacturers transitioned from HCFC-22 to R-410A (lower thermodynamic efficiency) they were able to continually improve the efficiency and maintain the adjusted </w:t>
      </w:r>
      <w:r w:rsidRPr="00BB266C">
        <w:rPr>
          <w:szCs w:val="22"/>
          <w:lang w:eastAsia="en-US"/>
        </w:rPr>
        <w:t>cost over time while the MEPS continued to drive the market towards higher efficiency units [Goetzler et al.</w:t>
      </w:r>
      <w:r w:rsidR="00D41EAD" w:rsidRPr="00BB266C">
        <w:rPr>
          <w:szCs w:val="22"/>
          <w:lang w:eastAsia="en-US"/>
        </w:rPr>
        <w:t>,</w:t>
      </w:r>
      <w:r w:rsidRPr="00BB266C">
        <w:rPr>
          <w:szCs w:val="22"/>
          <w:lang w:eastAsia="en-US"/>
        </w:rPr>
        <w:t xml:space="preserve"> 2016</w:t>
      </w:r>
      <w:r w:rsidR="00D07E69" w:rsidRPr="00BB266C">
        <w:rPr>
          <w:szCs w:val="22"/>
          <w:lang w:eastAsia="en-US"/>
        </w:rPr>
        <w:t xml:space="preserve">; </w:t>
      </w:r>
      <w:r w:rsidRPr="00BB266C">
        <w:rPr>
          <w:szCs w:val="22"/>
          <w:lang w:eastAsia="en-US"/>
        </w:rPr>
        <w:t>Abdelaziz et al.</w:t>
      </w:r>
      <w:r w:rsidR="00D41EAD" w:rsidRPr="00BB266C">
        <w:rPr>
          <w:szCs w:val="22"/>
          <w:lang w:eastAsia="en-US"/>
        </w:rPr>
        <w:t>,</w:t>
      </w:r>
      <w:r w:rsidRPr="00BB266C">
        <w:rPr>
          <w:szCs w:val="22"/>
          <w:lang w:eastAsia="en-US"/>
        </w:rPr>
        <w:t xml:space="preserve"> 2015</w:t>
      </w:r>
      <w:r w:rsidR="00D07E69" w:rsidRPr="00BB266C">
        <w:rPr>
          <w:szCs w:val="22"/>
          <w:lang w:eastAsia="en-US"/>
        </w:rPr>
        <w:t xml:space="preserve">; and </w:t>
      </w:r>
      <w:r w:rsidRPr="00BB266C">
        <w:rPr>
          <w:szCs w:val="22"/>
          <w:lang w:eastAsia="en-US"/>
        </w:rPr>
        <w:t>Abdelaziz et al.</w:t>
      </w:r>
      <w:r w:rsidR="00D41EAD" w:rsidRPr="00BB266C">
        <w:rPr>
          <w:szCs w:val="22"/>
          <w:lang w:eastAsia="en-US"/>
        </w:rPr>
        <w:t>,</w:t>
      </w:r>
      <w:r w:rsidRPr="00BB266C">
        <w:rPr>
          <w:szCs w:val="22"/>
          <w:lang w:eastAsia="en-US"/>
        </w:rPr>
        <w:t xml:space="preserve"> 201</w:t>
      </w:r>
      <w:r w:rsidR="00981D72" w:rsidRPr="00BB266C">
        <w:rPr>
          <w:szCs w:val="22"/>
          <w:lang w:eastAsia="en-US"/>
        </w:rPr>
        <w:t>6] showed that there are several viable alternative lower-GWP refrigerants for HCFC-22 a</w:t>
      </w:r>
      <w:r w:rsidR="00981D72" w:rsidRPr="00F867D0">
        <w:rPr>
          <w:szCs w:val="22"/>
          <w:lang w:eastAsia="en-US"/>
        </w:rPr>
        <w:t xml:space="preserve">nd R-410A in mini-split and packaged rooftop air conditioning respectively. Furthermore, the AHRI AREP phases I and II summary reports provided by </w:t>
      </w:r>
      <w:r w:rsidR="00981D72" w:rsidRPr="00BB266C">
        <w:rPr>
          <w:szCs w:val="22"/>
          <w:lang w:eastAsia="en-US"/>
        </w:rPr>
        <w:t>[Wang and Amrane, 2014; and Wang and Amrane, 2016] show other refrigerants that meet or exceed the performance of the baseline refri</w:t>
      </w:r>
      <w:r w:rsidR="00981D72" w:rsidRPr="00F867D0">
        <w:rPr>
          <w:szCs w:val="22"/>
          <w:lang w:eastAsia="en-US"/>
        </w:rPr>
        <w:t>gerants.</w:t>
      </w:r>
    </w:p>
    <w:p w14:paraId="75F016B8" w14:textId="732DBDC3" w:rsidR="009F09A9" w:rsidRPr="00F867D0" w:rsidRDefault="00A663AA" w:rsidP="009F09A9">
      <w:pPr>
        <w:spacing w:after="0"/>
        <w:rPr>
          <w:szCs w:val="22"/>
        </w:rPr>
      </w:pPr>
      <w:r w:rsidRPr="00F867D0">
        <w:rPr>
          <w:lang w:eastAsia="en-US"/>
        </w:rPr>
        <w:t xml:space="preserve">There is much potential for </w:t>
      </w:r>
      <w:r w:rsidR="003C37C3">
        <w:rPr>
          <w:lang w:eastAsia="en-US"/>
        </w:rPr>
        <w:t>EE</w:t>
      </w:r>
      <w:r w:rsidRPr="00F867D0">
        <w:rPr>
          <w:lang w:eastAsia="en-US"/>
        </w:rPr>
        <w:t xml:space="preserve"> improvement of the average </w:t>
      </w:r>
      <w:r w:rsidR="004D7B4D" w:rsidRPr="00F867D0">
        <w:rPr>
          <w:lang w:eastAsia="en-US"/>
        </w:rPr>
        <w:t>AC</w:t>
      </w:r>
      <w:r w:rsidRPr="00F867D0">
        <w:rPr>
          <w:lang w:eastAsia="en-US"/>
        </w:rPr>
        <w:t xml:space="preserve"> on the global market given that the average efficiency for room ACs i</w:t>
      </w:r>
      <w:r w:rsidRPr="00BB266C">
        <w:rPr>
          <w:lang w:eastAsia="en-US"/>
        </w:rPr>
        <w:t>s roughly 3 W/W while the best room ACs on the global market have SEERs of over 10 W/W. However, further improvement beyond the current best available technology gets m</w:t>
      </w:r>
      <w:r w:rsidRPr="00F867D0">
        <w:rPr>
          <w:lang w:eastAsia="en-US"/>
        </w:rPr>
        <w:t>ore challenging as thermodynamic limits are approached.</w:t>
      </w:r>
      <w:r w:rsidR="009F09A9" w:rsidRPr="00F867D0">
        <w:rPr>
          <w:szCs w:val="22"/>
        </w:rPr>
        <w:t xml:space="preserve"> </w:t>
      </w:r>
    </w:p>
    <w:p w14:paraId="69C1B2F5" w14:textId="77777777" w:rsidR="001D6A45" w:rsidRDefault="001D6A45" w:rsidP="001D6A45">
      <w:pPr>
        <w:spacing w:after="0"/>
        <w:rPr>
          <w:rFonts w:eastAsia="DengXian"/>
          <w:szCs w:val="22"/>
          <w:lang w:val="en-US"/>
        </w:rPr>
      </w:pPr>
    </w:p>
    <w:p w14:paraId="6FD5278E" w14:textId="705C9F0F" w:rsidR="002C5E4A" w:rsidRDefault="006738C7" w:rsidP="005B6A8B">
      <w:pPr>
        <w:spacing w:after="0"/>
        <w:ind w:right="4"/>
        <w:rPr>
          <w:rFonts w:eastAsia="DengXian"/>
        </w:rPr>
      </w:pPr>
      <w:r>
        <w:rPr>
          <w:rFonts w:eastAsia="DengXian"/>
        </w:rPr>
        <w:t>As mentioned in Section 2.2.2 t</w:t>
      </w:r>
      <w:r w:rsidRPr="00F867D0">
        <w:rPr>
          <w:rFonts w:eastAsia="DengXian"/>
          <w:szCs w:val="22"/>
        </w:rPr>
        <w:t xml:space="preserve">he </w:t>
      </w:r>
      <w:r w:rsidR="003C37C3">
        <w:rPr>
          <w:rFonts w:eastAsia="DengXian"/>
          <w:szCs w:val="22"/>
        </w:rPr>
        <w:t>EE</w:t>
      </w:r>
      <w:r w:rsidRPr="00F867D0">
        <w:rPr>
          <w:rFonts w:eastAsia="DengXian"/>
          <w:szCs w:val="22"/>
        </w:rPr>
        <w:t xml:space="preserve"> rating</w:t>
      </w:r>
      <w:r>
        <w:rPr>
          <w:rFonts w:eastAsia="DengXian"/>
        </w:rPr>
        <w:t xml:space="preserve"> is the basis for establishing MEPS. Different metrics are used in different countries for </w:t>
      </w:r>
      <w:r w:rsidR="003C37C3">
        <w:rPr>
          <w:rFonts w:eastAsia="DengXian"/>
        </w:rPr>
        <w:t>EE</w:t>
      </w:r>
      <w:r>
        <w:rPr>
          <w:rFonts w:eastAsia="DengXian"/>
        </w:rPr>
        <w:t xml:space="preserve"> rating (as shown in table A.1) and h</w:t>
      </w:r>
      <w:r>
        <w:rPr>
          <w:rFonts w:eastAsia="DengXian"/>
          <w:szCs w:val="22"/>
        </w:rPr>
        <w:t xml:space="preserve">armonising </w:t>
      </w:r>
      <w:r w:rsidRPr="00F867D0">
        <w:rPr>
          <w:rFonts w:eastAsia="DengXian"/>
          <w:szCs w:val="22"/>
        </w:rPr>
        <w:t>MEPS among nations with similar usage and energy cost conditions across the same product categories</w:t>
      </w:r>
      <w:r>
        <w:rPr>
          <w:rFonts w:eastAsia="DengXian"/>
          <w:szCs w:val="22"/>
        </w:rPr>
        <w:t xml:space="preserve"> can help with verification and complianc</w:t>
      </w:r>
      <w:r>
        <w:rPr>
          <w:rFonts w:eastAsia="DengXian"/>
        </w:rPr>
        <w:t>e.</w:t>
      </w:r>
    </w:p>
    <w:p w14:paraId="51CE2706" w14:textId="77777777" w:rsidR="002C5E4A" w:rsidRDefault="002C5E4A" w:rsidP="00031D16">
      <w:pPr>
        <w:spacing w:after="0"/>
        <w:ind w:right="-138"/>
        <w:jc w:val="center"/>
        <w:rPr>
          <w:rFonts w:eastAsia="DengXian"/>
        </w:rPr>
      </w:pPr>
    </w:p>
    <w:p w14:paraId="46FB5BF6" w14:textId="5F5B6F6A" w:rsidR="001D6A45" w:rsidRPr="00C1590C" w:rsidRDefault="001D6A45" w:rsidP="00031D16">
      <w:pPr>
        <w:spacing w:after="0"/>
        <w:ind w:right="-138"/>
        <w:jc w:val="center"/>
        <w:rPr>
          <w:rFonts w:eastAsia="DengXian"/>
          <w:b/>
          <w:i/>
          <w:spacing w:val="-2"/>
          <w:szCs w:val="22"/>
        </w:rPr>
      </w:pPr>
      <w:r w:rsidRPr="00C1590C">
        <w:rPr>
          <w:rFonts w:eastAsia="DengXian"/>
          <w:b/>
          <w:i/>
          <w:spacing w:val="-2"/>
          <w:szCs w:val="22"/>
          <w:lang w:val="en-US"/>
        </w:rPr>
        <w:t>Table A.1: Overview of unitary air conditioning energy-efficiency standards and metrics used around the globe</w:t>
      </w:r>
      <w:r w:rsidRPr="00C1590C">
        <w:rPr>
          <w:rFonts w:eastAsia="DengXian"/>
          <w:b/>
          <w:i/>
          <w:spacing w:val="-2"/>
          <w:szCs w:val="22"/>
          <w:vertAlign w:val="superscript"/>
          <w:lang w:val="en-US"/>
        </w:rPr>
        <w:footnoteReference w:id="24"/>
      </w:r>
    </w:p>
    <w:tbl>
      <w:tblPr>
        <w:tblStyle w:val="TableGrid31"/>
        <w:tblW w:w="0" w:type="auto"/>
        <w:jc w:val="center"/>
        <w:tblLook w:val="04A0" w:firstRow="1" w:lastRow="0" w:firstColumn="1" w:lastColumn="0" w:noHBand="0" w:noVBand="1"/>
      </w:tblPr>
      <w:tblGrid>
        <w:gridCol w:w="2304"/>
        <w:gridCol w:w="2254"/>
        <w:gridCol w:w="2241"/>
        <w:gridCol w:w="2217"/>
      </w:tblGrid>
      <w:tr w:rsidR="001D6A45" w:rsidRPr="001D6A45" w14:paraId="6A87939E" w14:textId="77777777" w:rsidTr="005B6A8B">
        <w:trPr>
          <w:jc w:val="center"/>
        </w:trPr>
        <w:tc>
          <w:tcPr>
            <w:tcW w:w="2337" w:type="dxa"/>
          </w:tcPr>
          <w:p w14:paraId="3403C8FB" w14:textId="77777777" w:rsidR="001D6A45" w:rsidRPr="001D6A45" w:rsidRDefault="001D6A45" w:rsidP="001D6A45">
            <w:pPr>
              <w:spacing w:after="0"/>
              <w:ind w:right="-138"/>
              <w:rPr>
                <w:rFonts w:eastAsia="DengXian"/>
                <w:b/>
                <w:spacing w:val="-2"/>
              </w:rPr>
            </w:pPr>
            <w:r w:rsidRPr="001D6A45">
              <w:rPr>
                <w:rFonts w:eastAsia="DengXian"/>
                <w:b/>
                <w:spacing w:val="-2"/>
              </w:rPr>
              <w:t>Country/Economy</w:t>
            </w:r>
          </w:p>
        </w:tc>
        <w:tc>
          <w:tcPr>
            <w:tcW w:w="2337" w:type="dxa"/>
          </w:tcPr>
          <w:p w14:paraId="10420C25" w14:textId="77777777" w:rsidR="001D6A45" w:rsidRPr="001D6A45" w:rsidRDefault="001D6A45" w:rsidP="001D6A45">
            <w:pPr>
              <w:spacing w:after="0"/>
              <w:ind w:right="-138"/>
              <w:rPr>
                <w:rFonts w:eastAsia="DengXian"/>
                <w:b/>
                <w:spacing w:val="-2"/>
              </w:rPr>
            </w:pPr>
            <w:r w:rsidRPr="001D6A45">
              <w:rPr>
                <w:rFonts w:eastAsia="DengXian"/>
                <w:b/>
                <w:spacing w:val="-2"/>
              </w:rPr>
              <w:t>National Testing Standard</w:t>
            </w:r>
          </w:p>
        </w:tc>
        <w:tc>
          <w:tcPr>
            <w:tcW w:w="2338" w:type="dxa"/>
          </w:tcPr>
          <w:p w14:paraId="50D89B71" w14:textId="77777777" w:rsidR="001D6A45" w:rsidRPr="001D6A45" w:rsidRDefault="001D6A45" w:rsidP="001D6A45">
            <w:pPr>
              <w:spacing w:after="0"/>
              <w:ind w:right="-138"/>
              <w:rPr>
                <w:rFonts w:eastAsia="DengXian"/>
                <w:b/>
                <w:spacing w:val="-2"/>
              </w:rPr>
            </w:pPr>
            <w:r w:rsidRPr="001D6A45">
              <w:rPr>
                <w:rFonts w:eastAsia="DengXian"/>
                <w:b/>
                <w:spacing w:val="-2"/>
              </w:rPr>
              <w:t>Reference Test Standard</w:t>
            </w:r>
          </w:p>
        </w:tc>
        <w:tc>
          <w:tcPr>
            <w:tcW w:w="2338" w:type="dxa"/>
          </w:tcPr>
          <w:p w14:paraId="20D01A24" w14:textId="77777777" w:rsidR="001D6A45" w:rsidRPr="001D6A45" w:rsidRDefault="001D6A45" w:rsidP="001D6A45">
            <w:pPr>
              <w:spacing w:after="0"/>
              <w:ind w:right="-138"/>
              <w:rPr>
                <w:rFonts w:eastAsia="DengXian"/>
                <w:b/>
                <w:spacing w:val="-2"/>
              </w:rPr>
            </w:pPr>
            <w:r w:rsidRPr="001D6A45">
              <w:rPr>
                <w:rFonts w:eastAsia="DengXian"/>
                <w:b/>
                <w:spacing w:val="-2"/>
              </w:rPr>
              <w:t>Metric Used</w:t>
            </w:r>
          </w:p>
        </w:tc>
      </w:tr>
      <w:tr w:rsidR="001D6A45" w:rsidRPr="001D6A45" w14:paraId="55FDF5ED" w14:textId="77777777" w:rsidTr="005B6A8B">
        <w:trPr>
          <w:jc w:val="center"/>
        </w:trPr>
        <w:tc>
          <w:tcPr>
            <w:tcW w:w="2337" w:type="dxa"/>
          </w:tcPr>
          <w:p w14:paraId="6E370B9B" w14:textId="77777777" w:rsidR="001D6A45" w:rsidRPr="001D6A45" w:rsidRDefault="001D6A45" w:rsidP="001D6A45">
            <w:pPr>
              <w:spacing w:after="0"/>
              <w:ind w:right="-138"/>
              <w:rPr>
                <w:rFonts w:eastAsia="DengXian"/>
                <w:spacing w:val="-2"/>
              </w:rPr>
            </w:pPr>
            <w:r w:rsidRPr="001D6A45">
              <w:rPr>
                <w:rFonts w:eastAsia="DengXian"/>
                <w:spacing w:val="-2"/>
              </w:rPr>
              <w:t>Australia</w:t>
            </w:r>
          </w:p>
        </w:tc>
        <w:tc>
          <w:tcPr>
            <w:tcW w:w="2337" w:type="dxa"/>
          </w:tcPr>
          <w:p w14:paraId="50C53923" w14:textId="77777777" w:rsidR="001D6A45" w:rsidRPr="001D6A45" w:rsidRDefault="001D6A45" w:rsidP="001D6A45">
            <w:pPr>
              <w:spacing w:after="0"/>
              <w:ind w:right="-138"/>
              <w:rPr>
                <w:rFonts w:eastAsia="DengXian"/>
                <w:spacing w:val="-2"/>
              </w:rPr>
            </w:pPr>
            <w:r w:rsidRPr="001D6A45">
              <w:rPr>
                <w:rFonts w:eastAsia="DengXian"/>
                <w:spacing w:val="-2"/>
              </w:rPr>
              <w:t>AS/NZS: 3823-2013</w:t>
            </w:r>
          </w:p>
        </w:tc>
        <w:tc>
          <w:tcPr>
            <w:tcW w:w="2338" w:type="dxa"/>
          </w:tcPr>
          <w:p w14:paraId="392DC90F" w14:textId="77777777" w:rsidR="001D6A45" w:rsidRPr="001D6A45" w:rsidRDefault="001D6A45" w:rsidP="001D6A45">
            <w:pPr>
              <w:spacing w:after="0"/>
              <w:ind w:right="-138"/>
              <w:rPr>
                <w:rFonts w:eastAsia="DengXian"/>
                <w:spacing w:val="-2"/>
              </w:rPr>
            </w:pPr>
            <w:r w:rsidRPr="001D6A45">
              <w:rPr>
                <w:rFonts w:eastAsia="DengXian"/>
                <w:spacing w:val="-2"/>
              </w:rPr>
              <w:t>ISO 5151</w:t>
            </w:r>
          </w:p>
        </w:tc>
        <w:tc>
          <w:tcPr>
            <w:tcW w:w="2338" w:type="dxa"/>
          </w:tcPr>
          <w:p w14:paraId="2C871A05" w14:textId="77777777" w:rsidR="001D6A45" w:rsidRPr="001D6A45" w:rsidRDefault="001D6A45" w:rsidP="001D6A45">
            <w:pPr>
              <w:spacing w:after="0"/>
              <w:ind w:right="-138"/>
              <w:rPr>
                <w:rFonts w:eastAsia="DengXian"/>
                <w:spacing w:val="-2"/>
              </w:rPr>
            </w:pPr>
            <w:r w:rsidRPr="001D6A45">
              <w:rPr>
                <w:rFonts w:eastAsia="DengXian"/>
                <w:spacing w:val="-2"/>
              </w:rPr>
              <w:t>AEER</w:t>
            </w:r>
          </w:p>
        </w:tc>
      </w:tr>
      <w:tr w:rsidR="001D6A45" w:rsidRPr="001D6A45" w14:paraId="586DD2A4" w14:textId="77777777" w:rsidTr="005B6A8B">
        <w:trPr>
          <w:jc w:val="center"/>
        </w:trPr>
        <w:tc>
          <w:tcPr>
            <w:tcW w:w="2337" w:type="dxa"/>
            <w:vMerge w:val="restart"/>
          </w:tcPr>
          <w:p w14:paraId="0AD06336" w14:textId="77777777" w:rsidR="001D6A45" w:rsidRPr="001D6A45" w:rsidRDefault="001D6A45" w:rsidP="001D6A45">
            <w:pPr>
              <w:spacing w:after="0"/>
              <w:ind w:right="-138"/>
              <w:rPr>
                <w:rFonts w:eastAsia="DengXian"/>
                <w:spacing w:val="-2"/>
              </w:rPr>
            </w:pPr>
            <w:r w:rsidRPr="001D6A45">
              <w:rPr>
                <w:rFonts w:eastAsia="DengXian"/>
                <w:spacing w:val="-2"/>
              </w:rPr>
              <w:t>China</w:t>
            </w:r>
          </w:p>
        </w:tc>
        <w:tc>
          <w:tcPr>
            <w:tcW w:w="2337" w:type="dxa"/>
          </w:tcPr>
          <w:p w14:paraId="777AC77C" w14:textId="77777777" w:rsidR="001D6A45" w:rsidRPr="001D6A45" w:rsidRDefault="001D6A45" w:rsidP="001D6A45">
            <w:pPr>
              <w:spacing w:after="0"/>
              <w:ind w:right="-138"/>
              <w:rPr>
                <w:rFonts w:eastAsia="DengXian"/>
                <w:spacing w:val="-2"/>
              </w:rPr>
            </w:pPr>
            <w:r w:rsidRPr="001D6A45">
              <w:rPr>
                <w:rFonts w:eastAsia="DengXian"/>
                <w:spacing w:val="-2"/>
              </w:rPr>
              <w:t>Fixed Speed: GB/T 7725-2004</w:t>
            </w:r>
          </w:p>
          <w:p w14:paraId="3C43DB14" w14:textId="77777777" w:rsidR="001D6A45" w:rsidRPr="001D6A45" w:rsidRDefault="001D6A45" w:rsidP="001D6A45">
            <w:pPr>
              <w:spacing w:after="0"/>
              <w:ind w:right="-138"/>
              <w:rPr>
                <w:rFonts w:eastAsia="DengXian"/>
                <w:spacing w:val="-2"/>
              </w:rPr>
            </w:pPr>
          </w:p>
        </w:tc>
        <w:tc>
          <w:tcPr>
            <w:tcW w:w="2338" w:type="dxa"/>
          </w:tcPr>
          <w:p w14:paraId="12387200" w14:textId="77777777" w:rsidR="001D6A45" w:rsidRPr="001D6A45" w:rsidRDefault="001D6A45" w:rsidP="001D6A45">
            <w:pPr>
              <w:spacing w:after="0"/>
              <w:ind w:right="-138"/>
              <w:rPr>
                <w:rFonts w:eastAsia="DengXian"/>
                <w:spacing w:val="-2"/>
              </w:rPr>
            </w:pPr>
            <w:r w:rsidRPr="001D6A45">
              <w:rPr>
                <w:rFonts w:eastAsia="DengXian"/>
                <w:spacing w:val="-2"/>
              </w:rPr>
              <w:t>ISO 5151</w:t>
            </w:r>
          </w:p>
        </w:tc>
        <w:tc>
          <w:tcPr>
            <w:tcW w:w="2338" w:type="dxa"/>
          </w:tcPr>
          <w:p w14:paraId="1A7A1469" w14:textId="77777777" w:rsidR="001D6A45" w:rsidRPr="001D6A45" w:rsidRDefault="001D6A45" w:rsidP="001D6A45">
            <w:pPr>
              <w:spacing w:after="0"/>
              <w:ind w:right="-138"/>
              <w:rPr>
                <w:rFonts w:eastAsia="DengXian"/>
                <w:spacing w:val="-2"/>
              </w:rPr>
            </w:pPr>
            <w:r w:rsidRPr="001D6A45">
              <w:rPr>
                <w:rFonts w:eastAsia="DengXian"/>
                <w:spacing w:val="-2"/>
              </w:rPr>
              <w:t xml:space="preserve">EER </w:t>
            </w:r>
          </w:p>
        </w:tc>
      </w:tr>
      <w:tr w:rsidR="001D6A45" w:rsidRPr="001D6A45" w14:paraId="55463678" w14:textId="77777777" w:rsidTr="005B6A8B">
        <w:trPr>
          <w:jc w:val="center"/>
        </w:trPr>
        <w:tc>
          <w:tcPr>
            <w:tcW w:w="2337" w:type="dxa"/>
            <w:vMerge/>
          </w:tcPr>
          <w:p w14:paraId="0836B6E5" w14:textId="77777777" w:rsidR="001D6A45" w:rsidRPr="001D6A45" w:rsidRDefault="001D6A45" w:rsidP="001D6A45">
            <w:pPr>
              <w:spacing w:after="0"/>
              <w:ind w:right="-138"/>
              <w:rPr>
                <w:rFonts w:eastAsia="DengXian"/>
                <w:spacing w:val="-2"/>
              </w:rPr>
            </w:pPr>
          </w:p>
        </w:tc>
        <w:tc>
          <w:tcPr>
            <w:tcW w:w="2337" w:type="dxa"/>
          </w:tcPr>
          <w:p w14:paraId="36133673" w14:textId="77777777" w:rsidR="001D6A45" w:rsidRPr="001D6A45" w:rsidRDefault="001D6A45" w:rsidP="001D6A45">
            <w:pPr>
              <w:spacing w:after="0"/>
              <w:ind w:right="-138"/>
              <w:rPr>
                <w:rFonts w:eastAsia="DengXian"/>
                <w:spacing w:val="-2"/>
              </w:rPr>
            </w:pPr>
            <w:r w:rsidRPr="001D6A45">
              <w:rPr>
                <w:rFonts w:eastAsia="DengXian"/>
                <w:spacing w:val="-2"/>
              </w:rPr>
              <w:t>Variable Speed: GB/T 7725-2004, GB/T 17758-2010,</w:t>
            </w:r>
          </w:p>
        </w:tc>
        <w:tc>
          <w:tcPr>
            <w:tcW w:w="2338" w:type="dxa"/>
          </w:tcPr>
          <w:p w14:paraId="1A1CA9A7" w14:textId="77777777" w:rsidR="001D6A45" w:rsidRPr="001D6A45" w:rsidRDefault="001D6A45" w:rsidP="001D6A45">
            <w:pPr>
              <w:spacing w:after="0"/>
              <w:ind w:right="-138"/>
              <w:rPr>
                <w:rFonts w:eastAsia="DengXian"/>
                <w:spacing w:val="-2"/>
              </w:rPr>
            </w:pPr>
            <w:r w:rsidRPr="001D6A45">
              <w:rPr>
                <w:rFonts w:eastAsia="DengXian"/>
                <w:spacing w:val="-2"/>
              </w:rPr>
              <w:t>ISO 5151</w:t>
            </w:r>
          </w:p>
        </w:tc>
        <w:tc>
          <w:tcPr>
            <w:tcW w:w="2338" w:type="dxa"/>
          </w:tcPr>
          <w:p w14:paraId="58A53745" w14:textId="77777777" w:rsidR="001D6A45" w:rsidRPr="001D6A45" w:rsidRDefault="001D6A45" w:rsidP="001D6A45">
            <w:pPr>
              <w:spacing w:after="0"/>
              <w:ind w:right="-138"/>
              <w:rPr>
                <w:rFonts w:eastAsia="DengXian"/>
                <w:spacing w:val="-2"/>
              </w:rPr>
            </w:pPr>
            <w:r w:rsidRPr="001D6A45">
              <w:rPr>
                <w:rFonts w:eastAsia="DengXian"/>
                <w:spacing w:val="-2"/>
              </w:rPr>
              <w:t>SEER</w:t>
            </w:r>
          </w:p>
        </w:tc>
      </w:tr>
      <w:tr w:rsidR="001D6A45" w:rsidRPr="001D6A45" w14:paraId="794D10BD" w14:textId="77777777" w:rsidTr="005B6A8B">
        <w:trPr>
          <w:jc w:val="center"/>
        </w:trPr>
        <w:tc>
          <w:tcPr>
            <w:tcW w:w="2337" w:type="dxa"/>
          </w:tcPr>
          <w:p w14:paraId="01A482B9" w14:textId="77777777" w:rsidR="001D6A45" w:rsidRPr="001D6A45" w:rsidRDefault="001D6A45" w:rsidP="001D6A45">
            <w:pPr>
              <w:spacing w:after="0"/>
              <w:ind w:right="-138"/>
              <w:rPr>
                <w:rFonts w:eastAsia="DengXian"/>
                <w:spacing w:val="-2"/>
              </w:rPr>
            </w:pPr>
            <w:r w:rsidRPr="001D6A45">
              <w:rPr>
                <w:rFonts w:eastAsia="DengXian"/>
                <w:spacing w:val="-2"/>
              </w:rPr>
              <w:t>EU</w:t>
            </w:r>
          </w:p>
        </w:tc>
        <w:tc>
          <w:tcPr>
            <w:tcW w:w="2337" w:type="dxa"/>
          </w:tcPr>
          <w:p w14:paraId="1F37A09E" w14:textId="77777777" w:rsidR="001D6A45" w:rsidRPr="001D6A45" w:rsidRDefault="001D6A45" w:rsidP="001D6A45">
            <w:pPr>
              <w:spacing w:after="0"/>
              <w:ind w:right="-138"/>
              <w:rPr>
                <w:rFonts w:eastAsia="DengXian"/>
                <w:spacing w:val="-2"/>
              </w:rPr>
            </w:pPr>
            <w:r w:rsidRPr="001D6A45">
              <w:rPr>
                <w:rFonts w:eastAsia="DengXian"/>
                <w:spacing w:val="-2"/>
              </w:rPr>
              <w:t>EN 14825</w:t>
            </w:r>
          </w:p>
        </w:tc>
        <w:tc>
          <w:tcPr>
            <w:tcW w:w="2338" w:type="dxa"/>
          </w:tcPr>
          <w:p w14:paraId="341983B9" w14:textId="77777777" w:rsidR="001D6A45" w:rsidRPr="001D6A45" w:rsidRDefault="001D6A45" w:rsidP="001D6A45">
            <w:pPr>
              <w:spacing w:after="0"/>
              <w:ind w:right="-138"/>
              <w:rPr>
                <w:rFonts w:eastAsia="DengXian"/>
                <w:spacing w:val="-2"/>
              </w:rPr>
            </w:pPr>
            <w:r w:rsidRPr="001D6A45">
              <w:rPr>
                <w:rFonts w:eastAsia="DengXian"/>
                <w:spacing w:val="-2"/>
              </w:rPr>
              <w:t>ISO 5151</w:t>
            </w:r>
          </w:p>
        </w:tc>
        <w:tc>
          <w:tcPr>
            <w:tcW w:w="2338" w:type="dxa"/>
          </w:tcPr>
          <w:p w14:paraId="51DF29A2" w14:textId="77777777" w:rsidR="001D6A45" w:rsidRPr="001D6A45" w:rsidRDefault="001D6A45" w:rsidP="001D6A45">
            <w:pPr>
              <w:spacing w:after="0"/>
              <w:ind w:right="-138"/>
              <w:rPr>
                <w:rFonts w:eastAsia="DengXian"/>
                <w:spacing w:val="-2"/>
              </w:rPr>
            </w:pPr>
            <w:r w:rsidRPr="001D6A45">
              <w:rPr>
                <w:rFonts w:eastAsia="DengXian"/>
                <w:spacing w:val="-2"/>
              </w:rPr>
              <w:t>EU SEER</w:t>
            </w:r>
          </w:p>
        </w:tc>
      </w:tr>
      <w:tr w:rsidR="001D6A45" w:rsidRPr="001D6A45" w14:paraId="28953EC5" w14:textId="77777777" w:rsidTr="005B6A8B">
        <w:trPr>
          <w:jc w:val="center"/>
        </w:trPr>
        <w:tc>
          <w:tcPr>
            <w:tcW w:w="2337" w:type="dxa"/>
            <w:vMerge w:val="restart"/>
          </w:tcPr>
          <w:p w14:paraId="1C8825F0" w14:textId="77777777" w:rsidR="001D6A45" w:rsidRPr="001D6A45" w:rsidRDefault="001D6A45" w:rsidP="001D6A45">
            <w:pPr>
              <w:spacing w:after="0"/>
              <w:ind w:right="-138"/>
              <w:rPr>
                <w:rFonts w:eastAsia="DengXian"/>
                <w:spacing w:val="-2"/>
              </w:rPr>
            </w:pPr>
            <w:r w:rsidRPr="001D6A45">
              <w:rPr>
                <w:rFonts w:eastAsia="DengXian"/>
                <w:spacing w:val="-2"/>
              </w:rPr>
              <w:t>India</w:t>
            </w:r>
          </w:p>
        </w:tc>
        <w:tc>
          <w:tcPr>
            <w:tcW w:w="2337" w:type="dxa"/>
          </w:tcPr>
          <w:p w14:paraId="2E2424A8" w14:textId="77777777" w:rsidR="001D6A45" w:rsidRPr="001D6A45" w:rsidRDefault="001D6A45" w:rsidP="001D6A45">
            <w:pPr>
              <w:spacing w:after="0"/>
              <w:ind w:right="-138"/>
              <w:rPr>
                <w:rFonts w:eastAsia="DengXian"/>
                <w:spacing w:val="-2"/>
              </w:rPr>
            </w:pPr>
            <w:r w:rsidRPr="001D6A45">
              <w:rPr>
                <w:rFonts w:eastAsia="DengXian"/>
                <w:spacing w:val="-2"/>
              </w:rPr>
              <w:t>Fixed Speed: IS 1391-1992 with all amendments</w:t>
            </w:r>
          </w:p>
          <w:p w14:paraId="3B9F0AE9" w14:textId="77777777" w:rsidR="001D6A45" w:rsidRPr="001D6A45" w:rsidRDefault="001D6A45" w:rsidP="001D6A45">
            <w:pPr>
              <w:spacing w:after="0"/>
              <w:ind w:right="-138"/>
              <w:rPr>
                <w:rFonts w:eastAsia="DengXian"/>
                <w:spacing w:val="-2"/>
              </w:rPr>
            </w:pPr>
          </w:p>
        </w:tc>
        <w:tc>
          <w:tcPr>
            <w:tcW w:w="2338" w:type="dxa"/>
          </w:tcPr>
          <w:p w14:paraId="5F726A3A" w14:textId="77777777" w:rsidR="001D6A45" w:rsidRPr="001D6A45" w:rsidRDefault="001D6A45" w:rsidP="001D6A45">
            <w:pPr>
              <w:spacing w:after="0"/>
              <w:ind w:right="-138"/>
              <w:rPr>
                <w:rFonts w:eastAsia="DengXian"/>
                <w:spacing w:val="-2"/>
              </w:rPr>
            </w:pPr>
            <w:r w:rsidRPr="001D6A45">
              <w:rPr>
                <w:rFonts w:eastAsia="DengXian"/>
                <w:spacing w:val="-2"/>
              </w:rPr>
              <w:t>ISO 5151</w:t>
            </w:r>
          </w:p>
        </w:tc>
        <w:tc>
          <w:tcPr>
            <w:tcW w:w="2338" w:type="dxa"/>
          </w:tcPr>
          <w:p w14:paraId="43622E41" w14:textId="77777777" w:rsidR="001D6A45" w:rsidRPr="001D6A45" w:rsidRDefault="001D6A45" w:rsidP="001D6A45">
            <w:pPr>
              <w:spacing w:after="0"/>
              <w:ind w:right="-138"/>
              <w:rPr>
                <w:rFonts w:eastAsia="DengXian"/>
                <w:spacing w:val="-2"/>
              </w:rPr>
            </w:pPr>
            <w:r w:rsidRPr="001D6A45">
              <w:rPr>
                <w:rFonts w:eastAsia="DengXian"/>
                <w:spacing w:val="-2"/>
              </w:rPr>
              <w:t>EER</w:t>
            </w:r>
          </w:p>
        </w:tc>
      </w:tr>
      <w:tr w:rsidR="001D6A45" w:rsidRPr="001D6A45" w14:paraId="40BBDBE2" w14:textId="77777777" w:rsidTr="005B6A8B">
        <w:trPr>
          <w:jc w:val="center"/>
        </w:trPr>
        <w:tc>
          <w:tcPr>
            <w:tcW w:w="2337" w:type="dxa"/>
            <w:vMerge/>
          </w:tcPr>
          <w:p w14:paraId="0095C62A" w14:textId="77777777" w:rsidR="001D6A45" w:rsidRPr="001D6A45" w:rsidRDefault="001D6A45" w:rsidP="001D6A45">
            <w:pPr>
              <w:spacing w:after="0"/>
              <w:ind w:right="-138"/>
              <w:rPr>
                <w:rFonts w:eastAsia="DengXian"/>
                <w:spacing w:val="-2"/>
              </w:rPr>
            </w:pPr>
          </w:p>
        </w:tc>
        <w:tc>
          <w:tcPr>
            <w:tcW w:w="2337" w:type="dxa"/>
          </w:tcPr>
          <w:p w14:paraId="0CDFEE63" w14:textId="77777777" w:rsidR="001D6A45" w:rsidRPr="001D6A45" w:rsidRDefault="001D6A45" w:rsidP="001D6A45">
            <w:pPr>
              <w:spacing w:after="0"/>
              <w:ind w:right="-138"/>
              <w:rPr>
                <w:rFonts w:eastAsia="DengXian"/>
                <w:spacing w:val="-2"/>
              </w:rPr>
            </w:pPr>
            <w:r w:rsidRPr="001D6A45">
              <w:rPr>
                <w:rFonts w:eastAsia="DengXian"/>
                <w:spacing w:val="-2"/>
              </w:rPr>
              <w:t>Variable Speed: 16358-1:2013</w:t>
            </w:r>
          </w:p>
        </w:tc>
        <w:tc>
          <w:tcPr>
            <w:tcW w:w="2338" w:type="dxa"/>
          </w:tcPr>
          <w:p w14:paraId="05C8F721" w14:textId="77777777" w:rsidR="001D6A45" w:rsidRPr="001D6A45" w:rsidRDefault="001D6A45" w:rsidP="001D6A45">
            <w:pPr>
              <w:spacing w:after="0"/>
              <w:ind w:right="-138"/>
              <w:rPr>
                <w:rFonts w:eastAsia="DengXian"/>
                <w:spacing w:val="-2"/>
              </w:rPr>
            </w:pPr>
            <w:r w:rsidRPr="001D6A45">
              <w:rPr>
                <w:rFonts w:eastAsia="DengXian"/>
                <w:spacing w:val="-2"/>
              </w:rPr>
              <w:t>ISO 5151</w:t>
            </w:r>
          </w:p>
        </w:tc>
        <w:tc>
          <w:tcPr>
            <w:tcW w:w="2338" w:type="dxa"/>
          </w:tcPr>
          <w:p w14:paraId="09BD5D95" w14:textId="77777777" w:rsidR="001D6A45" w:rsidRPr="001D6A45" w:rsidRDefault="001D6A45" w:rsidP="001D6A45">
            <w:pPr>
              <w:spacing w:after="0"/>
              <w:ind w:right="-138"/>
              <w:rPr>
                <w:rFonts w:eastAsia="DengXian"/>
                <w:spacing w:val="-2"/>
              </w:rPr>
            </w:pPr>
            <w:r w:rsidRPr="001D6A45">
              <w:rPr>
                <w:rFonts w:eastAsia="DengXian"/>
                <w:spacing w:val="-2"/>
              </w:rPr>
              <w:t>ISEER</w:t>
            </w:r>
          </w:p>
        </w:tc>
      </w:tr>
      <w:tr w:rsidR="001D6A45" w:rsidRPr="001D6A45" w14:paraId="19A3B6C0" w14:textId="77777777" w:rsidTr="005B6A8B">
        <w:trPr>
          <w:jc w:val="center"/>
        </w:trPr>
        <w:tc>
          <w:tcPr>
            <w:tcW w:w="2337" w:type="dxa"/>
          </w:tcPr>
          <w:p w14:paraId="01EF3885" w14:textId="77777777" w:rsidR="001D6A45" w:rsidRPr="001D6A45" w:rsidRDefault="001D6A45" w:rsidP="001D6A45">
            <w:pPr>
              <w:spacing w:after="0"/>
              <w:ind w:right="-138"/>
              <w:rPr>
                <w:rFonts w:eastAsia="DengXian"/>
                <w:spacing w:val="-2"/>
              </w:rPr>
            </w:pPr>
            <w:r w:rsidRPr="001D6A45">
              <w:rPr>
                <w:rFonts w:eastAsia="DengXian"/>
                <w:spacing w:val="-2"/>
              </w:rPr>
              <w:t>Japan</w:t>
            </w:r>
          </w:p>
        </w:tc>
        <w:tc>
          <w:tcPr>
            <w:tcW w:w="2337" w:type="dxa"/>
          </w:tcPr>
          <w:p w14:paraId="51580628" w14:textId="77777777" w:rsidR="001D6A45" w:rsidRPr="001D6A45" w:rsidRDefault="001D6A45" w:rsidP="001D6A45">
            <w:pPr>
              <w:spacing w:after="0"/>
              <w:ind w:right="-138"/>
              <w:rPr>
                <w:rFonts w:eastAsia="DengXian"/>
                <w:spacing w:val="-2"/>
              </w:rPr>
            </w:pPr>
            <w:r w:rsidRPr="001D6A45">
              <w:rPr>
                <w:rFonts w:eastAsia="DengXian"/>
                <w:spacing w:val="-2"/>
              </w:rPr>
              <w:t>JIS B 8616:2015 for commercial ACs</w:t>
            </w:r>
          </w:p>
          <w:p w14:paraId="38F0FD15" w14:textId="77777777" w:rsidR="001D6A45" w:rsidRPr="001D6A45" w:rsidRDefault="001D6A45" w:rsidP="001D6A45">
            <w:pPr>
              <w:spacing w:after="0"/>
              <w:ind w:right="-138"/>
              <w:rPr>
                <w:rFonts w:eastAsia="DengXian"/>
                <w:spacing w:val="-2"/>
              </w:rPr>
            </w:pPr>
            <w:r w:rsidRPr="001D6A45">
              <w:rPr>
                <w:rFonts w:eastAsia="DengXian"/>
                <w:spacing w:val="-2"/>
              </w:rPr>
              <w:t>JIS C 9612: 2013 for Room ACs</w:t>
            </w:r>
          </w:p>
        </w:tc>
        <w:tc>
          <w:tcPr>
            <w:tcW w:w="2338" w:type="dxa"/>
          </w:tcPr>
          <w:p w14:paraId="1029E33A" w14:textId="77777777" w:rsidR="001D6A45" w:rsidRPr="001D6A45" w:rsidRDefault="001D6A45" w:rsidP="001D6A45">
            <w:pPr>
              <w:spacing w:after="0"/>
              <w:ind w:right="-138"/>
              <w:rPr>
                <w:rFonts w:eastAsia="DengXian"/>
                <w:spacing w:val="-2"/>
              </w:rPr>
            </w:pPr>
            <w:r w:rsidRPr="001D6A45">
              <w:rPr>
                <w:rFonts w:eastAsia="DengXian"/>
                <w:spacing w:val="-2"/>
              </w:rPr>
              <w:t>ISO 5151, ISO 16358</w:t>
            </w:r>
          </w:p>
        </w:tc>
        <w:tc>
          <w:tcPr>
            <w:tcW w:w="2338" w:type="dxa"/>
          </w:tcPr>
          <w:p w14:paraId="31FEDE52" w14:textId="77777777" w:rsidR="001D6A45" w:rsidRPr="001D6A45" w:rsidRDefault="001D6A45" w:rsidP="001D6A45">
            <w:pPr>
              <w:spacing w:after="0"/>
              <w:ind w:right="-138"/>
              <w:rPr>
                <w:rFonts w:eastAsia="DengXian"/>
                <w:spacing w:val="-2"/>
              </w:rPr>
            </w:pPr>
            <w:r w:rsidRPr="001D6A45">
              <w:rPr>
                <w:rFonts w:eastAsia="DengXian"/>
                <w:spacing w:val="-2"/>
              </w:rPr>
              <w:t>APF</w:t>
            </w:r>
          </w:p>
        </w:tc>
      </w:tr>
      <w:tr w:rsidR="001D6A45" w:rsidRPr="001D6A45" w14:paraId="09D3FEA3" w14:textId="77777777" w:rsidTr="005B6A8B">
        <w:trPr>
          <w:jc w:val="center"/>
        </w:trPr>
        <w:tc>
          <w:tcPr>
            <w:tcW w:w="2337" w:type="dxa"/>
          </w:tcPr>
          <w:p w14:paraId="38A697C0" w14:textId="77777777" w:rsidR="001D6A45" w:rsidRPr="001D6A45" w:rsidRDefault="001D6A45" w:rsidP="001D6A45">
            <w:pPr>
              <w:spacing w:after="0"/>
              <w:ind w:right="-138"/>
              <w:rPr>
                <w:rFonts w:eastAsia="DengXian"/>
                <w:spacing w:val="-2"/>
              </w:rPr>
            </w:pPr>
            <w:r w:rsidRPr="001D6A45">
              <w:rPr>
                <w:rFonts w:eastAsia="DengXian"/>
                <w:spacing w:val="-2"/>
              </w:rPr>
              <w:t>Republic of Korea</w:t>
            </w:r>
          </w:p>
        </w:tc>
        <w:tc>
          <w:tcPr>
            <w:tcW w:w="2337" w:type="dxa"/>
          </w:tcPr>
          <w:p w14:paraId="6A187CD6" w14:textId="77777777" w:rsidR="001D6A45" w:rsidRPr="001D6A45" w:rsidRDefault="001D6A45" w:rsidP="001D6A45">
            <w:pPr>
              <w:spacing w:after="0"/>
              <w:ind w:right="-138"/>
              <w:rPr>
                <w:rFonts w:eastAsia="DengXian"/>
                <w:spacing w:val="-2"/>
              </w:rPr>
            </w:pPr>
            <w:r w:rsidRPr="001D6A45">
              <w:rPr>
                <w:rFonts w:eastAsia="DengXian"/>
                <w:spacing w:val="-2"/>
              </w:rPr>
              <w:t>KS C 9306: 2011</w:t>
            </w:r>
          </w:p>
        </w:tc>
        <w:tc>
          <w:tcPr>
            <w:tcW w:w="2338" w:type="dxa"/>
          </w:tcPr>
          <w:p w14:paraId="487A00A6" w14:textId="77777777" w:rsidR="001D6A45" w:rsidRPr="001D6A45" w:rsidRDefault="001D6A45" w:rsidP="001D6A45">
            <w:pPr>
              <w:spacing w:after="0"/>
              <w:ind w:right="-138"/>
              <w:rPr>
                <w:rFonts w:eastAsia="DengXian"/>
                <w:spacing w:val="-2"/>
              </w:rPr>
            </w:pPr>
            <w:r w:rsidRPr="001D6A45">
              <w:rPr>
                <w:rFonts w:eastAsia="DengXian"/>
                <w:spacing w:val="-2"/>
              </w:rPr>
              <w:t>ISO 5151, ISO 16358</w:t>
            </w:r>
          </w:p>
        </w:tc>
        <w:tc>
          <w:tcPr>
            <w:tcW w:w="2338" w:type="dxa"/>
          </w:tcPr>
          <w:p w14:paraId="0B77B128" w14:textId="77777777" w:rsidR="001D6A45" w:rsidRPr="001D6A45" w:rsidRDefault="001D6A45" w:rsidP="001D6A45">
            <w:pPr>
              <w:spacing w:after="0"/>
              <w:ind w:right="-138"/>
              <w:rPr>
                <w:rFonts w:eastAsia="DengXian"/>
                <w:spacing w:val="-2"/>
              </w:rPr>
            </w:pPr>
            <w:r w:rsidRPr="001D6A45">
              <w:rPr>
                <w:rFonts w:eastAsia="DengXian"/>
                <w:spacing w:val="-2"/>
              </w:rPr>
              <w:t>CSPF</w:t>
            </w:r>
          </w:p>
        </w:tc>
      </w:tr>
      <w:tr w:rsidR="001D6A45" w:rsidRPr="001D6A45" w14:paraId="11413354" w14:textId="77777777" w:rsidTr="005B6A8B">
        <w:trPr>
          <w:jc w:val="center"/>
        </w:trPr>
        <w:tc>
          <w:tcPr>
            <w:tcW w:w="2337" w:type="dxa"/>
          </w:tcPr>
          <w:p w14:paraId="24DC620C" w14:textId="77777777" w:rsidR="001D6A45" w:rsidRPr="001D6A45" w:rsidRDefault="001D6A45" w:rsidP="001D6A45">
            <w:pPr>
              <w:spacing w:after="0"/>
              <w:ind w:right="-138"/>
              <w:rPr>
                <w:rFonts w:eastAsia="DengXian"/>
                <w:spacing w:val="-2"/>
              </w:rPr>
            </w:pPr>
            <w:r w:rsidRPr="001D6A45">
              <w:rPr>
                <w:rFonts w:eastAsia="DengXian"/>
                <w:spacing w:val="-2"/>
              </w:rPr>
              <w:t>USA</w:t>
            </w:r>
          </w:p>
        </w:tc>
        <w:tc>
          <w:tcPr>
            <w:tcW w:w="2337" w:type="dxa"/>
          </w:tcPr>
          <w:p w14:paraId="35AA2DFE" w14:textId="77777777" w:rsidR="001D6A45" w:rsidRPr="001D6A45" w:rsidRDefault="001D6A45" w:rsidP="001D6A45">
            <w:pPr>
              <w:spacing w:after="0"/>
              <w:ind w:right="-138"/>
              <w:rPr>
                <w:rFonts w:eastAsia="DengXian"/>
                <w:spacing w:val="-2"/>
              </w:rPr>
            </w:pPr>
            <w:r w:rsidRPr="001D6A45">
              <w:rPr>
                <w:rFonts w:eastAsia="DengXian"/>
                <w:spacing w:val="-2"/>
              </w:rPr>
              <w:t>10 CFR 430, Subpart B, Appendix F</w:t>
            </w:r>
          </w:p>
        </w:tc>
        <w:tc>
          <w:tcPr>
            <w:tcW w:w="2338" w:type="dxa"/>
          </w:tcPr>
          <w:p w14:paraId="5CB335A0" w14:textId="77777777" w:rsidR="001D6A45" w:rsidRPr="001D6A45" w:rsidRDefault="001D6A45" w:rsidP="001D6A45">
            <w:pPr>
              <w:spacing w:after="0"/>
              <w:ind w:right="-138"/>
              <w:rPr>
                <w:rFonts w:eastAsia="DengXian"/>
                <w:spacing w:val="-2"/>
              </w:rPr>
            </w:pPr>
            <w:r w:rsidRPr="001D6A45">
              <w:rPr>
                <w:rFonts w:eastAsia="DengXian"/>
                <w:spacing w:val="-2"/>
              </w:rPr>
              <w:t>ASHRAE Standard 16/69</w:t>
            </w:r>
          </w:p>
        </w:tc>
        <w:tc>
          <w:tcPr>
            <w:tcW w:w="2338" w:type="dxa"/>
          </w:tcPr>
          <w:p w14:paraId="621D187C" w14:textId="77777777" w:rsidR="001D6A45" w:rsidRPr="001D6A45" w:rsidRDefault="001D6A45" w:rsidP="001D6A45">
            <w:pPr>
              <w:spacing w:after="0"/>
              <w:ind w:right="-138"/>
              <w:rPr>
                <w:rFonts w:eastAsia="DengXian"/>
                <w:spacing w:val="-2"/>
              </w:rPr>
            </w:pPr>
            <w:r w:rsidRPr="001D6A45">
              <w:rPr>
                <w:rFonts w:eastAsia="DengXian"/>
                <w:spacing w:val="-2"/>
              </w:rPr>
              <w:t>US SEER</w:t>
            </w:r>
          </w:p>
        </w:tc>
      </w:tr>
      <w:tr w:rsidR="001D6A45" w:rsidRPr="001D6A45" w14:paraId="32DACB5E" w14:textId="77777777" w:rsidTr="005B6A8B">
        <w:trPr>
          <w:jc w:val="center"/>
        </w:trPr>
        <w:tc>
          <w:tcPr>
            <w:tcW w:w="2337" w:type="dxa"/>
          </w:tcPr>
          <w:p w14:paraId="0D5ACEAC" w14:textId="77777777" w:rsidR="001D6A45" w:rsidRPr="001D6A45" w:rsidRDefault="001D6A45" w:rsidP="001D6A45">
            <w:pPr>
              <w:spacing w:after="0"/>
              <w:ind w:right="-138"/>
              <w:rPr>
                <w:rFonts w:eastAsia="DengXian"/>
                <w:spacing w:val="-2"/>
              </w:rPr>
            </w:pPr>
            <w:r w:rsidRPr="001D6A45">
              <w:rPr>
                <w:rFonts w:eastAsia="DengXian"/>
                <w:spacing w:val="-2"/>
              </w:rPr>
              <w:t>Vietnam</w:t>
            </w:r>
          </w:p>
        </w:tc>
        <w:tc>
          <w:tcPr>
            <w:tcW w:w="2337" w:type="dxa"/>
          </w:tcPr>
          <w:p w14:paraId="6FB755F4" w14:textId="77777777" w:rsidR="001D6A45" w:rsidRPr="001D6A45" w:rsidRDefault="001D6A45" w:rsidP="001D6A45">
            <w:pPr>
              <w:spacing w:after="0"/>
              <w:ind w:right="-138"/>
              <w:rPr>
                <w:rFonts w:eastAsia="DengXian"/>
                <w:spacing w:val="-2"/>
              </w:rPr>
            </w:pPr>
            <w:r w:rsidRPr="001D6A45">
              <w:rPr>
                <w:rFonts w:eastAsia="DengXian"/>
                <w:spacing w:val="-2"/>
              </w:rPr>
              <w:t>TCVN 7830: 2015</w:t>
            </w:r>
          </w:p>
        </w:tc>
        <w:tc>
          <w:tcPr>
            <w:tcW w:w="2338" w:type="dxa"/>
          </w:tcPr>
          <w:p w14:paraId="676957B1" w14:textId="77777777" w:rsidR="001D6A45" w:rsidRPr="001D6A45" w:rsidRDefault="001D6A45" w:rsidP="001D6A45">
            <w:pPr>
              <w:spacing w:after="0"/>
              <w:ind w:right="-138"/>
              <w:rPr>
                <w:rFonts w:eastAsia="DengXian"/>
                <w:spacing w:val="-2"/>
              </w:rPr>
            </w:pPr>
            <w:r w:rsidRPr="001D6A45">
              <w:rPr>
                <w:rFonts w:eastAsia="DengXian"/>
                <w:spacing w:val="-2"/>
              </w:rPr>
              <w:t>ISO 5151, ISO 16358</w:t>
            </w:r>
          </w:p>
        </w:tc>
        <w:tc>
          <w:tcPr>
            <w:tcW w:w="2338" w:type="dxa"/>
          </w:tcPr>
          <w:p w14:paraId="4F560A6D" w14:textId="77777777" w:rsidR="001D6A45" w:rsidRPr="001D6A45" w:rsidRDefault="001D6A45" w:rsidP="001D6A45">
            <w:pPr>
              <w:spacing w:after="0"/>
              <w:ind w:right="-138"/>
              <w:rPr>
                <w:rFonts w:eastAsia="DengXian"/>
                <w:spacing w:val="-2"/>
              </w:rPr>
            </w:pPr>
            <w:r w:rsidRPr="001D6A45">
              <w:rPr>
                <w:rFonts w:eastAsia="DengXian"/>
                <w:spacing w:val="-2"/>
              </w:rPr>
              <w:t>CSPF</w:t>
            </w:r>
          </w:p>
        </w:tc>
      </w:tr>
    </w:tbl>
    <w:p w14:paraId="0EB8B1D7" w14:textId="77777777" w:rsidR="001D6A45" w:rsidRPr="001D6A45" w:rsidRDefault="001D6A45" w:rsidP="001D6A45">
      <w:pPr>
        <w:spacing w:after="0"/>
        <w:jc w:val="center"/>
        <w:rPr>
          <w:rFonts w:eastAsia="DengXian"/>
          <w:szCs w:val="22"/>
          <w:lang w:val="en-US"/>
        </w:rPr>
      </w:pPr>
    </w:p>
    <w:p w14:paraId="5E8B2CAB" w14:textId="77777777" w:rsidR="001D6A45" w:rsidRPr="001D6A45" w:rsidRDefault="001D6A45" w:rsidP="001D6A45">
      <w:pPr>
        <w:spacing w:after="0"/>
        <w:rPr>
          <w:rFonts w:eastAsia="DengXian"/>
          <w:szCs w:val="22"/>
          <w:lang w:val="en-US"/>
        </w:rPr>
      </w:pPr>
    </w:p>
    <w:p w14:paraId="1C3D725E" w14:textId="77777777" w:rsidR="001D6A45" w:rsidRPr="001D6A45" w:rsidRDefault="001D6A45" w:rsidP="001D6A45">
      <w:pPr>
        <w:spacing w:after="0"/>
        <w:rPr>
          <w:rFonts w:eastAsia="DengXian"/>
          <w:szCs w:val="22"/>
          <w:lang w:val="en-US"/>
        </w:rPr>
      </w:pPr>
      <w:r w:rsidRPr="001D6A45">
        <w:rPr>
          <w:rFonts w:eastAsia="DengXian"/>
          <w:szCs w:val="22"/>
          <w:lang w:val="en-US"/>
        </w:rPr>
        <w:t>These performance standards are mostly adopted from international standards (ISO 5151 [ISO, 2017] and ISO 16358 [ISO, 2013] with a few countries following ANSI/ASHRAE 90.1 [ASHRAE, 2016]. Most standards are reviewed periodically. ASHRAE 90.1, for example, is reviewed every three years. For the latest version launched in 2016, a study by the US Department of Energy [DOE, 2016] found that by using the 2016 edition, the aggregated percentage energy savings for buildings at a national level over the 2013 edition can reach up to 25% for certain types of applications.</w:t>
      </w:r>
    </w:p>
    <w:p w14:paraId="2836F19A" w14:textId="111971F2" w:rsidR="00A663AA" w:rsidRPr="00F867D0" w:rsidRDefault="00A663AA" w:rsidP="00A663AA">
      <w:pPr>
        <w:spacing w:after="0"/>
        <w:rPr>
          <w:lang w:eastAsia="en-US"/>
        </w:rPr>
      </w:pPr>
    </w:p>
    <w:p w14:paraId="3E67E357" w14:textId="04F1AD7B" w:rsidR="00A663AA" w:rsidRPr="000F749F" w:rsidRDefault="00A663AA" w:rsidP="000F749F">
      <w:pPr>
        <w:pStyle w:val="Heading2"/>
        <w:rPr>
          <w:b w:val="0"/>
        </w:rPr>
      </w:pPr>
      <w:bookmarkStart w:id="130" w:name="_Toc515454409"/>
      <w:r w:rsidRPr="000F749F">
        <w:t>A.4</w:t>
      </w:r>
      <w:r w:rsidRPr="000F749F">
        <w:tab/>
        <w:t xml:space="preserve">Mobile </w:t>
      </w:r>
      <w:r w:rsidR="00E42472" w:rsidRPr="000F749F">
        <w:t>a</w:t>
      </w:r>
      <w:r w:rsidRPr="000F749F">
        <w:t xml:space="preserve">ir </w:t>
      </w:r>
      <w:r w:rsidR="00E42472" w:rsidRPr="000F749F">
        <w:t>c</w:t>
      </w:r>
      <w:r w:rsidRPr="000F749F">
        <w:t xml:space="preserve">onditioning and </w:t>
      </w:r>
      <w:r w:rsidR="00E42472" w:rsidRPr="000F749F">
        <w:t>t</w:t>
      </w:r>
      <w:r w:rsidRPr="000F749F">
        <w:t xml:space="preserve">ransport </w:t>
      </w:r>
      <w:r w:rsidR="00E42472" w:rsidRPr="000F749F">
        <w:t>r</w:t>
      </w:r>
      <w:r w:rsidRPr="000F749F">
        <w:t>efrigeration</w:t>
      </w:r>
      <w:bookmarkEnd w:id="130"/>
    </w:p>
    <w:p w14:paraId="3289483D" w14:textId="77777777" w:rsidR="00A663AA" w:rsidRPr="00C1590C" w:rsidRDefault="00A663AA" w:rsidP="00A663AA">
      <w:pPr>
        <w:spacing w:after="0"/>
        <w:rPr>
          <w:rFonts w:eastAsia="Calibri"/>
          <w:b/>
          <w:color w:val="auto"/>
          <w:szCs w:val="22"/>
          <w:u w:val="single"/>
          <w:lang w:eastAsia="en-US"/>
        </w:rPr>
      </w:pPr>
      <w:r w:rsidRPr="00C1590C">
        <w:rPr>
          <w:rFonts w:eastAsia="Calibri"/>
          <w:b/>
          <w:color w:val="auto"/>
          <w:szCs w:val="22"/>
          <w:u w:val="single"/>
          <w:lang w:eastAsia="en-US"/>
        </w:rPr>
        <w:t xml:space="preserve">Mobile Air Conditioning (MAC) </w:t>
      </w:r>
    </w:p>
    <w:p w14:paraId="1F445B89" w14:textId="77777777" w:rsidR="00C1590C" w:rsidRDefault="00C1590C" w:rsidP="00A663AA">
      <w:pPr>
        <w:spacing w:after="0"/>
        <w:rPr>
          <w:rFonts w:eastAsia="Calibri"/>
          <w:b/>
          <w:color w:val="auto"/>
          <w:szCs w:val="22"/>
          <w:lang w:eastAsia="en-US"/>
        </w:rPr>
      </w:pPr>
    </w:p>
    <w:p w14:paraId="57A51883" w14:textId="78FA1D56" w:rsidR="00A663AA" w:rsidRPr="00C1590C" w:rsidRDefault="00C1590C" w:rsidP="00A663AA">
      <w:pPr>
        <w:spacing w:after="0"/>
        <w:rPr>
          <w:rFonts w:eastAsia="Calibri"/>
          <w:b/>
          <w:color w:val="auto"/>
          <w:szCs w:val="22"/>
          <w:lang w:eastAsia="en-US"/>
        </w:rPr>
      </w:pPr>
      <w:r w:rsidRPr="00C1590C">
        <w:rPr>
          <w:rFonts w:eastAsia="Calibri"/>
          <w:b/>
          <w:color w:val="auto"/>
          <w:szCs w:val="22"/>
          <w:lang w:eastAsia="en-US"/>
        </w:rPr>
        <w:t>State of the art</w:t>
      </w:r>
    </w:p>
    <w:p w14:paraId="2E44578A" w14:textId="77777777" w:rsidR="00C1590C" w:rsidRPr="00F867D0" w:rsidRDefault="00C1590C" w:rsidP="00A663AA">
      <w:pPr>
        <w:spacing w:after="0"/>
        <w:rPr>
          <w:rFonts w:eastAsia="Calibri"/>
          <w:b/>
          <w:color w:val="auto"/>
          <w:szCs w:val="22"/>
          <w:lang w:eastAsia="en-US"/>
        </w:rPr>
      </w:pPr>
    </w:p>
    <w:p w14:paraId="73AA36F3" w14:textId="77777777" w:rsidR="00A663AA" w:rsidRPr="00F867D0" w:rsidRDefault="00A663AA" w:rsidP="00A663AA">
      <w:pPr>
        <w:spacing w:after="0"/>
        <w:rPr>
          <w:rFonts w:eastAsia="Calibri"/>
          <w:color w:val="auto"/>
          <w:szCs w:val="22"/>
          <w:lang w:eastAsia="en-US"/>
        </w:rPr>
      </w:pPr>
      <w:r w:rsidRPr="00F867D0">
        <w:rPr>
          <w:rFonts w:eastAsia="Calibri"/>
          <w:color w:val="auto"/>
          <w:szCs w:val="22"/>
          <w:lang w:eastAsia="en-US"/>
        </w:rPr>
        <w:t xml:space="preserve">MAC is the system that ensures on road transport vehicles ventilation, heating and cooling to guarantee proper visibility and thermal comfort.  Energy for MAC operation is provided by the on-board powertrain system being responsible of an additional fuel consumption in case of thermal engine, e.g. +10%, or electric range reduction up to -40% for battery electric vehicles. </w:t>
      </w:r>
    </w:p>
    <w:p w14:paraId="640AEE8D" w14:textId="77777777" w:rsidR="00A663AA" w:rsidRPr="00F867D0" w:rsidRDefault="00A663AA" w:rsidP="00A663AA">
      <w:pPr>
        <w:spacing w:after="0"/>
        <w:rPr>
          <w:rFonts w:eastAsia="Calibri"/>
          <w:color w:val="auto"/>
          <w:szCs w:val="22"/>
          <w:lang w:eastAsia="en-US"/>
        </w:rPr>
      </w:pPr>
    </w:p>
    <w:p w14:paraId="126E952E" w14:textId="6883A853" w:rsidR="00A663AA" w:rsidRPr="00C1590C" w:rsidRDefault="00C1590C" w:rsidP="00A663AA">
      <w:pPr>
        <w:spacing w:after="0"/>
        <w:rPr>
          <w:rFonts w:eastAsia="Calibri"/>
          <w:b/>
          <w:color w:val="auto"/>
          <w:szCs w:val="22"/>
          <w:lang w:eastAsia="en-US"/>
        </w:rPr>
      </w:pPr>
      <w:r w:rsidRPr="00C1590C">
        <w:rPr>
          <w:rFonts w:eastAsia="Calibri"/>
          <w:b/>
          <w:color w:val="auto"/>
          <w:szCs w:val="22"/>
          <w:lang w:eastAsia="en-US"/>
        </w:rPr>
        <w:t>Opportunities and challenges</w:t>
      </w:r>
    </w:p>
    <w:p w14:paraId="1DDD54B1" w14:textId="77777777" w:rsidR="00C1590C" w:rsidRPr="00F867D0" w:rsidRDefault="00C1590C" w:rsidP="00A663AA">
      <w:pPr>
        <w:spacing w:after="0"/>
        <w:rPr>
          <w:rFonts w:eastAsia="Calibri"/>
          <w:b/>
          <w:color w:val="auto"/>
          <w:szCs w:val="22"/>
          <w:lang w:eastAsia="en-US"/>
        </w:rPr>
      </w:pPr>
    </w:p>
    <w:p w14:paraId="375DC626" w14:textId="5E3BE32D" w:rsidR="00A663AA" w:rsidRPr="00F867D0" w:rsidRDefault="008841A6" w:rsidP="00A663AA">
      <w:pPr>
        <w:spacing w:after="0"/>
        <w:rPr>
          <w:rFonts w:eastAsia="Calibri"/>
          <w:color w:val="auto"/>
          <w:szCs w:val="22"/>
          <w:lang w:eastAsia="en-US"/>
        </w:rPr>
      </w:pPr>
      <w:r w:rsidRPr="00F867D0">
        <w:rPr>
          <w:rFonts w:eastAsia="Calibri"/>
          <w:color w:val="auto"/>
          <w:szCs w:val="22"/>
          <w:lang w:eastAsia="en-US"/>
        </w:rPr>
        <w:t>For more than 20 years the global car industry has used HFC-134a (with a GWP of 1430) for all new MACs in cars and other small road vehicles. During the last 5 years a switch to HFO-1234yf (GWP 4) has begun in some geographic regions.  The European Union MAC Directive has banned refrigerants with a GWP above 150 – this has applied to MACs in all new cars since January 2017.  There is also significant uptake of low-GWP MAC refrigerants in the US</w:t>
      </w:r>
      <w:r w:rsidR="00A663AA" w:rsidRPr="00F867D0">
        <w:rPr>
          <w:rFonts w:eastAsia="Calibri"/>
          <w:color w:val="auto"/>
          <w:szCs w:val="22"/>
          <w:lang w:eastAsia="en-US"/>
        </w:rPr>
        <w:t xml:space="preserve"> where incentives are in force</w:t>
      </w:r>
      <w:r w:rsidRPr="00F867D0">
        <w:rPr>
          <w:rFonts w:eastAsia="Calibri"/>
          <w:color w:val="auto"/>
          <w:szCs w:val="22"/>
          <w:lang w:eastAsia="en-US"/>
        </w:rPr>
        <w:t>.</w:t>
      </w:r>
      <w:r w:rsidR="00A663AA" w:rsidRPr="00F867D0">
        <w:rPr>
          <w:rFonts w:eastAsia="Calibri"/>
          <w:color w:val="auto"/>
          <w:szCs w:val="22"/>
          <w:lang w:eastAsia="en-US"/>
        </w:rPr>
        <w:t xml:space="preserve"> </w:t>
      </w:r>
    </w:p>
    <w:p w14:paraId="01F96369" w14:textId="77777777" w:rsidR="00D07E69" w:rsidRPr="00F867D0" w:rsidRDefault="00D07E69" w:rsidP="00A663AA">
      <w:pPr>
        <w:spacing w:after="0"/>
        <w:rPr>
          <w:rFonts w:eastAsia="Calibri"/>
          <w:color w:val="auto"/>
          <w:szCs w:val="22"/>
          <w:lang w:eastAsia="en-US"/>
        </w:rPr>
      </w:pPr>
    </w:p>
    <w:p w14:paraId="238781BD" w14:textId="7004C4A8" w:rsidR="00A663AA" w:rsidRPr="00F867D0" w:rsidRDefault="00A663AA" w:rsidP="00A663AA">
      <w:pPr>
        <w:spacing w:after="0"/>
        <w:rPr>
          <w:rFonts w:eastAsia="Calibri"/>
          <w:color w:val="auto"/>
          <w:szCs w:val="22"/>
          <w:lang w:eastAsia="en-US"/>
        </w:rPr>
      </w:pPr>
      <w:r w:rsidRPr="00F867D0">
        <w:rPr>
          <w:rFonts w:eastAsia="Calibri"/>
          <w:color w:val="auto"/>
          <w:szCs w:val="22"/>
          <w:lang w:eastAsia="en-US"/>
        </w:rPr>
        <w:t xml:space="preserve">R-744 is </w:t>
      </w:r>
      <w:r w:rsidR="008841A6" w:rsidRPr="00F867D0">
        <w:rPr>
          <w:rFonts w:eastAsia="Calibri"/>
          <w:color w:val="auto"/>
          <w:szCs w:val="22"/>
          <w:lang w:eastAsia="en-US"/>
        </w:rPr>
        <w:t>being considered by a small proportion of</w:t>
      </w:r>
      <w:r w:rsidRPr="00F867D0">
        <w:rPr>
          <w:rFonts w:eastAsia="Calibri"/>
          <w:color w:val="auto"/>
          <w:szCs w:val="22"/>
          <w:lang w:eastAsia="en-US"/>
        </w:rPr>
        <w:t xml:space="preserve"> car manufacturers in Europe, where some concerns exist about the environmental impact of HFOs in the long term. While R-744 may have some drawbacks in terms of</w:t>
      </w:r>
      <w:r w:rsidR="008841A6" w:rsidRPr="00F867D0">
        <w:rPr>
          <w:rFonts w:eastAsia="Calibri"/>
          <w:color w:val="auto"/>
          <w:szCs w:val="22"/>
          <w:lang w:eastAsia="en-US"/>
        </w:rPr>
        <w:t xml:space="preserve"> EE</w:t>
      </w:r>
      <w:r w:rsidRPr="00F867D0">
        <w:rPr>
          <w:rFonts w:eastAsia="Calibri"/>
          <w:color w:val="auto"/>
          <w:szCs w:val="22"/>
          <w:lang w:eastAsia="en-US"/>
        </w:rPr>
        <w:t xml:space="preserve"> with respect to HFOs when used in a MAC system for sole cooling, it becomes much more interesting if it is used as a heat pump both for cooling and heating: this is the case of pure electrical vehicles where there is no heat rejected by the engine to provide for the winter heating of car interior.</w:t>
      </w:r>
    </w:p>
    <w:p w14:paraId="2088F2A6" w14:textId="77777777" w:rsidR="00A663AA" w:rsidRPr="00F867D0" w:rsidRDefault="00A663AA" w:rsidP="00A663AA">
      <w:pPr>
        <w:spacing w:after="0"/>
        <w:rPr>
          <w:rFonts w:eastAsia="Calibri"/>
          <w:color w:val="auto"/>
          <w:szCs w:val="22"/>
          <w:lang w:eastAsia="en-US"/>
        </w:rPr>
      </w:pPr>
    </w:p>
    <w:p w14:paraId="40D18C9E" w14:textId="1CF0FAE4" w:rsidR="00A663AA" w:rsidRDefault="00A663AA" w:rsidP="00A663AA">
      <w:pPr>
        <w:spacing w:after="0"/>
        <w:rPr>
          <w:rFonts w:eastAsia="Calibri"/>
          <w:color w:val="auto"/>
          <w:szCs w:val="22"/>
          <w:lang w:eastAsia="en-US"/>
        </w:rPr>
      </w:pPr>
      <w:r w:rsidRPr="00F867D0">
        <w:rPr>
          <w:rFonts w:eastAsia="Calibri"/>
          <w:color w:val="auto"/>
          <w:szCs w:val="22"/>
          <w:lang w:eastAsia="en-US"/>
        </w:rPr>
        <w:t xml:space="preserve">There are several options to improve </w:t>
      </w:r>
      <w:r w:rsidRPr="00F867D0">
        <w:rPr>
          <w:rFonts w:eastAsia="Calibri"/>
          <w:i/>
          <w:color w:val="auto"/>
          <w:szCs w:val="22"/>
          <w:u w:val="single"/>
          <w:lang w:eastAsia="en-US"/>
        </w:rPr>
        <w:t>MAC</w:t>
      </w:r>
      <w:r w:rsidRPr="00F867D0">
        <w:rPr>
          <w:rFonts w:eastAsia="Calibri"/>
          <w:color w:val="auto"/>
          <w:szCs w:val="22"/>
          <w:lang w:eastAsia="en-US"/>
        </w:rPr>
        <w:t xml:space="preserve"> efficiency focusing on the vapor compression and on the whole system:</w:t>
      </w:r>
    </w:p>
    <w:p w14:paraId="63D5CA4D" w14:textId="77777777" w:rsidR="00C1590C" w:rsidRPr="00F867D0" w:rsidRDefault="00C1590C" w:rsidP="00A663AA">
      <w:pPr>
        <w:spacing w:after="0"/>
        <w:rPr>
          <w:rFonts w:eastAsia="Calibri"/>
          <w:color w:val="auto"/>
          <w:szCs w:val="22"/>
          <w:lang w:eastAsia="en-US"/>
        </w:rPr>
      </w:pPr>
    </w:p>
    <w:p w14:paraId="420C59B9" w14:textId="77777777" w:rsidR="00A663AA" w:rsidRPr="00F867D0" w:rsidRDefault="00A663AA" w:rsidP="00736989">
      <w:pPr>
        <w:widowControl w:val="0"/>
        <w:numPr>
          <w:ilvl w:val="0"/>
          <w:numId w:val="61"/>
        </w:numPr>
        <w:tabs>
          <w:tab w:val="left" w:pos="220"/>
          <w:tab w:val="left" w:pos="270"/>
        </w:tabs>
        <w:autoSpaceDE w:val="0"/>
        <w:autoSpaceDN w:val="0"/>
        <w:adjustRightInd w:val="0"/>
        <w:spacing w:after="0" w:line="256" w:lineRule="auto"/>
        <w:contextualSpacing/>
        <w:rPr>
          <w:rFonts w:eastAsia="Calibri"/>
          <w:color w:val="auto"/>
          <w:kern w:val="2"/>
          <w:szCs w:val="22"/>
          <w:lang w:eastAsia="en-US"/>
        </w:rPr>
      </w:pPr>
      <w:r w:rsidRPr="00F867D0">
        <w:rPr>
          <w:rFonts w:eastAsia="Calibri"/>
          <w:color w:val="auto"/>
          <w:kern w:val="2"/>
          <w:szCs w:val="22"/>
          <w:lang w:eastAsia="en-US"/>
        </w:rPr>
        <w:t>Thermal load reduction through reflective glazing and paints – this is granted of CO</w:t>
      </w:r>
      <w:r w:rsidRPr="00F867D0">
        <w:rPr>
          <w:rFonts w:eastAsia="Calibri"/>
          <w:color w:val="auto"/>
          <w:kern w:val="2"/>
          <w:szCs w:val="22"/>
          <w:vertAlign w:val="subscript"/>
          <w:lang w:eastAsia="en-US"/>
        </w:rPr>
        <w:t>2</w:t>
      </w:r>
      <w:r w:rsidRPr="00F867D0">
        <w:rPr>
          <w:rFonts w:eastAsia="Calibri"/>
          <w:color w:val="auto"/>
          <w:kern w:val="2"/>
          <w:szCs w:val="22"/>
          <w:lang w:eastAsia="en-US"/>
        </w:rPr>
        <w:t xml:space="preserve"> credit in US and other areas</w:t>
      </w:r>
    </w:p>
    <w:p w14:paraId="6EDADD41" w14:textId="77777777" w:rsidR="00A663AA" w:rsidRPr="00F867D0" w:rsidRDefault="00A663AA" w:rsidP="00736989">
      <w:pPr>
        <w:widowControl w:val="0"/>
        <w:numPr>
          <w:ilvl w:val="0"/>
          <w:numId w:val="61"/>
        </w:numPr>
        <w:tabs>
          <w:tab w:val="left" w:pos="220"/>
          <w:tab w:val="left" w:pos="270"/>
        </w:tabs>
        <w:autoSpaceDE w:val="0"/>
        <w:autoSpaceDN w:val="0"/>
        <w:adjustRightInd w:val="0"/>
        <w:spacing w:after="0" w:line="256" w:lineRule="auto"/>
        <w:contextualSpacing/>
        <w:rPr>
          <w:rFonts w:eastAsia="Calibri"/>
          <w:color w:val="auto"/>
          <w:kern w:val="2"/>
          <w:szCs w:val="22"/>
          <w:lang w:eastAsia="en-US"/>
        </w:rPr>
      </w:pPr>
      <w:r w:rsidRPr="00F867D0">
        <w:rPr>
          <w:rFonts w:eastAsia="Calibri"/>
          <w:color w:val="auto"/>
          <w:kern w:val="2"/>
          <w:szCs w:val="22"/>
          <w:lang w:eastAsia="en-US"/>
        </w:rPr>
        <w:t>Higher efficiency fan motors and compressors</w:t>
      </w:r>
    </w:p>
    <w:p w14:paraId="5D66F8A7" w14:textId="77777777" w:rsidR="00A663AA" w:rsidRPr="00F867D0" w:rsidRDefault="00A663AA" w:rsidP="00736989">
      <w:pPr>
        <w:widowControl w:val="0"/>
        <w:numPr>
          <w:ilvl w:val="0"/>
          <w:numId w:val="61"/>
        </w:numPr>
        <w:tabs>
          <w:tab w:val="left" w:pos="220"/>
          <w:tab w:val="left" w:pos="270"/>
        </w:tabs>
        <w:autoSpaceDE w:val="0"/>
        <w:autoSpaceDN w:val="0"/>
        <w:adjustRightInd w:val="0"/>
        <w:spacing w:after="0" w:line="256" w:lineRule="auto"/>
        <w:contextualSpacing/>
        <w:rPr>
          <w:rFonts w:eastAsia="Calibri"/>
          <w:color w:val="auto"/>
          <w:kern w:val="2"/>
          <w:szCs w:val="22"/>
          <w:lang w:eastAsia="en-US"/>
        </w:rPr>
      </w:pPr>
      <w:r w:rsidRPr="00F867D0">
        <w:rPr>
          <w:rFonts w:eastAsia="Calibri"/>
          <w:color w:val="auto"/>
          <w:kern w:val="2"/>
          <w:szCs w:val="22"/>
          <w:lang w:eastAsia="en-US"/>
        </w:rPr>
        <w:t xml:space="preserve">Improved heat exchangers including liquid cooling  </w:t>
      </w:r>
    </w:p>
    <w:p w14:paraId="525E0A30" w14:textId="77777777" w:rsidR="00A663AA" w:rsidRPr="00F867D0" w:rsidRDefault="00A663AA" w:rsidP="00736989">
      <w:pPr>
        <w:widowControl w:val="0"/>
        <w:numPr>
          <w:ilvl w:val="0"/>
          <w:numId w:val="61"/>
        </w:numPr>
        <w:tabs>
          <w:tab w:val="left" w:pos="220"/>
          <w:tab w:val="left" w:pos="270"/>
        </w:tabs>
        <w:autoSpaceDE w:val="0"/>
        <w:autoSpaceDN w:val="0"/>
        <w:adjustRightInd w:val="0"/>
        <w:spacing w:after="0" w:line="256" w:lineRule="auto"/>
        <w:contextualSpacing/>
        <w:rPr>
          <w:rFonts w:eastAsia="Calibri"/>
          <w:color w:val="auto"/>
          <w:kern w:val="2"/>
          <w:szCs w:val="22"/>
          <w:lang w:eastAsia="en-US"/>
        </w:rPr>
      </w:pPr>
      <w:r w:rsidRPr="00F867D0">
        <w:rPr>
          <w:rFonts w:eastAsia="Calibri"/>
          <w:color w:val="auto"/>
          <w:kern w:val="2"/>
          <w:szCs w:val="22"/>
          <w:lang w:eastAsia="en-US"/>
        </w:rPr>
        <w:t xml:space="preserve">Controlled compressor: variable displacement for part load performance improvement of fans and compressors; </w:t>
      </w:r>
    </w:p>
    <w:p w14:paraId="7CB9C660" w14:textId="77777777" w:rsidR="00A663AA" w:rsidRPr="00F867D0" w:rsidRDefault="00A663AA" w:rsidP="00736989">
      <w:pPr>
        <w:widowControl w:val="0"/>
        <w:numPr>
          <w:ilvl w:val="0"/>
          <w:numId w:val="61"/>
        </w:numPr>
        <w:tabs>
          <w:tab w:val="left" w:pos="220"/>
          <w:tab w:val="left" w:pos="270"/>
        </w:tabs>
        <w:autoSpaceDE w:val="0"/>
        <w:autoSpaceDN w:val="0"/>
        <w:adjustRightInd w:val="0"/>
        <w:spacing w:after="0" w:line="256" w:lineRule="auto"/>
        <w:contextualSpacing/>
        <w:rPr>
          <w:rFonts w:eastAsia="Calibri"/>
          <w:color w:val="auto"/>
          <w:kern w:val="2"/>
          <w:szCs w:val="22"/>
          <w:lang w:eastAsia="en-US"/>
        </w:rPr>
      </w:pPr>
      <w:r w:rsidRPr="00F867D0">
        <w:rPr>
          <w:rFonts w:eastAsia="Calibri"/>
          <w:color w:val="auto"/>
          <w:kern w:val="2"/>
          <w:szCs w:val="22"/>
          <w:lang w:eastAsia="en-US"/>
        </w:rPr>
        <w:t>Internal Heat Exchangers to recuperate part of the residual cooling power</w:t>
      </w:r>
    </w:p>
    <w:p w14:paraId="7DFC4323" w14:textId="77777777" w:rsidR="00A663AA" w:rsidRPr="00C1590C" w:rsidRDefault="00A663AA" w:rsidP="00A663AA">
      <w:pPr>
        <w:spacing w:after="0"/>
        <w:rPr>
          <w:rFonts w:eastAsia="Calibri"/>
          <w:color w:val="auto"/>
          <w:sz w:val="24"/>
          <w:szCs w:val="24"/>
          <w:u w:val="single"/>
          <w:lang w:eastAsia="en-US"/>
        </w:rPr>
      </w:pPr>
    </w:p>
    <w:p w14:paraId="2C2A46C1" w14:textId="2AEDD65E" w:rsidR="00C1590C" w:rsidRPr="00C1590C" w:rsidRDefault="00E42472" w:rsidP="00A663AA">
      <w:pPr>
        <w:spacing w:after="0"/>
        <w:rPr>
          <w:rFonts w:eastAsia="Calibri"/>
          <w:b/>
          <w:color w:val="auto"/>
          <w:szCs w:val="22"/>
          <w:u w:val="single"/>
          <w:lang w:eastAsia="en-US"/>
        </w:rPr>
      </w:pPr>
      <w:r>
        <w:rPr>
          <w:rFonts w:eastAsia="Calibri"/>
          <w:b/>
          <w:color w:val="auto"/>
          <w:szCs w:val="22"/>
          <w:u w:val="single"/>
          <w:lang w:eastAsia="en-US"/>
        </w:rPr>
        <w:t>Transport r</w:t>
      </w:r>
      <w:r w:rsidR="00A663AA" w:rsidRPr="00C1590C">
        <w:rPr>
          <w:rFonts w:eastAsia="Calibri"/>
          <w:b/>
          <w:color w:val="auto"/>
          <w:szCs w:val="22"/>
          <w:u w:val="single"/>
          <w:lang w:eastAsia="en-US"/>
        </w:rPr>
        <w:t xml:space="preserve">efrigeration </w:t>
      </w:r>
    </w:p>
    <w:p w14:paraId="4510CC86" w14:textId="77777777" w:rsidR="00C1590C" w:rsidRDefault="00C1590C" w:rsidP="00A663AA">
      <w:pPr>
        <w:spacing w:after="0"/>
        <w:rPr>
          <w:rFonts w:eastAsia="Calibri"/>
          <w:b/>
          <w:color w:val="auto"/>
          <w:szCs w:val="22"/>
          <w:lang w:eastAsia="en-US"/>
        </w:rPr>
      </w:pPr>
    </w:p>
    <w:p w14:paraId="4B91E9DC" w14:textId="64BB8677" w:rsidR="00A663AA" w:rsidRPr="00F867D0" w:rsidRDefault="00C1590C" w:rsidP="00A663AA">
      <w:pPr>
        <w:spacing w:after="0"/>
        <w:rPr>
          <w:rFonts w:eastAsia="Calibri"/>
          <w:color w:val="auto"/>
          <w:szCs w:val="22"/>
          <w:lang w:eastAsia="en-US"/>
        </w:rPr>
      </w:pPr>
      <w:r>
        <w:rPr>
          <w:rFonts w:eastAsia="Calibri"/>
          <w:color w:val="auto"/>
          <w:szCs w:val="22"/>
          <w:lang w:eastAsia="en-US"/>
        </w:rPr>
        <w:t xml:space="preserve">Transport refrigeration </w:t>
      </w:r>
      <w:r w:rsidR="00A663AA" w:rsidRPr="00F867D0">
        <w:rPr>
          <w:rFonts w:eastAsia="Calibri"/>
          <w:color w:val="auto"/>
          <w:szCs w:val="22"/>
          <w:lang w:eastAsia="en-US"/>
        </w:rPr>
        <w:t>includes refrigeration systems in trucks, trailers and reefer containers, refrigeration and air conditioning systems aboard ships, and air conditioning systems in railway cars. Transport applications have specific challenges such as resistance to shocks and vibrations, corrosion, flammability or availability concerns which make the design choices diff</w:t>
      </w:r>
      <w:r>
        <w:rPr>
          <w:rFonts w:eastAsia="Calibri"/>
          <w:color w:val="auto"/>
          <w:szCs w:val="22"/>
          <w:lang w:eastAsia="en-US"/>
        </w:rPr>
        <w:t xml:space="preserve">erent from the other segments. </w:t>
      </w:r>
      <w:r w:rsidR="00A663AA" w:rsidRPr="00F867D0">
        <w:rPr>
          <w:rFonts w:eastAsia="Calibri"/>
          <w:color w:val="auto"/>
          <w:szCs w:val="22"/>
          <w:lang w:eastAsia="en-US"/>
        </w:rPr>
        <w:t xml:space="preserve">Efficiency issues are very much significant for these transport applications as they are subject to very different ambient air conditions and often, space being limited, are challenged in terms of adequate air flow, size of heat exchangers, parasitic heat gain from other heat generating components and equipment etc. The main difference from </w:t>
      </w:r>
      <w:r>
        <w:rPr>
          <w:rFonts w:eastAsia="Calibri"/>
          <w:color w:val="auto"/>
          <w:szCs w:val="22"/>
          <w:lang w:eastAsia="en-US"/>
        </w:rPr>
        <w:t>c</w:t>
      </w:r>
      <w:r w:rsidR="00A663AA" w:rsidRPr="00F867D0">
        <w:rPr>
          <w:rFonts w:eastAsia="Calibri"/>
          <w:color w:val="auto"/>
          <w:szCs w:val="22"/>
          <w:lang w:eastAsia="en-US"/>
        </w:rPr>
        <w:t xml:space="preserve">ommercial </w:t>
      </w:r>
      <w:r>
        <w:rPr>
          <w:rFonts w:eastAsia="Calibri"/>
          <w:color w:val="auto"/>
          <w:szCs w:val="22"/>
          <w:lang w:eastAsia="en-US"/>
        </w:rPr>
        <w:t>r</w:t>
      </w:r>
      <w:r w:rsidR="00A663AA" w:rsidRPr="00F867D0">
        <w:rPr>
          <w:rFonts w:eastAsia="Calibri"/>
          <w:color w:val="auto"/>
          <w:szCs w:val="22"/>
          <w:lang w:eastAsia="en-US"/>
        </w:rPr>
        <w:t xml:space="preserve">efrigeration is the variation in ambient temperature in which the transport system is operated, in some cases ranging from arctic to tropic conditions.   </w:t>
      </w:r>
    </w:p>
    <w:p w14:paraId="3713BC17" w14:textId="77777777" w:rsidR="009F09A9" w:rsidRPr="00F867D0" w:rsidRDefault="009F09A9" w:rsidP="00A663AA">
      <w:pPr>
        <w:spacing w:after="0"/>
        <w:rPr>
          <w:rFonts w:eastAsia="Calibri"/>
          <w:color w:val="auto"/>
          <w:szCs w:val="22"/>
          <w:lang w:eastAsia="en-US"/>
        </w:rPr>
      </w:pPr>
    </w:p>
    <w:p w14:paraId="37C5750A" w14:textId="478E3F00" w:rsidR="00A663AA" w:rsidRPr="00F867D0" w:rsidRDefault="00A663AA" w:rsidP="00A663AA">
      <w:pPr>
        <w:spacing w:after="0"/>
        <w:rPr>
          <w:rFonts w:eastAsia="Calibri"/>
          <w:color w:val="auto"/>
          <w:szCs w:val="22"/>
          <w:lang w:eastAsia="en-US"/>
        </w:rPr>
      </w:pPr>
      <w:r w:rsidRPr="00F867D0">
        <w:rPr>
          <w:rFonts w:eastAsia="Calibri"/>
          <w:color w:val="auto"/>
          <w:szCs w:val="22"/>
          <w:lang w:eastAsia="en-US"/>
        </w:rPr>
        <w:t>In general, lower GWP options for this sector include HFOs, HFO and HFC blends, lower GWP HFCs, hydrocarbons, and CO</w:t>
      </w:r>
      <w:r w:rsidRPr="00F867D0">
        <w:rPr>
          <w:rFonts w:eastAsia="Calibri"/>
          <w:color w:val="auto"/>
          <w:szCs w:val="22"/>
          <w:vertAlign w:val="subscript"/>
          <w:lang w:eastAsia="en-US"/>
        </w:rPr>
        <w:t>2</w:t>
      </w:r>
      <w:r w:rsidRPr="00F867D0">
        <w:rPr>
          <w:rFonts w:eastAsia="Calibri"/>
          <w:color w:val="auto"/>
          <w:szCs w:val="22"/>
          <w:lang w:eastAsia="en-US"/>
        </w:rPr>
        <w:t xml:space="preserve"> (R-744). The type of equipment, their location, the ambient conditions for heat rejection, availability of trained personnel and network for maintenance, requirements for safety and the refrigerant choice affect the efficiency, first cost and operating costs of the equipment.  These and their effect on the uptake of lower GWP technology in this sector are discussed below.</w:t>
      </w:r>
    </w:p>
    <w:p w14:paraId="2D27CB7D" w14:textId="77777777" w:rsidR="00A663AA" w:rsidRPr="00F867D0" w:rsidRDefault="00A663AA" w:rsidP="00A663AA">
      <w:pPr>
        <w:spacing w:after="0"/>
        <w:rPr>
          <w:rFonts w:eastAsia="Calibri"/>
          <w:color w:val="auto"/>
          <w:szCs w:val="22"/>
          <w:lang w:eastAsia="en-US"/>
        </w:rPr>
      </w:pPr>
    </w:p>
    <w:p w14:paraId="6AB63F7E" w14:textId="77777777" w:rsidR="00A663AA" w:rsidRPr="00C1590C" w:rsidRDefault="00A663AA" w:rsidP="00A663AA">
      <w:pPr>
        <w:spacing w:after="0"/>
        <w:rPr>
          <w:rFonts w:eastAsia="Calibri"/>
          <w:b/>
          <w:i/>
          <w:color w:val="auto"/>
          <w:szCs w:val="22"/>
          <w:lang w:eastAsia="en-US"/>
        </w:rPr>
      </w:pPr>
      <w:r w:rsidRPr="00C1590C">
        <w:rPr>
          <w:rFonts w:eastAsia="Calibri"/>
          <w:b/>
          <w:i/>
          <w:color w:val="auto"/>
          <w:szCs w:val="22"/>
          <w:lang w:eastAsia="en-US"/>
        </w:rPr>
        <w:t xml:space="preserve">Truck and Trailer Refrigeration </w:t>
      </w:r>
    </w:p>
    <w:p w14:paraId="3B33F84B" w14:textId="77777777" w:rsidR="00C1590C" w:rsidRDefault="00C1590C" w:rsidP="00A663AA">
      <w:pPr>
        <w:spacing w:after="0"/>
        <w:rPr>
          <w:rFonts w:eastAsia="Calibri"/>
          <w:b/>
          <w:color w:val="auto"/>
          <w:szCs w:val="22"/>
          <w:lang w:eastAsia="en-US"/>
        </w:rPr>
      </w:pPr>
    </w:p>
    <w:p w14:paraId="6CAEB0BE" w14:textId="7E631BF1" w:rsidR="00A663AA" w:rsidRPr="00F867D0" w:rsidRDefault="00A663AA" w:rsidP="00A663AA">
      <w:pPr>
        <w:spacing w:after="0"/>
        <w:rPr>
          <w:rFonts w:eastAsia="Calibri"/>
          <w:b/>
          <w:color w:val="auto"/>
          <w:szCs w:val="22"/>
          <w:lang w:eastAsia="en-US"/>
        </w:rPr>
      </w:pPr>
      <w:r w:rsidRPr="00F867D0">
        <w:rPr>
          <w:rFonts w:eastAsia="Calibri"/>
          <w:b/>
          <w:color w:val="auto"/>
          <w:szCs w:val="22"/>
          <w:lang w:eastAsia="en-US"/>
        </w:rPr>
        <w:t>State of the art</w:t>
      </w:r>
    </w:p>
    <w:p w14:paraId="232DD9DF" w14:textId="77777777" w:rsidR="00C1590C" w:rsidRDefault="00C1590C" w:rsidP="00A663AA">
      <w:pPr>
        <w:spacing w:after="0"/>
        <w:rPr>
          <w:rFonts w:eastAsia="Calibri"/>
          <w:color w:val="auto"/>
          <w:szCs w:val="22"/>
          <w:lang w:eastAsia="en-US"/>
        </w:rPr>
      </w:pPr>
    </w:p>
    <w:p w14:paraId="04BF5F6A" w14:textId="71BE0E0C" w:rsidR="00A663AA" w:rsidRPr="00F867D0" w:rsidRDefault="00A663AA" w:rsidP="00A663AA">
      <w:pPr>
        <w:spacing w:after="0"/>
        <w:rPr>
          <w:rFonts w:eastAsia="Calibri"/>
          <w:color w:val="auto"/>
          <w:szCs w:val="22"/>
          <w:lang w:eastAsia="en-US"/>
        </w:rPr>
      </w:pPr>
      <w:r w:rsidRPr="00F867D0">
        <w:rPr>
          <w:rFonts w:eastAsia="Calibri"/>
          <w:color w:val="auto"/>
          <w:szCs w:val="22"/>
          <w:lang w:eastAsia="en-US"/>
        </w:rPr>
        <w:t xml:space="preserve">These are self-contained refrigeration systems, often with their own power generation equipment like an engine or an engine-alternator combination.  These self-contained refrigeration systems have to control the insulated truck or trailer “box” to temperatures ranging from near +10°C to -25°C and operate in ambient air conditions that are varied from cold to very hot. Ambient air design temperatures can vary from +65°C (in cargo holds) to -20°C and therefore become a very important factor.  R-404A refrigerant dominates this application, with some HCFC-22, HFC-134a and R-410A as well.  </w:t>
      </w:r>
    </w:p>
    <w:p w14:paraId="235C5DA6" w14:textId="77777777" w:rsidR="00032579" w:rsidRPr="00F867D0" w:rsidRDefault="00032579" w:rsidP="00A663AA">
      <w:pPr>
        <w:spacing w:after="0"/>
        <w:rPr>
          <w:rFonts w:eastAsia="Calibri"/>
          <w:b/>
          <w:color w:val="auto"/>
          <w:szCs w:val="22"/>
          <w:lang w:eastAsia="en-US"/>
        </w:rPr>
      </w:pPr>
    </w:p>
    <w:p w14:paraId="3CBC18AF" w14:textId="039C6F09" w:rsidR="00A663AA" w:rsidRPr="00F867D0" w:rsidRDefault="00A663AA" w:rsidP="00A663AA">
      <w:pPr>
        <w:spacing w:after="0"/>
        <w:rPr>
          <w:rFonts w:eastAsia="Calibri"/>
          <w:b/>
          <w:color w:val="auto"/>
          <w:szCs w:val="22"/>
          <w:lang w:eastAsia="en-US"/>
        </w:rPr>
      </w:pPr>
      <w:r w:rsidRPr="00F867D0">
        <w:rPr>
          <w:rFonts w:eastAsia="Calibri"/>
          <w:b/>
          <w:color w:val="auto"/>
          <w:szCs w:val="22"/>
          <w:lang w:eastAsia="en-US"/>
        </w:rPr>
        <w:t>Opportunities and challenges</w:t>
      </w:r>
    </w:p>
    <w:p w14:paraId="170BCDBD" w14:textId="751CA9AB" w:rsidR="00A663AA" w:rsidRPr="00F867D0" w:rsidRDefault="00A663AA" w:rsidP="00A663AA">
      <w:pPr>
        <w:spacing w:after="0"/>
        <w:rPr>
          <w:rFonts w:eastAsia="Calibri"/>
          <w:color w:val="auto"/>
          <w:szCs w:val="22"/>
          <w:lang w:eastAsia="en-US"/>
        </w:rPr>
      </w:pPr>
      <w:r w:rsidRPr="00F867D0">
        <w:rPr>
          <w:rFonts w:eastAsia="Calibri"/>
          <w:color w:val="auto"/>
          <w:szCs w:val="22"/>
          <w:lang w:eastAsia="en-US"/>
        </w:rPr>
        <w:t xml:space="preserve">In Europe, and lately in other markets, R-452A is an A1 </w:t>
      </w:r>
      <w:r w:rsidR="008841A6" w:rsidRPr="00F867D0">
        <w:rPr>
          <w:rFonts w:eastAsia="Calibri"/>
          <w:color w:val="auto"/>
          <w:szCs w:val="22"/>
          <w:lang w:eastAsia="en-US"/>
        </w:rPr>
        <w:t xml:space="preserve">(non-flammable) </w:t>
      </w:r>
      <w:r w:rsidRPr="00F867D0">
        <w:rPr>
          <w:rFonts w:eastAsia="Calibri"/>
          <w:color w:val="auto"/>
          <w:szCs w:val="22"/>
          <w:lang w:eastAsia="en-US"/>
        </w:rPr>
        <w:t>refrigerant that is becoming state of the art as a lower GWP alternate for these systems, especially as a retrofit candidate. New lower GWP HFCs, HFOs and their blends, such as R-448A and R-449A are also becoming commercially available and may find increased use in the near future because they are drop-in fluids with comparable efficiency with R-404A and only few adjustment</w:t>
      </w:r>
      <w:r w:rsidR="00032579" w:rsidRPr="00F867D0">
        <w:rPr>
          <w:rFonts w:eastAsia="Calibri"/>
          <w:color w:val="auto"/>
          <w:szCs w:val="22"/>
          <w:lang w:eastAsia="en-US"/>
        </w:rPr>
        <w:t>s</w:t>
      </w:r>
      <w:r w:rsidRPr="00F867D0">
        <w:rPr>
          <w:rFonts w:eastAsia="Calibri"/>
          <w:color w:val="auto"/>
          <w:szCs w:val="22"/>
          <w:lang w:eastAsia="en-US"/>
        </w:rPr>
        <w:t xml:space="preserve"> </w:t>
      </w:r>
      <w:r w:rsidR="00032579" w:rsidRPr="00F867D0">
        <w:rPr>
          <w:rFonts w:eastAsia="Calibri"/>
          <w:color w:val="auto"/>
          <w:szCs w:val="22"/>
          <w:lang w:eastAsia="en-US"/>
        </w:rPr>
        <w:t xml:space="preserve">are </w:t>
      </w:r>
      <w:r w:rsidRPr="00F867D0">
        <w:rPr>
          <w:rFonts w:eastAsia="Calibri"/>
          <w:color w:val="auto"/>
          <w:szCs w:val="22"/>
          <w:lang w:eastAsia="en-US"/>
        </w:rPr>
        <w:t xml:space="preserve">needed to operate.  </w:t>
      </w:r>
    </w:p>
    <w:p w14:paraId="65C52528" w14:textId="77777777" w:rsidR="00032579" w:rsidRPr="00F867D0" w:rsidRDefault="00032579" w:rsidP="00A663AA">
      <w:pPr>
        <w:spacing w:after="0"/>
        <w:rPr>
          <w:rFonts w:eastAsia="Calibri"/>
          <w:color w:val="auto"/>
          <w:szCs w:val="22"/>
          <w:lang w:eastAsia="en-US"/>
        </w:rPr>
      </w:pPr>
    </w:p>
    <w:p w14:paraId="3AE08F2C" w14:textId="2B11D27F" w:rsidR="00A663AA" w:rsidRPr="00F867D0" w:rsidRDefault="00A663AA" w:rsidP="00A663AA">
      <w:pPr>
        <w:spacing w:after="0"/>
      </w:pPr>
      <w:r w:rsidRPr="00F867D0">
        <w:rPr>
          <w:rFonts w:eastAsia="Calibri"/>
          <w:color w:val="auto"/>
          <w:szCs w:val="22"/>
          <w:lang w:eastAsia="en-US"/>
        </w:rPr>
        <w:t xml:space="preserve">Hydrocarbons such as HC-290 are thermodynamically more efficient than R-404A but their use is a challenge in this application due to their flammability.  To meet this challenge, </w:t>
      </w:r>
      <w:r w:rsidRPr="00F867D0">
        <w:t xml:space="preserve">systems are being designed to be shock and vibration resistant and tightness in operation is part of the specification by customers. The flammability concerns remain in service and maintenance. </w:t>
      </w:r>
    </w:p>
    <w:p w14:paraId="7D8153E4" w14:textId="77777777" w:rsidR="00032579" w:rsidRPr="00F867D0" w:rsidRDefault="00032579" w:rsidP="00A663AA">
      <w:pPr>
        <w:spacing w:after="0"/>
        <w:rPr>
          <w:rFonts w:eastAsia="Calibri"/>
          <w:color w:val="auto"/>
          <w:szCs w:val="22"/>
          <w:lang w:eastAsia="en-US"/>
        </w:rPr>
      </w:pPr>
    </w:p>
    <w:p w14:paraId="53E157B6" w14:textId="740B633B" w:rsidR="00A663AA" w:rsidRPr="00F867D0" w:rsidRDefault="00A663AA" w:rsidP="00A663AA">
      <w:pPr>
        <w:spacing w:after="0"/>
        <w:rPr>
          <w:rFonts w:eastAsia="Calibri"/>
          <w:color w:val="auto"/>
          <w:szCs w:val="22"/>
          <w:lang w:eastAsia="en-US"/>
        </w:rPr>
      </w:pPr>
      <w:r w:rsidRPr="00F867D0">
        <w:rPr>
          <w:rFonts w:eastAsia="Calibri"/>
          <w:color w:val="auto"/>
          <w:szCs w:val="22"/>
          <w:lang w:eastAsia="en-US"/>
        </w:rPr>
        <w:t xml:space="preserve">Since the equipment </w:t>
      </w:r>
      <w:r w:rsidR="00032579" w:rsidRPr="00F867D0">
        <w:rPr>
          <w:rFonts w:eastAsia="Calibri"/>
          <w:color w:val="auto"/>
          <w:szCs w:val="22"/>
          <w:lang w:eastAsia="en-US"/>
        </w:rPr>
        <w:t xml:space="preserve">operate in </w:t>
      </w:r>
      <w:r w:rsidRPr="00F867D0">
        <w:rPr>
          <w:rFonts w:eastAsia="Calibri"/>
          <w:color w:val="auto"/>
          <w:szCs w:val="22"/>
          <w:lang w:eastAsia="en-US"/>
        </w:rPr>
        <w:t>highly var</w:t>
      </w:r>
      <w:r w:rsidR="00032579" w:rsidRPr="00F867D0">
        <w:rPr>
          <w:rFonts w:eastAsia="Calibri"/>
          <w:color w:val="auto"/>
          <w:szCs w:val="22"/>
          <w:lang w:eastAsia="en-US"/>
        </w:rPr>
        <w:t>ied</w:t>
      </w:r>
      <w:r w:rsidRPr="00F867D0">
        <w:rPr>
          <w:rFonts w:eastAsia="Calibri"/>
          <w:color w:val="auto"/>
          <w:szCs w:val="22"/>
          <w:lang w:eastAsia="en-US"/>
        </w:rPr>
        <w:t xml:space="preserve"> outdoor ambient conditions year</w:t>
      </w:r>
      <w:r w:rsidR="006161BF">
        <w:rPr>
          <w:rFonts w:eastAsia="Calibri"/>
          <w:color w:val="auto"/>
          <w:szCs w:val="22"/>
          <w:lang w:eastAsia="en-US"/>
        </w:rPr>
        <w:t>-</w:t>
      </w:r>
      <w:r w:rsidRPr="00F867D0">
        <w:rPr>
          <w:rFonts w:eastAsia="Calibri"/>
          <w:color w:val="auto"/>
          <w:szCs w:val="22"/>
          <w:lang w:eastAsia="en-US"/>
        </w:rPr>
        <w:t>round, equipment with basic cycle R-744 will operate in the transcritical mode. Nevertheless, R-744 systems may have lower TEWI or LCCP than other options, as recently reported in the literature</w:t>
      </w:r>
      <w:r w:rsidR="00A13899" w:rsidRPr="00F867D0">
        <w:rPr>
          <w:rFonts w:eastAsia="Calibri"/>
          <w:color w:val="auto"/>
          <w:szCs w:val="22"/>
          <w:lang w:eastAsia="en-US"/>
        </w:rPr>
        <w:t xml:space="preserve"> [Finckh et al., 2016]</w:t>
      </w:r>
      <w:r w:rsidRPr="00F867D0">
        <w:rPr>
          <w:rFonts w:eastAsia="Calibri"/>
          <w:color w:val="auto"/>
          <w:szCs w:val="22"/>
          <w:lang w:eastAsia="en-US"/>
        </w:rPr>
        <w:t xml:space="preserve">.  </w:t>
      </w:r>
    </w:p>
    <w:p w14:paraId="06EEBAF6" w14:textId="77777777" w:rsidR="00A663AA" w:rsidRPr="00F867D0" w:rsidRDefault="00A663AA" w:rsidP="00A663AA">
      <w:pPr>
        <w:spacing w:after="0"/>
        <w:rPr>
          <w:rFonts w:eastAsia="Calibri"/>
          <w:color w:val="auto"/>
          <w:szCs w:val="22"/>
          <w:lang w:eastAsia="en-US"/>
        </w:rPr>
      </w:pPr>
    </w:p>
    <w:p w14:paraId="0F871AAE" w14:textId="7E2E7A08" w:rsidR="00A663AA" w:rsidRDefault="00A663AA" w:rsidP="00A663AA">
      <w:pPr>
        <w:spacing w:after="0"/>
        <w:rPr>
          <w:rFonts w:eastAsia="Calibri"/>
          <w:b/>
          <w:i/>
          <w:color w:val="auto"/>
          <w:szCs w:val="22"/>
          <w:lang w:eastAsia="en-US"/>
        </w:rPr>
      </w:pPr>
      <w:r w:rsidRPr="00C1590C">
        <w:rPr>
          <w:rFonts w:eastAsia="Calibri"/>
          <w:b/>
          <w:i/>
          <w:color w:val="auto"/>
          <w:szCs w:val="22"/>
          <w:lang w:eastAsia="en-US"/>
        </w:rPr>
        <w:t xml:space="preserve">Container Refrigeration </w:t>
      </w:r>
    </w:p>
    <w:p w14:paraId="580C8B2E" w14:textId="77777777" w:rsidR="00C1590C" w:rsidRPr="00C1590C" w:rsidRDefault="00C1590C" w:rsidP="00A663AA">
      <w:pPr>
        <w:spacing w:after="0"/>
        <w:rPr>
          <w:rFonts w:eastAsia="Calibri"/>
          <w:b/>
          <w:i/>
          <w:color w:val="auto"/>
          <w:szCs w:val="22"/>
          <w:lang w:eastAsia="en-US"/>
        </w:rPr>
      </w:pPr>
    </w:p>
    <w:p w14:paraId="4D17383D" w14:textId="69742E41" w:rsidR="00A663AA" w:rsidRDefault="00C1590C" w:rsidP="00A663AA">
      <w:pPr>
        <w:spacing w:after="0"/>
        <w:rPr>
          <w:rFonts w:eastAsia="Calibri"/>
          <w:b/>
          <w:color w:val="auto"/>
          <w:szCs w:val="22"/>
          <w:lang w:eastAsia="en-US"/>
        </w:rPr>
      </w:pPr>
      <w:r>
        <w:rPr>
          <w:rFonts w:eastAsia="Calibri"/>
          <w:b/>
          <w:color w:val="auto"/>
          <w:szCs w:val="22"/>
          <w:lang w:eastAsia="en-US"/>
        </w:rPr>
        <w:t>State of the art</w:t>
      </w:r>
    </w:p>
    <w:p w14:paraId="291F6941" w14:textId="77777777" w:rsidR="00C1590C" w:rsidRPr="00F867D0" w:rsidRDefault="00C1590C" w:rsidP="00A663AA">
      <w:pPr>
        <w:spacing w:after="0"/>
        <w:rPr>
          <w:rFonts w:eastAsia="Calibri"/>
          <w:b/>
          <w:color w:val="auto"/>
          <w:szCs w:val="22"/>
          <w:lang w:eastAsia="en-US"/>
        </w:rPr>
      </w:pPr>
    </w:p>
    <w:p w14:paraId="0ED54A63" w14:textId="77777777" w:rsidR="00A663AA" w:rsidRPr="00F867D0" w:rsidRDefault="00A663AA" w:rsidP="00A663AA">
      <w:pPr>
        <w:spacing w:after="0"/>
        <w:rPr>
          <w:rFonts w:eastAsia="Calibri"/>
          <w:color w:val="auto"/>
          <w:szCs w:val="22"/>
          <w:lang w:eastAsia="en-US"/>
        </w:rPr>
      </w:pPr>
      <w:r w:rsidRPr="00F867D0">
        <w:rPr>
          <w:rFonts w:eastAsia="Calibri"/>
          <w:color w:val="auto"/>
          <w:szCs w:val="22"/>
          <w:lang w:eastAsia="en-US"/>
        </w:rPr>
        <w:t xml:space="preserve">Container refrigeration is similar to trailer refrigeration, except all containers are electric and require power from an external source to operate. While R-404A systems continue to be in production, HFC-134a dominates this application and R-513A seems to be the only feasible alternative for the time being. </w:t>
      </w:r>
    </w:p>
    <w:p w14:paraId="7AF2437F" w14:textId="77777777" w:rsidR="00032579" w:rsidRPr="00F867D0" w:rsidRDefault="00032579" w:rsidP="00A663AA">
      <w:pPr>
        <w:spacing w:after="0"/>
        <w:rPr>
          <w:rFonts w:eastAsia="Calibri"/>
          <w:b/>
          <w:color w:val="auto"/>
          <w:szCs w:val="22"/>
          <w:lang w:eastAsia="en-US"/>
        </w:rPr>
      </w:pPr>
    </w:p>
    <w:p w14:paraId="279383B8" w14:textId="3012A55D" w:rsidR="00A663AA" w:rsidRDefault="00C1590C" w:rsidP="00A663AA">
      <w:pPr>
        <w:spacing w:after="0"/>
        <w:rPr>
          <w:rFonts w:eastAsia="Calibri"/>
          <w:b/>
          <w:color w:val="auto"/>
          <w:szCs w:val="22"/>
          <w:lang w:eastAsia="en-US"/>
        </w:rPr>
      </w:pPr>
      <w:r>
        <w:rPr>
          <w:rFonts w:eastAsia="Calibri"/>
          <w:b/>
          <w:color w:val="auto"/>
          <w:szCs w:val="22"/>
          <w:lang w:eastAsia="en-US"/>
        </w:rPr>
        <w:t>Opportunities and challenges</w:t>
      </w:r>
    </w:p>
    <w:p w14:paraId="565EB42E" w14:textId="77777777" w:rsidR="00C1590C" w:rsidRPr="00F867D0" w:rsidRDefault="00C1590C" w:rsidP="00A663AA">
      <w:pPr>
        <w:spacing w:after="0"/>
        <w:rPr>
          <w:rFonts w:eastAsia="Calibri"/>
          <w:b/>
          <w:color w:val="auto"/>
          <w:szCs w:val="22"/>
          <w:lang w:eastAsia="en-US"/>
        </w:rPr>
      </w:pPr>
    </w:p>
    <w:p w14:paraId="6130F5D2" w14:textId="77777777" w:rsidR="00A663AA" w:rsidRPr="00F867D0" w:rsidRDefault="00A663AA" w:rsidP="00A663AA">
      <w:pPr>
        <w:spacing w:after="0"/>
        <w:rPr>
          <w:rFonts w:eastAsia="Calibri"/>
          <w:color w:val="auto"/>
          <w:szCs w:val="22"/>
          <w:lang w:eastAsia="en-US"/>
        </w:rPr>
      </w:pPr>
      <w:r w:rsidRPr="00F867D0">
        <w:rPr>
          <w:rFonts w:eastAsia="Calibri"/>
          <w:color w:val="auto"/>
          <w:szCs w:val="22"/>
          <w:lang w:eastAsia="en-US"/>
        </w:rPr>
        <w:t xml:space="preserve">In order to improve performance, several options are available, and these can be applied to all of the lower GWP replacement refrigerants.  Some of these are: </w:t>
      </w:r>
    </w:p>
    <w:p w14:paraId="2E535A2C" w14:textId="77777777" w:rsidR="00A663AA" w:rsidRPr="00F867D0" w:rsidRDefault="00A663AA" w:rsidP="00736989">
      <w:pPr>
        <w:numPr>
          <w:ilvl w:val="0"/>
          <w:numId w:val="84"/>
        </w:numPr>
        <w:spacing w:after="0" w:line="256" w:lineRule="auto"/>
        <w:contextualSpacing/>
        <w:rPr>
          <w:rFonts w:eastAsia="Calibri"/>
          <w:color w:val="auto"/>
          <w:szCs w:val="22"/>
          <w:lang w:eastAsia="en-US"/>
        </w:rPr>
      </w:pPr>
      <w:r w:rsidRPr="00F867D0">
        <w:rPr>
          <w:rFonts w:eastAsia="Calibri"/>
          <w:color w:val="auto"/>
          <w:szCs w:val="22"/>
          <w:lang w:eastAsia="en-US"/>
        </w:rPr>
        <w:t xml:space="preserve">Thermal load reduction through better insulation and minimizing parasitic heat gain; </w:t>
      </w:r>
    </w:p>
    <w:p w14:paraId="4EB71E81" w14:textId="77777777" w:rsidR="00A663AA" w:rsidRPr="00F867D0" w:rsidRDefault="00A663AA" w:rsidP="00736989">
      <w:pPr>
        <w:numPr>
          <w:ilvl w:val="0"/>
          <w:numId w:val="84"/>
        </w:numPr>
        <w:spacing w:after="0" w:line="256" w:lineRule="auto"/>
        <w:contextualSpacing/>
        <w:rPr>
          <w:rFonts w:eastAsia="Calibri"/>
          <w:color w:val="auto"/>
          <w:szCs w:val="22"/>
          <w:lang w:eastAsia="en-US"/>
        </w:rPr>
      </w:pPr>
      <w:r w:rsidRPr="00F867D0">
        <w:rPr>
          <w:rFonts w:eastAsia="Calibri"/>
          <w:color w:val="auto"/>
          <w:szCs w:val="22"/>
          <w:lang w:eastAsia="en-US"/>
        </w:rPr>
        <w:t>Higher efficiency fan motors, compressors;</w:t>
      </w:r>
    </w:p>
    <w:p w14:paraId="621A1081" w14:textId="77777777" w:rsidR="00A663AA" w:rsidRPr="00F867D0" w:rsidRDefault="00A663AA" w:rsidP="00736989">
      <w:pPr>
        <w:numPr>
          <w:ilvl w:val="0"/>
          <w:numId w:val="84"/>
        </w:numPr>
        <w:spacing w:after="0" w:line="256" w:lineRule="auto"/>
        <w:contextualSpacing/>
        <w:rPr>
          <w:rFonts w:eastAsia="Calibri"/>
          <w:color w:val="auto"/>
          <w:szCs w:val="22"/>
          <w:lang w:eastAsia="en-US"/>
        </w:rPr>
      </w:pPr>
      <w:r w:rsidRPr="00F867D0">
        <w:rPr>
          <w:rFonts w:eastAsia="Calibri"/>
          <w:color w:val="auto"/>
          <w:szCs w:val="22"/>
          <w:lang w:eastAsia="en-US"/>
        </w:rPr>
        <w:t xml:space="preserve">Control optimization, also through the use of variable speed for part load performance improvement of fans and compressors; </w:t>
      </w:r>
    </w:p>
    <w:p w14:paraId="1CF8164F" w14:textId="64A9FC9B" w:rsidR="00A663AA" w:rsidRPr="00F867D0" w:rsidRDefault="00A663AA" w:rsidP="00736989">
      <w:pPr>
        <w:numPr>
          <w:ilvl w:val="0"/>
          <w:numId w:val="84"/>
        </w:numPr>
        <w:spacing w:after="0" w:line="256" w:lineRule="auto"/>
        <w:contextualSpacing/>
        <w:rPr>
          <w:rFonts w:eastAsia="Calibri"/>
          <w:color w:val="auto"/>
          <w:szCs w:val="22"/>
          <w:lang w:eastAsia="en-US"/>
        </w:rPr>
      </w:pPr>
      <w:r w:rsidRPr="00F867D0">
        <w:rPr>
          <w:rFonts w:eastAsia="Calibri"/>
          <w:color w:val="auto"/>
          <w:szCs w:val="22"/>
          <w:lang w:eastAsia="en-US"/>
        </w:rPr>
        <w:t>The use of vapor injection sub</w:t>
      </w:r>
      <w:r w:rsidR="00032579" w:rsidRPr="00F867D0">
        <w:rPr>
          <w:rFonts w:eastAsia="Calibri"/>
          <w:color w:val="auto"/>
          <w:szCs w:val="22"/>
          <w:lang w:eastAsia="en-US"/>
        </w:rPr>
        <w:t>-</w:t>
      </w:r>
      <w:r w:rsidRPr="00F867D0">
        <w:rPr>
          <w:rFonts w:eastAsia="Calibri"/>
          <w:color w:val="auto"/>
          <w:szCs w:val="22"/>
          <w:lang w:eastAsia="en-US"/>
        </w:rPr>
        <w:t>cooling of liquid to the evaporator;</w:t>
      </w:r>
    </w:p>
    <w:p w14:paraId="747C8852" w14:textId="77777777" w:rsidR="00A663AA" w:rsidRPr="00F867D0" w:rsidRDefault="00A663AA" w:rsidP="00736989">
      <w:pPr>
        <w:numPr>
          <w:ilvl w:val="0"/>
          <w:numId w:val="84"/>
        </w:numPr>
        <w:spacing w:after="0" w:line="256" w:lineRule="auto"/>
        <w:contextualSpacing/>
        <w:rPr>
          <w:rFonts w:eastAsia="Calibri"/>
          <w:color w:val="auto"/>
          <w:szCs w:val="22"/>
          <w:lang w:eastAsia="en-US"/>
        </w:rPr>
      </w:pPr>
      <w:r w:rsidRPr="00F867D0">
        <w:rPr>
          <w:rFonts w:eastAsia="Calibri"/>
          <w:color w:val="auto"/>
          <w:szCs w:val="22"/>
          <w:lang w:eastAsia="en-US"/>
        </w:rPr>
        <w:t>“floating” the condenser temperature down with the ambient especially when used with electronic controls and valves;</w:t>
      </w:r>
    </w:p>
    <w:p w14:paraId="6886B7C2" w14:textId="77777777" w:rsidR="00A663AA" w:rsidRPr="00F867D0" w:rsidRDefault="00A663AA" w:rsidP="00736989">
      <w:pPr>
        <w:numPr>
          <w:ilvl w:val="0"/>
          <w:numId w:val="84"/>
        </w:numPr>
        <w:spacing w:after="0" w:line="256" w:lineRule="auto"/>
        <w:contextualSpacing/>
        <w:rPr>
          <w:rFonts w:eastAsia="Calibri"/>
          <w:color w:val="auto"/>
          <w:szCs w:val="22"/>
          <w:lang w:eastAsia="en-US"/>
        </w:rPr>
      </w:pPr>
      <w:r w:rsidRPr="00F867D0">
        <w:rPr>
          <w:rFonts w:eastAsia="Calibri"/>
          <w:color w:val="auto"/>
          <w:szCs w:val="22"/>
          <w:lang w:eastAsia="en-US"/>
        </w:rPr>
        <w:t xml:space="preserve">Larger and/or more efficient heat exchangers </w:t>
      </w:r>
      <w:r w:rsidRPr="00F867D0">
        <w:rPr>
          <w:szCs w:val="22"/>
        </w:rPr>
        <w:t>(</w:t>
      </w:r>
      <w:r w:rsidRPr="00F867D0">
        <w:rPr>
          <w:rFonts w:eastAsia="Calibri"/>
          <w:color w:val="auto"/>
          <w:szCs w:val="22"/>
          <w:lang w:eastAsia="en-US"/>
        </w:rPr>
        <w:t xml:space="preserve">flow </w:t>
      </w:r>
      <w:r w:rsidRPr="00F867D0">
        <w:rPr>
          <w:szCs w:val="22"/>
        </w:rPr>
        <w:t>arrangements, fluid path, fin designs, etc.)</w:t>
      </w:r>
      <w:r w:rsidRPr="00F867D0">
        <w:rPr>
          <w:rFonts w:eastAsia="Calibri"/>
          <w:color w:val="auto"/>
          <w:szCs w:val="22"/>
          <w:lang w:eastAsia="en-US"/>
        </w:rPr>
        <w:t xml:space="preserve"> for evaporators and more importantly for condensers.</w:t>
      </w:r>
    </w:p>
    <w:p w14:paraId="134484FE" w14:textId="77777777" w:rsidR="00A663AA" w:rsidRPr="00F867D0" w:rsidRDefault="00A663AA" w:rsidP="00A663AA">
      <w:pPr>
        <w:spacing w:after="0"/>
        <w:rPr>
          <w:rFonts w:eastAsia="Calibri"/>
          <w:color w:val="auto"/>
          <w:szCs w:val="22"/>
          <w:lang w:eastAsia="en-US"/>
        </w:rPr>
      </w:pPr>
    </w:p>
    <w:p w14:paraId="46AEACE2" w14:textId="77777777" w:rsidR="00A663AA" w:rsidRPr="00F867D0" w:rsidRDefault="00A663AA" w:rsidP="00A663AA">
      <w:pPr>
        <w:spacing w:after="0"/>
        <w:rPr>
          <w:rFonts w:eastAsia="Calibri"/>
          <w:color w:val="auto"/>
          <w:szCs w:val="22"/>
          <w:lang w:eastAsia="en-US"/>
        </w:rPr>
      </w:pPr>
      <w:r w:rsidRPr="00F867D0">
        <w:rPr>
          <w:rFonts w:eastAsia="Calibri"/>
          <w:color w:val="auto"/>
          <w:szCs w:val="22"/>
          <w:lang w:eastAsia="en-US"/>
        </w:rPr>
        <w:t xml:space="preserve">These efficiency improvement methods are also available for the all transport applications such as truck, trailer, container and ship refrigeration as well as rail air conditioning.  </w:t>
      </w:r>
    </w:p>
    <w:p w14:paraId="3509987B" w14:textId="73EAD71A" w:rsidR="00A663AA" w:rsidRPr="00F867D0" w:rsidRDefault="00A663AA" w:rsidP="00A663AA">
      <w:pPr>
        <w:spacing w:after="0"/>
      </w:pPr>
      <w:r w:rsidRPr="00F867D0">
        <w:rPr>
          <w:rFonts w:eastAsia="Calibri"/>
          <w:color w:val="auto"/>
          <w:szCs w:val="22"/>
          <w:lang w:eastAsia="en-US"/>
        </w:rPr>
        <w:t xml:space="preserve">In the case of transcritical R-744 systems, the use of ejectors as a method to improve </w:t>
      </w:r>
      <w:r w:rsidR="003C37C3">
        <w:rPr>
          <w:rFonts w:eastAsia="Calibri"/>
          <w:color w:val="auto"/>
          <w:szCs w:val="22"/>
          <w:lang w:eastAsia="en-US"/>
        </w:rPr>
        <w:t>EE</w:t>
      </w:r>
      <w:r w:rsidRPr="00F867D0">
        <w:rPr>
          <w:rFonts w:eastAsia="Calibri"/>
          <w:color w:val="auto"/>
          <w:szCs w:val="22"/>
          <w:lang w:eastAsia="en-US"/>
        </w:rPr>
        <w:t xml:space="preserve"> is growing.  But in all these instances, higher efficiency is traded off for greater equipment cost and complexity, which leads to better and increased training needs for installers and maintenance technicians.  </w:t>
      </w:r>
    </w:p>
    <w:p w14:paraId="4C2B64F3" w14:textId="77777777" w:rsidR="00A663AA" w:rsidRPr="000F749F" w:rsidRDefault="00A663AA" w:rsidP="000F749F">
      <w:pPr>
        <w:pStyle w:val="Heading2"/>
        <w:rPr>
          <w:b w:val="0"/>
        </w:rPr>
      </w:pPr>
      <w:bookmarkStart w:id="131" w:name="_Toc515454410"/>
      <w:r w:rsidRPr="000F749F">
        <w:t>A.5</w:t>
      </w:r>
      <w:r w:rsidRPr="000F749F">
        <w:tab/>
        <w:t>HAT considerations</w:t>
      </w:r>
      <w:bookmarkEnd w:id="131"/>
    </w:p>
    <w:p w14:paraId="37CC95F2" w14:textId="77777777" w:rsidR="00A663AA" w:rsidRPr="00F867D0" w:rsidRDefault="00A663AA" w:rsidP="00A663AA">
      <w:pPr>
        <w:spacing w:after="0"/>
        <w:rPr>
          <w:bCs/>
          <w:szCs w:val="22"/>
        </w:rPr>
      </w:pPr>
      <w:r w:rsidRPr="00F867D0">
        <w:rPr>
          <w:bCs/>
          <w:szCs w:val="22"/>
        </w:rPr>
        <w:t>In addition to the overall refrigerant and system challenges there are more specific challenges for the different subsectors as shown below:</w:t>
      </w:r>
    </w:p>
    <w:p w14:paraId="3EA12C52" w14:textId="77777777" w:rsidR="00A663AA" w:rsidRPr="00F867D0" w:rsidRDefault="00A663AA" w:rsidP="00A663AA">
      <w:pPr>
        <w:spacing w:after="0"/>
        <w:rPr>
          <w:bCs/>
          <w:szCs w:val="22"/>
        </w:rPr>
      </w:pPr>
    </w:p>
    <w:p w14:paraId="482E2399" w14:textId="256C8D8F" w:rsidR="00A663AA" w:rsidRPr="00F867D0" w:rsidRDefault="00A663AA" w:rsidP="00A663AA">
      <w:pPr>
        <w:spacing w:after="0"/>
        <w:rPr>
          <w:bCs/>
          <w:szCs w:val="22"/>
        </w:rPr>
      </w:pPr>
      <w:r w:rsidRPr="00C1590C">
        <w:rPr>
          <w:b/>
          <w:bCs/>
          <w:i/>
          <w:szCs w:val="22"/>
          <w:u w:val="single"/>
        </w:rPr>
        <w:t>Commercial refrigeration</w:t>
      </w:r>
      <w:r w:rsidRPr="00F867D0">
        <w:rPr>
          <w:bCs/>
          <w:szCs w:val="22"/>
        </w:rPr>
        <w:t xml:space="preserve"> technologies vary from self-contained single vending machine to central refrigeration system. In developing countries, small self-contained units are more common. However, rising standard of living and globalization led to larger supermarket facilities with large central refrigeration systems. Such systems have significant refrigerant charge (in the order of 1</w:t>
      </w:r>
      <w:r w:rsidR="00984B20">
        <w:rPr>
          <w:bCs/>
          <w:szCs w:val="22"/>
        </w:rPr>
        <w:t>000</w:t>
      </w:r>
      <w:r w:rsidRPr="00F867D0">
        <w:rPr>
          <w:bCs/>
          <w:szCs w:val="22"/>
        </w:rPr>
        <w:t xml:space="preserve"> </w:t>
      </w:r>
      <w:r w:rsidR="00984B20">
        <w:rPr>
          <w:bCs/>
          <w:szCs w:val="22"/>
        </w:rPr>
        <w:t>kg</w:t>
      </w:r>
      <w:r w:rsidR="00984B20" w:rsidRPr="00F867D0">
        <w:rPr>
          <w:bCs/>
          <w:szCs w:val="22"/>
        </w:rPr>
        <w:t xml:space="preserve"> </w:t>
      </w:r>
      <w:r w:rsidRPr="00F867D0">
        <w:rPr>
          <w:bCs/>
          <w:szCs w:val="22"/>
        </w:rPr>
        <w:t>of refrigerant per supermarket). As such, energy efficient solutions will have to be tailored to the specific end-use with additional restriction on the refrigerant of choice. For example, propane or isobutane can be used to design higher efficiency self-contained units while a non-flammable higher efficiency refrigerant such as R-448A and R-449A would be required for central refrigeration plants. Finally, while transcritical CO</w:t>
      </w:r>
      <w:r w:rsidRPr="00F867D0">
        <w:rPr>
          <w:bCs/>
          <w:szCs w:val="22"/>
          <w:vertAlign w:val="subscript"/>
        </w:rPr>
        <w:t>2</w:t>
      </w:r>
      <w:r w:rsidRPr="00F867D0">
        <w:rPr>
          <w:bCs/>
          <w:szCs w:val="22"/>
        </w:rPr>
        <w:t xml:space="preserve"> is gaining popularity in more temperate climates as a refrigerant of choice due to the potential energy savings, its use in warm and hot climate is still under investigation. One of the major challenges with operating a CO</w:t>
      </w:r>
      <w:r w:rsidRPr="00F867D0">
        <w:rPr>
          <w:bCs/>
          <w:szCs w:val="22"/>
          <w:vertAlign w:val="subscript"/>
        </w:rPr>
        <w:t>2</w:t>
      </w:r>
      <w:r w:rsidRPr="00F867D0">
        <w:rPr>
          <w:bCs/>
          <w:szCs w:val="22"/>
        </w:rPr>
        <w:t xml:space="preserve"> refrigeration system in HAT condition is the supercritical operation. In order to ensure high efficiency, appropriate expansion work recovery technology should be used such as ejector or expander technology. A new demonstration facility just opened in Amman, Jordan to test the validity of CO</w:t>
      </w:r>
      <w:r w:rsidRPr="00F867D0">
        <w:rPr>
          <w:bCs/>
          <w:szCs w:val="22"/>
          <w:vertAlign w:val="subscript"/>
        </w:rPr>
        <w:t>2</w:t>
      </w:r>
      <w:r w:rsidRPr="00F867D0">
        <w:rPr>
          <w:bCs/>
          <w:szCs w:val="22"/>
        </w:rPr>
        <w:t xml:space="preserve"> in HAT climates </w:t>
      </w:r>
      <w:r w:rsidR="00A13899" w:rsidRPr="00F867D0">
        <w:rPr>
          <w:bCs/>
          <w:szCs w:val="22"/>
        </w:rPr>
        <w:t>[</w:t>
      </w:r>
      <w:r w:rsidRPr="00F867D0">
        <w:rPr>
          <w:bCs/>
          <w:szCs w:val="22"/>
        </w:rPr>
        <w:t>Jordan</w:t>
      </w:r>
      <w:r w:rsidR="00A13899" w:rsidRPr="00F867D0">
        <w:rPr>
          <w:bCs/>
          <w:szCs w:val="22"/>
        </w:rPr>
        <w:t xml:space="preserve"> Times,</w:t>
      </w:r>
      <w:r w:rsidRPr="00F867D0">
        <w:rPr>
          <w:bCs/>
          <w:szCs w:val="22"/>
        </w:rPr>
        <w:t xml:space="preserve"> 2018</w:t>
      </w:r>
      <w:r w:rsidR="00A13899" w:rsidRPr="00F867D0">
        <w:rPr>
          <w:bCs/>
          <w:szCs w:val="22"/>
        </w:rPr>
        <w:t>]</w:t>
      </w:r>
      <w:r w:rsidRPr="00F867D0">
        <w:rPr>
          <w:bCs/>
          <w:szCs w:val="22"/>
        </w:rPr>
        <w:t xml:space="preserve">. </w:t>
      </w:r>
    </w:p>
    <w:p w14:paraId="51311015" w14:textId="77777777" w:rsidR="009F09A9" w:rsidRPr="00F867D0" w:rsidRDefault="009F09A9" w:rsidP="00A663AA">
      <w:pPr>
        <w:spacing w:after="0"/>
        <w:rPr>
          <w:bCs/>
          <w:szCs w:val="22"/>
        </w:rPr>
      </w:pPr>
    </w:p>
    <w:p w14:paraId="2D188E4F" w14:textId="5D40F540" w:rsidR="00A663AA" w:rsidRPr="00F867D0" w:rsidRDefault="00A663AA" w:rsidP="00A663AA">
      <w:pPr>
        <w:spacing w:after="0"/>
        <w:rPr>
          <w:bCs/>
          <w:szCs w:val="22"/>
        </w:rPr>
      </w:pPr>
      <w:r w:rsidRPr="00F867D0">
        <w:rPr>
          <w:bCs/>
          <w:szCs w:val="22"/>
        </w:rPr>
        <w:t xml:space="preserve">For the </w:t>
      </w:r>
      <w:r w:rsidRPr="00C1590C">
        <w:rPr>
          <w:b/>
          <w:bCs/>
          <w:i/>
          <w:szCs w:val="22"/>
          <w:u w:val="single"/>
        </w:rPr>
        <w:t>residential and commercial AC</w:t>
      </w:r>
      <w:r w:rsidRPr="00F867D0">
        <w:rPr>
          <w:bCs/>
          <w:szCs w:val="22"/>
        </w:rPr>
        <w:t xml:space="preserve">, the main technical challenge of </w:t>
      </w:r>
      <w:r w:rsidR="003C37C3">
        <w:rPr>
          <w:bCs/>
          <w:szCs w:val="22"/>
        </w:rPr>
        <w:t>EE</w:t>
      </w:r>
      <w:r w:rsidRPr="00F867D0">
        <w:rPr>
          <w:bCs/>
          <w:szCs w:val="22"/>
        </w:rPr>
        <w:t xml:space="preserve"> in HAT climates is the charge limitations to achieve higher </w:t>
      </w:r>
      <w:r w:rsidR="003C37C3">
        <w:rPr>
          <w:bCs/>
          <w:szCs w:val="22"/>
        </w:rPr>
        <w:t>EE</w:t>
      </w:r>
      <w:r w:rsidRPr="00F867D0">
        <w:rPr>
          <w:bCs/>
          <w:szCs w:val="22"/>
        </w:rPr>
        <w:t xml:space="preserve"> levels, disseminating the knowledge regarding the safe use of alternative low</w:t>
      </w:r>
      <w:r w:rsidR="00032579" w:rsidRPr="00F867D0">
        <w:rPr>
          <w:bCs/>
          <w:szCs w:val="22"/>
        </w:rPr>
        <w:t>-</w:t>
      </w:r>
      <w:r w:rsidRPr="00F867D0">
        <w:rPr>
          <w:bCs/>
          <w:szCs w:val="22"/>
        </w:rPr>
        <w:t>GWP</w:t>
      </w:r>
      <w:r w:rsidR="00032579" w:rsidRPr="00F867D0">
        <w:rPr>
          <w:bCs/>
          <w:szCs w:val="22"/>
        </w:rPr>
        <w:t xml:space="preserve">, flammable </w:t>
      </w:r>
      <w:r w:rsidRPr="00F867D0">
        <w:rPr>
          <w:bCs/>
          <w:szCs w:val="22"/>
        </w:rPr>
        <w:t xml:space="preserve">refrigerants along with demonstrating the feasibility of most relevant </w:t>
      </w:r>
      <w:r w:rsidR="003C37C3">
        <w:rPr>
          <w:bCs/>
          <w:szCs w:val="22"/>
        </w:rPr>
        <w:t>EE</w:t>
      </w:r>
      <w:r w:rsidRPr="00F867D0">
        <w:rPr>
          <w:bCs/>
          <w:szCs w:val="22"/>
        </w:rPr>
        <w:t xml:space="preserve"> upgrades such as variable capacity compressors, MCHX, and electronic expansion valves. </w:t>
      </w:r>
    </w:p>
    <w:p w14:paraId="472C8195" w14:textId="77777777" w:rsidR="009F09A9" w:rsidRPr="00F867D0" w:rsidRDefault="009F09A9" w:rsidP="00A663AA">
      <w:pPr>
        <w:spacing w:after="0"/>
        <w:rPr>
          <w:bCs/>
          <w:szCs w:val="22"/>
        </w:rPr>
      </w:pPr>
    </w:p>
    <w:p w14:paraId="22182B7E" w14:textId="7BD7359F" w:rsidR="00A663AA" w:rsidRPr="00F867D0" w:rsidRDefault="00A663AA" w:rsidP="00A663AA">
      <w:pPr>
        <w:spacing w:after="0"/>
        <w:rPr>
          <w:bCs/>
          <w:szCs w:val="22"/>
        </w:rPr>
      </w:pPr>
      <w:r w:rsidRPr="00F867D0">
        <w:rPr>
          <w:bCs/>
          <w:szCs w:val="22"/>
        </w:rPr>
        <w:t xml:space="preserve">The </w:t>
      </w:r>
      <w:r w:rsidR="00C1590C">
        <w:rPr>
          <w:b/>
          <w:bCs/>
          <w:i/>
          <w:szCs w:val="22"/>
          <w:u w:val="single"/>
        </w:rPr>
        <w:t>M</w:t>
      </w:r>
      <w:r w:rsidRPr="00C1590C">
        <w:rPr>
          <w:b/>
          <w:bCs/>
          <w:i/>
          <w:szCs w:val="22"/>
          <w:u w:val="single"/>
        </w:rPr>
        <w:t>AC</w:t>
      </w:r>
      <w:r w:rsidRPr="00F867D0">
        <w:rPr>
          <w:bCs/>
          <w:szCs w:val="22"/>
        </w:rPr>
        <w:t xml:space="preserve"> subsector imposes additional challenges due to the expected higher condensing temperatures, additional integration concern with respect to cabin comfort and power-train, and safety concerns.  On the other hand, transport refrigeration has the additional challenge of using a belt-driven compressor run by the on-board dedicated diesel engine </w:t>
      </w:r>
      <w:r w:rsidR="00A13899" w:rsidRPr="00F867D0">
        <w:rPr>
          <w:bCs/>
          <w:szCs w:val="22"/>
        </w:rPr>
        <w:t>[Brecht et al., 2016]</w:t>
      </w:r>
      <w:r w:rsidRPr="00F867D0">
        <w:rPr>
          <w:bCs/>
          <w:szCs w:val="22"/>
        </w:rPr>
        <w:t>. These compressors require significant development cycle and are largely optimi</w:t>
      </w:r>
      <w:r w:rsidR="00A33EB1">
        <w:rPr>
          <w:bCs/>
          <w:szCs w:val="22"/>
        </w:rPr>
        <w:t>s</w:t>
      </w:r>
      <w:r w:rsidRPr="00F867D0">
        <w:rPr>
          <w:bCs/>
          <w:szCs w:val="22"/>
        </w:rPr>
        <w:t>ed for the larger market sector – not the smaller HAT conditions.</w:t>
      </w:r>
    </w:p>
    <w:p w14:paraId="04EA4CB1" w14:textId="77777777" w:rsidR="00206987" w:rsidRPr="00F867D0" w:rsidRDefault="00206987" w:rsidP="00206987">
      <w:pPr>
        <w:spacing w:after="0"/>
      </w:pPr>
    </w:p>
    <w:p w14:paraId="4B578210" w14:textId="20B92B77" w:rsidR="00206987" w:rsidRPr="00F867D0" w:rsidRDefault="00206987" w:rsidP="00386CD4">
      <w:pPr>
        <w:spacing w:after="0"/>
        <w:rPr>
          <w:b/>
        </w:rPr>
      </w:pPr>
    </w:p>
    <w:p w14:paraId="7AC52D3F" w14:textId="07E6AE63" w:rsidR="00206987" w:rsidRPr="00F867D0" w:rsidRDefault="00206987" w:rsidP="00386CD4">
      <w:pPr>
        <w:spacing w:after="0"/>
        <w:rPr>
          <w:b/>
        </w:rPr>
      </w:pPr>
    </w:p>
    <w:p w14:paraId="37BCB10E" w14:textId="2A5EB0B8" w:rsidR="00206987" w:rsidRPr="00F867D0" w:rsidRDefault="00206987" w:rsidP="00386CD4">
      <w:pPr>
        <w:spacing w:after="0"/>
        <w:rPr>
          <w:b/>
        </w:rPr>
      </w:pPr>
    </w:p>
    <w:p w14:paraId="0DAE3BF1" w14:textId="7C1C4DDA" w:rsidR="00206987" w:rsidRPr="00F867D0" w:rsidRDefault="00206987" w:rsidP="00386CD4">
      <w:pPr>
        <w:spacing w:after="0"/>
        <w:rPr>
          <w:b/>
        </w:rPr>
      </w:pPr>
    </w:p>
    <w:p w14:paraId="64E39363" w14:textId="2F380D5A" w:rsidR="00206987" w:rsidRPr="00F867D0" w:rsidRDefault="00206987" w:rsidP="00386CD4">
      <w:pPr>
        <w:spacing w:after="0"/>
        <w:rPr>
          <w:b/>
        </w:rPr>
      </w:pPr>
    </w:p>
    <w:p w14:paraId="1464FAB5" w14:textId="7FC616E3" w:rsidR="00206987" w:rsidRPr="00F867D0" w:rsidRDefault="00206987" w:rsidP="00386CD4">
      <w:pPr>
        <w:spacing w:after="0"/>
        <w:rPr>
          <w:b/>
        </w:rPr>
      </w:pPr>
    </w:p>
    <w:p w14:paraId="6D68F122" w14:textId="642E2784" w:rsidR="00206987" w:rsidRPr="00F867D0" w:rsidRDefault="00206987" w:rsidP="00386CD4">
      <w:pPr>
        <w:spacing w:after="0"/>
        <w:rPr>
          <w:b/>
        </w:rPr>
      </w:pPr>
    </w:p>
    <w:p w14:paraId="59AED3FC" w14:textId="53C7A0CE" w:rsidR="005251A7" w:rsidRPr="00F867D0" w:rsidRDefault="005251A7">
      <w:pPr>
        <w:spacing w:after="0"/>
        <w:rPr>
          <w:b/>
        </w:rPr>
      </w:pPr>
      <w:r w:rsidRPr="00F867D0">
        <w:rPr>
          <w:b/>
        </w:rPr>
        <w:br w:type="page"/>
      </w:r>
    </w:p>
    <w:p w14:paraId="611FA795" w14:textId="77777777" w:rsidR="00A00EEF" w:rsidRPr="000F749F" w:rsidRDefault="00A00EEF" w:rsidP="000F749F">
      <w:pPr>
        <w:pStyle w:val="Heading1"/>
        <w:jc w:val="center"/>
        <w:rPr>
          <w:rStyle w:val="Heading1Char2"/>
          <w:rFonts w:ascii="Times New Roman" w:hAnsi="Times New Roman"/>
        </w:rPr>
      </w:pPr>
      <w:bookmarkStart w:id="132" w:name="_Toc515449111"/>
      <w:bookmarkStart w:id="133" w:name="_Toc515454411"/>
      <w:r w:rsidRPr="000F749F">
        <w:rPr>
          <w:rStyle w:val="Heading1Char2"/>
          <w:rFonts w:ascii="Times New Roman" w:hAnsi="Times New Roman"/>
        </w:rPr>
        <w:t>ANNEX B</w:t>
      </w:r>
      <w:bookmarkEnd w:id="132"/>
      <w:bookmarkEnd w:id="133"/>
    </w:p>
    <w:p w14:paraId="2C70E6FD" w14:textId="5054BFB1" w:rsidR="00206987" w:rsidRPr="000F749F" w:rsidRDefault="00C1590C" w:rsidP="000F749F">
      <w:pPr>
        <w:pStyle w:val="Heading1"/>
        <w:jc w:val="center"/>
        <w:rPr>
          <w:rStyle w:val="Heading1Char2"/>
          <w:rFonts w:ascii="Times New Roman" w:hAnsi="Times New Roman"/>
        </w:rPr>
      </w:pPr>
      <w:bookmarkStart w:id="134" w:name="_Toc515454412"/>
      <w:r w:rsidRPr="000F749F">
        <w:rPr>
          <w:rStyle w:val="Heading1Char2"/>
          <w:rFonts w:ascii="Times New Roman" w:hAnsi="Times New Roman"/>
        </w:rPr>
        <w:t xml:space="preserve">Examples of </w:t>
      </w:r>
      <w:r w:rsidR="00A00EEF" w:rsidRPr="000F749F">
        <w:rPr>
          <w:rStyle w:val="Heading1Char2"/>
          <w:rFonts w:ascii="Times New Roman" w:hAnsi="Times New Roman"/>
        </w:rPr>
        <w:t>projects</w:t>
      </w:r>
      <w:bookmarkEnd w:id="134"/>
    </w:p>
    <w:p w14:paraId="2EFCC968" w14:textId="7AB6048B" w:rsidR="00A00EEF" w:rsidRPr="00F867D0" w:rsidRDefault="00A00EEF" w:rsidP="00386CD4">
      <w:pPr>
        <w:spacing w:after="0"/>
        <w:rPr>
          <w:b/>
        </w:rPr>
      </w:pPr>
    </w:p>
    <w:p w14:paraId="3436A3CB" w14:textId="606DC95E" w:rsidR="00C90BD0" w:rsidRPr="000F749F" w:rsidRDefault="00A00EEF" w:rsidP="000F749F">
      <w:pPr>
        <w:pStyle w:val="Heading2"/>
      </w:pPr>
      <w:bookmarkStart w:id="135" w:name="_Toc515454413"/>
      <w:r w:rsidRPr="000F749F">
        <w:t>B.1</w:t>
      </w:r>
      <w:r w:rsidRPr="000F749F">
        <w:tab/>
        <w:t>GEF</w:t>
      </w:r>
      <w:r w:rsidR="0043635A" w:rsidRPr="000F749F">
        <w:t xml:space="preserve"> Project/Programme Title</w:t>
      </w:r>
      <w:r w:rsidRPr="000F749F">
        <w:t>:</w:t>
      </w:r>
      <w:r w:rsidR="00C90BD0" w:rsidRPr="000F749F">
        <w:t xml:space="preserve"> </w:t>
      </w:r>
      <w:r w:rsidR="0043635A" w:rsidRPr="000F749F">
        <w:t>De-risking and scaling-up investment in energy efficient building retrofits in Armenia</w:t>
      </w:r>
      <w:bookmarkEnd w:id="135"/>
      <w:r w:rsidR="0043635A" w:rsidRPr="000F749F">
        <w:t xml:space="preserve"> </w:t>
      </w:r>
    </w:p>
    <w:p w14:paraId="12DEDA5B" w14:textId="48B97C20" w:rsidR="00C90BD0" w:rsidRPr="00F867D0" w:rsidRDefault="00C90BD0" w:rsidP="00C90BD0">
      <w:pPr>
        <w:rPr>
          <w:szCs w:val="22"/>
          <w:lang w:eastAsia="en-US"/>
        </w:rPr>
      </w:pPr>
      <w:bookmarkStart w:id="136" w:name="_Hlk513825219"/>
      <w:r w:rsidRPr="00F867D0">
        <w:rPr>
          <w:b/>
          <w:szCs w:val="22"/>
          <w:lang w:eastAsia="en-US"/>
        </w:rPr>
        <w:t>Accredited entity</w:t>
      </w:r>
      <w:r w:rsidR="0043635A" w:rsidRPr="00F867D0">
        <w:rPr>
          <w:szCs w:val="22"/>
          <w:lang w:eastAsia="en-US"/>
        </w:rPr>
        <w:t>: UNDP</w:t>
      </w:r>
    </w:p>
    <w:p w14:paraId="353D41D6" w14:textId="5034C10C" w:rsidR="00C90BD0" w:rsidRPr="00F867D0" w:rsidRDefault="00C90BD0" w:rsidP="00C90BD0">
      <w:pPr>
        <w:rPr>
          <w:szCs w:val="22"/>
          <w:lang w:eastAsia="en-US"/>
        </w:rPr>
      </w:pPr>
      <w:r w:rsidRPr="00F867D0">
        <w:rPr>
          <w:b/>
          <w:szCs w:val="22"/>
          <w:lang w:eastAsia="en-US"/>
        </w:rPr>
        <w:t>Executing entity</w:t>
      </w:r>
      <w:r w:rsidRPr="00F867D0">
        <w:rPr>
          <w:szCs w:val="22"/>
          <w:lang w:eastAsia="en-US"/>
        </w:rPr>
        <w:t xml:space="preserve">: Ministry of Nature Protection  </w:t>
      </w:r>
    </w:p>
    <w:p w14:paraId="0A1373D4" w14:textId="77777777" w:rsidR="00C90BD0" w:rsidRPr="00F867D0" w:rsidRDefault="00C90BD0" w:rsidP="00C90BD0">
      <w:pPr>
        <w:rPr>
          <w:szCs w:val="22"/>
          <w:lang w:eastAsia="en-US"/>
        </w:rPr>
      </w:pPr>
      <w:r w:rsidRPr="00F867D0">
        <w:rPr>
          <w:b/>
          <w:szCs w:val="22"/>
          <w:lang w:eastAsia="en-US"/>
        </w:rPr>
        <w:t>Beneficiary</w:t>
      </w:r>
      <w:r w:rsidRPr="00F867D0">
        <w:rPr>
          <w:szCs w:val="22"/>
          <w:lang w:eastAsia="en-US"/>
        </w:rPr>
        <w:t>: Direct beneficiaries include -30,000 people living in single-family individual buildings and 52,200 in multi-family apartment buildings, including at least 6,000 members of women-headed households; and - 23,000 users of large public buildings and 105,000 users of small public buildings, including at least 90,000 women</w:t>
      </w:r>
    </w:p>
    <w:p w14:paraId="274F51A0" w14:textId="200D87D2" w:rsidR="00C90BD0" w:rsidRPr="00F867D0" w:rsidRDefault="00C90BD0" w:rsidP="00C90BD0">
      <w:pPr>
        <w:rPr>
          <w:szCs w:val="22"/>
          <w:lang w:eastAsia="en-US"/>
        </w:rPr>
      </w:pPr>
      <w:r w:rsidRPr="00F867D0">
        <w:rPr>
          <w:b/>
          <w:szCs w:val="22"/>
          <w:lang w:eastAsia="en-US"/>
        </w:rPr>
        <w:t>Project size category</w:t>
      </w:r>
      <w:r w:rsidRPr="00F867D0">
        <w:rPr>
          <w:szCs w:val="22"/>
          <w:lang w:eastAsia="en-US"/>
        </w:rPr>
        <w:t xml:space="preserve"> (Total investment, million USD): 29.820 USD Small (10&lt;x≤50) - The expected volume of finance to be leveraged by the proposed project as a result of the Fund’s financing is US$ 102.82 million. Of this, US$ 86 million will be from the EIB loan and private sector (from residents, once loans are repaid), and US$ 20 million will be public investment (from national and city governments, once loans are repaid) in </w:t>
      </w:r>
      <w:r w:rsidR="003C37C3">
        <w:rPr>
          <w:szCs w:val="22"/>
          <w:lang w:eastAsia="en-US"/>
        </w:rPr>
        <w:t>EE</w:t>
      </w:r>
      <w:r w:rsidRPr="00F867D0">
        <w:rPr>
          <w:szCs w:val="22"/>
          <w:lang w:eastAsia="en-US"/>
        </w:rPr>
        <w:t xml:space="preserve"> retrofits, representing a total leveraging ratio of 1:5.</w:t>
      </w:r>
    </w:p>
    <w:p w14:paraId="28FB3726" w14:textId="77777777" w:rsidR="00C90BD0" w:rsidRPr="00F867D0" w:rsidRDefault="00C90BD0" w:rsidP="00C90BD0">
      <w:pPr>
        <w:rPr>
          <w:szCs w:val="22"/>
          <w:lang w:eastAsia="en-US"/>
        </w:rPr>
      </w:pPr>
      <w:r w:rsidRPr="00F867D0">
        <w:rPr>
          <w:b/>
          <w:szCs w:val="22"/>
          <w:lang w:eastAsia="en-US"/>
        </w:rPr>
        <w:t>Estimated implementation timing</w:t>
      </w:r>
      <w:r w:rsidRPr="00F867D0">
        <w:rPr>
          <w:szCs w:val="22"/>
          <w:lang w:eastAsia="en-US"/>
        </w:rPr>
        <w:t>: 01/09/2016 - 31/08/2022</w:t>
      </w:r>
    </w:p>
    <w:p w14:paraId="487F8658" w14:textId="42204886" w:rsidR="00C90BD0" w:rsidRPr="00F867D0" w:rsidRDefault="00C90BD0" w:rsidP="00C90BD0">
      <w:pPr>
        <w:rPr>
          <w:szCs w:val="22"/>
          <w:lang w:eastAsia="en-US"/>
        </w:rPr>
      </w:pPr>
      <w:r w:rsidRPr="00F867D0">
        <w:rPr>
          <w:szCs w:val="22"/>
          <w:lang w:eastAsia="en-US"/>
        </w:rPr>
        <w:t xml:space="preserve">Improving </w:t>
      </w:r>
      <w:r w:rsidR="003C37C3">
        <w:rPr>
          <w:szCs w:val="22"/>
          <w:lang w:eastAsia="en-US"/>
        </w:rPr>
        <w:t>EE</w:t>
      </w:r>
      <w:r w:rsidRPr="00F867D0">
        <w:rPr>
          <w:szCs w:val="22"/>
          <w:lang w:eastAsia="en-US"/>
        </w:rPr>
        <w:t xml:space="preserve"> in buildings has been assigned the highest priority in Armenia’s housing, energy and climate strategies, including the country’s Intended Nationally Determined Contribution (INDC), its Third National Communication to the UNFCCC and its UNFCCC Technology Needs Assessment.  The project aims at creating a favourable market environment and scalable business model for investment in EE building retrofits in Armenia, leading to sizeable energy savings and GHG emission reductions (up to 5.8 million tCO</w:t>
      </w:r>
      <w:r w:rsidRPr="00F867D0">
        <w:rPr>
          <w:szCs w:val="22"/>
          <w:vertAlign w:val="subscript"/>
          <w:lang w:eastAsia="en-US"/>
        </w:rPr>
        <w:t>2</w:t>
      </w:r>
      <w:r w:rsidRPr="00F867D0">
        <w:rPr>
          <w:szCs w:val="22"/>
          <w:lang w:eastAsia="en-US"/>
        </w:rPr>
        <w:t xml:space="preserve"> of direct and indirect emission savings over the 20-year equipment lifetimes), green job creation and energy poverty reduction. It will directly benefit over 200,000 people and catalyse private and public-sector investment of approximately US$ 100 million. The following components involve the RACHP sectors as a consequences of project implementation:</w:t>
      </w:r>
    </w:p>
    <w:p w14:paraId="5F51BA21" w14:textId="50FA48DA" w:rsidR="00C90BD0" w:rsidRPr="00F867D0" w:rsidRDefault="00C90BD0" w:rsidP="00C90BD0">
      <w:pPr>
        <w:spacing w:after="0"/>
        <w:rPr>
          <w:szCs w:val="22"/>
          <w:lang w:eastAsia="en-US"/>
        </w:rPr>
      </w:pPr>
      <w:r w:rsidRPr="00F867D0">
        <w:rPr>
          <w:b/>
          <w:szCs w:val="22"/>
          <w:lang w:eastAsia="en-US"/>
        </w:rPr>
        <w:t xml:space="preserve">Component 1 – Policy de-risking: </w:t>
      </w:r>
      <w:r w:rsidRPr="00F867D0">
        <w:rPr>
          <w:szCs w:val="22"/>
          <w:lang w:eastAsia="en-US"/>
        </w:rPr>
        <w:t xml:space="preserve">The policy de-risking component will support national, sub-national and local authorities to adopt and implement an enabling policy framework for </w:t>
      </w:r>
      <w:r w:rsidR="003C37C3">
        <w:rPr>
          <w:szCs w:val="22"/>
          <w:lang w:eastAsia="en-US"/>
        </w:rPr>
        <w:t>EE</w:t>
      </w:r>
      <w:r w:rsidRPr="00F867D0">
        <w:rPr>
          <w:szCs w:val="22"/>
          <w:lang w:eastAsia="en-US"/>
        </w:rPr>
        <w:t xml:space="preserve"> retrofits. This Component will support on-going legal reform in the field of </w:t>
      </w:r>
      <w:r w:rsidR="003C37C3">
        <w:rPr>
          <w:szCs w:val="22"/>
          <w:lang w:eastAsia="en-US"/>
        </w:rPr>
        <w:t>EE</w:t>
      </w:r>
      <w:r w:rsidRPr="00F867D0">
        <w:rPr>
          <w:szCs w:val="22"/>
          <w:lang w:eastAsia="en-US"/>
        </w:rPr>
        <w:t>. It will also support the gradual introduction of binding legislation on energy auditing, energy passports / certificates and labelling for existing buildings.</w:t>
      </w:r>
    </w:p>
    <w:p w14:paraId="5D5E6DDC" w14:textId="77777777" w:rsidR="00C90BD0" w:rsidRPr="00F867D0" w:rsidRDefault="00C90BD0" w:rsidP="00C90BD0">
      <w:pPr>
        <w:rPr>
          <w:b/>
          <w:szCs w:val="22"/>
          <w:lang w:eastAsia="en-US"/>
        </w:rPr>
      </w:pPr>
    </w:p>
    <w:p w14:paraId="0AA98404" w14:textId="2CC9ADA3" w:rsidR="00C90BD0" w:rsidRPr="00F867D0" w:rsidRDefault="00C90BD0" w:rsidP="00C90BD0">
      <w:pPr>
        <w:rPr>
          <w:szCs w:val="22"/>
          <w:lang w:eastAsia="en-US"/>
        </w:rPr>
      </w:pPr>
      <w:r w:rsidRPr="00F867D0">
        <w:rPr>
          <w:b/>
          <w:szCs w:val="22"/>
          <w:lang w:eastAsia="en-US"/>
        </w:rPr>
        <w:t xml:space="preserve">Component 2 – Financial de-risking: </w:t>
      </w:r>
      <w:r w:rsidRPr="00F867D0">
        <w:rPr>
          <w:szCs w:val="22"/>
          <w:lang w:eastAsia="en-US"/>
        </w:rPr>
        <w:t xml:space="preserve">A financial de-risking component will work in partnership with EIB, the Renewable Resources and Energy Efficiency Fund of Armenia (the R2E2 Fund), local commercial (private sector) banks and other relevant national and international financial institutions to provide access to affordable capital for </w:t>
      </w:r>
      <w:r w:rsidR="003C37C3">
        <w:rPr>
          <w:szCs w:val="22"/>
          <w:lang w:eastAsia="en-US"/>
        </w:rPr>
        <w:t>EE</w:t>
      </w:r>
      <w:r w:rsidRPr="00F867D0">
        <w:rPr>
          <w:szCs w:val="22"/>
          <w:lang w:eastAsia="en-US"/>
        </w:rPr>
        <w:t xml:space="preserve"> retrofits. These financial de-risking instruments will take several forms, including credit lines from financial institutions and/or loan guarantees to stimulate local private sector commercial banks to lend to private ESCOs and/or building owners. </w:t>
      </w:r>
    </w:p>
    <w:p w14:paraId="243A40EE" w14:textId="6F04CEC1" w:rsidR="00C90BD0" w:rsidRPr="000F749F" w:rsidRDefault="00C90BD0" w:rsidP="000F749F">
      <w:pPr>
        <w:pStyle w:val="Heading2"/>
      </w:pPr>
      <w:bookmarkStart w:id="137" w:name="_Toc515454414"/>
      <w:bookmarkStart w:id="138" w:name="_Hlk513824836"/>
      <w:bookmarkEnd w:id="136"/>
      <w:r w:rsidRPr="000F749F">
        <w:t>B.2</w:t>
      </w:r>
      <w:r w:rsidRPr="000F749F">
        <w:tab/>
        <w:t>GEF Project</w:t>
      </w:r>
      <w:r w:rsidR="0043635A" w:rsidRPr="000F749F">
        <w:t>/P</w:t>
      </w:r>
      <w:r w:rsidRPr="000F749F">
        <w:t xml:space="preserve">rogramme </w:t>
      </w:r>
      <w:r w:rsidR="0043635A" w:rsidRPr="000F749F">
        <w:t>T</w:t>
      </w:r>
      <w:r w:rsidRPr="000F749F">
        <w:t xml:space="preserve">itle: </w:t>
      </w:r>
      <w:r w:rsidR="0043635A" w:rsidRPr="000F749F">
        <w:t>P</w:t>
      </w:r>
      <w:r w:rsidRPr="000F749F">
        <w:t>romoting of appliance energy efficiency and transformation of the refrigerating appliances market in Ghana</w:t>
      </w:r>
      <w:bookmarkEnd w:id="137"/>
      <w:r w:rsidRPr="000F749F">
        <w:t xml:space="preserve"> </w:t>
      </w:r>
    </w:p>
    <w:p w14:paraId="61133DBD" w14:textId="1801CFD9" w:rsidR="00C90BD0" w:rsidRPr="00F867D0" w:rsidRDefault="00C90BD0" w:rsidP="00C90BD0">
      <w:pPr>
        <w:spacing w:after="0"/>
        <w:rPr>
          <w:szCs w:val="22"/>
          <w:lang w:eastAsia="en-US"/>
        </w:rPr>
      </w:pPr>
      <w:r w:rsidRPr="00F867D0">
        <w:rPr>
          <w:szCs w:val="22"/>
          <w:lang w:eastAsia="en-US"/>
        </w:rPr>
        <w:t xml:space="preserve">The project aims to promote the </w:t>
      </w:r>
      <w:r w:rsidR="003C37C3">
        <w:rPr>
          <w:szCs w:val="22"/>
          <w:lang w:eastAsia="en-US"/>
        </w:rPr>
        <w:t>EE</w:t>
      </w:r>
      <w:r w:rsidRPr="00F867D0">
        <w:rPr>
          <w:szCs w:val="22"/>
          <w:lang w:eastAsia="en-US"/>
        </w:rPr>
        <w:t xml:space="preserve"> of appliances manufactured, marked and used in Ghana, through the introduction of a combination of regulatory tool such as minimum energy performance standards and information labels, and innovative economic tools. Domestic refrigeration appliances will be the first end-use to be tackled, with a specific focus to address ozone depleting substances contained in the current stock of equipment. The focus area is: climate change (mitigation)</w:t>
      </w:r>
    </w:p>
    <w:p w14:paraId="3A347040" w14:textId="77777777" w:rsidR="00C90BD0" w:rsidRPr="00F867D0" w:rsidRDefault="00C90BD0" w:rsidP="00C90BD0">
      <w:pPr>
        <w:spacing w:after="0"/>
        <w:rPr>
          <w:szCs w:val="22"/>
          <w:lang w:eastAsia="en-US"/>
        </w:rPr>
      </w:pPr>
    </w:p>
    <w:p w14:paraId="080A5E13" w14:textId="77777777" w:rsidR="003E19AA" w:rsidRPr="00F867D0" w:rsidRDefault="00C90BD0" w:rsidP="00C90BD0">
      <w:pPr>
        <w:spacing w:after="0"/>
        <w:rPr>
          <w:szCs w:val="22"/>
          <w:lang w:eastAsia="en-US"/>
        </w:rPr>
      </w:pPr>
      <w:r w:rsidRPr="00F867D0">
        <w:rPr>
          <w:szCs w:val="22"/>
          <w:lang w:eastAsia="en-US"/>
        </w:rPr>
        <w:t xml:space="preserve">Project size and </w:t>
      </w:r>
      <w:r w:rsidR="003E19AA" w:rsidRPr="00F867D0">
        <w:rPr>
          <w:szCs w:val="22"/>
          <w:lang w:eastAsia="en-US"/>
        </w:rPr>
        <w:t>t</w:t>
      </w:r>
      <w:r w:rsidRPr="00F867D0">
        <w:rPr>
          <w:szCs w:val="22"/>
          <w:lang w:eastAsia="en-US"/>
        </w:rPr>
        <w:t>imeline:</w:t>
      </w:r>
    </w:p>
    <w:p w14:paraId="0662ADF8" w14:textId="77777777" w:rsidR="003E19AA" w:rsidRPr="00F867D0" w:rsidRDefault="003E19AA" w:rsidP="00BF4C57">
      <w:pPr>
        <w:pStyle w:val="ListParagraph"/>
        <w:rPr>
          <w:lang w:eastAsia="en-US"/>
        </w:rPr>
      </w:pPr>
      <w:r w:rsidRPr="00F867D0">
        <w:rPr>
          <w:lang w:eastAsia="en-US"/>
        </w:rPr>
        <w:t>r</w:t>
      </w:r>
      <w:r w:rsidR="00C90BD0" w:rsidRPr="00F867D0">
        <w:rPr>
          <w:lang w:eastAsia="en-US"/>
        </w:rPr>
        <w:t xml:space="preserve">eceived by GEF 03/Feb 2009; </w:t>
      </w:r>
    </w:p>
    <w:p w14:paraId="3968B4A5" w14:textId="77777777" w:rsidR="003E19AA" w:rsidRPr="00F867D0" w:rsidRDefault="003E19AA" w:rsidP="00BF4C57">
      <w:pPr>
        <w:pStyle w:val="ListParagraph"/>
        <w:rPr>
          <w:lang w:eastAsia="en-US"/>
        </w:rPr>
      </w:pPr>
      <w:r w:rsidRPr="00F867D0">
        <w:rPr>
          <w:lang w:eastAsia="en-US"/>
        </w:rPr>
        <w:t>p</w:t>
      </w:r>
      <w:r w:rsidR="00C90BD0" w:rsidRPr="00F867D0">
        <w:rPr>
          <w:lang w:eastAsia="en-US"/>
        </w:rPr>
        <w:t xml:space="preserve">reparation </w:t>
      </w:r>
      <w:r w:rsidRPr="00F867D0">
        <w:rPr>
          <w:lang w:eastAsia="en-US"/>
        </w:rPr>
        <w:t>g</w:t>
      </w:r>
      <w:r w:rsidR="00C90BD0" w:rsidRPr="00F867D0">
        <w:rPr>
          <w:lang w:eastAsia="en-US"/>
        </w:rPr>
        <w:t xml:space="preserve">rant </w:t>
      </w:r>
      <w:r w:rsidRPr="00F867D0">
        <w:rPr>
          <w:lang w:eastAsia="en-US"/>
        </w:rPr>
        <w:t>a</w:t>
      </w:r>
      <w:r w:rsidR="00C90BD0" w:rsidRPr="00F867D0">
        <w:rPr>
          <w:lang w:eastAsia="en-US"/>
        </w:rPr>
        <w:t>pproved 24/Apr 2009;</w:t>
      </w:r>
    </w:p>
    <w:p w14:paraId="487F19D0" w14:textId="77777777" w:rsidR="003E19AA" w:rsidRPr="00F867D0" w:rsidRDefault="003E19AA" w:rsidP="00BF4C57">
      <w:pPr>
        <w:pStyle w:val="ListParagraph"/>
        <w:rPr>
          <w:lang w:eastAsia="en-US"/>
        </w:rPr>
      </w:pPr>
      <w:r w:rsidRPr="00F867D0">
        <w:rPr>
          <w:lang w:eastAsia="en-US"/>
        </w:rPr>
        <w:t>co</w:t>
      </w:r>
      <w:r w:rsidR="00C90BD0" w:rsidRPr="00F867D0">
        <w:rPr>
          <w:lang w:eastAsia="en-US"/>
        </w:rPr>
        <w:t xml:space="preserve">ncept </w:t>
      </w:r>
      <w:r w:rsidRPr="00F867D0">
        <w:rPr>
          <w:lang w:eastAsia="en-US"/>
        </w:rPr>
        <w:t>a</w:t>
      </w:r>
      <w:r w:rsidR="00C90BD0" w:rsidRPr="00F867D0">
        <w:rPr>
          <w:lang w:eastAsia="en-US"/>
        </w:rPr>
        <w:t>pproved 01/Jun/2009;</w:t>
      </w:r>
    </w:p>
    <w:p w14:paraId="60EFE61A" w14:textId="77777777" w:rsidR="003E19AA" w:rsidRPr="00F867D0" w:rsidRDefault="003E19AA" w:rsidP="00BF4C57">
      <w:pPr>
        <w:pStyle w:val="ListParagraph"/>
        <w:rPr>
          <w:lang w:eastAsia="en-US"/>
        </w:rPr>
      </w:pPr>
      <w:r w:rsidRPr="00F867D0">
        <w:rPr>
          <w:lang w:eastAsia="en-US"/>
        </w:rPr>
        <w:t>p</w:t>
      </w:r>
      <w:r w:rsidR="00C90BD0" w:rsidRPr="00F867D0">
        <w:rPr>
          <w:lang w:eastAsia="en-US"/>
        </w:rPr>
        <w:t xml:space="preserve">roject </w:t>
      </w:r>
      <w:r w:rsidRPr="00F867D0">
        <w:rPr>
          <w:lang w:eastAsia="en-US"/>
        </w:rPr>
        <w:t>a</w:t>
      </w:r>
      <w:r w:rsidR="00C90BD0" w:rsidRPr="00F867D0">
        <w:rPr>
          <w:lang w:eastAsia="en-US"/>
        </w:rPr>
        <w:t xml:space="preserve">pproved for </w:t>
      </w:r>
      <w:r w:rsidRPr="00F867D0">
        <w:rPr>
          <w:lang w:eastAsia="en-US"/>
        </w:rPr>
        <w:t>i</w:t>
      </w:r>
      <w:r w:rsidR="00C90BD0" w:rsidRPr="00F867D0">
        <w:rPr>
          <w:lang w:eastAsia="en-US"/>
        </w:rPr>
        <w:t xml:space="preserve">mplementation 06/May 2011; </w:t>
      </w:r>
    </w:p>
    <w:p w14:paraId="08C31302" w14:textId="02DBBEBA" w:rsidR="00C90BD0" w:rsidRPr="00F867D0" w:rsidRDefault="003E19AA" w:rsidP="00BF4C57">
      <w:pPr>
        <w:pStyle w:val="ListParagraph"/>
        <w:rPr>
          <w:lang w:eastAsia="en-US"/>
        </w:rPr>
      </w:pPr>
      <w:r w:rsidRPr="00F867D0">
        <w:rPr>
          <w:lang w:eastAsia="en-US"/>
        </w:rPr>
        <w:t>p</w:t>
      </w:r>
      <w:r w:rsidR="00C90BD0" w:rsidRPr="00F867D0">
        <w:rPr>
          <w:lang w:eastAsia="en-US"/>
        </w:rPr>
        <w:t xml:space="preserve">roject Closed (ended) 31 Dec 2014. </w:t>
      </w:r>
    </w:p>
    <w:p w14:paraId="3EBCD957" w14:textId="77777777" w:rsidR="00C90BD0" w:rsidRPr="00F867D0" w:rsidRDefault="00C90BD0" w:rsidP="00C90BD0">
      <w:pPr>
        <w:spacing w:after="0"/>
        <w:rPr>
          <w:szCs w:val="22"/>
          <w:lang w:eastAsia="en-US"/>
        </w:rPr>
      </w:pPr>
    </w:p>
    <w:p w14:paraId="6DEABF7C" w14:textId="77777777" w:rsidR="00C90BD0" w:rsidRPr="00F867D0" w:rsidRDefault="00C90BD0" w:rsidP="00C90BD0">
      <w:pPr>
        <w:spacing w:after="0"/>
        <w:rPr>
          <w:szCs w:val="22"/>
          <w:lang w:eastAsia="en-US"/>
        </w:rPr>
      </w:pPr>
      <w:r w:rsidRPr="00F867D0">
        <w:rPr>
          <w:szCs w:val="22"/>
          <w:lang w:eastAsia="en-US"/>
        </w:rPr>
        <w:t>The following components have been implemented:</w:t>
      </w:r>
    </w:p>
    <w:p w14:paraId="61C0F2ED" w14:textId="77777777" w:rsidR="00C90BD0" w:rsidRPr="00F867D0" w:rsidRDefault="00C90BD0" w:rsidP="00736989">
      <w:pPr>
        <w:widowControl w:val="0"/>
        <w:numPr>
          <w:ilvl w:val="0"/>
          <w:numId w:val="83"/>
        </w:numPr>
        <w:tabs>
          <w:tab w:val="left" w:pos="220"/>
          <w:tab w:val="left" w:pos="270"/>
        </w:tabs>
        <w:autoSpaceDE w:val="0"/>
        <w:autoSpaceDN w:val="0"/>
        <w:adjustRightInd w:val="0"/>
        <w:spacing w:after="0"/>
        <w:contextualSpacing/>
        <w:rPr>
          <w:color w:val="262626"/>
          <w:kern w:val="2"/>
          <w:szCs w:val="22"/>
          <w:lang w:eastAsia="en-US"/>
        </w:rPr>
      </w:pPr>
      <w:r w:rsidRPr="00F867D0">
        <w:rPr>
          <w:color w:val="262626"/>
          <w:kern w:val="2"/>
          <w:szCs w:val="22"/>
          <w:lang w:eastAsia="en-US"/>
        </w:rPr>
        <w:t>Strengthening of regulatory and institutional framework;</w:t>
      </w:r>
    </w:p>
    <w:p w14:paraId="42346A1B" w14:textId="77777777" w:rsidR="00C90BD0" w:rsidRPr="00F867D0" w:rsidRDefault="00C90BD0" w:rsidP="00736989">
      <w:pPr>
        <w:widowControl w:val="0"/>
        <w:numPr>
          <w:ilvl w:val="0"/>
          <w:numId w:val="83"/>
        </w:numPr>
        <w:tabs>
          <w:tab w:val="left" w:pos="220"/>
          <w:tab w:val="left" w:pos="270"/>
        </w:tabs>
        <w:autoSpaceDE w:val="0"/>
        <w:autoSpaceDN w:val="0"/>
        <w:adjustRightInd w:val="0"/>
        <w:spacing w:after="0"/>
        <w:contextualSpacing/>
        <w:rPr>
          <w:color w:val="262626"/>
          <w:kern w:val="2"/>
          <w:szCs w:val="22"/>
          <w:lang w:eastAsia="en-US"/>
        </w:rPr>
      </w:pPr>
      <w:r w:rsidRPr="00F867D0">
        <w:rPr>
          <w:color w:val="262626"/>
          <w:kern w:val="2"/>
          <w:szCs w:val="22"/>
          <w:lang w:eastAsia="en-US"/>
        </w:rPr>
        <w:t xml:space="preserve">Design of certification, labelling and enforcement mechanisms; </w:t>
      </w:r>
    </w:p>
    <w:p w14:paraId="6FD758E2" w14:textId="77777777" w:rsidR="00C90BD0" w:rsidRPr="00F867D0" w:rsidRDefault="00C90BD0" w:rsidP="00736989">
      <w:pPr>
        <w:widowControl w:val="0"/>
        <w:numPr>
          <w:ilvl w:val="0"/>
          <w:numId w:val="83"/>
        </w:numPr>
        <w:tabs>
          <w:tab w:val="left" w:pos="220"/>
          <w:tab w:val="left" w:pos="270"/>
        </w:tabs>
        <w:autoSpaceDE w:val="0"/>
        <w:autoSpaceDN w:val="0"/>
        <w:adjustRightInd w:val="0"/>
        <w:spacing w:after="0"/>
        <w:contextualSpacing/>
        <w:rPr>
          <w:color w:val="262626"/>
          <w:kern w:val="2"/>
          <w:szCs w:val="22"/>
          <w:lang w:eastAsia="en-US"/>
        </w:rPr>
      </w:pPr>
      <w:r w:rsidRPr="00F867D0">
        <w:rPr>
          <w:color w:val="262626"/>
          <w:kern w:val="2"/>
          <w:szCs w:val="22"/>
          <w:lang w:eastAsia="en-US"/>
        </w:rPr>
        <w:t>Training and public outreach activities;</w:t>
      </w:r>
    </w:p>
    <w:p w14:paraId="3379D674" w14:textId="77777777" w:rsidR="00C90BD0" w:rsidRPr="00F867D0" w:rsidRDefault="00C90BD0" w:rsidP="00736989">
      <w:pPr>
        <w:widowControl w:val="0"/>
        <w:numPr>
          <w:ilvl w:val="0"/>
          <w:numId w:val="83"/>
        </w:numPr>
        <w:tabs>
          <w:tab w:val="left" w:pos="220"/>
          <w:tab w:val="left" w:pos="270"/>
        </w:tabs>
        <w:autoSpaceDE w:val="0"/>
        <w:autoSpaceDN w:val="0"/>
        <w:adjustRightInd w:val="0"/>
        <w:spacing w:after="0"/>
        <w:contextualSpacing/>
        <w:rPr>
          <w:color w:val="262626"/>
          <w:kern w:val="2"/>
          <w:szCs w:val="22"/>
          <w:lang w:eastAsia="en-US"/>
        </w:rPr>
      </w:pPr>
      <w:r w:rsidRPr="00F867D0">
        <w:rPr>
          <w:color w:val="262626"/>
          <w:kern w:val="2"/>
          <w:szCs w:val="22"/>
          <w:lang w:eastAsia="en-US"/>
        </w:rPr>
        <w:t>Establishment of refrigerator test facilities;</w:t>
      </w:r>
    </w:p>
    <w:p w14:paraId="6424FFD2" w14:textId="77777777" w:rsidR="00C90BD0" w:rsidRPr="00F867D0" w:rsidRDefault="00C90BD0" w:rsidP="00736989">
      <w:pPr>
        <w:widowControl w:val="0"/>
        <w:numPr>
          <w:ilvl w:val="0"/>
          <w:numId w:val="83"/>
        </w:numPr>
        <w:tabs>
          <w:tab w:val="left" w:pos="220"/>
          <w:tab w:val="left" w:pos="270"/>
        </w:tabs>
        <w:autoSpaceDE w:val="0"/>
        <w:autoSpaceDN w:val="0"/>
        <w:adjustRightInd w:val="0"/>
        <w:spacing w:after="0"/>
        <w:contextualSpacing/>
        <w:rPr>
          <w:color w:val="262626"/>
          <w:kern w:val="2"/>
          <w:szCs w:val="22"/>
          <w:lang w:eastAsia="en-US"/>
        </w:rPr>
      </w:pPr>
      <w:r w:rsidRPr="00F867D0">
        <w:rPr>
          <w:color w:val="262626"/>
          <w:kern w:val="2"/>
          <w:szCs w:val="22"/>
          <w:lang w:eastAsia="en-US"/>
        </w:rPr>
        <w:t xml:space="preserve">Development of CFC and used appliance collection and disposal facilities; </w:t>
      </w:r>
    </w:p>
    <w:p w14:paraId="7A7719C4" w14:textId="77777777" w:rsidR="00C90BD0" w:rsidRPr="00F867D0" w:rsidRDefault="00C90BD0" w:rsidP="00736989">
      <w:pPr>
        <w:widowControl w:val="0"/>
        <w:numPr>
          <w:ilvl w:val="0"/>
          <w:numId w:val="83"/>
        </w:numPr>
        <w:tabs>
          <w:tab w:val="left" w:pos="220"/>
          <w:tab w:val="left" w:pos="270"/>
        </w:tabs>
        <w:autoSpaceDE w:val="0"/>
        <w:autoSpaceDN w:val="0"/>
        <w:adjustRightInd w:val="0"/>
        <w:spacing w:after="0"/>
        <w:contextualSpacing/>
        <w:rPr>
          <w:color w:val="262626"/>
          <w:kern w:val="2"/>
          <w:szCs w:val="22"/>
          <w:lang w:eastAsia="en-US"/>
        </w:rPr>
      </w:pPr>
      <w:r w:rsidRPr="00F867D0">
        <w:rPr>
          <w:color w:val="262626"/>
          <w:kern w:val="2"/>
          <w:szCs w:val="22"/>
          <w:lang w:eastAsia="en-US"/>
        </w:rPr>
        <w:t>Development of efficiency programme evaluation and monitoring capacity;</w:t>
      </w:r>
    </w:p>
    <w:p w14:paraId="4624656B" w14:textId="221B5C9B" w:rsidR="00C90BD0" w:rsidRPr="00F867D0" w:rsidRDefault="00C90BD0" w:rsidP="00736989">
      <w:pPr>
        <w:widowControl w:val="0"/>
        <w:numPr>
          <w:ilvl w:val="0"/>
          <w:numId w:val="83"/>
        </w:numPr>
        <w:tabs>
          <w:tab w:val="left" w:pos="220"/>
          <w:tab w:val="left" w:pos="270"/>
        </w:tabs>
        <w:autoSpaceDE w:val="0"/>
        <w:autoSpaceDN w:val="0"/>
        <w:adjustRightInd w:val="0"/>
        <w:spacing w:after="0"/>
        <w:contextualSpacing/>
        <w:rPr>
          <w:color w:val="262626"/>
          <w:kern w:val="2"/>
          <w:szCs w:val="22"/>
          <w:lang w:eastAsia="en-US"/>
        </w:rPr>
      </w:pPr>
      <w:r w:rsidRPr="00F867D0">
        <w:rPr>
          <w:color w:val="262626"/>
          <w:kern w:val="2"/>
          <w:szCs w:val="22"/>
          <w:lang w:eastAsia="en-US"/>
        </w:rPr>
        <w:t xml:space="preserve">Pilot test for an accelerated market transformation through innovative economic incentives; </w:t>
      </w:r>
    </w:p>
    <w:p w14:paraId="7D53A564" w14:textId="77777777" w:rsidR="00C90BD0" w:rsidRPr="00F867D0" w:rsidRDefault="00C90BD0" w:rsidP="00736989">
      <w:pPr>
        <w:widowControl w:val="0"/>
        <w:numPr>
          <w:ilvl w:val="0"/>
          <w:numId w:val="83"/>
        </w:numPr>
        <w:tabs>
          <w:tab w:val="left" w:pos="220"/>
          <w:tab w:val="left" w:pos="270"/>
        </w:tabs>
        <w:autoSpaceDE w:val="0"/>
        <w:autoSpaceDN w:val="0"/>
        <w:adjustRightInd w:val="0"/>
        <w:spacing w:after="0"/>
        <w:contextualSpacing/>
        <w:rPr>
          <w:color w:val="262626"/>
          <w:kern w:val="2"/>
          <w:szCs w:val="22"/>
          <w:lang w:eastAsia="en-US"/>
        </w:rPr>
      </w:pPr>
      <w:r w:rsidRPr="00F867D0">
        <w:rPr>
          <w:color w:val="262626"/>
          <w:kern w:val="2"/>
          <w:szCs w:val="22"/>
          <w:lang w:eastAsia="en-US"/>
        </w:rPr>
        <w:t xml:space="preserve">Financial design of follow -up national market transformation programs. </w:t>
      </w:r>
    </w:p>
    <w:p w14:paraId="0CFCE046" w14:textId="77777777" w:rsidR="00C90BD0" w:rsidRPr="00F867D0" w:rsidRDefault="00C90BD0" w:rsidP="00C90BD0">
      <w:pPr>
        <w:ind w:left="720"/>
        <w:rPr>
          <w:lang w:eastAsia="en-US"/>
        </w:rPr>
      </w:pPr>
    </w:p>
    <w:p w14:paraId="5C34831E" w14:textId="6A473922" w:rsidR="00C90BD0" w:rsidRPr="00F867D0" w:rsidRDefault="003E19AA" w:rsidP="001533D7">
      <w:pPr>
        <w:rPr>
          <w:lang w:eastAsia="en-US"/>
        </w:rPr>
      </w:pPr>
      <w:r w:rsidRPr="00F867D0">
        <w:rPr>
          <w:lang w:eastAsia="en-US"/>
        </w:rPr>
        <w:t>The p</w:t>
      </w:r>
      <w:r w:rsidR="00C90BD0" w:rsidRPr="00F867D0">
        <w:rPr>
          <w:lang w:eastAsia="en-US"/>
        </w:rPr>
        <w:t xml:space="preserve">roject has been co-financed by different stakeholders: Government Contribution (Ministry of Energy, Ministry of Environment with 2,200,000 US$ in Grant and 800,000 US$ in Kind), the Multilateral Fund for the Implementation of the Montreal Protocol (with 700,000 US$ grant) and the GEF Agency UNDP-Ghana (with 200,000 US$) with a total value co–finance project of US$ 3,900,000. </w:t>
      </w:r>
    </w:p>
    <w:p w14:paraId="43CB6E3B" w14:textId="4D0C6E24" w:rsidR="00975649" w:rsidRPr="000F749F" w:rsidRDefault="00975649" w:rsidP="000F749F">
      <w:pPr>
        <w:pStyle w:val="Heading2"/>
      </w:pPr>
      <w:bookmarkStart w:id="139" w:name="_Toc515454415"/>
      <w:bookmarkEnd w:id="138"/>
      <w:r w:rsidRPr="000F749F">
        <w:t>B.3</w:t>
      </w:r>
      <w:r w:rsidRPr="000F749F">
        <w:tab/>
        <w:t>GEF Project/programme Title: Leapfrogging Chilean’s markets to more efficient refrigerator and freezers</w:t>
      </w:r>
      <w:bookmarkEnd w:id="139"/>
      <w:r w:rsidRPr="000F749F">
        <w:t xml:space="preserve"> </w:t>
      </w:r>
    </w:p>
    <w:p w14:paraId="27A9948B" w14:textId="507F770C" w:rsidR="00975649" w:rsidRPr="00F867D0" w:rsidRDefault="00975649" w:rsidP="00975649">
      <w:pPr>
        <w:spacing w:after="0"/>
        <w:rPr>
          <w:szCs w:val="22"/>
          <w:lang w:eastAsia="en-US"/>
        </w:rPr>
      </w:pPr>
      <w:r w:rsidRPr="00F867D0">
        <w:rPr>
          <w:szCs w:val="22"/>
          <w:lang w:eastAsia="en-US"/>
        </w:rPr>
        <w:t>The project aims to</w:t>
      </w:r>
      <w:r w:rsidRPr="00F867D0">
        <w:t xml:space="preserve"> a</w:t>
      </w:r>
      <w:r w:rsidRPr="00F867D0">
        <w:rPr>
          <w:szCs w:val="22"/>
          <w:lang w:eastAsia="en-US"/>
        </w:rPr>
        <w:t>ccelerate transformation of Chile’s markets to more energy efficient residential refrigerators/freezers thereby achieving reduction of GHG emissions and contributing to improved energy access and energy security.  The focus area is climate change (mitigation).</w:t>
      </w:r>
      <w:r w:rsidRPr="00F867D0">
        <w:t xml:space="preserve"> The project target is </w:t>
      </w:r>
      <w:r w:rsidRPr="00F867D0">
        <w:rPr>
          <w:szCs w:val="22"/>
          <w:lang w:eastAsia="en-US"/>
        </w:rPr>
        <w:t>750 million tons of CO</w:t>
      </w:r>
      <w:r w:rsidRPr="00F867D0">
        <w:rPr>
          <w:szCs w:val="22"/>
          <w:vertAlign w:val="subscript"/>
          <w:lang w:eastAsia="en-US"/>
        </w:rPr>
        <w:t>2</w:t>
      </w:r>
      <w:r w:rsidRPr="00F867D0">
        <w:rPr>
          <w:szCs w:val="22"/>
          <w:lang w:eastAsia="en-US"/>
        </w:rPr>
        <w:t>e</w:t>
      </w:r>
      <w:r w:rsidR="00CF3540" w:rsidRPr="00F867D0">
        <w:rPr>
          <w:szCs w:val="22"/>
          <w:lang w:eastAsia="en-US"/>
        </w:rPr>
        <w:t>q</w:t>
      </w:r>
      <w:r w:rsidRPr="00F867D0">
        <w:rPr>
          <w:szCs w:val="22"/>
          <w:lang w:eastAsia="en-US"/>
        </w:rPr>
        <w:t xml:space="preserve"> mitigated (include both direct and indirect).</w:t>
      </w:r>
    </w:p>
    <w:p w14:paraId="2FB45A36" w14:textId="77777777" w:rsidR="00975649" w:rsidRPr="00F867D0" w:rsidRDefault="00975649" w:rsidP="00975649">
      <w:pPr>
        <w:spacing w:after="0"/>
        <w:rPr>
          <w:szCs w:val="22"/>
          <w:lang w:eastAsia="en-US"/>
        </w:rPr>
      </w:pPr>
    </w:p>
    <w:p w14:paraId="34F5888F" w14:textId="77777777" w:rsidR="00975649" w:rsidRPr="00F867D0" w:rsidRDefault="00975649" w:rsidP="00975649">
      <w:pPr>
        <w:rPr>
          <w:szCs w:val="22"/>
          <w:lang w:eastAsia="en-US"/>
        </w:rPr>
      </w:pPr>
      <w:r w:rsidRPr="00F867D0">
        <w:rPr>
          <w:b/>
          <w:szCs w:val="22"/>
          <w:lang w:eastAsia="en-US"/>
        </w:rPr>
        <w:t>Accredited entity</w:t>
      </w:r>
      <w:r w:rsidRPr="00F867D0">
        <w:rPr>
          <w:szCs w:val="22"/>
          <w:lang w:eastAsia="en-US"/>
        </w:rPr>
        <w:t>: UN Environment</w:t>
      </w:r>
    </w:p>
    <w:p w14:paraId="4A849F9A" w14:textId="77777777" w:rsidR="00975649" w:rsidRPr="00F867D0" w:rsidRDefault="00975649" w:rsidP="00975649">
      <w:pPr>
        <w:rPr>
          <w:b/>
          <w:szCs w:val="22"/>
          <w:lang w:eastAsia="en-US"/>
        </w:rPr>
      </w:pPr>
      <w:r w:rsidRPr="00F867D0">
        <w:rPr>
          <w:b/>
          <w:szCs w:val="22"/>
          <w:lang w:eastAsia="en-US"/>
        </w:rPr>
        <w:t>Executing entity</w:t>
      </w:r>
      <w:r w:rsidRPr="00F867D0">
        <w:rPr>
          <w:szCs w:val="22"/>
          <w:lang w:eastAsia="en-US"/>
        </w:rPr>
        <w:t>: Fundación Chile, Ministry of Energy</w:t>
      </w:r>
      <w:r w:rsidRPr="00F867D0">
        <w:rPr>
          <w:b/>
          <w:szCs w:val="22"/>
          <w:lang w:eastAsia="en-US"/>
        </w:rPr>
        <w:t xml:space="preserve"> </w:t>
      </w:r>
    </w:p>
    <w:p w14:paraId="5CEBC5FD" w14:textId="77777777" w:rsidR="00975649" w:rsidRPr="00F867D0" w:rsidRDefault="00975649" w:rsidP="00975649">
      <w:pPr>
        <w:rPr>
          <w:szCs w:val="22"/>
          <w:lang w:eastAsia="en-US"/>
        </w:rPr>
      </w:pPr>
      <w:r w:rsidRPr="00F867D0">
        <w:rPr>
          <w:b/>
          <w:szCs w:val="22"/>
          <w:lang w:eastAsia="en-US"/>
        </w:rPr>
        <w:t>Estimated implementation timing</w:t>
      </w:r>
      <w:r w:rsidRPr="00F867D0">
        <w:rPr>
          <w:szCs w:val="22"/>
          <w:lang w:eastAsia="en-US"/>
        </w:rPr>
        <w:t>: 36 months from 15/11/2017</w:t>
      </w:r>
    </w:p>
    <w:p w14:paraId="5C175C17" w14:textId="77777777" w:rsidR="00975649" w:rsidRPr="00F867D0" w:rsidRDefault="00975649" w:rsidP="00975649">
      <w:pPr>
        <w:rPr>
          <w:szCs w:val="22"/>
          <w:lang w:eastAsia="en-US"/>
        </w:rPr>
      </w:pPr>
      <w:r w:rsidRPr="00F867D0">
        <w:rPr>
          <w:szCs w:val="22"/>
          <w:lang w:eastAsia="en-US"/>
        </w:rPr>
        <w:t>The following components involve the RACHP sectors as a consequences of project implementation:</w:t>
      </w:r>
    </w:p>
    <w:p w14:paraId="0734CEC0" w14:textId="77777777" w:rsidR="00975649" w:rsidRPr="00F867D0" w:rsidRDefault="00975649" w:rsidP="00975649">
      <w:pPr>
        <w:spacing w:after="0"/>
        <w:rPr>
          <w:szCs w:val="22"/>
          <w:lang w:eastAsia="en-US"/>
        </w:rPr>
      </w:pPr>
      <w:r w:rsidRPr="00F867D0">
        <w:rPr>
          <w:b/>
          <w:szCs w:val="22"/>
          <w:lang w:eastAsia="en-US"/>
        </w:rPr>
        <w:t xml:space="preserve">Component 1 – Revising regulatory mechanisms, including minimum energy performance standards (MEPS): </w:t>
      </w:r>
      <w:r w:rsidRPr="00F867D0">
        <w:rPr>
          <w:szCs w:val="22"/>
          <w:lang w:eastAsia="en-US"/>
        </w:rPr>
        <w:t>Accelerate transformation of the market for energy efficient residential refrigerators/freezers via implementation of advanced MEPS and EE labels in line with international best practices and provision of associated capacity building.</w:t>
      </w:r>
    </w:p>
    <w:p w14:paraId="0FEC60E9" w14:textId="77777777" w:rsidR="00975649" w:rsidRPr="00F867D0" w:rsidRDefault="00975649" w:rsidP="00975649">
      <w:pPr>
        <w:rPr>
          <w:b/>
          <w:szCs w:val="22"/>
          <w:lang w:eastAsia="en-US"/>
        </w:rPr>
      </w:pPr>
    </w:p>
    <w:p w14:paraId="30FED65D" w14:textId="77777777" w:rsidR="00C361F5" w:rsidRDefault="00975649" w:rsidP="00975649">
      <w:pPr>
        <w:rPr>
          <w:szCs w:val="22"/>
          <w:lang w:eastAsia="en-US"/>
        </w:rPr>
      </w:pPr>
      <w:r w:rsidRPr="00F867D0">
        <w:rPr>
          <w:b/>
          <w:szCs w:val="22"/>
          <w:lang w:eastAsia="en-US"/>
        </w:rPr>
        <w:t xml:space="preserve">Component 2 – Enhancing monitoring, verification, and enforcement (MVE): </w:t>
      </w:r>
      <w:r w:rsidRPr="00F867D0">
        <w:rPr>
          <w:szCs w:val="22"/>
          <w:lang w:eastAsia="en-US"/>
        </w:rPr>
        <w:t>Actors comply with improved MVE labe</w:t>
      </w:r>
      <w:r w:rsidR="005551CF">
        <w:rPr>
          <w:szCs w:val="22"/>
          <w:lang w:eastAsia="en-US"/>
        </w:rPr>
        <w:t>l</w:t>
      </w:r>
    </w:p>
    <w:p w14:paraId="7A4E9738" w14:textId="3B72786A" w:rsidR="00975649" w:rsidRPr="00F867D0" w:rsidRDefault="00975649" w:rsidP="00975649">
      <w:pPr>
        <w:rPr>
          <w:szCs w:val="22"/>
          <w:lang w:eastAsia="en-US"/>
        </w:rPr>
      </w:pPr>
      <w:r w:rsidRPr="00F867D0">
        <w:rPr>
          <w:szCs w:val="22"/>
          <w:lang w:eastAsia="en-US"/>
        </w:rPr>
        <w:t>ling regulations, testing protocols and measurements methodologies to ensure residential refrigerators/freezers meet improved efficiency levels.</w:t>
      </w:r>
    </w:p>
    <w:p w14:paraId="340C319C" w14:textId="77777777" w:rsidR="00975649" w:rsidRPr="00F867D0" w:rsidRDefault="00975649" w:rsidP="00975649">
      <w:pPr>
        <w:spacing w:after="0"/>
        <w:rPr>
          <w:szCs w:val="22"/>
          <w:lang w:eastAsia="en-US"/>
        </w:rPr>
      </w:pPr>
      <w:r w:rsidRPr="00F867D0">
        <w:rPr>
          <w:b/>
          <w:szCs w:val="22"/>
          <w:lang w:eastAsia="en-US"/>
        </w:rPr>
        <w:t>Component 3 - Developing supporting policies:</w:t>
      </w:r>
      <w:r w:rsidRPr="00F867D0">
        <w:t xml:space="preserve"> </w:t>
      </w:r>
      <w:r w:rsidRPr="00F867D0">
        <w:rPr>
          <w:szCs w:val="22"/>
          <w:lang w:eastAsia="en-US"/>
        </w:rPr>
        <w:t>Enhanced awareness among consumers (by gender) and market players in Chile to understand, afford, and purchase EE refrigerators/freezers.</w:t>
      </w:r>
    </w:p>
    <w:p w14:paraId="52D807A9" w14:textId="77777777" w:rsidR="00975649" w:rsidRPr="00F867D0" w:rsidRDefault="00975649" w:rsidP="00975649">
      <w:pPr>
        <w:spacing w:after="0"/>
        <w:rPr>
          <w:b/>
          <w:szCs w:val="22"/>
          <w:lang w:eastAsia="en-US"/>
        </w:rPr>
      </w:pPr>
    </w:p>
    <w:p w14:paraId="44AABE01" w14:textId="77777777" w:rsidR="00975649" w:rsidRPr="00F867D0" w:rsidRDefault="00975649" w:rsidP="00975649">
      <w:pPr>
        <w:spacing w:after="0"/>
        <w:rPr>
          <w:szCs w:val="22"/>
          <w:lang w:eastAsia="en-US"/>
        </w:rPr>
      </w:pPr>
      <w:r w:rsidRPr="00F867D0">
        <w:rPr>
          <w:b/>
          <w:szCs w:val="22"/>
          <w:lang w:eastAsia="en-US"/>
        </w:rPr>
        <w:t xml:space="preserve">Component 4 - Enhancing environmentally sound management: </w:t>
      </w:r>
      <w:r w:rsidRPr="00F867D0">
        <w:rPr>
          <w:szCs w:val="22"/>
          <w:lang w:eastAsia="en-US"/>
        </w:rPr>
        <w:t>Voluntary implementation of the national framework for environmentally sound management of refrigerators/freezers started.</w:t>
      </w:r>
    </w:p>
    <w:p w14:paraId="6547FD82" w14:textId="77777777" w:rsidR="00975649" w:rsidRPr="00F867D0" w:rsidRDefault="00975649" w:rsidP="00975649">
      <w:pPr>
        <w:spacing w:after="0"/>
        <w:rPr>
          <w:szCs w:val="22"/>
          <w:lang w:eastAsia="en-US"/>
        </w:rPr>
      </w:pPr>
    </w:p>
    <w:p w14:paraId="368B09B0" w14:textId="301F12C9" w:rsidR="00AE1CDA" w:rsidRPr="00F867D0" w:rsidRDefault="00975649" w:rsidP="00AE1CDA">
      <w:pPr>
        <w:spacing w:after="0"/>
      </w:pPr>
      <w:r w:rsidRPr="00F867D0">
        <w:rPr>
          <w:lang w:eastAsia="en-US"/>
        </w:rPr>
        <w:t xml:space="preserve">The project has been co-financed by different stakeholders: government contribution (Ministry of Energy, Ministry of Environment, Superintendence of Electricity and Fuels with US$ 2,807,000 In-Kind), NGO contribution (Fundación Chile with US$ 250,000 In-Kind), private sector contributions (US$ 3,539,551 In-Kind), and the GEF Agency-UNE (US$ 1,473,762 in Grants and US$ 50,000 in In-Kind) with a total value co–finance project of US$ 7,411,551. </w:t>
      </w:r>
    </w:p>
    <w:sectPr w:rsidR="00AE1CDA" w:rsidRPr="00F867D0" w:rsidSect="004235F7">
      <w:footnotePr>
        <w:numRestart w:val="eachSect"/>
      </w:footnotePr>
      <w:type w:val="oddPage"/>
      <w:pgSz w:w="11906" w:h="16838" w:code="9"/>
      <w:pgMar w:top="1440" w:right="1440" w:bottom="1440" w:left="1440" w:header="720" w:footer="792"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6EA9B" w16cid:durableId="1EB76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E45BC" w14:textId="77777777" w:rsidR="00B8621B" w:rsidRDefault="00B8621B">
      <w:r>
        <w:separator/>
      </w:r>
    </w:p>
  </w:endnote>
  <w:endnote w:type="continuationSeparator" w:id="0">
    <w:p w14:paraId="2F9D73BB" w14:textId="77777777" w:rsidR="00B8621B" w:rsidRDefault="00B8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UnicodeMS">
    <w:altName w:val="Arial Unicode MS"/>
    <w:panose1 w:val="00000000000000000000"/>
    <w:charset w:val="80"/>
    <w:family w:val="swiss"/>
    <w:notTrueType/>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Roman">
    <w:altName w:val="Times New Roman"/>
    <w:panose1 w:val="00000000000000000000"/>
    <w:charset w:val="FF"/>
    <w:family w:val="roman"/>
    <w:notTrueType/>
    <w:pitch w:val="variable"/>
    <w:sig w:usb0="00000003" w:usb1="00000000" w:usb2="00000000" w:usb3="00000000" w:csb0="00000000" w:csb1="00000000"/>
  </w:font>
  <w:font w:name="Chicago">
    <w:altName w:val="Arial"/>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charset w:val="00"/>
    <w:family w:val="auto"/>
    <w:pitch w:val="variable"/>
    <w:sig w:usb0="80000067" w:usb1="00000000" w:usb2="00000000" w:usb3="00000000" w:csb0="000001FB" w:csb1="00000000"/>
  </w:font>
  <w:font w:name="Galliar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ource Sans Pro Black">
    <w:altName w:val="Arial"/>
    <w:panose1 w:val="00000000000000000000"/>
    <w:charset w:val="00"/>
    <w:family w:val="swiss"/>
    <w:notTrueType/>
    <w:pitch w:val="default"/>
    <w:sig w:usb0="00000003" w:usb1="00000000" w:usb2="00000000" w:usb3="00000000" w:csb0="00000001" w:csb1="00000000"/>
  </w:font>
  <w:font w:name="accufon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868E5" w14:textId="79003039" w:rsidR="004F05E9" w:rsidRDefault="004F05E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EDCD548" w14:textId="77777777" w:rsidR="004F05E9" w:rsidRDefault="004F05E9">
    <w:pPr>
      <w:pStyle w:val="Footer"/>
      <w:spacing w:after="0"/>
      <w:ind w:right="993" w:firstLine="360"/>
      <w:rPr>
        <w:b/>
        <w:sz w:val="20"/>
      </w:rPr>
    </w:pPr>
    <w:r>
      <w:rPr>
        <w:rStyle w:val="PageNumber"/>
      </w:rPr>
      <w:tab/>
    </w:r>
    <w:r>
      <w:rPr>
        <w:rStyle w:val="PageNumber"/>
        <w:b/>
        <w:sz w:val="20"/>
      </w:rPr>
      <w:t>May 2004 TEAP Progress Report</w:t>
    </w:r>
    <w:r>
      <w:rPr>
        <w:rStyle w:val="PageNumber"/>
        <w:b/>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0F8F" w14:textId="77777777" w:rsidR="004F05E9" w:rsidRDefault="004F05E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5FEB8" w14:textId="77777777" w:rsidR="004F05E9" w:rsidRDefault="004F05E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cclxvii</w:t>
    </w:r>
    <w:r>
      <w:rPr>
        <w:rStyle w:val="PageNumber"/>
      </w:rPr>
      <w:fldChar w:fldCharType="end"/>
    </w:r>
  </w:p>
  <w:p w14:paraId="13C9A6D9" w14:textId="77777777" w:rsidR="004F05E9" w:rsidRDefault="004F05E9">
    <w:pPr>
      <w:pStyle w:val="Footer"/>
      <w:spacing w:after="0"/>
      <w:ind w:right="360" w:firstLine="360"/>
      <w:rPr>
        <w:b/>
        <w:sz w:val="20"/>
      </w:rPr>
    </w:pPr>
    <w:r>
      <w:rPr>
        <w:rStyle w:val="PageNumber"/>
      </w:rPr>
      <w:tab/>
    </w:r>
    <w:r>
      <w:rPr>
        <w:rStyle w:val="PageNumber"/>
        <w:b/>
        <w:sz w:val="20"/>
      </w:rPr>
      <w:t>May 2004 TEAP Progress Report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8B08C" w14:textId="5B83B6F3" w:rsidR="004F05E9" w:rsidRDefault="004F05E9">
    <w:pPr>
      <w:pStyle w:val="Footer"/>
      <w:jc w:val="right"/>
    </w:pPr>
    <w:r>
      <w:fldChar w:fldCharType="begin"/>
    </w:r>
    <w:r>
      <w:instrText xml:space="preserve"> PAGE   \* MERGEFORMAT </w:instrText>
    </w:r>
    <w:r>
      <w:fldChar w:fldCharType="separate"/>
    </w:r>
    <w:r w:rsidR="002300AD">
      <w:rPr>
        <w:noProof/>
      </w:rPr>
      <w:t>iii</w:t>
    </w:r>
    <w:r>
      <w:rPr>
        <w:noProof/>
      </w:rPr>
      <w:fldChar w:fldCharType="end"/>
    </w:r>
  </w:p>
  <w:p w14:paraId="3DD9F0FB" w14:textId="77777777" w:rsidR="004F05E9" w:rsidRDefault="004F05E9">
    <w:pPr>
      <w:pStyle w:val="Footer"/>
      <w:spacing w:after="0"/>
      <w:ind w:right="993"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2F3E" w14:textId="1C96E77D" w:rsidR="004F05E9" w:rsidRDefault="004F05E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300AD">
      <w:rPr>
        <w:rStyle w:val="PageNumber"/>
        <w:noProof/>
      </w:rPr>
      <w:t>82</w:t>
    </w:r>
    <w:r>
      <w:rPr>
        <w:rStyle w:val="PageNumber"/>
      </w:rPr>
      <w:fldChar w:fldCharType="end"/>
    </w:r>
  </w:p>
  <w:p w14:paraId="2D964C32" w14:textId="36FAE505" w:rsidR="004F05E9" w:rsidRDefault="004F05E9">
    <w:pPr>
      <w:pStyle w:val="Footer"/>
      <w:spacing w:after="0"/>
      <w:ind w:right="993" w:firstLine="360"/>
      <w:jc w:val="center"/>
      <w:rPr>
        <w:b/>
        <w:sz w:val="20"/>
      </w:rPr>
    </w:pPr>
    <w:bookmarkStart w:id="3" w:name="OLE_LINK18"/>
    <w:bookmarkStart w:id="4" w:name="OLE_LINK20"/>
    <w:bookmarkStart w:id="5" w:name="_Hlk294606800"/>
    <w:r>
      <w:rPr>
        <w:rStyle w:val="PageNumber"/>
        <w:b/>
        <w:sz w:val="20"/>
      </w:rPr>
      <w:t>2018 TEAP Report</w:t>
    </w:r>
    <w:bookmarkEnd w:id="3"/>
    <w:bookmarkEnd w:id="4"/>
    <w:bookmarkEnd w:id="5"/>
    <w:r>
      <w:rPr>
        <w:rStyle w:val="PageNumber"/>
        <w:b/>
        <w:sz w:val="20"/>
      </w:rPr>
      <w:t xml:space="preserve">, </w:t>
    </w:r>
    <w:r w:rsidRPr="00085768">
      <w:rPr>
        <w:rStyle w:val="PageNumber"/>
        <w:b/>
        <w:sz w:val="20"/>
      </w:rPr>
      <w:t>Volume 5: Decision XXIX/10 Task Force Report on issues related to energy efficiency while phasing down hydrofluorocarbons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7876" w14:textId="77777777" w:rsidR="004F05E9" w:rsidRPr="00656E7D" w:rsidRDefault="004F05E9" w:rsidP="00656E7D">
    <w:r w:rsidRPr="00656E7D">
      <w:fldChar w:fldCharType="begin"/>
    </w:r>
    <w:r w:rsidRPr="00656E7D">
      <w:instrText xml:space="preserve">PAGE  </w:instrText>
    </w:r>
    <w:r w:rsidRPr="00656E7D">
      <w:fldChar w:fldCharType="end"/>
    </w:r>
  </w:p>
  <w:p w14:paraId="71BD3EF9" w14:textId="77777777" w:rsidR="004F05E9" w:rsidRPr="00656E7D" w:rsidRDefault="004F05E9" w:rsidP="00656E7D">
    <w:r w:rsidRPr="00656E7D">
      <w:t xml:space="preserve">Page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852B" w14:textId="77777777" w:rsidR="004F05E9" w:rsidRDefault="004F05E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30B8634" w14:textId="77777777" w:rsidR="004F05E9" w:rsidRDefault="004F05E9">
    <w:pPr>
      <w:pStyle w:val="Footer"/>
      <w:spacing w:before="120" w:after="120"/>
      <w:ind w:right="360" w:firstLine="360"/>
      <w:jc w:val="center"/>
      <w:rPr>
        <w:sz w:val="20"/>
      </w:rPr>
    </w:pPr>
    <w:r>
      <w:rPr>
        <w:rStyle w:val="PageNumber"/>
        <w:sz w:val="20"/>
      </w:rPr>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03F7F" w14:textId="77777777" w:rsidR="00B8621B" w:rsidRDefault="00B8621B">
      <w:r>
        <w:separator/>
      </w:r>
    </w:p>
  </w:footnote>
  <w:footnote w:type="continuationSeparator" w:id="0">
    <w:p w14:paraId="0CBF4043" w14:textId="77777777" w:rsidR="00B8621B" w:rsidRDefault="00B8621B">
      <w:r>
        <w:continuationSeparator/>
      </w:r>
    </w:p>
  </w:footnote>
  <w:footnote w:id="1">
    <w:p w14:paraId="05F6687A" w14:textId="7732AC9B" w:rsidR="004F05E9" w:rsidRPr="000F749F" w:rsidRDefault="004F05E9">
      <w:pPr>
        <w:pStyle w:val="FootnoteText"/>
        <w:rPr>
          <w:lang w:val="en-US"/>
        </w:rPr>
      </w:pPr>
      <w:r>
        <w:rPr>
          <w:rStyle w:val="FootnoteReference"/>
        </w:rPr>
        <w:footnoteRef/>
      </w:r>
      <w:r>
        <w:t xml:space="preserve"> When EE improvements are referred to in this report we compare the energy used by an improved design to a baseline design. For example, if System A uses 10 units of energy and System B uses 8 units, there is a 20% efficiency improvement.</w:t>
      </w:r>
    </w:p>
  </w:footnote>
  <w:footnote w:id="2">
    <w:p w14:paraId="6B6B336F" w14:textId="2470CC1C" w:rsidR="004F05E9" w:rsidRPr="00AD26E7" w:rsidRDefault="004F05E9" w:rsidP="00BB0E86">
      <w:pPr>
        <w:pStyle w:val="FootnoteText"/>
        <w:rPr>
          <w:lang w:val="en-US"/>
        </w:rPr>
      </w:pPr>
      <w:r>
        <w:rPr>
          <w:rStyle w:val="FootnoteReference"/>
        </w:rPr>
        <w:footnoteRef/>
      </w:r>
      <w:r>
        <w:t xml:space="preserve"> </w:t>
      </w:r>
      <w:r w:rsidRPr="00392DCF">
        <w:t xml:space="preserve">The International Energy Agency (IEA) defines </w:t>
      </w:r>
      <w:r>
        <w:t>EE</w:t>
      </w:r>
      <w:r w:rsidRPr="00392DCF">
        <w:t xml:space="preserve"> as “a way of managing and restraining the growth in energy consumption. Something is more energy efficient if it delivers more services for the same energy input, or the same services for less energy input. For example, when a compact florescent light (CFL) bulb uses less energy (one-third to one-fifth) than an incandescent bulb to produce the same amount of light, the CFL is considered to be more energy efficient.” (</w:t>
      </w:r>
      <w:hyperlink r:id="rId1" w:history="1">
        <w:r w:rsidRPr="00392DCF">
          <w:rPr>
            <w:rStyle w:val="Hyperlink"/>
          </w:rPr>
          <w:t>http://www.iea.org/topics/energyefficiency/</w:t>
        </w:r>
      </w:hyperlink>
      <w:r w:rsidRPr="00392DCF">
        <w:t>, accessed March 18, 2017)</w:t>
      </w:r>
    </w:p>
  </w:footnote>
  <w:footnote w:id="3">
    <w:p w14:paraId="6036B61A" w14:textId="2E0F5FDC" w:rsidR="004F05E9" w:rsidRPr="00C3500B" w:rsidRDefault="004F05E9" w:rsidP="007D246C">
      <w:pPr>
        <w:spacing w:after="0"/>
        <w:rPr>
          <w:lang w:val="en-US"/>
        </w:rPr>
      </w:pPr>
      <w:r>
        <w:rPr>
          <w:rStyle w:val="FootnoteReference"/>
        </w:rPr>
        <w:footnoteRef/>
      </w:r>
      <w:r>
        <w:t xml:space="preserve"> </w:t>
      </w:r>
      <w:r w:rsidRPr="00F15E60">
        <w:rPr>
          <w:sz w:val="18"/>
          <w:szCs w:val="18"/>
        </w:rPr>
        <w:t>E</w:t>
      </w:r>
      <w:r>
        <w:rPr>
          <w:sz w:val="18"/>
          <w:szCs w:val="18"/>
        </w:rPr>
        <w:t>E</w:t>
      </w:r>
      <w:r w:rsidRPr="00F15E60">
        <w:rPr>
          <w:sz w:val="18"/>
          <w:szCs w:val="18"/>
        </w:rPr>
        <w:t xml:space="preserve"> can be a performance parameter specifically associated with a product or RACHP unit</w:t>
      </w:r>
      <w:r>
        <w:rPr>
          <w:sz w:val="18"/>
          <w:szCs w:val="18"/>
        </w:rPr>
        <w:t xml:space="preserve"> (e.g., </w:t>
      </w:r>
      <w:r w:rsidRPr="00F15E60">
        <w:rPr>
          <w:sz w:val="18"/>
          <w:szCs w:val="18"/>
        </w:rPr>
        <w:t>domestic refrigerators, split air conditioners, refrigerated displays, chillers, etc</w:t>
      </w:r>
      <w:r>
        <w:rPr>
          <w:sz w:val="18"/>
          <w:szCs w:val="18"/>
        </w:rPr>
        <w:t xml:space="preserve">). </w:t>
      </w:r>
      <w:r w:rsidRPr="00F15E60">
        <w:rPr>
          <w:sz w:val="18"/>
          <w:szCs w:val="18"/>
        </w:rPr>
        <w:t xml:space="preserve">It can </w:t>
      </w:r>
      <w:r>
        <w:rPr>
          <w:sz w:val="18"/>
          <w:szCs w:val="18"/>
        </w:rPr>
        <w:t xml:space="preserve">also refer to RACHP system, for example in </w:t>
      </w:r>
      <w:r w:rsidRPr="00F15E60">
        <w:rPr>
          <w:sz w:val="18"/>
          <w:szCs w:val="18"/>
        </w:rPr>
        <w:t>the case of a building chilled water air conditioning system</w:t>
      </w:r>
      <w:r>
        <w:rPr>
          <w:sz w:val="18"/>
          <w:szCs w:val="18"/>
        </w:rPr>
        <w:t xml:space="preserve">, where </w:t>
      </w:r>
      <w:r w:rsidRPr="00F15E60">
        <w:rPr>
          <w:sz w:val="18"/>
          <w:szCs w:val="18"/>
        </w:rPr>
        <w:t xml:space="preserve">the system efficiency includes the efficiency of the </w:t>
      </w:r>
      <w:r w:rsidRPr="00A24B8D">
        <w:rPr>
          <w:sz w:val="18"/>
          <w:szCs w:val="18"/>
        </w:rPr>
        <w:t>chiller its</w:t>
      </w:r>
      <w:r>
        <w:rPr>
          <w:sz w:val="18"/>
          <w:szCs w:val="18"/>
        </w:rPr>
        <w:t>elf</w:t>
      </w:r>
      <w:r w:rsidRPr="00A24B8D">
        <w:rPr>
          <w:sz w:val="18"/>
          <w:szCs w:val="18"/>
        </w:rPr>
        <w:t>,</w:t>
      </w:r>
      <w:r w:rsidRPr="00F15E60">
        <w:rPr>
          <w:sz w:val="18"/>
          <w:szCs w:val="18"/>
        </w:rPr>
        <w:t xml:space="preserve"> the air and water displacement efficiencies (pumps, fans, etc.), the cooling towers, etc.</w:t>
      </w:r>
      <w:r>
        <w:rPr>
          <w:sz w:val="18"/>
          <w:szCs w:val="18"/>
        </w:rPr>
        <w:t xml:space="preserve"> </w:t>
      </w:r>
      <w:r w:rsidRPr="007D246C">
        <w:rPr>
          <w:sz w:val="18"/>
        </w:rPr>
        <w:t>E</w:t>
      </w:r>
      <w:r>
        <w:rPr>
          <w:sz w:val="18"/>
        </w:rPr>
        <w:t>E</w:t>
      </w:r>
      <w:r w:rsidRPr="007D246C">
        <w:rPr>
          <w:sz w:val="18"/>
        </w:rPr>
        <w:t xml:space="preserve"> is sometimes used to indicate the </w:t>
      </w:r>
      <w:r w:rsidRPr="007D246C">
        <w:rPr>
          <w:b/>
          <w:sz w:val="18"/>
        </w:rPr>
        <w:t>efficient use of energy</w:t>
      </w:r>
      <w:r w:rsidRPr="007D246C">
        <w:rPr>
          <w:sz w:val="18"/>
        </w:rPr>
        <w:t xml:space="preserve"> and it is related to the amount of energy that is used for an equipment or system to perform a task.</w:t>
      </w:r>
    </w:p>
  </w:footnote>
  <w:footnote w:id="4">
    <w:p w14:paraId="60D069AD" w14:textId="2DDF40FB" w:rsidR="004F05E9" w:rsidRDefault="004F05E9" w:rsidP="00D62A02">
      <w:pPr>
        <w:pStyle w:val="FootnoteText"/>
      </w:pPr>
      <w:r>
        <w:rPr>
          <w:rStyle w:val="FootnoteReference"/>
        </w:rPr>
        <w:footnoteRef/>
      </w:r>
      <w:r>
        <w:t xml:space="preserve"> When EE improvements are referred to in this report we compare the energy used by an improved design to a baseline design.  For example, if System A uses 10 units of energy and System B uses 8 units, there is a 20% efficiency improvement.</w:t>
      </w:r>
    </w:p>
    <w:p w14:paraId="4C838E8D" w14:textId="54DDECC0" w:rsidR="004F05E9" w:rsidRPr="00C3500B" w:rsidRDefault="004F05E9" w:rsidP="00D62A02">
      <w:pPr>
        <w:spacing w:after="0"/>
        <w:rPr>
          <w:lang w:val="en-US"/>
        </w:rPr>
      </w:pPr>
    </w:p>
  </w:footnote>
  <w:footnote w:id="5">
    <w:p w14:paraId="7D7721FB" w14:textId="2ABF6294" w:rsidR="004F05E9" w:rsidRPr="00031D16" w:rsidRDefault="004F05E9">
      <w:pPr>
        <w:pStyle w:val="FootnoteText"/>
        <w:rPr>
          <w:lang w:val="en-US"/>
        </w:rPr>
      </w:pPr>
      <w:r>
        <w:rPr>
          <w:rStyle w:val="FootnoteReference"/>
        </w:rPr>
        <w:footnoteRef/>
      </w:r>
      <w:r>
        <w:t xml:space="preserve"> </w:t>
      </w:r>
      <w:r w:rsidRPr="00203240">
        <w:t>The coefficient of performance or COP (sometimes CP or CoP) of a heat pump, refrigerator or air conditioning system is a ratio of useful heating or cooling provided to work required. Higher COPs equate to lower operating costs</w:t>
      </w:r>
    </w:p>
  </w:footnote>
  <w:footnote w:id="6">
    <w:p w14:paraId="6D1F8FF4" w14:textId="77777777" w:rsidR="004F05E9" w:rsidRDefault="004F05E9" w:rsidP="00225A6B">
      <w:pPr>
        <w:pStyle w:val="FootnoteText"/>
        <w:rPr>
          <w:lang w:val="en-US"/>
        </w:rPr>
      </w:pPr>
      <w:r>
        <w:rPr>
          <w:rStyle w:val="FootnoteReference"/>
        </w:rPr>
        <w:footnoteRef/>
      </w:r>
      <w:r>
        <w:t xml:space="preserve"> </w:t>
      </w:r>
      <w:r>
        <w:rPr>
          <w:lang w:val="en-US"/>
        </w:rPr>
        <w:t>Research has shown that over time, and with increasing scale of production the prices of more efficient equipment has come down in most markets. However, at any particular time, the most efficient equipment will still tend to be sold at a premium, even if the market as a whole tends toward higher efficiency.</w:t>
      </w:r>
    </w:p>
  </w:footnote>
  <w:footnote w:id="7">
    <w:p w14:paraId="26E83F09" w14:textId="77777777" w:rsidR="004F05E9" w:rsidRPr="00D2556D" w:rsidRDefault="004F05E9" w:rsidP="00A663AA">
      <w:pPr>
        <w:pStyle w:val="FootnoteText"/>
        <w:spacing w:after="0"/>
        <w:rPr>
          <w:lang w:val="en-US"/>
        </w:rPr>
      </w:pPr>
      <w:r>
        <w:rPr>
          <w:rStyle w:val="FootnoteReference"/>
        </w:rPr>
        <w:footnoteRef/>
      </w:r>
      <w:r w:rsidRPr="00D2556D">
        <w:rPr>
          <w:lang w:val="en-US"/>
        </w:rPr>
        <w:t xml:space="preserve"> </w:t>
      </w:r>
      <w:r>
        <w:rPr>
          <w:lang w:val="en-US"/>
        </w:rPr>
        <w:t xml:space="preserve">See </w:t>
      </w:r>
      <w:r w:rsidRPr="00DC7D26">
        <w:rPr>
          <w:lang w:val="en-US"/>
        </w:rPr>
        <w:t xml:space="preserve">CLASP.ngo, </w:t>
      </w:r>
      <w:hyperlink r:id="rId2" w:history="1">
        <w:r w:rsidRPr="00DC7D26">
          <w:rPr>
            <w:rStyle w:val="Hyperlink"/>
            <w:i/>
            <w:lang w:val="en-US"/>
          </w:rPr>
          <w:t>Standards &amp; Labeling Database</w:t>
        </w:r>
      </w:hyperlink>
      <w:r w:rsidRPr="00DC7D26">
        <w:rPr>
          <w:lang w:val="en-US"/>
        </w:rPr>
        <w:t xml:space="preserve"> (</w:t>
      </w:r>
      <w:r w:rsidRPr="00DC7D26">
        <w:rPr>
          <w:i/>
          <w:lang w:val="en-US"/>
        </w:rPr>
        <w:t>last accessed</w:t>
      </w:r>
      <w:r w:rsidRPr="00DC7D26">
        <w:rPr>
          <w:lang w:val="en-US"/>
        </w:rPr>
        <w:t xml:space="preserve"> 12 November 2017).</w:t>
      </w:r>
      <w:r>
        <w:rPr>
          <w:lang w:val="en-US"/>
        </w:rPr>
        <w:t xml:space="preserve"> </w:t>
      </w:r>
    </w:p>
  </w:footnote>
  <w:footnote w:id="8">
    <w:p w14:paraId="558FF8EA" w14:textId="35D05BA5" w:rsidR="004F05E9" w:rsidRPr="00D2556D" w:rsidRDefault="004F05E9" w:rsidP="004A2B75">
      <w:pPr>
        <w:pStyle w:val="FootnoteText"/>
        <w:spacing w:after="0"/>
        <w:rPr>
          <w:lang w:val="en-US"/>
        </w:rPr>
      </w:pPr>
      <w:r>
        <w:rPr>
          <w:rStyle w:val="FootnoteReference"/>
        </w:rPr>
        <w:footnoteRef/>
      </w:r>
      <w:r w:rsidRPr="00D2556D">
        <w:rPr>
          <w:lang w:val="en-US"/>
        </w:rPr>
        <w:t xml:space="preserve"> </w:t>
      </w:r>
      <w:r>
        <w:rPr>
          <w:lang w:val="en-US"/>
        </w:rPr>
        <w:t xml:space="preserve">See OzonAction, </w:t>
      </w:r>
      <w:hyperlink r:id="rId3" w:history="1">
        <w:r w:rsidRPr="00A5176F">
          <w:rPr>
            <w:rStyle w:val="Hyperlink"/>
            <w:lang w:val="en-US"/>
          </w:rPr>
          <w:t>http://web.unep.org/ozonaction/partnership/k-cep</w:t>
        </w:r>
      </w:hyperlink>
      <w:r>
        <w:rPr>
          <w:lang w:val="en-US"/>
        </w:rPr>
        <w:t xml:space="preserve">  “</w:t>
      </w:r>
      <w:r w:rsidRPr="008E5418">
        <w:rPr>
          <w:lang w:val="en-US"/>
        </w:rPr>
        <w:t>Under this 2-year project (2018-2019), one national energy policymaker (NEP) per country will be identified and twinned with the NOO from the same country to exchange experiences, develop skills, and share knowledge and ideas on the energy efficient refrigerant transition in support of the Kigali Amendment. UN Environment and its partners will provide these officials with specialized training, capacity building tools, country assessments, and national pilot project opportunities. This interaction will catalyze enhanced cooperation at the national level between these two stakeholder groups, and enable individual governments to integrate energy efficiency more rapidly into the ongoing Montreal Protocol process. Participation in the project is voluntary and offered</w:t>
      </w:r>
      <w:r>
        <w:rPr>
          <w:lang w:val="en-US"/>
        </w:rPr>
        <w:t xml:space="preserve"> as a service to NOOs and NEPs.”</w:t>
      </w:r>
    </w:p>
  </w:footnote>
  <w:footnote w:id="9">
    <w:p w14:paraId="0E070917" w14:textId="243C5794" w:rsidR="004F05E9" w:rsidRPr="00D2556D" w:rsidRDefault="004F05E9" w:rsidP="00A663AA">
      <w:pPr>
        <w:pStyle w:val="FootnoteText"/>
        <w:spacing w:after="0"/>
        <w:rPr>
          <w:lang w:val="en-US"/>
        </w:rPr>
      </w:pPr>
      <w:r>
        <w:rPr>
          <w:rStyle w:val="FootnoteReference"/>
        </w:rPr>
        <w:footnoteRef/>
      </w:r>
      <w:r w:rsidRPr="00D2556D">
        <w:rPr>
          <w:lang w:val="en-US"/>
        </w:rPr>
        <w:t xml:space="preserve"> </w:t>
      </w:r>
      <w:r>
        <w:rPr>
          <w:lang w:val="en-US"/>
        </w:rPr>
        <w:t>[</w:t>
      </w:r>
      <w:r w:rsidRPr="00D2556D">
        <w:rPr>
          <w:lang w:val="en-US"/>
        </w:rPr>
        <w:t>Gallaher</w:t>
      </w:r>
      <w:r>
        <w:rPr>
          <w:lang w:val="en-US"/>
        </w:rPr>
        <w:t xml:space="preserve"> et al., 2017]</w:t>
      </w:r>
      <w:r w:rsidRPr="00D2556D">
        <w:rPr>
          <w:lang w:val="en-US"/>
        </w:rPr>
        <w:t xml:space="preserve"> </w:t>
      </w:r>
      <w:r>
        <w:rPr>
          <w:lang w:val="en-US"/>
        </w:rPr>
        <w:t>(</w:t>
      </w:r>
      <w:r w:rsidRPr="00D2556D">
        <w:rPr>
          <w:lang w:val="en-US"/>
        </w:rPr>
        <w:t>2-8 “For refrigerators, and appliances more generally, energy performance is not a key selling point for most consumers, who tend to be more interested in other features. Standards programs are therefore essential to influence companies to direct R&amp;D toward energy performance. In contrast, manufacturers of heat pumps and central air conditioners do differentiate their product lines by energy performance, the highest-priced (highest profit margin) product lines being the most energy efficient. There, the effect of standards is to push manufacturers to incorporate the energy-efficient components and designs into lower-priced (lower profit margin), larger-market product lines sooner than they otherwise would.”).</w:t>
      </w:r>
    </w:p>
  </w:footnote>
  <w:footnote w:id="10">
    <w:p w14:paraId="3EF46AFB" w14:textId="77777777" w:rsidR="004F05E9" w:rsidRPr="00D2556D" w:rsidRDefault="004F05E9" w:rsidP="00A663AA">
      <w:pPr>
        <w:pStyle w:val="FootnoteText"/>
        <w:rPr>
          <w:lang w:val="en-US"/>
        </w:rPr>
      </w:pPr>
      <w:r>
        <w:rPr>
          <w:rStyle w:val="FootnoteReference"/>
        </w:rPr>
        <w:footnoteRef/>
      </w:r>
      <w:r w:rsidRPr="00D2556D">
        <w:rPr>
          <w:lang w:val="en-US"/>
        </w:rPr>
        <w:t xml:space="preserve"> </w:t>
      </w:r>
      <w:hyperlink r:id="rId4" w:history="1">
        <w:r w:rsidRPr="00D2556D">
          <w:rPr>
            <w:rStyle w:val="Hyperlink1"/>
            <w:lang w:val="en-US"/>
          </w:rPr>
          <w:t>https://ec.europa.eu/energy/en/topics/energy-efficiency/energy-efficient-products</w:t>
        </w:r>
      </w:hyperlink>
      <w:r w:rsidRPr="00D2556D">
        <w:rPr>
          <w:lang w:val="en-US"/>
        </w:rPr>
        <w:t xml:space="preserve"> </w:t>
      </w:r>
    </w:p>
  </w:footnote>
  <w:footnote w:id="11">
    <w:p w14:paraId="39D0F6F9" w14:textId="1DDDA6F3" w:rsidR="004F05E9" w:rsidRDefault="004F05E9" w:rsidP="00DB641A">
      <w:pPr>
        <w:pStyle w:val="FootnoteText"/>
      </w:pPr>
      <w:r>
        <w:rPr>
          <w:rStyle w:val="FootnoteReference"/>
        </w:rPr>
        <w:footnoteRef/>
      </w:r>
      <w:r>
        <w:t xml:space="preserve"> When EE improvements are referred to in this report we compare the energy used by an improved design to a baseline design.  For example, if System A uses 10 units of energy and system B uses 8 units, there is a 20% efficiency improvement.</w:t>
      </w:r>
    </w:p>
    <w:p w14:paraId="209F8A9F" w14:textId="77777777" w:rsidR="004F05E9" w:rsidRPr="00C3500B" w:rsidRDefault="004F05E9" w:rsidP="00DB641A">
      <w:pPr>
        <w:spacing w:after="0"/>
        <w:rPr>
          <w:lang w:val="en-US"/>
        </w:rPr>
      </w:pPr>
    </w:p>
  </w:footnote>
  <w:footnote w:id="12">
    <w:p w14:paraId="14915A2B" w14:textId="3616E335" w:rsidR="004F05E9" w:rsidRPr="00BB6A66" w:rsidRDefault="004F05E9" w:rsidP="00A663AA">
      <w:pPr>
        <w:pStyle w:val="Normalpool"/>
        <w:tabs>
          <w:tab w:val="clear" w:pos="1247"/>
          <w:tab w:val="clear" w:pos="1814"/>
          <w:tab w:val="clear" w:pos="2381"/>
          <w:tab w:val="clear" w:pos="2948"/>
          <w:tab w:val="clear" w:pos="3515"/>
          <w:tab w:val="clear" w:pos="4082"/>
          <w:tab w:val="left" w:pos="624"/>
        </w:tabs>
        <w:rPr>
          <w:rFonts w:eastAsiaTheme="minorHAnsi"/>
          <w:sz w:val="18"/>
          <w:szCs w:val="18"/>
          <w:lang w:val="en-US"/>
        </w:rPr>
      </w:pPr>
      <w:r>
        <w:rPr>
          <w:rStyle w:val="FootnoteReference"/>
        </w:rPr>
        <w:footnoteRef/>
      </w:r>
      <w:r w:rsidRPr="00496828">
        <w:rPr>
          <w:lang w:val="en-US"/>
        </w:rPr>
        <w:t xml:space="preserve"> </w:t>
      </w:r>
      <w:r w:rsidRPr="00496828">
        <w:rPr>
          <w:sz w:val="18"/>
          <w:szCs w:val="18"/>
          <w:lang w:val="en-US"/>
        </w:rPr>
        <w:t xml:space="preserve">Decision XXVIII/2: </w:t>
      </w:r>
      <w:r w:rsidRPr="00BB6A66">
        <w:rPr>
          <w:rFonts w:eastAsiaTheme="minorHAnsi"/>
          <w:sz w:val="18"/>
          <w:szCs w:val="18"/>
          <w:lang w:val="en-GB"/>
        </w:rPr>
        <w:t xml:space="preserve">To request the Executive Committee to include the following enabling activities to be funded in relation to the hydrofluorocarbon phase-down under the </w:t>
      </w:r>
      <w:r>
        <w:rPr>
          <w:rFonts w:eastAsiaTheme="minorHAnsi"/>
          <w:sz w:val="18"/>
          <w:szCs w:val="18"/>
          <w:lang w:val="en-GB"/>
        </w:rPr>
        <w:t xml:space="preserve">Kigali </w:t>
      </w:r>
      <w:r w:rsidRPr="00BB6A66">
        <w:rPr>
          <w:rFonts w:eastAsiaTheme="minorHAnsi"/>
          <w:sz w:val="18"/>
          <w:szCs w:val="18"/>
          <w:lang w:val="en-GB"/>
        </w:rPr>
        <w:t>Amendment:</w:t>
      </w:r>
    </w:p>
    <w:p w14:paraId="273CE87B" w14:textId="77777777" w:rsidR="004F05E9" w:rsidRPr="00BB6A66" w:rsidRDefault="004F05E9" w:rsidP="00736989">
      <w:pPr>
        <w:pStyle w:val="Normalnumber"/>
        <w:keepNext w:val="0"/>
        <w:numPr>
          <w:ilvl w:val="1"/>
          <w:numId w:val="71"/>
        </w:numPr>
        <w:spacing w:after="0"/>
        <w:ind w:left="567" w:hanging="283"/>
        <w:rPr>
          <w:rFonts w:ascii="Times New Roman" w:eastAsiaTheme="minorHAnsi" w:hAnsi="Times New Roman"/>
          <w:sz w:val="18"/>
          <w:szCs w:val="18"/>
        </w:rPr>
      </w:pPr>
      <w:r w:rsidRPr="00BB6A66">
        <w:rPr>
          <w:rFonts w:ascii="Times New Roman" w:eastAsiaTheme="minorHAnsi" w:hAnsi="Times New Roman"/>
          <w:sz w:val="18"/>
          <w:szCs w:val="18"/>
        </w:rPr>
        <w:t>Capacity-building and training for the handling of hydrofluorocarbon alternatives in the servicing, manufacturing and production sectors;</w:t>
      </w:r>
    </w:p>
    <w:p w14:paraId="66AF8DC0" w14:textId="77777777" w:rsidR="004F05E9" w:rsidRPr="00BB6A66" w:rsidRDefault="004F05E9" w:rsidP="00736989">
      <w:pPr>
        <w:pStyle w:val="Normalnumber"/>
        <w:keepNext w:val="0"/>
        <w:numPr>
          <w:ilvl w:val="1"/>
          <w:numId w:val="71"/>
        </w:numPr>
        <w:spacing w:after="0"/>
        <w:ind w:left="567" w:hanging="283"/>
        <w:rPr>
          <w:rFonts w:ascii="Times New Roman" w:eastAsiaTheme="minorHAnsi" w:hAnsi="Times New Roman"/>
          <w:sz w:val="18"/>
          <w:szCs w:val="18"/>
        </w:rPr>
      </w:pPr>
      <w:r w:rsidRPr="00BB6A66">
        <w:rPr>
          <w:rFonts w:ascii="Times New Roman" w:eastAsiaTheme="minorHAnsi" w:hAnsi="Times New Roman"/>
          <w:sz w:val="18"/>
          <w:szCs w:val="18"/>
        </w:rPr>
        <w:t>Institutional strengthening;</w:t>
      </w:r>
    </w:p>
    <w:p w14:paraId="77DDDB22" w14:textId="77777777" w:rsidR="004F05E9" w:rsidRPr="00BB6A66" w:rsidRDefault="004F05E9" w:rsidP="00736989">
      <w:pPr>
        <w:pStyle w:val="Normalnumber"/>
        <w:keepNext w:val="0"/>
        <w:numPr>
          <w:ilvl w:val="1"/>
          <w:numId w:val="71"/>
        </w:numPr>
        <w:spacing w:after="0"/>
        <w:ind w:left="567" w:hanging="283"/>
        <w:rPr>
          <w:rFonts w:ascii="Times New Roman" w:eastAsiaTheme="minorHAnsi" w:hAnsi="Times New Roman"/>
          <w:sz w:val="18"/>
          <w:szCs w:val="18"/>
        </w:rPr>
      </w:pPr>
      <w:r w:rsidRPr="00BB6A66">
        <w:rPr>
          <w:rFonts w:ascii="Times New Roman" w:eastAsiaTheme="minorHAnsi" w:hAnsi="Times New Roman"/>
          <w:sz w:val="18"/>
          <w:szCs w:val="18"/>
        </w:rPr>
        <w:t>Article 4B licensing;</w:t>
      </w:r>
    </w:p>
    <w:p w14:paraId="152CA622" w14:textId="77777777" w:rsidR="004F05E9" w:rsidRPr="00BB6A66" w:rsidRDefault="004F05E9" w:rsidP="00736989">
      <w:pPr>
        <w:pStyle w:val="Normalnumber"/>
        <w:keepNext w:val="0"/>
        <w:numPr>
          <w:ilvl w:val="1"/>
          <w:numId w:val="71"/>
        </w:numPr>
        <w:spacing w:after="0"/>
        <w:ind w:left="567" w:hanging="283"/>
        <w:rPr>
          <w:rFonts w:ascii="Times New Roman" w:eastAsiaTheme="minorHAnsi" w:hAnsi="Times New Roman"/>
          <w:sz w:val="18"/>
          <w:szCs w:val="18"/>
        </w:rPr>
      </w:pPr>
      <w:r w:rsidRPr="00BB6A66">
        <w:rPr>
          <w:rFonts w:ascii="Times New Roman" w:eastAsiaTheme="minorHAnsi" w:hAnsi="Times New Roman"/>
          <w:sz w:val="18"/>
          <w:szCs w:val="18"/>
        </w:rPr>
        <w:t>Reporting;</w:t>
      </w:r>
    </w:p>
    <w:p w14:paraId="6CEE26B6" w14:textId="77777777" w:rsidR="004F05E9" w:rsidRPr="00BB6A66" w:rsidRDefault="004F05E9" w:rsidP="00736989">
      <w:pPr>
        <w:pStyle w:val="Normalnumber"/>
        <w:keepNext w:val="0"/>
        <w:numPr>
          <w:ilvl w:val="1"/>
          <w:numId w:val="71"/>
        </w:numPr>
        <w:spacing w:after="0"/>
        <w:ind w:left="567" w:hanging="283"/>
        <w:rPr>
          <w:rFonts w:ascii="Times New Roman" w:eastAsiaTheme="minorHAnsi" w:hAnsi="Times New Roman"/>
          <w:sz w:val="18"/>
          <w:szCs w:val="18"/>
        </w:rPr>
      </w:pPr>
      <w:r w:rsidRPr="00BB6A66">
        <w:rPr>
          <w:rFonts w:ascii="Times New Roman" w:eastAsiaTheme="minorHAnsi" w:hAnsi="Times New Roman"/>
          <w:sz w:val="18"/>
          <w:szCs w:val="18"/>
        </w:rPr>
        <w:t>Demonstration projects; and</w:t>
      </w:r>
    </w:p>
    <w:p w14:paraId="07501572" w14:textId="77777777" w:rsidR="004F05E9" w:rsidRPr="00BB6A66" w:rsidRDefault="004F05E9" w:rsidP="00736989">
      <w:pPr>
        <w:pStyle w:val="Normalnumber"/>
        <w:keepNext w:val="0"/>
        <w:numPr>
          <w:ilvl w:val="1"/>
          <w:numId w:val="71"/>
        </w:numPr>
        <w:spacing w:after="0"/>
        <w:ind w:left="567" w:hanging="283"/>
        <w:rPr>
          <w:rFonts w:ascii="Times New Roman" w:eastAsiaTheme="minorHAnsi" w:hAnsi="Times New Roman"/>
          <w:sz w:val="18"/>
          <w:szCs w:val="18"/>
        </w:rPr>
      </w:pPr>
      <w:r w:rsidRPr="00BB6A66">
        <w:rPr>
          <w:rFonts w:ascii="Times New Roman" w:eastAsiaTheme="minorHAnsi" w:hAnsi="Times New Roman"/>
          <w:sz w:val="18"/>
          <w:szCs w:val="18"/>
        </w:rPr>
        <w:t>Development of national strategies;</w:t>
      </w:r>
    </w:p>
    <w:p w14:paraId="26537DAC" w14:textId="77777777" w:rsidR="004F05E9" w:rsidRPr="003D423F" w:rsidRDefault="004F05E9" w:rsidP="00A663AA">
      <w:pPr>
        <w:pStyle w:val="FootnoteText"/>
        <w:rPr>
          <w:lang w:val="en-US"/>
        </w:rPr>
      </w:pPr>
    </w:p>
  </w:footnote>
  <w:footnote w:id="13">
    <w:p w14:paraId="0ED40843" w14:textId="088E5964" w:rsidR="004F05E9" w:rsidRPr="00031D16" w:rsidRDefault="004F05E9">
      <w:pPr>
        <w:pStyle w:val="FootnoteText"/>
        <w:rPr>
          <w:lang w:val="en-US"/>
        </w:rPr>
      </w:pPr>
      <w:r>
        <w:rPr>
          <w:rStyle w:val="FootnoteReference"/>
        </w:rPr>
        <w:footnoteRef/>
      </w:r>
      <w:r>
        <w:t xml:space="preserve"> F</w:t>
      </w:r>
      <w:r w:rsidRPr="00A90547">
        <w:t>or more information on specific projects, see http://k-cep.org/wp-content/uploads/2018/03/Global-regional-and-country-profiles-of-K-CEP-projects.pdf; www.thegef.org</w:t>
      </w:r>
      <w:r>
        <w:t>.</w:t>
      </w:r>
    </w:p>
  </w:footnote>
  <w:footnote w:id="14">
    <w:p w14:paraId="30393807" w14:textId="68FC3CEF" w:rsidR="004F05E9" w:rsidRDefault="004F05E9" w:rsidP="00A663AA">
      <w:pPr>
        <w:pStyle w:val="FootnoteText"/>
      </w:pPr>
      <w:r>
        <w:rPr>
          <w:rStyle w:val="FootnoteReference"/>
        </w:rPr>
        <w:footnoteRef/>
      </w:r>
      <w:r>
        <w:t xml:space="preserve"> For example, [Fridley et al 2001] used the Oak Ridge National Laboratory (ORNL) Heat Pump Design Model, Mark V, version 95d [ORNL, 1996; Fischer &amp; Rice, 1983; Fischer et al. 1988].</w:t>
      </w:r>
    </w:p>
  </w:footnote>
  <w:footnote w:id="15">
    <w:p w14:paraId="6F10B955" w14:textId="66AFCBEB" w:rsidR="004F05E9" w:rsidRPr="00A05A78" w:rsidRDefault="004F05E9">
      <w:pPr>
        <w:pStyle w:val="FootnoteText"/>
        <w:rPr>
          <w:lang w:val="en-US"/>
        </w:rPr>
      </w:pPr>
      <w:r>
        <w:rPr>
          <w:rStyle w:val="FootnoteReference"/>
        </w:rPr>
        <w:footnoteRef/>
      </w:r>
      <w:r>
        <w:t xml:space="preserve"> </w:t>
      </w:r>
      <w:hyperlink r:id="rId5" w:history="1">
        <w:r w:rsidRPr="00234CAD">
          <w:rPr>
            <w:rStyle w:val="Hyperlink"/>
          </w:rPr>
          <w:t>https://www.regulations.gov/document?D=EERE-2014-BT-STD-0048-0098</w:t>
        </w:r>
      </w:hyperlink>
      <w:r>
        <w:t xml:space="preserve"> </w:t>
      </w:r>
    </w:p>
  </w:footnote>
  <w:footnote w:id="16">
    <w:p w14:paraId="34C77DBB" w14:textId="458833F1" w:rsidR="004F05E9" w:rsidRPr="00C93833" w:rsidRDefault="004F05E9">
      <w:pPr>
        <w:pStyle w:val="FootnoteText"/>
        <w:rPr>
          <w:lang w:val="en-US"/>
        </w:rPr>
      </w:pPr>
      <w:r>
        <w:rPr>
          <w:rStyle w:val="FootnoteReference"/>
        </w:rPr>
        <w:footnoteRef/>
      </w:r>
      <w:r>
        <w:t xml:space="preserve"> </w:t>
      </w:r>
      <w:r w:rsidRPr="00C93833">
        <w:t>http://www.emersonclimate.com/europe/en-eu/About_Us/News/Documents/FFR196-Emerson-Fact-sheet-Integral-Disp</w:t>
      </w:r>
      <w:r>
        <w:t>lay-Case-Technology-EN-1711.pdf</w:t>
      </w:r>
    </w:p>
  </w:footnote>
  <w:footnote w:id="17">
    <w:p w14:paraId="1E2722A9" w14:textId="77777777" w:rsidR="004F05E9" w:rsidRDefault="004F05E9" w:rsidP="00A663AA">
      <w:pPr>
        <w:pStyle w:val="FootnoteText"/>
      </w:pPr>
      <w:r>
        <w:rPr>
          <w:rStyle w:val="FootnoteReference"/>
        </w:rPr>
        <w:footnoteRef/>
      </w:r>
      <w:r>
        <w:t xml:space="preserve"> Trial standard levels 1,2,3 and 4 correspond to seasonal energy efficiency ratio (SEERs) of 14.5, 15.0, 16.0 and 19.0 BTU/hr/W respectively for 2 ton mini-split ACs. These “Trial standard levels” were defined differently for various product categories.</w:t>
      </w:r>
    </w:p>
  </w:footnote>
  <w:footnote w:id="18">
    <w:p w14:paraId="5E69771F" w14:textId="77777777" w:rsidR="004F05E9" w:rsidRPr="003C69B4" w:rsidRDefault="004F05E9" w:rsidP="00A663AA">
      <w:pPr>
        <w:pStyle w:val="FootnoteText"/>
        <w:rPr>
          <w:lang w:val="en-US"/>
        </w:rPr>
      </w:pPr>
      <w:r>
        <w:rPr>
          <w:rStyle w:val="FootnoteReference"/>
        </w:rPr>
        <w:footnoteRef/>
      </w:r>
      <w:r>
        <w:t xml:space="preserve"> </w:t>
      </w:r>
      <w:r>
        <w:rPr>
          <w:lang w:val="en-US"/>
        </w:rPr>
        <w:t>Total 2015 shipments included all types of central AC and heat pump systems shipped in the US.</w:t>
      </w:r>
    </w:p>
  </w:footnote>
  <w:footnote w:id="19">
    <w:p w14:paraId="09A4F41C" w14:textId="2BAB881A" w:rsidR="004F05E9" w:rsidRDefault="004F05E9">
      <w:pPr>
        <w:pStyle w:val="FootnoteText"/>
        <w:rPr>
          <w:lang w:val="en-US"/>
        </w:rPr>
      </w:pPr>
      <w:r>
        <w:rPr>
          <w:rStyle w:val="FootnoteReference"/>
        </w:rPr>
        <w:footnoteRef/>
      </w:r>
      <w:r>
        <w:t xml:space="preserve"> </w:t>
      </w:r>
      <w:hyperlink r:id="rId6" w:history="1">
        <w:r w:rsidRPr="002703A0">
          <w:rPr>
            <w:rStyle w:val="Hyperlink"/>
            <w:lang w:val="en-US"/>
          </w:rPr>
          <w:t>www.thegef.org</w:t>
        </w:r>
      </w:hyperlink>
    </w:p>
    <w:p w14:paraId="29E7D9CD" w14:textId="77777777" w:rsidR="004F05E9" w:rsidRPr="00CD06AB" w:rsidRDefault="004F05E9">
      <w:pPr>
        <w:pStyle w:val="FootnoteText"/>
        <w:rPr>
          <w:lang w:val="en-US"/>
        </w:rPr>
      </w:pPr>
    </w:p>
  </w:footnote>
  <w:footnote w:id="20">
    <w:p w14:paraId="1A3AE92F" w14:textId="3D71E854" w:rsidR="004F05E9" w:rsidRPr="0020250E" w:rsidRDefault="004F05E9" w:rsidP="008245A8">
      <w:pPr>
        <w:rPr>
          <w:rFonts w:ascii="Times" w:eastAsia="Times New Roman" w:hAnsi="Times"/>
          <w:color w:val="auto"/>
          <w:sz w:val="20"/>
          <w:lang w:val="en-CA" w:eastAsia="en-US"/>
        </w:rPr>
      </w:pPr>
      <w:r>
        <w:rPr>
          <w:rStyle w:val="FootnoteReference"/>
        </w:rPr>
        <w:footnoteRef/>
      </w:r>
      <w:r>
        <w:t xml:space="preserve"> </w:t>
      </w:r>
      <w:r w:rsidRPr="0020250E">
        <w:rPr>
          <w:rFonts w:ascii="Times" w:eastAsia="Times New Roman" w:hAnsi="Times"/>
          <w:color w:val="auto"/>
          <w:sz w:val="20"/>
          <w:lang w:val="en-CA" w:eastAsia="en-US"/>
        </w:rPr>
        <w:t xml:space="preserve">There is not a unique definition of concessionality but this term has traditionally been used in the context of lending to governments, particularly as part of the definition of external debt accounting. The International Monetary Fund (IMF) defines concessional lending as “loans that are extended on terms substantially more generous than market loans. The concessionality is achieved either through interest rates below those available on the market or by grace periods, or a combination of these. Concessional loans typically have long grace periods”. </w:t>
      </w:r>
      <w:r>
        <w:rPr>
          <w:rFonts w:ascii="Times" w:eastAsia="Times New Roman" w:hAnsi="Times"/>
          <w:color w:val="auto"/>
          <w:sz w:val="20"/>
          <w:lang w:val="en-CA" w:eastAsia="en-US"/>
        </w:rPr>
        <w:t xml:space="preserve"> [</w:t>
      </w:r>
      <w:r w:rsidRPr="0020250E">
        <w:rPr>
          <w:rFonts w:ascii="Times" w:eastAsia="Times New Roman" w:hAnsi="Times"/>
          <w:color w:val="auto"/>
          <w:sz w:val="20"/>
          <w:lang w:val="en-CA" w:eastAsia="en-US"/>
        </w:rPr>
        <w:t>IMF, 2003, External Debt Statistics: Guide for Compilers and Users – Appendix III, Glossary, IMF, Washington DC. GCF/B.19/12/R</w:t>
      </w:r>
      <w:r>
        <w:rPr>
          <w:rFonts w:ascii="Times" w:eastAsia="Times New Roman" w:hAnsi="Times"/>
          <w:color w:val="auto"/>
          <w:sz w:val="20"/>
          <w:lang w:val="en-CA" w:eastAsia="en-US"/>
        </w:rPr>
        <w:t>]</w:t>
      </w:r>
    </w:p>
    <w:p w14:paraId="1BAA55A9" w14:textId="04DE1F78" w:rsidR="004F05E9" w:rsidRPr="008245A8" w:rsidRDefault="004F05E9">
      <w:pPr>
        <w:pStyle w:val="FootnoteText"/>
        <w:rPr>
          <w:lang w:val="en-US"/>
        </w:rPr>
      </w:pPr>
    </w:p>
  </w:footnote>
  <w:footnote w:id="21">
    <w:p w14:paraId="428DF662" w14:textId="21F1292D" w:rsidR="004F05E9" w:rsidRDefault="004F05E9" w:rsidP="003223A6">
      <w:pPr>
        <w:pStyle w:val="FootnoteText"/>
        <w:spacing w:after="0"/>
      </w:pPr>
      <w:r>
        <w:rPr>
          <w:rStyle w:val="FootnoteReference"/>
        </w:rPr>
        <w:footnoteRef/>
      </w:r>
      <w:r>
        <w:t xml:space="preserve"> </w:t>
      </w:r>
      <w:r w:rsidRPr="003223A6">
        <w:t xml:space="preserve">World Bank; IFC; MIGA. 2016. World Bank Group Climate Change Action Plan 2016-2020. World Bank, Washington, DC. </w:t>
      </w:r>
      <w:hyperlink r:id="rId7" w:history="1">
        <w:r w:rsidRPr="002703A0">
          <w:rPr>
            <w:rStyle w:val="Hyperlink"/>
          </w:rPr>
          <w:t>https://openknowledge.worldbank.org/handle/10986/24451</w:t>
        </w:r>
      </w:hyperlink>
    </w:p>
    <w:p w14:paraId="384244D6" w14:textId="77777777" w:rsidR="004F05E9" w:rsidRPr="003223A6" w:rsidRDefault="004F05E9">
      <w:pPr>
        <w:pStyle w:val="FootnoteText"/>
        <w:rPr>
          <w:lang w:val="en-US"/>
        </w:rPr>
      </w:pPr>
    </w:p>
  </w:footnote>
  <w:footnote w:id="22">
    <w:p w14:paraId="7CAD2C08" w14:textId="77777777" w:rsidR="004F05E9" w:rsidRDefault="004F05E9" w:rsidP="00DE7C74">
      <w:pPr>
        <w:pStyle w:val="FootnoteText"/>
        <w:spacing w:after="0"/>
      </w:pPr>
      <w:r>
        <w:rPr>
          <w:rStyle w:val="FootnoteReference"/>
        </w:rPr>
        <w:footnoteRef/>
      </w:r>
      <w:r>
        <w:t xml:space="preserve"> </w:t>
      </w:r>
      <w:hyperlink r:id="rId8" w:history="1">
        <w:r w:rsidRPr="002703A0">
          <w:rPr>
            <w:rStyle w:val="Hyperlink"/>
          </w:rPr>
          <w:t>http://www.worldbank.org/en/news/feature/2016/10/17/staying-cool-without-heating-up</w:t>
        </w:r>
      </w:hyperlink>
    </w:p>
    <w:p w14:paraId="1A7F3A80" w14:textId="77777777" w:rsidR="004F05E9" w:rsidRPr="00E578C7" w:rsidRDefault="004F05E9" w:rsidP="00DE7C74">
      <w:pPr>
        <w:pStyle w:val="FootnoteText"/>
        <w:spacing w:after="0"/>
        <w:rPr>
          <w:lang w:val="en-US"/>
        </w:rPr>
      </w:pPr>
    </w:p>
  </w:footnote>
  <w:footnote w:id="23">
    <w:p w14:paraId="6263684B" w14:textId="7AD7A960" w:rsidR="004F05E9" w:rsidRPr="00031D16" w:rsidRDefault="004F05E9" w:rsidP="00031D16">
      <w:pPr>
        <w:pStyle w:val="CommentText"/>
        <w:spacing w:after="0"/>
        <w:rPr>
          <w:rFonts w:ascii="Times New Roman" w:hAnsi="Times New Roman"/>
          <w:sz w:val="18"/>
          <w:szCs w:val="18"/>
        </w:rPr>
      </w:pPr>
      <w:r>
        <w:rPr>
          <w:rStyle w:val="FootnoteReference"/>
        </w:rPr>
        <w:footnoteRef/>
      </w:r>
      <w:r>
        <w:t xml:space="preserve"> </w:t>
      </w:r>
      <w:r w:rsidRPr="00031D16">
        <w:rPr>
          <w:rFonts w:ascii="Times New Roman" w:hAnsi="Times New Roman"/>
          <w:sz w:val="18"/>
          <w:szCs w:val="18"/>
        </w:rPr>
        <w:t>Sources:</w:t>
      </w:r>
      <w:r>
        <w:rPr>
          <w:rFonts w:ascii="Times New Roman" w:hAnsi="Times New Roman"/>
          <w:sz w:val="18"/>
          <w:szCs w:val="18"/>
        </w:rPr>
        <w:t xml:space="preserve"> </w:t>
      </w:r>
    </w:p>
    <w:p w14:paraId="614E220A" w14:textId="3884BFA2" w:rsidR="004F05E9" w:rsidRPr="00BB266C" w:rsidRDefault="00B8621B" w:rsidP="00031D16">
      <w:pPr>
        <w:pStyle w:val="CommentText"/>
        <w:spacing w:after="0"/>
        <w:rPr>
          <w:rFonts w:ascii="Times New Roman" w:hAnsi="Times New Roman"/>
          <w:sz w:val="18"/>
          <w:szCs w:val="18"/>
        </w:rPr>
      </w:pPr>
      <w:hyperlink r:id="rId9" w:history="1">
        <w:r w:rsidR="004F05E9" w:rsidRPr="001A0CD1">
          <w:rPr>
            <w:rStyle w:val="Hyperlink"/>
            <w:rFonts w:ascii="Times New Roman" w:hAnsi="Times New Roman"/>
            <w:sz w:val="18"/>
            <w:szCs w:val="18"/>
          </w:rPr>
          <w:t>https://www.nerc.com/files/Glossary_of_Terms.pdf</w:t>
        </w:r>
      </w:hyperlink>
      <w:r w:rsidR="004F05E9" w:rsidRPr="00BB266C">
        <w:rPr>
          <w:rFonts w:ascii="Times New Roman" w:hAnsi="Times New Roman"/>
          <w:sz w:val="18"/>
          <w:szCs w:val="18"/>
        </w:rPr>
        <w:t>,</w:t>
      </w:r>
      <w:r w:rsidR="004F05E9">
        <w:rPr>
          <w:rFonts w:ascii="Times New Roman" w:hAnsi="Times New Roman"/>
          <w:sz w:val="18"/>
          <w:szCs w:val="18"/>
        </w:rPr>
        <w:t xml:space="preserve"> </w:t>
      </w:r>
      <w:hyperlink r:id="rId10" w:history="1">
        <w:r w:rsidR="004F05E9" w:rsidRPr="00BB266C">
          <w:rPr>
            <w:rStyle w:val="Hyperlink"/>
            <w:rFonts w:ascii="Times New Roman" w:hAnsi="Times New Roman"/>
            <w:sz w:val="18"/>
            <w:szCs w:val="18"/>
          </w:rPr>
          <w:t>https://www.eia.gov/tools/glossary/?id=electricity</w:t>
        </w:r>
      </w:hyperlink>
      <w:r w:rsidR="004F05E9" w:rsidRPr="00BB266C">
        <w:rPr>
          <w:rStyle w:val="Hyperlink"/>
          <w:rFonts w:ascii="Times New Roman" w:hAnsi="Times New Roman"/>
          <w:sz w:val="18"/>
          <w:szCs w:val="18"/>
        </w:rPr>
        <w:t xml:space="preserve">, </w:t>
      </w:r>
      <w:hyperlink r:id="rId11" w:history="1">
        <w:r w:rsidR="004F05E9" w:rsidRPr="00BB266C">
          <w:rPr>
            <w:rStyle w:val="Hyperlink"/>
            <w:rFonts w:ascii="Times New Roman" w:hAnsi="Times New Roman"/>
            <w:sz w:val="18"/>
            <w:szCs w:val="18"/>
          </w:rPr>
          <w:t>https://www.iea.org/statistics/resources/unitconverter/</w:t>
        </w:r>
      </w:hyperlink>
      <w:r w:rsidR="004F05E9" w:rsidRPr="00BB266C">
        <w:rPr>
          <w:rStyle w:val="Hyperlink"/>
          <w:rFonts w:ascii="Times New Roman" w:hAnsi="Times New Roman"/>
          <w:sz w:val="18"/>
          <w:szCs w:val="18"/>
        </w:rPr>
        <w:t xml:space="preserve">, </w:t>
      </w:r>
      <w:hyperlink r:id="rId12" w:history="1">
        <w:r w:rsidR="004F05E9" w:rsidRPr="00BB266C">
          <w:rPr>
            <w:rStyle w:val="Hyperlink"/>
            <w:rFonts w:ascii="Times New Roman" w:hAnsi="Times New Roman"/>
            <w:sz w:val="18"/>
            <w:szCs w:val="18"/>
          </w:rPr>
          <w:t>http://www.iea.org/about/glossary/</w:t>
        </w:r>
      </w:hyperlink>
    </w:p>
    <w:p w14:paraId="0D7CBB7E" w14:textId="77777777" w:rsidR="004F05E9" w:rsidRPr="00E578C7" w:rsidRDefault="004F05E9" w:rsidP="000C52B6">
      <w:pPr>
        <w:pStyle w:val="FootnoteText"/>
        <w:spacing w:after="0"/>
        <w:rPr>
          <w:lang w:val="en-US"/>
        </w:rPr>
      </w:pPr>
    </w:p>
  </w:footnote>
  <w:footnote w:id="24">
    <w:p w14:paraId="0AFBAFC0" w14:textId="77777777" w:rsidR="004F05E9" w:rsidRPr="00D2556D" w:rsidRDefault="004F05E9" w:rsidP="001D6A45">
      <w:pPr>
        <w:pStyle w:val="FootnoteText"/>
        <w:rPr>
          <w:lang w:val="en-US"/>
        </w:rPr>
      </w:pPr>
      <w:r>
        <w:rPr>
          <w:rStyle w:val="FootnoteReference"/>
        </w:rPr>
        <w:footnoteRef/>
      </w:r>
      <w:r w:rsidRPr="00D2556D">
        <w:rPr>
          <w:lang w:val="en-US"/>
        </w:rPr>
        <w:t xml:space="preserve"> </w:t>
      </w:r>
      <w:r>
        <w:rPr>
          <w:lang w:val="en-US"/>
        </w:rPr>
        <w:t>[U4E,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3667A" w14:textId="66C5E0C1" w:rsidR="004F05E9" w:rsidRDefault="004F05E9">
    <w:pPr>
      <w:pStyle w:val="Header"/>
    </w:pPr>
    <w:r>
      <w:rPr>
        <w:noProof/>
        <w:lang w:val="en-US" w:eastAsia="en-US"/>
      </w:rPr>
      <mc:AlternateContent>
        <mc:Choice Requires="wps">
          <w:drawing>
            <wp:anchor distT="0" distB="0" distL="114300" distR="114300" simplePos="0" relativeHeight="251661312" behindDoc="1" locked="0" layoutInCell="0" allowOverlap="1" wp14:anchorId="38DF273D" wp14:editId="63F11943">
              <wp:simplePos x="0" y="0"/>
              <wp:positionH relativeFrom="margin">
                <wp:align>center</wp:align>
              </wp:positionH>
              <wp:positionV relativeFrom="margin">
                <wp:align>center</wp:align>
              </wp:positionV>
              <wp:extent cx="6631940" cy="106045"/>
              <wp:effectExtent l="0" t="2085975" r="0" b="2009775"/>
              <wp:wrapNone/>
              <wp:docPr id="1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C9CDC5"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DF273D" id="_x0000_t202" coordsize="21600,21600" o:spt="202" path="m,l,21600r21600,l21600,xe">
              <v:stroke joinstyle="miter"/>
              <v:path gradientshapeok="t" o:connecttype="rect"/>
            </v:shapetype>
            <v:shape id="WordArt 8" o:spid="_x0000_s1028" type="#_x0000_t202" style="position:absolute;margin-left:0;margin-top:0;width:522.2pt;height:8.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" o:allowincell="f" filled="f" stroked="f">
              <v:stroke joinstyle="round"/>
              <o:lock v:ext="edit" shapetype="t"/>
              <v:textbox style="mso-fit-shape-to-text:t">
                <w:txbxContent>
                  <w:p w14:paraId="04C9CDC5"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F99D" w14:textId="694F38A0" w:rsidR="004F05E9" w:rsidRPr="00656E7D" w:rsidRDefault="004F05E9" w:rsidP="00656E7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2F7F7" w14:textId="7787BB58" w:rsidR="004F05E9" w:rsidRDefault="004F05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58A53" w14:textId="687CCEB2" w:rsidR="004F05E9" w:rsidRDefault="004F05E9">
    <w:pPr>
      <w:pStyle w:val="Header"/>
      <w:jc w:val="right"/>
    </w:pPr>
    <w:r>
      <w:rPr>
        <w:noProof/>
        <w:lang w:val="en-US" w:eastAsia="en-US"/>
      </w:rPr>
      <mc:AlternateContent>
        <mc:Choice Requires="wps">
          <w:drawing>
            <wp:anchor distT="0" distB="0" distL="114300" distR="114300" simplePos="0" relativeHeight="251692032" behindDoc="1" locked="0" layoutInCell="0" allowOverlap="1" wp14:anchorId="3CC60635" wp14:editId="13E8F5E0">
              <wp:simplePos x="0" y="0"/>
              <wp:positionH relativeFrom="margin">
                <wp:align>center</wp:align>
              </wp:positionH>
              <wp:positionV relativeFrom="margin">
                <wp:align>center</wp:align>
              </wp:positionV>
              <wp:extent cx="6631940" cy="106045"/>
              <wp:effectExtent l="0" t="2085975" r="0" b="200977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A22235"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C60635" id="_x0000_t202" coordsize="21600,21600" o:spt="202" path="m,l,21600r21600,l21600,xe">
              <v:stroke joinstyle="miter"/>
              <v:path gradientshapeok="t" o:connecttype="rect"/>
            </v:shapetype>
            <v:shape id="WordArt 2" o:spid="_x0000_s1034" type="#_x0000_t202" style="position:absolute;left:0;text-align:left;margin-left:0;margin-top:0;width:522.2pt;height:8.35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" o:allowincell="f" filled="f" stroked="f">
              <v:stroke joinstyle="round"/>
              <o:lock v:ext="edit" shapetype="t"/>
              <v:textbox style="mso-fit-shape-to-text:t">
                <w:txbxContent>
                  <w:p w14:paraId="49A22235"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r>
      <w:rPr>
        <w:sz w:val="20"/>
        <w:lang w:val="en-US"/>
      </w:rPr>
      <w:t>Annex II: Major Chemical Formulae and Nomenclature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16ED" w14:textId="17125FE1" w:rsidR="004F05E9" w:rsidRDefault="004F05E9">
    <w:pPr>
      <w:pStyle w:val="Header"/>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EAA12" w14:textId="1F3C545A" w:rsidR="004F05E9" w:rsidRDefault="004F05E9">
    <w:pPr>
      <w:pStyle w:val="Header"/>
    </w:pPr>
    <w:r>
      <w:rPr>
        <w:noProof/>
        <w:lang w:val="en-US" w:eastAsia="en-US"/>
      </w:rPr>
      <mc:AlternateContent>
        <mc:Choice Requires="wps">
          <w:drawing>
            <wp:anchor distT="0" distB="0" distL="114300" distR="114300" simplePos="0" relativeHeight="251689984" behindDoc="1" locked="0" layoutInCell="0" allowOverlap="1" wp14:anchorId="6B2D44F3" wp14:editId="42BB0F6B">
              <wp:simplePos x="0" y="0"/>
              <wp:positionH relativeFrom="margin">
                <wp:align>center</wp:align>
              </wp:positionH>
              <wp:positionV relativeFrom="margin">
                <wp:align>center</wp:align>
              </wp:positionV>
              <wp:extent cx="6631940" cy="106045"/>
              <wp:effectExtent l="0" t="2085975" r="0" b="200977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AE4C55"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2D44F3" id="_x0000_t202" coordsize="21600,21600" o:spt="202" path="m,l,21600r21600,l21600,xe">
              <v:stroke joinstyle="miter"/>
              <v:path gradientshapeok="t" o:connecttype="rect"/>
            </v:shapetype>
            <v:shape id="WordArt 1" o:spid="_x0000_s1035" type="#_x0000_t202" style="position:absolute;margin-left:0;margin-top:0;width:522.2pt;height:8.35pt;rotation:-45;z-index:-251626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" o:allowincell="f" filled="f" stroked="f">
              <v:stroke joinstyle="round"/>
              <o:lock v:ext="edit" shapetype="t"/>
              <v:textbox style="mso-fit-shape-to-text:t">
                <w:txbxContent>
                  <w:p w14:paraId="67AE4C55"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3EFA8" w14:textId="504C2CD8" w:rsidR="004F05E9" w:rsidRDefault="004F05E9">
    <w:pPr>
      <w:pStyle w:val="Header"/>
    </w:pPr>
    <w:r>
      <w:rPr>
        <w:noProof/>
        <w:lang w:val="en-US" w:eastAsia="en-US"/>
      </w:rPr>
      <mc:AlternateContent>
        <mc:Choice Requires="wps">
          <w:drawing>
            <wp:anchor distT="0" distB="0" distL="114300" distR="114300" simplePos="0" relativeHeight="251663360" behindDoc="1" locked="0" layoutInCell="0" allowOverlap="1" wp14:anchorId="336311D5" wp14:editId="7AAFE0D5">
              <wp:simplePos x="0" y="0"/>
              <wp:positionH relativeFrom="margin">
                <wp:align>center</wp:align>
              </wp:positionH>
              <wp:positionV relativeFrom="margin">
                <wp:align>center</wp:align>
              </wp:positionV>
              <wp:extent cx="6631940" cy="106045"/>
              <wp:effectExtent l="0" t="2085975" r="0" b="2009775"/>
              <wp:wrapNone/>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6F841F"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6311D5" id="_x0000_t202" coordsize="21600,21600" o:spt="202" path="m,l,21600r21600,l21600,xe">
              <v:stroke joinstyle="miter"/>
              <v:path gradientshapeok="t" o:connecttype="rect"/>
            </v:shapetype>
            <v:shape id="WordArt 7" o:spid="_x0000_s1029" type="#_x0000_t202" style="position:absolute;margin-left:0;margin-top:0;width:522.2pt;height:8.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" o:allowincell="f" filled="f" stroked="f">
              <v:stroke joinstyle="round"/>
              <o:lock v:ext="edit" shapetype="t"/>
              <v:textbox style="mso-fit-shape-to-text:t">
                <w:txbxContent>
                  <w:p w14:paraId="6F6F841F"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0F2BD" w14:textId="4FFD8B64" w:rsidR="004F05E9" w:rsidRDefault="004F05E9">
    <w:pPr>
      <w:pStyle w:val="Header"/>
    </w:pPr>
    <w:r>
      <w:rPr>
        <w:noProof/>
        <w:lang w:val="en-US" w:eastAsia="en-US"/>
      </w:rPr>
      <mc:AlternateContent>
        <mc:Choice Requires="wps">
          <w:drawing>
            <wp:anchor distT="0" distB="0" distL="114300" distR="114300" simplePos="0" relativeHeight="251667456" behindDoc="1" locked="0" layoutInCell="0" allowOverlap="1" wp14:anchorId="48513E05" wp14:editId="6FC51C5B">
              <wp:simplePos x="0" y="0"/>
              <wp:positionH relativeFrom="margin">
                <wp:align>center</wp:align>
              </wp:positionH>
              <wp:positionV relativeFrom="margin">
                <wp:align>center</wp:align>
              </wp:positionV>
              <wp:extent cx="6631940" cy="1104900"/>
              <wp:effectExtent l="0" t="0" r="0" b="0"/>
              <wp:wrapNone/>
              <wp:docPr id="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335A1C" w14:textId="77777777" w:rsidR="004F05E9" w:rsidRDefault="004F05E9"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513E05" id="_x0000_t202" coordsize="21600,21600" o:spt="202" path="m,l,21600r21600,l21600,xe">
              <v:stroke joinstyle="miter"/>
              <v:path gradientshapeok="t" o:connecttype="rect"/>
            </v:shapetype>
            <v:shape id="_x0000_s1030" type="#_x0000_t202" style="position:absolute;margin-left:0;margin-top:0;width:522.2pt;height:87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" o:allowincell="f" filled="f" stroked="f">
              <v:stroke joinstyle="round"/>
              <v:path arrowok="t"/>
              <v:textbox>
                <w:txbxContent>
                  <w:p w14:paraId="5E335A1C" w14:textId="77777777" w:rsidR="004F05E9" w:rsidRDefault="004F05E9"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746B5" w14:textId="4CD96C05" w:rsidR="004F05E9" w:rsidRDefault="004F05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9598B" w14:textId="1561476B" w:rsidR="004F05E9" w:rsidRDefault="004F05E9">
    <w:pPr>
      <w:pStyle w:val="Header"/>
    </w:pPr>
    <w:r>
      <w:rPr>
        <w:noProof/>
        <w:lang w:val="en-US" w:eastAsia="en-US"/>
      </w:rPr>
      <mc:AlternateContent>
        <mc:Choice Requires="wps">
          <w:drawing>
            <wp:anchor distT="0" distB="0" distL="114300" distR="114300" simplePos="0" relativeHeight="251665408" behindDoc="1" locked="0" layoutInCell="0" allowOverlap="1" wp14:anchorId="77DDC764" wp14:editId="12373CBE">
              <wp:simplePos x="0" y="0"/>
              <wp:positionH relativeFrom="margin">
                <wp:align>center</wp:align>
              </wp:positionH>
              <wp:positionV relativeFrom="margin">
                <wp:align>center</wp:align>
              </wp:positionV>
              <wp:extent cx="6631940" cy="1104900"/>
              <wp:effectExtent l="0" t="0" r="0" b="0"/>
              <wp:wrapNone/>
              <wp:docPr id="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BB9C0" w14:textId="77777777" w:rsidR="004F05E9" w:rsidRDefault="004F05E9"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7DDC764" id="_x0000_t202" coordsize="21600,21600" o:spt="202" path="m,l,21600r21600,l21600,xe">
              <v:stroke joinstyle="miter"/>
              <v:path gradientshapeok="t" o:connecttype="rect"/>
            </v:shapetype>
            <v:shape id="_x0000_s1031" type="#_x0000_t202" style="position:absolute;margin-left:0;margin-top:0;width:522.2pt;height:87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" o:allowincell="f" filled="f" stroked="f">
              <v:stroke joinstyle="round"/>
              <v:path arrowok="t"/>
              <v:textbox>
                <w:txbxContent>
                  <w:p w14:paraId="020BB9C0" w14:textId="77777777" w:rsidR="004F05E9" w:rsidRDefault="004F05E9" w:rsidP="00AD0C75">
                    <w:pPr>
                      <w:pStyle w:val="NormalWeb"/>
                      <w:spacing w:before="0" w:after="0"/>
                      <w:jc w:val="center"/>
                      <w:rPr>
                        <w:sz w:val="24"/>
                        <w:szCs w:val="24"/>
                      </w:rPr>
                    </w:pPr>
                    <w:r>
                      <w:rPr>
                        <w:color w:val="C0C0C0"/>
                        <w:sz w:val="16"/>
                        <w:szCs w:val="16"/>
                        <w14:textFill>
                          <w14:solidFill>
                            <w14:srgbClr w14:val="C0C0C0">
                              <w14:alpha w14:val="50000"/>
                            </w14:srgbClr>
                          </w14:solidFill>
                        </w14:textFill>
                      </w:rPr>
                      <w:t>ADVANCE COPY</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7D0F" w14:textId="64525349" w:rsidR="004F05E9" w:rsidRDefault="004F05E9">
    <w:pPr>
      <w:pStyle w:val="Header"/>
    </w:pPr>
    <w:r>
      <w:rPr>
        <w:noProof/>
        <w:lang w:val="en-US" w:eastAsia="en-US"/>
      </w:rPr>
      <mc:AlternateContent>
        <mc:Choice Requires="wps">
          <w:drawing>
            <wp:anchor distT="0" distB="0" distL="114300" distR="114300" simplePos="0" relativeHeight="251673600" behindDoc="1" locked="0" layoutInCell="0" allowOverlap="1" wp14:anchorId="6C2210C6" wp14:editId="71EA6E44">
              <wp:simplePos x="0" y="0"/>
              <wp:positionH relativeFrom="margin">
                <wp:align>center</wp:align>
              </wp:positionH>
              <wp:positionV relativeFrom="margin">
                <wp:align>center</wp:align>
              </wp:positionV>
              <wp:extent cx="6631940" cy="106045"/>
              <wp:effectExtent l="0" t="2085975" r="0" b="2009775"/>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7DE661"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2210C6" id="_x0000_t202" coordsize="21600,21600" o:spt="202" path="m,l,21600r21600,l21600,xe">
              <v:stroke joinstyle="miter"/>
              <v:path gradientshapeok="t" o:connecttype="rect"/>
            </v:shapetype>
            <v:shape id="WordArt 6" o:spid="_x0000_s1032" type="#_x0000_t202" style="position:absolute;margin-left:0;margin-top:0;width:522.2pt;height:8.3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" o:allowincell="f" filled="f" stroked="f">
              <v:stroke joinstyle="round"/>
              <o:lock v:ext="edit" shapetype="t"/>
              <v:textbox style="mso-fit-shape-to-text:t">
                <w:txbxContent>
                  <w:p w14:paraId="6C7DE661"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DAB6A" w14:textId="45520B49" w:rsidR="004F05E9" w:rsidRDefault="004F05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8B5E" w14:textId="4C11DCD9" w:rsidR="004F05E9" w:rsidRDefault="004F05E9">
    <w:pPr>
      <w:pStyle w:val="Header"/>
    </w:pPr>
    <w:r>
      <w:rPr>
        <w:noProof/>
        <w:lang w:val="en-US" w:eastAsia="en-US"/>
      </w:rPr>
      <mc:AlternateContent>
        <mc:Choice Requires="wps">
          <w:drawing>
            <wp:anchor distT="0" distB="0" distL="114300" distR="114300" simplePos="0" relativeHeight="251671552" behindDoc="1" locked="0" layoutInCell="0" allowOverlap="1" wp14:anchorId="49952E19" wp14:editId="7B16579C">
              <wp:simplePos x="0" y="0"/>
              <wp:positionH relativeFrom="margin">
                <wp:align>center</wp:align>
              </wp:positionH>
              <wp:positionV relativeFrom="margin">
                <wp:align>center</wp:align>
              </wp:positionV>
              <wp:extent cx="6631940" cy="106045"/>
              <wp:effectExtent l="0" t="2085975" r="0" b="2009775"/>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3194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47E7F9"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952E19" id="_x0000_t202" coordsize="21600,21600" o:spt="202" path="m,l,21600r21600,l21600,xe">
              <v:stroke joinstyle="miter"/>
              <v:path gradientshapeok="t" o:connecttype="rect"/>
            </v:shapetype>
            <v:shape id="WordArt 5" o:spid="_x0000_s1033" type="#_x0000_t202" style="position:absolute;margin-left:0;margin-top:0;width:522.2pt;height:8.3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" o:allowincell="f" filled="f" stroked="f">
              <v:stroke joinstyle="round"/>
              <o:lock v:ext="edit" shapetype="t"/>
              <v:textbox style="mso-fit-shape-to-text:t">
                <w:txbxContent>
                  <w:p w14:paraId="4247E7F9" w14:textId="77777777" w:rsidR="004F05E9" w:rsidRDefault="004F05E9" w:rsidP="00897387">
                    <w:pPr>
                      <w:pStyle w:val="NormalWeb"/>
                      <w:spacing w:before="0" w:after="0"/>
                      <w:jc w:val="center"/>
                      <w:rPr>
                        <w:sz w:val="24"/>
                        <w:szCs w:val="24"/>
                      </w:rPr>
                    </w:pPr>
                    <w:r>
                      <w:rPr>
                        <w:color w:val="C0C0C0"/>
                        <w:sz w:val="2"/>
                        <w:szCs w:val="2"/>
                        <w14:textFill>
                          <w14:solidFill>
                            <w14:srgbClr w14:val="C0C0C0">
                              <w14:alpha w14:val="50000"/>
                            </w14:srgbClr>
                          </w14:solidFill>
                        </w14:textFill>
                      </w:rPr>
                      <w:t>ADVANCE COPY</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C8092" w14:textId="2D2B1847" w:rsidR="004F05E9" w:rsidRPr="00656E7D" w:rsidRDefault="004F05E9" w:rsidP="00656E7D">
    <w:r w:rsidRPr="00656E7D">
      <w:t>Annex II: Major Chemical Formulae and Nomenclature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B8ACA6"/>
    <w:lvl w:ilvl="0">
      <w:start w:val="1"/>
      <w:numFmt w:val="decimal"/>
      <w:pStyle w:val="ListNumber5"/>
      <w:lvlText w:val="%1."/>
      <w:lvlJc w:val="left"/>
      <w:pPr>
        <w:tabs>
          <w:tab w:val="num" w:pos="1492"/>
        </w:tabs>
        <w:ind w:left="1492" w:hanging="360"/>
      </w:pPr>
    </w:lvl>
  </w:abstractNum>
  <w:abstractNum w:abstractNumId="1" w15:restartNumberingAfterBreak="0">
    <w:nsid w:val="00000001"/>
    <w:multiLevelType w:val="hybridMultilevel"/>
    <w:tmpl w:val="039AA4C0"/>
    <w:lvl w:ilvl="0" w:tplc="F9F49216">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3" w15:restartNumberingAfterBreak="0">
    <w:nsid w:val="00B43ADD"/>
    <w:multiLevelType w:val="hybridMultilevel"/>
    <w:tmpl w:val="EF3A056A"/>
    <w:lvl w:ilvl="0" w:tplc="04090003">
      <w:start w:val="1"/>
      <w:numFmt w:val="bullet"/>
      <w:lvlText w:val="o"/>
      <w:lvlJc w:val="left"/>
      <w:pPr>
        <w:ind w:left="1080" w:hanging="360"/>
      </w:pPr>
      <w:rPr>
        <w:rFonts w:ascii="Courier New" w:hAnsi="Courier New" w:cs="Courier New"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4" w15:restartNumberingAfterBreak="0">
    <w:nsid w:val="00DD5AC9"/>
    <w:multiLevelType w:val="hybridMultilevel"/>
    <w:tmpl w:val="27B83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0EB69F7"/>
    <w:multiLevelType w:val="hybridMultilevel"/>
    <w:tmpl w:val="2D1843EA"/>
    <w:lvl w:ilvl="0" w:tplc="04090019">
      <w:start w:val="1"/>
      <w:numFmt w:val="lowerLetter"/>
      <w:lvlText w:val="%1."/>
      <w:lvlJc w:val="left"/>
      <w:pPr>
        <w:ind w:left="1571" w:hanging="360"/>
      </w:pPr>
    </w:lvl>
    <w:lvl w:ilvl="1" w:tplc="02CA77C6">
      <w:start w:val="1"/>
      <w:numFmt w:val="lowerRoman"/>
      <w:lvlText w:val="%2."/>
      <w:lvlJc w:val="left"/>
      <w:pPr>
        <w:ind w:left="2783" w:hanging="852"/>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13759D1"/>
    <w:multiLevelType w:val="hybridMultilevel"/>
    <w:tmpl w:val="CA3CD4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03213B4E"/>
    <w:multiLevelType w:val="hybridMultilevel"/>
    <w:tmpl w:val="A20AD7F4"/>
    <w:lvl w:ilvl="0" w:tplc="22B4DCC6">
      <w:start w:val="1"/>
      <w:numFmt w:val="bullet"/>
      <w:pStyle w:val="Bullet"/>
      <w:lvlText w:val="•"/>
      <w:lvlJc w:val="left"/>
      <w:pPr>
        <w:tabs>
          <w:tab w:val="num" w:pos="1437"/>
        </w:tabs>
        <w:ind w:left="1437" w:hanging="360"/>
      </w:pPr>
      <w:rPr>
        <w:rFonts w:ascii="Times New Roman" w:hAnsi="Times New Roman" w:hint="default"/>
      </w:rPr>
    </w:lvl>
    <w:lvl w:ilvl="1" w:tplc="21A8863A" w:tentative="1">
      <w:start w:val="1"/>
      <w:numFmt w:val="bullet"/>
      <w:lvlText w:val="o"/>
      <w:lvlJc w:val="left"/>
      <w:pPr>
        <w:tabs>
          <w:tab w:val="num" w:pos="1440"/>
        </w:tabs>
        <w:ind w:left="1440" w:hanging="360"/>
      </w:pPr>
      <w:rPr>
        <w:rFonts w:ascii="Courier New" w:hAnsi="Courier New" w:hint="default"/>
      </w:rPr>
    </w:lvl>
    <w:lvl w:ilvl="2" w:tplc="CB0C0A2A" w:tentative="1">
      <w:start w:val="1"/>
      <w:numFmt w:val="bullet"/>
      <w:pStyle w:val="SimonUberschrift"/>
      <w:lvlText w:val=""/>
      <w:lvlJc w:val="left"/>
      <w:pPr>
        <w:tabs>
          <w:tab w:val="num" w:pos="2160"/>
        </w:tabs>
        <w:ind w:left="2160" w:hanging="360"/>
      </w:pPr>
      <w:rPr>
        <w:rFonts w:ascii="Wingdings" w:hAnsi="Wingdings" w:hint="default"/>
      </w:rPr>
    </w:lvl>
    <w:lvl w:ilvl="3" w:tplc="545A6888" w:tentative="1">
      <w:start w:val="1"/>
      <w:numFmt w:val="bullet"/>
      <w:lvlText w:val=""/>
      <w:lvlJc w:val="left"/>
      <w:pPr>
        <w:tabs>
          <w:tab w:val="num" w:pos="2880"/>
        </w:tabs>
        <w:ind w:left="2880" w:hanging="360"/>
      </w:pPr>
      <w:rPr>
        <w:rFonts w:ascii="Symbol" w:hAnsi="Symbol" w:hint="default"/>
      </w:rPr>
    </w:lvl>
    <w:lvl w:ilvl="4" w:tplc="918E681E" w:tentative="1">
      <w:start w:val="1"/>
      <w:numFmt w:val="bullet"/>
      <w:lvlText w:val="o"/>
      <w:lvlJc w:val="left"/>
      <w:pPr>
        <w:tabs>
          <w:tab w:val="num" w:pos="3600"/>
        </w:tabs>
        <w:ind w:left="3600" w:hanging="360"/>
      </w:pPr>
      <w:rPr>
        <w:rFonts w:ascii="Courier New" w:hAnsi="Courier New" w:hint="default"/>
      </w:rPr>
    </w:lvl>
    <w:lvl w:ilvl="5" w:tplc="D3AE3642" w:tentative="1">
      <w:start w:val="1"/>
      <w:numFmt w:val="bullet"/>
      <w:lvlText w:val=""/>
      <w:lvlJc w:val="left"/>
      <w:pPr>
        <w:tabs>
          <w:tab w:val="num" w:pos="4320"/>
        </w:tabs>
        <w:ind w:left="4320" w:hanging="360"/>
      </w:pPr>
      <w:rPr>
        <w:rFonts w:ascii="Wingdings" w:hAnsi="Wingdings" w:hint="default"/>
      </w:rPr>
    </w:lvl>
    <w:lvl w:ilvl="6" w:tplc="DE26FADC" w:tentative="1">
      <w:start w:val="1"/>
      <w:numFmt w:val="bullet"/>
      <w:lvlText w:val=""/>
      <w:lvlJc w:val="left"/>
      <w:pPr>
        <w:tabs>
          <w:tab w:val="num" w:pos="5040"/>
        </w:tabs>
        <w:ind w:left="5040" w:hanging="360"/>
      </w:pPr>
      <w:rPr>
        <w:rFonts w:ascii="Symbol" w:hAnsi="Symbol" w:hint="default"/>
      </w:rPr>
    </w:lvl>
    <w:lvl w:ilvl="7" w:tplc="73FE358C" w:tentative="1">
      <w:start w:val="1"/>
      <w:numFmt w:val="bullet"/>
      <w:lvlText w:val="o"/>
      <w:lvlJc w:val="left"/>
      <w:pPr>
        <w:tabs>
          <w:tab w:val="num" w:pos="5760"/>
        </w:tabs>
        <w:ind w:left="5760" w:hanging="360"/>
      </w:pPr>
      <w:rPr>
        <w:rFonts w:ascii="Courier New" w:hAnsi="Courier New" w:hint="default"/>
      </w:rPr>
    </w:lvl>
    <w:lvl w:ilvl="8" w:tplc="AE2C72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3C3CB6"/>
    <w:multiLevelType w:val="hybridMultilevel"/>
    <w:tmpl w:val="A1D040AA"/>
    <w:lvl w:ilvl="0" w:tplc="1EB8EC3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4E08A7"/>
    <w:multiLevelType w:val="hybridMultilevel"/>
    <w:tmpl w:val="1D884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3965050"/>
    <w:multiLevelType w:val="multilevel"/>
    <w:tmpl w:val="B7E6A91E"/>
    <w:lvl w:ilvl="0">
      <w:start w:val="1"/>
      <w:numFmt w:val="lowerLetter"/>
      <w:pStyle w:val="BulletsinTable"/>
      <w:lvlText w:val="(%1)"/>
      <w:lvlJc w:val="left"/>
      <w:pPr>
        <w:tabs>
          <w:tab w:val="num" w:pos="539"/>
        </w:tabs>
        <w:ind w:left="539" w:hanging="539"/>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42231C7"/>
    <w:multiLevelType w:val="hybridMultilevel"/>
    <w:tmpl w:val="B030BD8E"/>
    <w:lvl w:ilvl="0" w:tplc="08090017">
      <w:start w:val="1"/>
      <w:numFmt w:val="lowerLetter"/>
      <w:lvlText w:val="%1)"/>
      <w:lvlJc w:val="left"/>
      <w:pPr>
        <w:ind w:left="720" w:hanging="360"/>
      </w:pPr>
      <w:rPr>
        <w:rFonts w:hint="default"/>
      </w:rPr>
    </w:lvl>
    <w:lvl w:ilvl="1" w:tplc="90989E8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642420"/>
    <w:multiLevelType w:val="hybridMultilevel"/>
    <w:tmpl w:val="24A09A12"/>
    <w:lvl w:ilvl="0" w:tplc="AC2CA7D2">
      <w:start w:val="1"/>
      <w:numFmt w:val="bullet"/>
      <w:pStyle w:val="EndnoteText"/>
      <w:lvlText w:val=""/>
      <w:lvlJc w:val="left"/>
      <w:pPr>
        <w:tabs>
          <w:tab w:val="num" w:pos="720"/>
        </w:tabs>
        <w:ind w:left="720" w:hanging="360"/>
      </w:pPr>
      <w:rPr>
        <w:rFonts w:ascii="Symbol" w:hAnsi="Symbol" w:hint="default"/>
      </w:rPr>
    </w:lvl>
    <w:lvl w:ilvl="1" w:tplc="BC243F5E" w:tentative="1">
      <w:start w:val="1"/>
      <w:numFmt w:val="bullet"/>
      <w:lvlText w:val="o"/>
      <w:lvlJc w:val="left"/>
      <w:pPr>
        <w:tabs>
          <w:tab w:val="num" w:pos="1440"/>
        </w:tabs>
        <w:ind w:left="1440" w:hanging="360"/>
      </w:pPr>
      <w:rPr>
        <w:rFonts w:ascii="Courier New" w:hAnsi="Courier New" w:cs="Consolas" w:hint="default"/>
      </w:rPr>
    </w:lvl>
    <w:lvl w:ilvl="2" w:tplc="7612122C" w:tentative="1">
      <w:start w:val="1"/>
      <w:numFmt w:val="bullet"/>
      <w:lvlText w:val=""/>
      <w:lvlJc w:val="left"/>
      <w:pPr>
        <w:tabs>
          <w:tab w:val="num" w:pos="2160"/>
        </w:tabs>
        <w:ind w:left="2160" w:hanging="360"/>
      </w:pPr>
      <w:rPr>
        <w:rFonts w:ascii="Wingdings" w:hAnsi="Wingdings" w:hint="default"/>
      </w:rPr>
    </w:lvl>
    <w:lvl w:ilvl="3" w:tplc="7618E782" w:tentative="1">
      <w:start w:val="1"/>
      <w:numFmt w:val="bullet"/>
      <w:lvlText w:val=""/>
      <w:lvlJc w:val="left"/>
      <w:pPr>
        <w:tabs>
          <w:tab w:val="num" w:pos="2880"/>
        </w:tabs>
        <w:ind w:left="2880" w:hanging="360"/>
      </w:pPr>
      <w:rPr>
        <w:rFonts w:ascii="Symbol" w:hAnsi="Symbol" w:hint="default"/>
      </w:rPr>
    </w:lvl>
    <w:lvl w:ilvl="4" w:tplc="F236AB18" w:tentative="1">
      <w:start w:val="1"/>
      <w:numFmt w:val="bullet"/>
      <w:lvlText w:val="o"/>
      <w:lvlJc w:val="left"/>
      <w:pPr>
        <w:tabs>
          <w:tab w:val="num" w:pos="3600"/>
        </w:tabs>
        <w:ind w:left="3600" w:hanging="360"/>
      </w:pPr>
      <w:rPr>
        <w:rFonts w:ascii="Courier New" w:hAnsi="Courier New" w:cs="Consolas" w:hint="default"/>
      </w:rPr>
    </w:lvl>
    <w:lvl w:ilvl="5" w:tplc="4FBEA80C" w:tentative="1">
      <w:start w:val="1"/>
      <w:numFmt w:val="bullet"/>
      <w:lvlText w:val=""/>
      <w:lvlJc w:val="left"/>
      <w:pPr>
        <w:tabs>
          <w:tab w:val="num" w:pos="4320"/>
        </w:tabs>
        <w:ind w:left="4320" w:hanging="360"/>
      </w:pPr>
      <w:rPr>
        <w:rFonts w:ascii="Wingdings" w:hAnsi="Wingdings" w:hint="default"/>
      </w:rPr>
    </w:lvl>
    <w:lvl w:ilvl="6" w:tplc="50A066B0" w:tentative="1">
      <w:start w:val="1"/>
      <w:numFmt w:val="bullet"/>
      <w:lvlText w:val=""/>
      <w:lvlJc w:val="left"/>
      <w:pPr>
        <w:tabs>
          <w:tab w:val="num" w:pos="5040"/>
        </w:tabs>
        <w:ind w:left="5040" w:hanging="360"/>
      </w:pPr>
      <w:rPr>
        <w:rFonts w:ascii="Symbol" w:hAnsi="Symbol" w:hint="default"/>
      </w:rPr>
    </w:lvl>
    <w:lvl w:ilvl="7" w:tplc="E3FE081C" w:tentative="1">
      <w:start w:val="1"/>
      <w:numFmt w:val="bullet"/>
      <w:lvlText w:val="o"/>
      <w:lvlJc w:val="left"/>
      <w:pPr>
        <w:tabs>
          <w:tab w:val="num" w:pos="5760"/>
        </w:tabs>
        <w:ind w:left="5760" w:hanging="360"/>
      </w:pPr>
      <w:rPr>
        <w:rFonts w:ascii="Courier New" w:hAnsi="Courier New" w:cs="Consolas" w:hint="default"/>
      </w:rPr>
    </w:lvl>
    <w:lvl w:ilvl="8" w:tplc="97ECA8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6629DD"/>
    <w:multiLevelType w:val="multilevel"/>
    <w:tmpl w:val="38BCE3A8"/>
    <w:lvl w:ilvl="0">
      <w:start w:val="1"/>
      <w:numFmt w:val="lowerLetter"/>
      <w:pStyle w:val="IPPSubheadNumber"/>
      <w:lvlText w:val="(%1)"/>
      <w:lvlJc w:val="left"/>
      <w:pPr>
        <w:tabs>
          <w:tab w:val="num" w:pos="3240"/>
        </w:tabs>
        <w:ind w:left="3240" w:hanging="720"/>
      </w:pPr>
      <w:rPr>
        <w:rFonts w:hint="default"/>
      </w:rPr>
    </w:lvl>
    <w:lvl w:ilvl="1">
      <w:start w:val="1"/>
      <w:numFmt w:val="lowerLetter"/>
      <w:lvlText w:val="%2."/>
      <w:lvlJc w:val="left"/>
      <w:pPr>
        <w:tabs>
          <w:tab w:val="num" w:pos="3600"/>
        </w:tabs>
        <w:ind w:left="3600" w:hanging="360"/>
      </w:pPr>
      <w:rPr>
        <w:rFonts w:hint="default"/>
      </w:rPr>
    </w:lvl>
    <w:lvl w:ilvl="2">
      <w:start w:val="1"/>
      <w:numFmt w:val="lowerRoman"/>
      <w:lvlText w:val="%3."/>
      <w:lvlJc w:val="right"/>
      <w:pPr>
        <w:tabs>
          <w:tab w:val="num" w:pos="4320"/>
        </w:tabs>
        <w:ind w:left="4320" w:hanging="180"/>
      </w:pPr>
      <w:rPr>
        <w:rFonts w:hint="default"/>
      </w:rPr>
    </w:lvl>
    <w:lvl w:ilvl="3">
      <w:start w:val="1"/>
      <w:numFmt w:val="decimal"/>
      <w:lvlText w:val="%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14" w15:restartNumberingAfterBreak="0">
    <w:nsid w:val="067730E7"/>
    <w:multiLevelType w:val="hybridMultilevel"/>
    <w:tmpl w:val="901CFCE4"/>
    <w:lvl w:ilvl="0" w:tplc="EDAEDC90">
      <w:start w:val="1"/>
      <w:numFmt w:val="bullet"/>
      <w:pStyle w:val="IPPHeadSection"/>
      <w:lvlText w:val=""/>
      <w:lvlJc w:val="left"/>
      <w:pPr>
        <w:tabs>
          <w:tab w:val="num" w:pos="720"/>
        </w:tabs>
        <w:ind w:left="720" w:hanging="360"/>
      </w:pPr>
      <w:rPr>
        <w:rFonts w:ascii="Symbol" w:hAnsi="Symbol" w:hint="default"/>
      </w:rPr>
    </w:lvl>
    <w:lvl w:ilvl="1" w:tplc="2B7CB54A" w:tentative="1">
      <w:start w:val="1"/>
      <w:numFmt w:val="bullet"/>
      <w:lvlText w:val="o"/>
      <w:lvlJc w:val="left"/>
      <w:pPr>
        <w:tabs>
          <w:tab w:val="num" w:pos="1440"/>
        </w:tabs>
        <w:ind w:left="1440" w:hanging="360"/>
      </w:pPr>
      <w:rPr>
        <w:rFonts w:ascii="Courier New" w:hAnsi="Courier New" w:cs="Consolas" w:hint="default"/>
      </w:rPr>
    </w:lvl>
    <w:lvl w:ilvl="2" w:tplc="7814FBA4" w:tentative="1">
      <w:start w:val="1"/>
      <w:numFmt w:val="bullet"/>
      <w:lvlText w:val=""/>
      <w:lvlJc w:val="left"/>
      <w:pPr>
        <w:tabs>
          <w:tab w:val="num" w:pos="2160"/>
        </w:tabs>
        <w:ind w:left="2160" w:hanging="360"/>
      </w:pPr>
      <w:rPr>
        <w:rFonts w:ascii="Wingdings" w:hAnsi="Wingdings" w:hint="default"/>
      </w:rPr>
    </w:lvl>
    <w:lvl w:ilvl="3" w:tplc="533CBB36" w:tentative="1">
      <w:start w:val="1"/>
      <w:numFmt w:val="bullet"/>
      <w:lvlText w:val=""/>
      <w:lvlJc w:val="left"/>
      <w:pPr>
        <w:tabs>
          <w:tab w:val="num" w:pos="2880"/>
        </w:tabs>
        <w:ind w:left="2880" w:hanging="360"/>
      </w:pPr>
      <w:rPr>
        <w:rFonts w:ascii="Symbol" w:hAnsi="Symbol" w:hint="default"/>
      </w:rPr>
    </w:lvl>
    <w:lvl w:ilvl="4" w:tplc="7AD231EA" w:tentative="1">
      <w:start w:val="1"/>
      <w:numFmt w:val="bullet"/>
      <w:lvlText w:val="o"/>
      <w:lvlJc w:val="left"/>
      <w:pPr>
        <w:tabs>
          <w:tab w:val="num" w:pos="3600"/>
        </w:tabs>
        <w:ind w:left="3600" w:hanging="360"/>
      </w:pPr>
      <w:rPr>
        <w:rFonts w:ascii="Courier New" w:hAnsi="Courier New" w:cs="Consolas" w:hint="default"/>
      </w:rPr>
    </w:lvl>
    <w:lvl w:ilvl="5" w:tplc="48D0B726" w:tentative="1">
      <w:start w:val="1"/>
      <w:numFmt w:val="bullet"/>
      <w:lvlText w:val=""/>
      <w:lvlJc w:val="left"/>
      <w:pPr>
        <w:tabs>
          <w:tab w:val="num" w:pos="4320"/>
        </w:tabs>
        <w:ind w:left="4320" w:hanging="360"/>
      </w:pPr>
      <w:rPr>
        <w:rFonts w:ascii="Wingdings" w:hAnsi="Wingdings" w:hint="default"/>
      </w:rPr>
    </w:lvl>
    <w:lvl w:ilvl="6" w:tplc="A7F62352" w:tentative="1">
      <w:start w:val="1"/>
      <w:numFmt w:val="bullet"/>
      <w:lvlText w:val=""/>
      <w:lvlJc w:val="left"/>
      <w:pPr>
        <w:tabs>
          <w:tab w:val="num" w:pos="5040"/>
        </w:tabs>
        <w:ind w:left="5040" w:hanging="360"/>
      </w:pPr>
      <w:rPr>
        <w:rFonts w:ascii="Symbol" w:hAnsi="Symbol" w:hint="default"/>
      </w:rPr>
    </w:lvl>
    <w:lvl w:ilvl="7" w:tplc="7BAAA722" w:tentative="1">
      <w:start w:val="1"/>
      <w:numFmt w:val="bullet"/>
      <w:lvlText w:val="o"/>
      <w:lvlJc w:val="left"/>
      <w:pPr>
        <w:tabs>
          <w:tab w:val="num" w:pos="5760"/>
        </w:tabs>
        <w:ind w:left="5760" w:hanging="360"/>
      </w:pPr>
      <w:rPr>
        <w:rFonts w:ascii="Courier New" w:hAnsi="Courier New" w:cs="Consolas" w:hint="default"/>
      </w:rPr>
    </w:lvl>
    <w:lvl w:ilvl="8" w:tplc="66CAAD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784FB5"/>
    <w:multiLevelType w:val="hybridMultilevel"/>
    <w:tmpl w:val="54CA5C26"/>
    <w:name w:val="WW8Num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CCD49DF"/>
    <w:multiLevelType w:val="hybridMultilevel"/>
    <w:tmpl w:val="F24CEC88"/>
    <w:lvl w:ilvl="0" w:tplc="5640312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DBF7851"/>
    <w:multiLevelType w:val="hybridMultilevel"/>
    <w:tmpl w:val="0D2002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0F54125"/>
    <w:multiLevelType w:val="hybridMultilevel"/>
    <w:tmpl w:val="C1B01A42"/>
    <w:lvl w:ilvl="0" w:tplc="C9E009DC">
      <w:start w:val="1"/>
      <w:numFmt w:val="bullet"/>
      <w:pStyle w:val="BoxSeqList1"/>
      <w:lvlText w:val=""/>
      <w:lvlJc w:val="left"/>
      <w:pPr>
        <w:tabs>
          <w:tab w:val="num" w:pos="720"/>
        </w:tabs>
        <w:ind w:left="720" w:hanging="360"/>
      </w:pPr>
      <w:rPr>
        <w:rFonts w:ascii="Symbol" w:hAnsi="Symbol" w:hint="default"/>
      </w:rPr>
    </w:lvl>
    <w:lvl w:ilvl="1" w:tplc="B0DA4A42" w:tentative="1">
      <w:start w:val="1"/>
      <w:numFmt w:val="bullet"/>
      <w:lvlText w:val="o"/>
      <w:lvlJc w:val="left"/>
      <w:pPr>
        <w:tabs>
          <w:tab w:val="num" w:pos="1440"/>
        </w:tabs>
        <w:ind w:left="1440" w:hanging="360"/>
      </w:pPr>
      <w:rPr>
        <w:rFonts w:ascii="Courier New" w:hAnsi="Courier New" w:cs="Consolas" w:hint="default"/>
      </w:rPr>
    </w:lvl>
    <w:lvl w:ilvl="2" w:tplc="21A88146" w:tentative="1">
      <w:start w:val="1"/>
      <w:numFmt w:val="bullet"/>
      <w:lvlText w:val=""/>
      <w:lvlJc w:val="left"/>
      <w:pPr>
        <w:tabs>
          <w:tab w:val="num" w:pos="2160"/>
        </w:tabs>
        <w:ind w:left="2160" w:hanging="360"/>
      </w:pPr>
      <w:rPr>
        <w:rFonts w:ascii="Wingdings" w:hAnsi="Wingdings" w:hint="default"/>
      </w:rPr>
    </w:lvl>
    <w:lvl w:ilvl="3" w:tplc="C6986F9C" w:tentative="1">
      <w:start w:val="1"/>
      <w:numFmt w:val="bullet"/>
      <w:lvlText w:val=""/>
      <w:lvlJc w:val="left"/>
      <w:pPr>
        <w:tabs>
          <w:tab w:val="num" w:pos="2880"/>
        </w:tabs>
        <w:ind w:left="2880" w:hanging="360"/>
      </w:pPr>
      <w:rPr>
        <w:rFonts w:ascii="Symbol" w:hAnsi="Symbol" w:hint="default"/>
      </w:rPr>
    </w:lvl>
    <w:lvl w:ilvl="4" w:tplc="53345EA6" w:tentative="1">
      <w:start w:val="1"/>
      <w:numFmt w:val="bullet"/>
      <w:lvlText w:val="o"/>
      <w:lvlJc w:val="left"/>
      <w:pPr>
        <w:tabs>
          <w:tab w:val="num" w:pos="3600"/>
        </w:tabs>
        <w:ind w:left="3600" w:hanging="360"/>
      </w:pPr>
      <w:rPr>
        <w:rFonts w:ascii="Courier New" w:hAnsi="Courier New" w:cs="Consolas" w:hint="default"/>
      </w:rPr>
    </w:lvl>
    <w:lvl w:ilvl="5" w:tplc="5F0A9A32" w:tentative="1">
      <w:start w:val="1"/>
      <w:numFmt w:val="bullet"/>
      <w:lvlText w:val=""/>
      <w:lvlJc w:val="left"/>
      <w:pPr>
        <w:tabs>
          <w:tab w:val="num" w:pos="4320"/>
        </w:tabs>
        <w:ind w:left="4320" w:hanging="360"/>
      </w:pPr>
      <w:rPr>
        <w:rFonts w:ascii="Wingdings" w:hAnsi="Wingdings" w:hint="default"/>
      </w:rPr>
    </w:lvl>
    <w:lvl w:ilvl="6" w:tplc="02F27FAE" w:tentative="1">
      <w:start w:val="1"/>
      <w:numFmt w:val="bullet"/>
      <w:lvlText w:val=""/>
      <w:lvlJc w:val="left"/>
      <w:pPr>
        <w:tabs>
          <w:tab w:val="num" w:pos="5040"/>
        </w:tabs>
        <w:ind w:left="5040" w:hanging="360"/>
      </w:pPr>
      <w:rPr>
        <w:rFonts w:ascii="Symbol" w:hAnsi="Symbol" w:hint="default"/>
      </w:rPr>
    </w:lvl>
    <w:lvl w:ilvl="7" w:tplc="D04A314E" w:tentative="1">
      <w:start w:val="1"/>
      <w:numFmt w:val="bullet"/>
      <w:lvlText w:val="o"/>
      <w:lvlJc w:val="left"/>
      <w:pPr>
        <w:tabs>
          <w:tab w:val="num" w:pos="5760"/>
        </w:tabs>
        <w:ind w:left="5760" w:hanging="360"/>
      </w:pPr>
      <w:rPr>
        <w:rFonts w:ascii="Courier New" w:hAnsi="Courier New" w:cs="Consolas" w:hint="default"/>
      </w:rPr>
    </w:lvl>
    <w:lvl w:ilvl="8" w:tplc="F2A0725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157C19"/>
    <w:multiLevelType w:val="hybridMultilevel"/>
    <w:tmpl w:val="3E444500"/>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2F877E8"/>
    <w:multiLevelType w:val="multilevel"/>
    <w:tmpl w:val="AB7AEE44"/>
    <w:lvl w:ilvl="0">
      <w:start w:val="1"/>
      <w:numFmt w:val="decimal"/>
      <w:lvlText w:val="%1."/>
      <w:lvlJc w:val="left"/>
      <w:pPr>
        <w:tabs>
          <w:tab w:val="num" w:pos="1134"/>
        </w:tabs>
        <w:ind w:left="1247" w:firstLine="0"/>
      </w:pPr>
      <w:rPr>
        <w:rFonts w:hint="default"/>
      </w:rPr>
    </w:lvl>
    <w:lvl w:ilvl="1">
      <w:start w:val="1"/>
      <w:numFmt w:val="bullet"/>
      <w:lvlText w:val=""/>
      <w:lvlJc w:val="left"/>
      <w:pPr>
        <w:tabs>
          <w:tab w:val="num" w:pos="1134"/>
        </w:tabs>
        <w:ind w:left="1247" w:firstLine="567"/>
      </w:pPr>
      <w:rPr>
        <w:rFonts w:ascii="Symbol" w:hAnsi="Symbol"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1" w15:restartNumberingAfterBreak="0">
    <w:nsid w:val="13AB4B41"/>
    <w:multiLevelType w:val="hybridMultilevel"/>
    <w:tmpl w:val="7E1ECB5E"/>
    <w:lvl w:ilvl="0" w:tplc="04964D0A">
      <w:start w:val="1"/>
      <w:numFmt w:val="lowerLetter"/>
      <w:pStyle w:val="IPPBullet1Last"/>
      <w:lvlText w:val="%1."/>
      <w:lvlJc w:val="left"/>
      <w:pPr>
        <w:ind w:left="1854" w:hanging="360"/>
      </w:pPr>
    </w:lvl>
    <w:lvl w:ilvl="1" w:tplc="E2AEDD66" w:tentative="1">
      <w:start w:val="1"/>
      <w:numFmt w:val="lowerLetter"/>
      <w:lvlText w:val="%2."/>
      <w:lvlJc w:val="left"/>
      <w:pPr>
        <w:ind w:left="2574" w:hanging="360"/>
      </w:pPr>
    </w:lvl>
    <w:lvl w:ilvl="2" w:tplc="40184B22" w:tentative="1">
      <w:start w:val="1"/>
      <w:numFmt w:val="lowerRoman"/>
      <w:lvlText w:val="%3."/>
      <w:lvlJc w:val="right"/>
      <w:pPr>
        <w:ind w:left="3294" w:hanging="180"/>
      </w:pPr>
    </w:lvl>
    <w:lvl w:ilvl="3" w:tplc="EF5A0A42" w:tentative="1">
      <w:start w:val="1"/>
      <w:numFmt w:val="decimal"/>
      <w:lvlText w:val="%4."/>
      <w:lvlJc w:val="left"/>
      <w:pPr>
        <w:ind w:left="4014" w:hanging="360"/>
      </w:pPr>
    </w:lvl>
    <w:lvl w:ilvl="4" w:tplc="FA44BC42" w:tentative="1">
      <w:start w:val="1"/>
      <w:numFmt w:val="lowerLetter"/>
      <w:lvlText w:val="%5."/>
      <w:lvlJc w:val="left"/>
      <w:pPr>
        <w:ind w:left="4734" w:hanging="360"/>
      </w:pPr>
    </w:lvl>
    <w:lvl w:ilvl="5" w:tplc="B17C73C4" w:tentative="1">
      <w:start w:val="1"/>
      <w:numFmt w:val="lowerRoman"/>
      <w:lvlText w:val="%6."/>
      <w:lvlJc w:val="right"/>
      <w:pPr>
        <w:ind w:left="5454" w:hanging="180"/>
      </w:pPr>
    </w:lvl>
    <w:lvl w:ilvl="6" w:tplc="BBD0B7A2" w:tentative="1">
      <w:start w:val="1"/>
      <w:numFmt w:val="decimal"/>
      <w:lvlText w:val="%7."/>
      <w:lvlJc w:val="left"/>
      <w:pPr>
        <w:ind w:left="6174" w:hanging="360"/>
      </w:pPr>
    </w:lvl>
    <w:lvl w:ilvl="7" w:tplc="31C60108" w:tentative="1">
      <w:start w:val="1"/>
      <w:numFmt w:val="lowerLetter"/>
      <w:lvlText w:val="%8."/>
      <w:lvlJc w:val="left"/>
      <w:pPr>
        <w:ind w:left="6894" w:hanging="360"/>
      </w:pPr>
    </w:lvl>
    <w:lvl w:ilvl="8" w:tplc="D3922874" w:tentative="1">
      <w:start w:val="1"/>
      <w:numFmt w:val="lowerRoman"/>
      <w:lvlText w:val="%9."/>
      <w:lvlJc w:val="right"/>
      <w:pPr>
        <w:ind w:left="7614" w:hanging="180"/>
      </w:pPr>
    </w:lvl>
  </w:abstractNum>
  <w:abstractNum w:abstractNumId="22" w15:restartNumberingAfterBreak="0">
    <w:nsid w:val="17C63429"/>
    <w:multiLevelType w:val="hybridMultilevel"/>
    <w:tmpl w:val="A85C8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16142F"/>
    <w:multiLevelType w:val="hybridMultilevel"/>
    <w:tmpl w:val="08D8A9FC"/>
    <w:lvl w:ilvl="0" w:tplc="04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194D4901"/>
    <w:multiLevelType w:val="hybridMultilevel"/>
    <w:tmpl w:val="5D587D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602853"/>
    <w:multiLevelType w:val="hybridMultilevel"/>
    <w:tmpl w:val="6B62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0F3EE2"/>
    <w:multiLevelType w:val="hybridMultilevel"/>
    <w:tmpl w:val="386C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F37907"/>
    <w:multiLevelType w:val="singleLevel"/>
    <w:tmpl w:val="04090001"/>
    <w:lvl w:ilvl="0">
      <w:start w:val="1"/>
      <w:numFmt w:val="bullet"/>
      <w:pStyle w:val="Box"/>
      <w:lvlText w:val=""/>
      <w:lvlJc w:val="left"/>
      <w:pPr>
        <w:tabs>
          <w:tab w:val="num" w:pos="720"/>
        </w:tabs>
        <w:ind w:left="720" w:hanging="360"/>
      </w:pPr>
      <w:rPr>
        <w:rFonts w:ascii="Symbol" w:hAnsi="Symbol" w:hint="default"/>
      </w:rPr>
    </w:lvl>
  </w:abstractNum>
  <w:abstractNum w:abstractNumId="28" w15:restartNumberingAfterBreak="0">
    <w:nsid w:val="1CF40339"/>
    <w:multiLevelType w:val="hybridMultilevel"/>
    <w:tmpl w:val="6ACEFECC"/>
    <w:lvl w:ilvl="0" w:tplc="ED36B258">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1DB14868"/>
    <w:multiLevelType w:val="hybridMultilevel"/>
    <w:tmpl w:val="FB7098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F27C46"/>
    <w:multiLevelType w:val="hybridMultilevel"/>
    <w:tmpl w:val="D58AC1F4"/>
    <w:lvl w:ilvl="0" w:tplc="41944AB2">
      <w:start w:val="1"/>
      <w:numFmt w:val="bullet"/>
      <w:pStyle w:val="Section3numbered"/>
      <w:lvlText w:val=""/>
      <w:lvlJc w:val="left"/>
      <w:pPr>
        <w:tabs>
          <w:tab w:val="num" w:pos="720"/>
        </w:tabs>
        <w:ind w:left="720" w:hanging="360"/>
      </w:pPr>
      <w:rPr>
        <w:rFonts w:ascii="Symbol" w:hAnsi="Symbol" w:hint="default"/>
      </w:rPr>
    </w:lvl>
    <w:lvl w:ilvl="1" w:tplc="0AC47AFE" w:tentative="1">
      <w:start w:val="1"/>
      <w:numFmt w:val="bullet"/>
      <w:lvlText w:val="o"/>
      <w:lvlJc w:val="left"/>
      <w:pPr>
        <w:tabs>
          <w:tab w:val="num" w:pos="1440"/>
        </w:tabs>
        <w:ind w:left="1440" w:hanging="360"/>
      </w:pPr>
      <w:rPr>
        <w:rFonts w:ascii="Courier New" w:hAnsi="Courier New" w:cs="Consolas" w:hint="default"/>
      </w:rPr>
    </w:lvl>
    <w:lvl w:ilvl="2" w:tplc="FBE0714E" w:tentative="1">
      <w:start w:val="1"/>
      <w:numFmt w:val="bullet"/>
      <w:lvlText w:val=""/>
      <w:lvlJc w:val="left"/>
      <w:pPr>
        <w:tabs>
          <w:tab w:val="num" w:pos="2160"/>
        </w:tabs>
        <w:ind w:left="2160" w:hanging="360"/>
      </w:pPr>
      <w:rPr>
        <w:rFonts w:ascii="Wingdings" w:hAnsi="Wingdings" w:hint="default"/>
      </w:rPr>
    </w:lvl>
    <w:lvl w:ilvl="3" w:tplc="15D621B0" w:tentative="1">
      <w:start w:val="1"/>
      <w:numFmt w:val="bullet"/>
      <w:lvlText w:val=""/>
      <w:lvlJc w:val="left"/>
      <w:pPr>
        <w:tabs>
          <w:tab w:val="num" w:pos="2880"/>
        </w:tabs>
        <w:ind w:left="2880" w:hanging="360"/>
      </w:pPr>
      <w:rPr>
        <w:rFonts w:ascii="Symbol" w:hAnsi="Symbol" w:hint="default"/>
      </w:rPr>
    </w:lvl>
    <w:lvl w:ilvl="4" w:tplc="A844B542" w:tentative="1">
      <w:start w:val="1"/>
      <w:numFmt w:val="bullet"/>
      <w:lvlText w:val="o"/>
      <w:lvlJc w:val="left"/>
      <w:pPr>
        <w:tabs>
          <w:tab w:val="num" w:pos="3600"/>
        </w:tabs>
        <w:ind w:left="3600" w:hanging="360"/>
      </w:pPr>
      <w:rPr>
        <w:rFonts w:ascii="Courier New" w:hAnsi="Courier New" w:cs="Consolas" w:hint="default"/>
      </w:rPr>
    </w:lvl>
    <w:lvl w:ilvl="5" w:tplc="14844F18" w:tentative="1">
      <w:start w:val="1"/>
      <w:numFmt w:val="bullet"/>
      <w:lvlText w:val=""/>
      <w:lvlJc w:val="left"/>
      <w:pPr>
        <w:tabs>
          <w:tab w:val="num" w:pos="4320"/>
        </w:tabs>
        <w:ind w:left="4320" w:hanging="360"/>
      </w:pPr>
      <w:rPr>
        <w:rFonts w:ascii="Wingdings" w:hAnsi="Wingdings" w:hint="default"/>
      </w:rPr>
    </w:lvl>
    <w:lvl w:ilvl="6" w:tplc="BF56D5EE" w:tentative="1">
      <w:start w:val="1"/>
      <w:numFmt w:val="bullet"/>
      <w:lvlText w:val=""/>
      <w:lvlJc w:val="left"/>
      <w:pPr>
        <w:tabs>
          <w:tab w:val="num" w:pos="5040"/>
        </w:tabs>
        <w:ind w:left="5040" w:hanging="360"/>
      </w:pPr>
      <w:rPr>
        <w:rFonts w:ascii="Symbol" w:hAnsi="Symbol" w:hint="default"/>
      </w:rPr>
    </w:lvl>
    <w:lvl w:ilvl="7" w:tplc="8392D59E" w:tentative="1">
      <w:start w:val="1"/>
      <w:numFmt w:val="bullet"/>
      <w:lvlText w:val="o"/>
      <w:lvlJc w:val="left"/>
      <w:pPr>
        <w:tabs>
          <w:tab w:val="num" w:pos="5760"/>
        </w:tabs>
        <w:ind w:left="5760" w:hanging="360"/>
      </w:pPr>
      <w:rPr>
        <w:rFonts w:ascii="Courier New" w:hAnsi="Courier New" w:cs="Consolas" w:hint="default"/>
      </w:rPr>
    </w:lvl>
    <w:lvl w:ilvl="8" w:tplc="A782A3C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EEA21A5"/>
    <w:multiLevelType w:val="multilevel"/>
    <w:tmpl w:val="1EF87CA6"/>
    <w:lvl w:ilvl="0">
      <w:start w:val="1"/>
      <w:numFmt w:val="bullet"/>
      <w:pStyle w:val="Bulletsnumberedintable"/>
      <w:lvlText w:val=""/>
      <w:lvlJc w:val="left"/>
      <w:pPr>
        <w:tabs>
          <w:tab w:val="num" w:pos="539"/>
        </w:tabs>
        <w:ind w:left="539" w:hanging="539"/>
      </w:pPr>
      <w:rPr>
        <w:rFonts w:ascii="Symbol" w:hAnsi="Symbol" w:cs="Symbol" w:hint="default"/>
        <w:sz w:val="18"/>
        <w:szCs w:val="18"/>
      </w:rPr>
    </w:lvl>
    <w:lvl w:ilvl="1">
      <w:start w:val="1"/>
      <w:numFmt w:val="bullet"/>
      <w:lvlText w:val=""/>
      <w:lvlJc w:val="left"/>
      <w:pPr>
        <w:tabs>
          <w:tab w:val="num" w:pos="765"/>
        </w:tabs>
        <w:ind w:left="765" w:hanging="198"/>
      </w:pPr>
      <w:rPr>
        <w:rFonts w:ascii="Symbol" w:hAnsi="Symbol" w:cs="Symbol" w:hint="default"/>
        <w:sz w:val="18"/>
        <w:szCs w:val="18"/>
      </w:rPr>
    </w:lvl>
    <w:lvl w:ilvl="2">
      <w:start w:val="1"/>
      <w:numFmt w:val="bullet"/>
      <w:lvlText w:val=""/>
      <w:lvlJc w:val="left"/>
      <w:pPr>
        <w:tabs>
          <w:tab w:val="num" w:pos="2160"/>
        </w:tabs>
        <w:ind w:left="2160" w:hanging="360"/>
      </w:pPr>
      <w:rPr>
        <w:rFonts w:ascii="Wingdings" w:hAnsi="Wingdings" w:cs="ArialUnicodeM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ArialUnicodeMS" w:hint="default"/>
      </w:rPr>
    </w:lvl>
    <w:lvl w:ilvl="5">
      <w:start w:val="1"/>
      <w:numFmt w:val="bullet"/>
      <w:lvlText w:val=""/>
      <w:lvlJc w:val="left"/>
      <w:pPr>
        <w:tabs>
          <w:tab w:val="num" w:pos="4320"/>
        </w:tabs>
        <w:ind w:left="4320" w:hanging="360"/>
      </w:pPr>
      <w:rPr>
        <w:rFonts w:ascii="Wingdings" w:hAnsi="Wingdings" w:cs="ArialUnicodeM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ArialUnicodeMS" w:hint="default"/>
      </w:rPr>
    </w:lvl>
    <w:lvl w:ilvl="8">
      <w:start w:val="1"/>
      <w:numFmt w:val="bullet"/>
      <w:lvlText w:val=""/>
      <w:lvlJc w:val="left"/>
      <w:pPr>
        <w:tabs>
          <w:tab w:val="num" w:pos="6480"/>
        </w:tabs>
        <w:ind w:left="6480" w:hanging="360"/>
      </w:pPr>
      <w:rPr>
        <w:rFonts w:ascii="Wingdings" w:hAnsi="Wingdings" w:cs="ArialUnicodeMS" w:hint="default"/>
      </w:rPr>
    </w:lvl>
  </w:abstractNum>
  <w:abstractNum w:abstractNumId="32" w15:restartNumberingAfterBreak="0">
    <w:nsid w:val="205352F3"/>
    <w:multiLevelType w:val="hybridMultilevel"/>
    <w:tmpl w:val="0166039C"/>
    <w:lvl w:ilvl="0" w:tplc="0409001B">
      <w:start w:val="1"/>
      <w:numFmt w:val="lowerRoman"/>
      <w:lvlText w:val="%1."/>
      <w:lvlJc w:val="right"/>
      <w:pPr>
        <w:ind w:left="1931" w:hanging="360"/>
      </w:pPr>
      <w:rPr>
        <w:rFonts w:hint="default"/>
      </w:rPr>
    </w:lvl>
    <w:lvl w:ilvl="1" w:tplc="04090003">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33" w15:restartNumberingAfterBreak="0">
    <w:nsid w:val="22140993"/>
    <w:multiLevelType w:val="hybridMultilevel"/>
    <w:tmpl w:val="DFC64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2682942"/>
    <w:multiLevelType w:val="multilevel"/>
    <w:tmpl w:val="C89C9FF0"/>
    <w:lvl w:ilvl="0">
      <w:start w:val="1"/>
      <w:numFmt w:val="decimal"/>
      <w:pStyle w:val="BlankLine"/>
      <w:lvlText w:val="%1."/>
      <w:lvlJc w:val="left"/>
      <w:pPr>
        <w:tabs>
          <w:tab w:val="num" w:pos="360"/>
        </w:tabs>
        <w:ind w:left="360" w:hanging="360"/>
      </w:pPr>
    </w:lvl>
    <w:lvl w:ilvl="1">
      <w:start w:val="1"/>
      <w:numFmt w:val="lowerLetter"/>
      <w:pStyle w:val="SeqListLev1"/>
      <w:lvlText w:val="%2."/>
      <w:lvlJc w:val="left"/>
      <w:pPr>
        <w:tabs>
          <w:tab w:val="num" w:pos="1080"/>
        </w:tabs>
        <w:ind w:left="1080" w:hanging="360"/>
      </w:pPr>
    </w:lvl>
    <w:lvl w:ilvl="2">
      <w:start w:val="1"/>
      <w:numFmt w:val="lowerRoman"/>
      <w:pStyle w:val="SeqListLev2"/>
      <w:lvlText w:val="%3."/>
      <w:lvlJc w:val="right"/>
      <w:pPr>
        <w:tabs>
          <w:tab w:val="num" w:pos="1800"/>
        </w:tabs>
        <w:ind w:left="1800" w:hanging="180"/>
      </w:pPr>
    </w:lvl>
    <w:lvl w:ilvl="3">
      <w:start w:val="1"/>
      <w:numFmt w:val="decimal"/>
      <w:pStyle w:val="SeqListLev3"/>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237329FC"/>
    <w:multiLevelType w:val="hybridMultilevel"/>
    <w:tmpl w:val="D8C21B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3871873"/>
    <w:multiLevelType w:val="hybridMultilevel"/>
    <w:tmpl w:val="D69A77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CBE0C574">
      <w:start w:val="11"/>
      <w:numFmt w:val="bullet"/>
      <w:lvlText w:val="•"/>
      <w:lvlJc w:val="left"/>
      <w:pPr>
        <w:ind w:left="3240" w:hanging="360"/>
      </w:pPr>
      <w:rPr>
        <w:rFonts w:ascii="Garamond" w:eastAsiaTheme="minorHAnsi" w:hAnsi="Garamond" w:cs="Garamon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4DC3E23"/>
    <w:multiLevelType w:val="multilevel"/>
    <w:tmpl w:val="F1E8F132"/>
    <w:lvl w:ilvl="0">
      <w:start w:val="1"/>
      <w:numFmt w:val="bullet"/>
      <w:pStyle w:val="IPPNumberSubhead"/>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E60C83"/>
    <w:multiLevelType w:val="multilevel"/>
    <w:tmpl w:val="AA481282"/>
    <w:lvl w:ilvl="0">
      <w:numFmt w:val="bullet"/>
      <w:pStyle w:val="IPPIndentClose"/>
      <w:lvlText w:val="-"/>
      <w:lvlJc w:val="left"/>
      <w:pPr>
        <w:tabs>
          <w:tab w:val="num" w:pos="720"/>
        </w:tabs>
        <w:ind w:left="720"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483E3B"/>
    <w:multiLevelType w:val="multilevel"/>
    <w:tmpl w:val="2CA8847C"/>
    <w:lvl w:ilvl="0">
      <w:start w:val="1"/>
      <w:numFmt w:val="decimal"/>
      <w:pStyle w:val="Thesisheading1"/>
      <w:lvlText w:val="1.%1"/>
      <w:lvlJc w:val="left"/>
      <w:pPr>
        <w:tabs>
          <w:tab w:val="num" w:pos="720"/>
        </w:tabs>
        <w:ind w:left="720" w:hanging="720"/>
      </w:pPr>
      <w:rPr>
        <w:rFonts w:hint="default"/>
      </w:rPr>
    </w:lvl>
    <w:lvl w:ilvl="1">
      <w:start w:val="1"/>
      <w:numFmt w:val="decimal"/>
      <w:lvlText w:val="%1.%2.1"/>
      <w:lvlJc w:val="left"/>
      <w:pPr>
        <w:tabs>
          <w:tab w:val="num" w:pos="720"/>
        </w:tabs>
        <w:ind w:left="720" w:hanging="720"/>
      </w:pPr>
      <w:rPr>
        <w:rFonts w:hint="default"/>
      </w:rPr>
    </w:lvl>
    <w:lvl w:ilvl="2">
      <w:start w:val="1"/>
      <w:numFmt w:val="lowerLetter"/>
      <w:pStyle w:val="Thesisheading4"/>
      <w:lvlText w:val="(%3)"/>
      <w:lvlJc w:val="left"/>
      <w:pPr>
        <w:tabs>
          <w:tab w:val="num" w:pos="720"/>
        </w:tabs>
        <w:ind w:left="720" w:hanging="720"/>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0" w15:restartNumberingAfterBreak="0">
    <w:nsid w:val="286617E9"/>
    <w:multiLevelType w:val="hybridMultilevel"/>
    <w:tmpl w:val="09F2EEE6"/>
    <w:lvl w:ilvl="0" w:tplc="93942E1E">
      <w:start w:val="1"/>
      <w:numFmt w:val="bullet"/>
      <w:pStyle w:val="IPPBullet1"/>
      <w:lvlText w:val=""/>
      <w:lvlJc w:val="left"/>
      <w:pPr>
        <w:tabs>
          <w:tab w:val="num" w:pos="720"/>
        </w:tabs>
        <w:ind w:left="720" w:hanging="360"/>
      </w:pPr>
      <w:rPr>
        <w:rFonts w:ascii="Symbol" w:hAnsi="Symbol" w:hint="default"/>
      </w:rPr>
    </w:lvl>
    <w:lvl w:ilvl="1" w:tplc="790C445A">
      <w:start w:val="1"/>
      <w:numFmt w:val="bullet"/>
      <w:lvlText w:val="o"/>
      <w:lvlJc w:val="left"/>
      <w:pPr>
        <w:tabs>
          <w:tab w:val="num" w:pos="1440"/>
        </w:tabs>
        <w:ind w:left="1440" w:hanging="360"/>
      </w:pPr>
      <w:rPr>
        <w:rFonts w:ascii="Courier New" w:hAnsi="Courier New" w:cs="Consolas" w:hint="default"/>
      </w:rPr>
    </w:lvl>
    <w:lvl w:ilvl="2" w:tplc="AD42556A">
      <w:start w:val="1"/>
      <w:numFmt w:val="decimal"/>
      <w:lvlText w:val="%3."/>
      <w:lvlJc w:val="left"/>
      <w:pPr>
        <w:tabs>
          <w:tab w:val="num" w:pos="2160"/>
        </w:tabs>
        <w:ind w:left="2160" w:hanging="360"/>
      </w:pPr>
    </w:lvl>
    <w:lvl w:ilvl="3" w:tplc="34FCFE2E">
      <w:start w:val="1"/>
      <w:numFmt w:val="decimal"/>
      <w:lvlText w:val="%4."/>
      <w:lvlJc w:val="left"/>
      <w:pPr>
        <w:tabs>
          <w:tab w:val="num" w:pos="2880"/>
        </w:tabs>
        <w:ind w:left="2880" w:hanging="360"/>
      </w:pPr>
    </w:lvl>
    <w:lvl w:ilvl="4" w:tplc="BC385A72">
      <w:start w:val="1"/>
      <w:numFmt w:val="decimal"/>
      <w:lvlText w:val="%5."/>
      <w:lvlJc w:val="left"/>
      <w:pPr>
        <w:tabs>
          <w:tab w:val="num" w:pos="3600"/>
        </w:tabs>
        <w:ind w:left="3600" w:hanging="360"/>
      </w:pPr>
    </w:lvl>
    <w:lvl w:ilvl="5" w:tplc="22A0BFE4">
      <w:start w:val="1"/>
      <w:numFmt w:val="decimal"/>
      <w:lvlText w:val="%6."/>
      <w:lvlJc w:val="left"/>
      <w:pPr>
        <w:tabs>
          <w:tab w:val="num" w:pos="4320"/>
        </w:tabs>
        <w:ind w:left="4320" w:hanging="360"/>
      </w:pPr>
    </w:lvl>
    <w:lvl w:ilvl="6" w:tplc="14B4819A">
      <w:start w:val="1"/>
      <w:numFmt w:val="decimal"/>
      <w:lvlText w:val="%7."/>
      <w:lvlJc w:val="left"/>
      <w:pPr>
        <w:tabs>
          <w:tab w:val="num" w:pos="5040"/>
        </w:tabs>
        <w:ind w:left="5040" w:hanging="360"/>
      </w:pPr>
    </w:lvl>
    <w:lvl w:ilvl="7" w:tplc="7BCEEECA">
      <w:start w:val="1"/>
      <w:numFmt w:val="decimal"/>
      <w:lvlText w:val="%8."/>
      <w:lvlJc w:val="left"/>
      <w:pPr>
        <w:tabs>
          <w:tab w:val="num" w:pos="5760"/>
        </w:tabs>
        <w:ind w:left="5760" w:hanging="360"/>
      </w:pPr>
    </w:lvl>
    <w:lvl w:ilvl="8" w:tplc="3A6A5B8C">
      <w:start w:val="1"/>
      <w:numFmt w:val="decimal"/>
      <w:lvlText w:val="%9."/>
      <w:lvlJc w:val="left"/>
      <w:pPr>
        <w:tabs>
          <w:tab w:val="num" w:pos="6480"/>
        </w:tabs>
        <w:ind w:left="6480" w:hanging="360"/>
      </w:pPr>
    </w:lvl>
  </w:abstractNum>
  <w:abstractNum w:abstractNumId="41" w15:restartNumberingAfterBreak="0">
    <w:nsid w:val="2869746C"/>
    <w:multiLevelType w:val="hybridMultilevel"/>
    <w:tmpl w:val="235020DA"/>
    <w:lvl w:ilvl="0" w:tplc="AEF8D51C">
      <w:start w:val="1"/>
      <w:numFmt w:val="bullet"/>
      <w:pStyle w:val="BasicParagraph"/>
      <w:lvlText w:val=""/>
      <w:lvlJc w:val="left"/>
      <w:pPr>
        <w:tabs>
          <w:tab w:val="num" w:pos="720"/>
        </w:tabs>
        <w:ind w:left="720" w:hanging="360"/>
      </w:pPr>
      <w:rPr>
        <w:rFonts w:ascii="Symbol" w:hAnsi="Symbol" w:hint="default"/>
      </w:rPr>
    </w:lvl>
    <w:lvl w:ilvl="1" w:tplc="3EF22854" w:tentative="1">
      <w:start w:val="1"/>
      <w:numFmt w:val="bullet"/>
      <w:lvlText w:val="o"/>
      <w:lvlJc w:val="left"/>
      <w:pPr>
        <w:tabs>
          <w:tab w:val="num" w:pos="1440"/>
        </w:tabs>
        <w:ind w:left="1440" w:hanging="360"/>
      </w:pPr>
      <w:rPr>
        <w:rFonts w:ascii="Courier New" w:hAnsi="Courier New" w:cs="Consolas" w:hint="default"/>
      </w:rPr>
    </w:lvl>
    <w:lvl w:ilvl="2" w:tplc="7280F928" w:tentative="1">
      <w:start w:val="1"/>
      <w:numFmt w:val="bullet"/>
      <w:lvlText w:val=""/>
      <w:lvlJc w:val="left"/>
      <w:pPr>
        <w:tabs>
          <w:tab w:val="num" w:pos="2160"/>
        </w:tabs>
        <w:ind w:left="2160" w:hanging="360"/>
      </w:pPr>
      <w:rPr>
        <w:rFonts w:ascii="Wingdings" w:hAnsi="Wingdings" w:hint="default"/>
      </w:rPr>
    </w:lvl>
    <w:lvl w:ilvl="3" w:tplc="FDE4CDF2" w:tentative="1">
      <w:start w:val="1"/>
      <w:numFmt w:val="bullet"/>
      <w:lvlText w:val=""/>
      <w:lvlJc w:val="left"/>
      <w:pPr>
        <w:tabs>
          <w:tab w:val="num" w:pos="2880"/>
        </w:tabs>
        <w:ind w:left="2880" w:hanging="360"/>
      </w:pPr>
      <w:rPr>
        <w:rFonts w:ascii="Symbol" w:hAnsi="Symbol" w:hint="default"/>
      </w:rPr>
    </w:lvl>
    <w:lvl w:ilvl="4" w:tplc="38C2FABE" w:tentative="1">
      <w:start w:val="1"/>
      <w:numFmt w:val="bullet"/>
      <w:lvlText w:val="o"/>
      <w:lvlJc w:val="left"/>
      <w:pPr>
        <w:tabs>
          <w:tab w:val="num" w:pos="3600"/>
        </w:tabs>
        <w:ind w:left="3600" w:hanging="360"/>
      </w:pPr>
      <w:rPr>
        <w:rFonts w:ascii="Courier New" w:hAnsi="Courier New" w:cs="Consolas" w:hint="default"/>
      </w:rPr>
    </w:lvl>
    <w:lvl w:ilvl="5" w:tplc="D7600742" w:tentative="1">
      <w:start w:val="1"/>
      <w:numFmt w:val="bullet"/>
      <w:lvlText w:val=""/>
      <w:lvlJc w:val="left"/>
      <w:pPr>
        <w:tabs>
          <w:tab w:val="num" w:pos="4320"/>
        </w:tabs>
        <w:ind w:left="4320" w:hanging="360"/>
      </w:pPr>
      <w:rPr>
        <w:rFonts w:ascii="Wingdings" w:hAnsi="Wingdings" w:hint="default"/>
      </w:rPr>
    </w:lvl>
    <w:lvl w:ilvl="6" w:tplc="F1E462EC" w:tentative="1">
      <w:start w:val="1"/>
      <w:numFmt w:val="bullet"/>
      <w:lvlText w:val=""/>
      <w:lvlJc w:val="left"/>
      <w:pPr>
        <w:tabs>
          <w:tab w:val="num" w:pos="5040"/>
        </w:tabs>
        <w:ind w:left="5040" w:hanging="360"/>
      </w:pPr>
      <w:rPr>
        <w:rFonts w:ascii="Symbol" w:hAnsi="Symbol" w:hint="default"/>
      </w:rPr>
    </w:lvl>
    <w:lvl w:ilvl="7" w:tplc="8D5A16B4" w:tentative="1">
      <w:start w:val="1"/>
      <w:numFmt w:val="bullet"/>
      <w:lvlText w:val="o"/>
      <w:lvlJc w:val="left"/>
      <w:pPr>
        <w:tabs>
          <w:tab w:val="num" w:pos="5760"/>
        </w:tabs>
        <w:ind w:left="5760" w:hanging="360"/>
      </w:pPr>
      <w:rPr>
        <w:rFonts w:ascii="Courier New" w:hAnsi="Courier New" w:cs="Consolas" w:hint="default"/>
      </w:rPr>
    </w:lvl>
    <w:lvl w:ilvl="8" w:tplc="5DBC771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990330D"/>
    <w:multiLevelType w:val="hybridMultilevel"/>
    <w:tmpl w:val="8B92EB8E"/>
    <w:lvl w:ilvl="0" w:tplc="A844B96A">
      <w:start w:val="1"/>
      <w:numFmt w:val="bullet"/>
      <w:pStyle w:val="BoxSeqList3"/>
      <w:lvlText w:val=""/>
      <w:lvlJc w:val="left"/>
      <w:pPr>
        <w:tabs>
          <w:tab w:val="num" w:pos="720"/>
        </w:tabs>
        <w:ind w:left="720" w:hanging="360"/>
      </w:pPr>
      <w:rPr>
        <w:rFonts w:ascii="Symbol" w:hAnsi="Symbol" w:hint="default"/>
      </w:rPr>
    </w:lvl>
    <w:lvl w:ilvl="1" w:tplc="9BC2F584" w:tentative="1">
      <w:start w:val="1"/>
      <w:numFmt w:val="bullet"/>
      <w:lvlText w:val="o"/>
      <w:lvlJc w:val="left"/>
      <w:pPr>
        <w:tabs>
          <w:tab w:val="num" w:pos="1440"/>
        </w:tabs>
        <w:ind w:left="1440" w:hanging="360"/>
      </w:pPr>
      <w:rPr>
        <w:rFonts w:ascii="Courier New" w:hAnsi="Courier New" w:cs="Consolas" w:hint="default"/>
      </w:rPr>
    </w:lvl>
    <w:lvl w:ilvl="2" w:tplc="54DCE6F2" w:tentative="1">
      <w:start w:val="1"/>
      <w:numFmt w:val="bullet"/>
      <w:lvlText w:val=""/>
      <w:lvlJc w:val="left"/>
      <w:pPr>
        <w:tabs>
          <w:tab w:val="num" w:pos="2160"/>
        </w:tabs>
        <w:ind w:left="2160" w:hanging="360"/>
      </w:pPr>
      <w:rPr>
        <w:rFonts w:ascii="Wingdings" w:hAnsi="Wingdings" w:hint="default"/>
      </w:rPr>
    </w:lvl>
    <w:lvl w:ilvl="3" w:tplc="6CFA0B66" w:tentative="1">
      <w:start w:val="1"/>
      <w:numFmt w:val="bullet"/>
      <w:lvlText w:val=""/>
      <w:lvlJc w:val="left"/>
      <w:pPr>
        <w:tabs>
          <w:tab w:val="num" w:pos="2880"/>
        </w:tabs>
        <w:ind w:left="2880" w:hanging="360"/>
      </w:pPr>
      <w:rPr>
        <w:rFonts w:ascii="Symbol" w:hAnsi="Symbol" w:hint="default"/>
      </w:rPr>
    </w:lvl>
    <w:lvl w:ilvl="4" w:tplc="9EC80C8E" w:tentative="1">
      <w:start w:val="1"/>
      <w:numFmt w:val="bullet"/>
      <w:lvlText w:val="o"/>
      <w:lvlJc w:val="left"/>
      <w:pPr>
        <w:tabs>
          <w:tab w:val="num" w:pos="3600"/>
        </w:tabs>
        <w:ind w:left="3600" w:hanging="360"/>
      </w:pPr>
      <w:rPr>
        <w:rFonts w:ascii="Courier New" w:hAnsi="Courier New" w:cs="Consolas" w:hint="default"/>
      </w:rPr>
    </w:lvl>
    <w:lvl w:ilvl="5" w:tplc="EFAACC36" w:tentative="1">
      <w:start w:val="1"/>
      <w:numFmt w:val="bullet"/>
      <w:lvlText w:val=""/>
      <w:lvlJc w:val="left"/>
      <w:pPr>
        <w:tabs>
          <w:tab w:val="num" w:pos="4320"/>
        </w:tabs>
        <w:ind w:left="4320" w:hanging="360"/>
      </w:pPr>
      <w:rPr>
        <w:rFonts w:ascii="Wingdings" w:hAnsi="Wingdings" w:hint="default"/>
      </w:rPr>
    </w:lvl>
    <w:lvl w:ilvl="6" w:tplc="E572EC80" w:tentative="1">
      <w:start w:val="1"/>
      <w:numFmt w:val="bullet"/>
      <w:lvlText w:val=""/>
      <w:lvlJc w:val="left"/>
      <w:pPr>
        <w:tabs>
          <w:tab w:val="num" w:pos="5040"/>
        </w:tabs>
        <w:ind w:left="5040" w:hanging="360"/>
      </w:pPr>
      <w:rPr>
        <w:rFonts w:ascii="Symbol" w:hAnsi="Symbol" w:hint="default"/>
      </w:rPr>
    </w:lvl>
    <w:lvl w:ilvl="7" w:tplc="6DC45B3C" w:tentative="1">
      <w:start w:val="1"/>
      <w:numFmt w:val="bullet"/>
      <w:lvlText w:val="o"/>
      <w:lvlJc w:val="left"/>
      <w:pPr>
        <w:tabs>
          <w:tab w:val="num" w:pos="5760"/>
        </w:tabs>
        <w:ind w:left="5760" w:hanging="360"/>
      </w:pPr>
      <w:rPr>
        <w:rFonts w:ascii="Courier New" w:hAnsi="Courier New" w:cs="Consolas" w:hint="default"/>
      </w:rPr>
    </w:lvl>
    <w:lvl w:ilvl="8" w:tplc="8B84DF4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A036878"/>
    <w:multiLevelType w:val="multilevel"/>
    <w:tmpl w:val="B45A9380"/>
    <w:lvl w:ilvl="0">
      <w:start w:val="1"/>
      <w:numFmt w:val="decimal"/>
      <w:lvlText w:val="%1."/>
      <w:lvlJc w:val="left"/>
      <w:pPr>
        <w:tabs>
          <w:tab w:val="num" w:pos="720"/>
        </w:tabs>
        <w:ind w:left="720" w:hanging="360"/>
      </w:pPr>
    </w:lvl>
    <w:lvl w:ilvl="1">
      <w:start w:val="3"/>
      <w:numFmt w:val="decimal"/>
      <w:isLgl/>
      <w:lvlText w:val="%1.%2"/>
      <w:lvlJc w:val="left"/>
      <w:pPr>
        <w:ind w:left="1065" w:hanging="705"/>
      </w:pPr>
      <w:rPr>
        <w:rFonts w:hint="default"/>
        <w:b/>
      </w:rPr>
    </w:lvl>
    <w:lvl w:ilvl="2">
      <w:start w:val="1"/>
      <w:numFmt w:val="decimal"/>
      <w:pStyle w:val="BoxSeqList2"/>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4" w15:restartNumberingAfterBreak="0">
    <w:nsid w:val="2E6B7572"/>
    <w:multiLevelType w:val="hybridMultilevel"/>
    <w:tmpl w:val="C2B66700"/>
    <w:lvl w:ilvl="0" w:tplc="08090011">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45" w15:restartNumberingAfterBreak="0">
    <w:nsid w:val="2EB519B1"/>
    <w:multiLevelType w:val="hybridMultilevel"/>
    <w:tmpl w:val="B8F890F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4501A57"/>
    <w:multiLevelType w:val="hybridMultilevel"/>
    <w:tmpl w:val="5B24FFB8"/>
    <w:lvl w:ilvl="0" w:tplc="721C2A1A">
      <w:start w:val="1"/>
      <w:numFmt w:val="decimal"/>
      <w:pStyle w:val="Bulletnumbered"/>
      <w:lvlText w:val="%1."/>
      <w:lvlJc w:val="left"/>
      <w:pPr>
        <w:ind w:left="1854" w:hanging="360"/>
      </w:pPr>
    </w:lvl>
    <w:lvl w:ilvl="1" w:tplc="9A02AD78" w:tentative="1">
      <w:start w:val="1"/>
      <w:numFmt w:val="lowerLetter"/>
      <w:lvlText w:val="%2."/>
      <w:lvlJc w:val="left"/>
      <w:pPr>
        <w:ind w:left="2574" w:hanging="360"/>
      </w:pPr>
    </w:lvl>
    <w:lvl w:ilvl="2" w:tplc="5FEA1EDC" w:tentative="1">
      <w:start w:val="1"/>
      <w:numFmt w:val="lowerRoman"/>
      <w:lvlText w:val="%3."/>
      <w:lvlJc w:val="right"/>
      <w:pPr>
        <w:ind w:left="3294" w:hanging="180"/>
      </w:pPr>
    </w:lvl>
    <w:lvl w:ilvl="3" w:tplc="3E2C8934" w:tentative="1">
      <w:start w:val="1"/>
      <w:numFmt w:val="decimal"/>
      <w:lvlText w:val="%4."/>
      <w:lvlJc w:val="left"/>
      <w:pPr>
        <w:ind w:left="4014" w:hanging="360"/>
      </w:pPr>
    </w:lvl>
    <w:lvl w:ilvl="4" w:tplc="332C7AA6" w:tentative="1">
      <w:start w:val="1"/>
      <w:numFmt w:val="lowerLetter"/>
      <w:lvlText w:val="%5."/>
      <w:lvlJc w:val="left"/>
      <w:pPr>
        <w:ind w:left="4734" w:hanging="360"/>
      </w:pPr>
    </w:lvl>
    <w:lvl w:ilvl="5" w:tplc="8D7A1C90" w:tentative="1">
      <w:start w:val="1"/>
      <w:numFmt w:val="lowerRoman"/>
      <w:lvlText w:val="%6."/>
      <w:lvlJc w:val="right"/>
      <w:pPr>
        <w:ind w:left="5454" w:hanging="180"/>
      </w:pPr>
    </w:lvl>
    <w:lvl w:ilvl="6" w:tplc="2F2C0594" w:tentative="1">
      <w:start w:val="1"/>
      <w:numFmt w:val="decimal"/>
      <w:lvlText w:val="%7."/>
      <w:lvlJc w:val="left"/>
      <w:pPr>
        <w:ind w:left="6174" w:hanging="360"/>
      </w:pPr>
    </w:lvl>
    <w:lvl w:ilvl="7" w:tplc="56508CE2" w:tentative="1">
      <w:start w:val="1"/>
      <w:numFmt w:val="lowerLetter"/>
      <w:lvlText w:val="%8."/>
      <w:lvlJc w:val="left"/>
      <w:pPr>
        <w:ind w:left="6894" w:hanging="360"/>
      </w:pPr>
    </w:lvl>
    <w:lvl w:ilvl="8" w:tplc="29FE73F8" w:tentative="1">
      <w:start w:val="1"/>
      <w:numFmt w:val="lowerRoman"/>
      <w:lvlText w:val="%9."/>
      <w:lvlJc w:val="right"/>
      <w:pPr>
        <w:ind w:left="7614" w:hanging="180"/>
      </w:pPr>
    </w:lvl>
  </w:abstractNum>
  <w:abstractNum w:abstractNumId="47" w15:restartNumberingAfterBreak="0">
    <w:nsid w:val="36620CB5"/>
    <w:multiLevelType w:val="hybridMultilevel"/>
    <w:tmpl w:val="3BD4ABCC"/>
    <w:lvl w:ilvl="0" w:tplc="85626A0A">
      <w:start w:val="1"/>
      <w:numFmt w:val="bullet"/>
      <w:pStyle w:val="NewPara"/>
      <w:lvlText w:val=""/>
      <w:lvlJc w:val="left"/>
      <w:pPr>
        <w:tabs>
          <w:tab w:val="num" w:pos="720"/>
        </w:tabs>
        <w:ind w:left="720" w:hanging="360"/>
      </w:pPr>
      <w:rPr>
        <w:rFonts w:ascii="Symbol" w:hAnsi="Symbol" w:hint="default"/>
      </w:rPr>
    </w:lvl>
    <w:lvl w:ilvl="1" w:tplc="6C183E32" w:tentative="1">
      <w:start w:val="1"/>
      <w:numFmt w:val="bullet"/>
      <w:pStyle w:val="TableEntry"/>
      <w:lvlText w:val="o"/>
      <w:lvlJc w:val="left"/>
      <w:pPr>
        <w:tabs>
          <w:tab w:val="num" w:pos="1440"/>
        </w:tabs>
        <w:ind w:left="1440" w:hanging="360"/>
      </w:pPr>
      <w:rPr>
        <w:rFonts w:ascii="Courier New" w:hAnsi="Courier New" w:cs="Consolas" w:hint="default"/>
      </w:rPr>
    </w:lvl>
    <w:lvl w:ilvl="2" w:tplc="97341F44" w:tentative="1">
      <w:start w:val="1"/>
      <w:numFmt w:val="bullet"/>
      <w:pStyle w:val="CarCar"/>
      <w:lvlText w:val=""/>
      <w:lvlJc w:val="left"/>
      <w:pPr>
        <w:tabs>
          <w:tab w:val="num" w:pos="2160"/>
        </w:tabs>
        <w:ind w:left="2160" w:hanging="360"/>
      </w:pPr>
      <w:rPr>
        <w:rFonts w:ascii="Wingdings" w:hAnsi="Wingdings" w:hint="default"/>
      </w:rPr>
    </w:lvl>
    <w:lvl w:ilvl="3" w:tplc="E5F68E6A" w:tentative="1">
      <w:start w:val="1"/>
      <w:numFmt w:val="bullet"/>
      <w:pStyle w:val="BoxTitle"/>
      <w:lvlText w:val=""/>
      <w:lvlJc w:val="left"/>
      <w:pPr>
        <w:tabs>
          <w:tab w:val="num" w:pos="2880"/>
        </w:tabs>
        <w:ind w:left="2880" w:hanging="360"/>
      </w:pPr>
      <w:rPr>
        <w:rFonts w:ascii="Symbol" w:hAnsi="Symbol" w:hint="default"/>
      </w:rPr>
    </w:lvl>
    <w:lvl w:ilvl="4" w:tplc="E146B7B2" w:tentative="1">
      <w:start w:val="1"/>
      <w:numFmt w:val="bullet"/>
      <w:lvlText w:val="o"/>
      <w:lvlJc w:val="left"/>
      <w:pPr>
        <w:tabs>
          <w:tab w:val="num" w:pos="3600"/>
        </w:tabs>
        <w:ind w:left="3600" w:hanging="360"/>
      </w:pPr>
      <w:rPr>
        <w:rFonts w:ascii="Courier New" w:hAnsi="Courier New" w:cs="Consolas" w:hint="default"/>
      </w:rPr>
    </w:lvl>
    <w:lvl w:ilvl="5" w:tplc="CBA4E2D8" w:tentative="1">
      <w:start w:val="1"/>
      <w:numFmt w:val="bullet"/>
      <w:lvlText w:val=""/>
      <w:lvlJc w:val="left"/>
      <w:pPr>
        <w:tabs>
          <w:tab w:val="num" w:pos="4320"/>
        </w:tabs>
        <w:ind w:left="4320" w:hanging="360"/>
      </w:pPr>
      <w:rPr>
        <w:rFonts w:ascii="Wingdings" w:hAnsi="Wingdings" w:hint="default"/>
      </w:rPr>
    </w:lvl>
    <w:lvl w:ilvl="6" w:tplc="09961A4C" w:tentative="1">
      <w:start w:val="1"/>
      <w:numFmt w:val="bullet"/>
      <w:lvlText w:val=""/>
      <w:lvlJc w:val="left"/>
      <w:pPr>
        <w:tabs>
          <w:tab w:val="num" w:pos="5040"/>
        </w:tabs>
        <w:ind w:left="5040" w:hanging="360"/>
      </w:pPr>
      <w:rPr>
        <w:rFonts w:ascii="Symbol" w:hAnsi="Symbol" w:hint="default"/>
      </w:rPr>
    </w:lvl>
    <w:lvl w:ilvl="7" w:tplc="40CC5086" w:tentative="1">
      <w:start w:val="1"/>
      <w:numFmt w:val="bullet"/>
      <w:lvlText w:val="o"/>
      <w:lvlJc w:val="left"/>
      <w:pPr>
        <w:tabs>
          <w:tab w:val="num" w:pos="5760"/>
        </w:tabs>
        <w:ind w:left="5760" w:hanging="360"/>
      </w:pPr>
      <w:rPr>
        <w:rFonts w:ascii="Courier New" w:hAnsi="Courier New" w:cs="Consolas" w:hint="default"/>
      </w:rPr>
    </w:lvl>
    <w:lvl w:ilvl="8" w:tplc="923CB50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7980EB6"/>
    <w:multiLevelType w:val="hybridMultilevel"/>
    <w:tmpl w:val="43C2DA88"/>
    <w:lvl w:ilvl="0" w:tplc="3A8EEBBE">
      <w:start w:val="1"/>
      <w:numFmt w:val="decimal"/>
      <w:pStyle w:val="IPPNormalCloseSpace"/>
      <w:lvlText w:val="%1."/>
      <w:lvlJc w:val="left"/>
      <w:pPr>
        <w:tabs>
          <w:tab w:val="num" w:pos="720"/>
        </w:tabs>
        <w:ind w:left="720" w:hanging="360"/>
      </w:pPr>
    </w:lvl>
    <w:lvl w:ilvl="1" w:tplc="62885C90" w:tentative="1">
      <w:start w:val="1"/>
      <w:numFmt w:val="lowerLetter"/>
      <w:lvlText w:val="%2."/>
      <w:lvlJc w:val="left"/>
      <w:pPr>
        <w:tabs>
          <w:tab w:val="num" w:pos="1440"/>
        </w:tabs>
        <w:ind w:left="1440" w:hanging="360"/>
      </w:pPr>
    </w:lvl>
    <w:lvl w:ilvl="2" w:tplc="78D638B6" w:tentative="1">
      <w:start w:val="1"/>
      <w:numFmt w:val="lowerRoman"/>
      <w:lvlText w:val="%3."/>
      <w:lvlJc w:val="right"/>
      <w:pPr>
        <w:tabs>
          <w:tab w:val="num" w:pos="2160"/>
        </w:tabs>
        <w:ind w:left="2160" w:hanging="180"/>
      </w:pPr>
    </w:lvl>
    <w:lvl w:ilvl="3" w:tplc="13A04FFA" w:tentative="1">
      <w:start w:val="1"/>
      <w:numFmt w:val="decimal"/>
      <w:lvlText w:val="%4."/>
      <w:lvlJc w:val="left"/>
      <w:pPr>
        <w:tabs>
          <w:tab w:val="num" w:pos="2880"/>
        </w:tabs>
        <w:ind w:left="2880" w:hanging="360"/>
      </w:pPr>
    </w:lvl>
    <w:lvl w:ilvl="4" w:tplc="88D48E46" w:tentative="1">
      <w:start w:val="1"/>
      <w:numFmt w:val="lowerLetter"/>
      <w:lvlText w:val="%5."/>
      <w:lvlJc w:val="left"/>
      <w:pPr>
        <w:tabs>
          <w:tab w:val="num" w:pos="3600"/>
        </w:tabs>
        <w:ind w:left="3600" w:hanging="360"/>
      </w:pPr>
    </w:lvl>
    <w:lvl w:ilvl="5" w:tplc="B930E5A4" w:tentative="1">
      <w:start w:val="1"/>
      <w:numFmt w:val="lowerRoman"/>
      <w:lvlText w:val="%6."/>
      <w:lvlJc w:val="right"/>
      <w:pPr>
        <w:tabs>
          <w:tab w:val="num" w:pos="4320"/>
        </w:tabs>
        <w:ind w:left="4320" w:hanging="180"/>
      </w:pPr>
    </w:lvl>
    <w:lvl w:ilvl="6" w:tplc="4120E2FE" w:tentative="1">
      <w:start w:val="1"/>
      <w:numFmt w:val="decimal"/>
      <w:lvlText w:val="%7."/>
      <w:lvlJc w:val="left"/>
      <w:pPr>
        <w:tabs>
          <w:tab w:val="num" w:pos="5040"/>
        </w:tabs>
        <w:ind w:left="5040" w:hanging="360"/>
      </w:pPr>
    </w:lvl>
    <w:lvl w:ilvl="7" w:tplc="CC009A92" w:tentative="1">
      <w:start w:val="1"/>
      <w:numFmt w:val="lowerLetter"/>
      <w:lvlText w:val="%8."/>
      <w:lvlJc w:val="left"/>
      <w:pPr>
        <w:tabs>
          <w:tab w:val="num" w:pos="5760"/>
        </w:tabs>
        <w:ind w:left="5760" w:hanging="360"/>
      </w:pPr>
    </w:lvl>
    <w:lvl w:ilvl="8" w:tplc="4642CD88" w:tentative="1">
      <w:start w:val="1"/>
      <w:numFmt w:val="lowerRoman"/>
      <w:lvlText w:val="%9."/>
      <w:lvlJc w:val="right"/>
      <w:pPr>
        <w:tabs>
          <w:tab w:val="num" w:pos="6480"/>
        </w:tabs>
        <w:ind w:left="6480" w:hanging="180"/>
      </w:pPr>
    </w:lvl>
  </w:abstractNum>
  <w:abstractNum w:abstractNumId="49" w15:restartNumberingAfterBreak="0">
    <w:nsid w:val="38B06FE7"/>
    <w:multiLevelType w:val="multilevel"/>
    <w:tmpl w:val="0A7A6A7E"/>
    <w:lvl w:ilvl="0">
      <w:start w:val="1"/>
      <w:numFmt w:val="decimal"/>
      <w:pStyle w:val="Alt2-LevelLegal1"/>
      <w:lvlText w:val="CHAPTER %1"/>
      <w:lvlJc w:val="left"/>
      <w:pPr>
        <w:tabs>
          <w:tab w:val="num" w:pos="1440"/>
        </w:tabs>
        <w:ind w:left="0" w:firstLine="0"/>
      </w:pPr>
      <w:rPr>
        <w:rFonts w:ascii="Times New Roman" w:hAnsi="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hint="default"/>
        <w:b/>
        <w:i w:val="0"/>
        <w:color w:val="000000"/>
        <w:sz w:val="22"/>
      </w:rPr>
    </w:lvl>
    <w:lvl w:ilvl="3">
      <w:start w:val="1"/>
      <w:numFmt w:val="lowerLetter"/>
      <w:pStyle w:val="Alt2-LevelLegal4"/>
      <w:lvlText w:val="(%4)"/>
      <w:lvlJc w:val="left"/>
      <w:pPr>
        <w:tabs>
          <w:tab w:val="num" w:pos="1440"/>
        </w:tabs>
        <w:ind w:left="1440" w:hanging="720"/>
      </w:pPr>
      <w:rPr>
        <w:rFonts w:hint="default"/>
        <w:color w:val="000000"/>
      </w:rPr>
    </w:lvl>
    <w:lvl w:ilvl="4">
      <w:start w:val="1"/>
      <w:numFmt w:val="lowerRoman"/>
      <w:pStyle w:val="Alt2-LevelLegal5"/>
      <w:lvlText w:val="(%5)"/>
      <w:lvlJc w:val="left"/>
      <w:pPr>
        <w:tabs>
          <w:tab w:val="num" w:pos="2160"/>
        </w:tabs>
        <w:ind w:left="2160" w:hanging="720"/>
      </w:pPr>
      <w:rPr>
        <w:rFonts w:hint="default"/>
        <w:color w:val="000000"/>
      </w:rPr>
    </w:lvl>
    <w:lvl w:ilvl="5">
      <w:start w:val="1"/>
      <w:numFmt w:val="decimal"/>
      <w:pStyle w:val="Alt2-LevelLegal6"/>
      <w:lvlText w:val="%6."/>
      <w:lvlJc w:val="left"/>
      <w:pPr>
        <w:tabs>
          <w:tab w:val="num" w:pos="1440"/>
        </w:tabs>
        <w:ind w:left="1440" w:hanging="720"/>
      </w:pPr>
      <w:rPr>
        <w:rFonts w:hint="default"/>
        <w:color w:val="000000"/>
      </w:rPr>
    </w:lvl>
    <w:lvl w:ilvl="6">
      <w:start w:val="1"/>
      <w:numFmt w:val="upperLetter"/>
      <w:pStyle w:val="Alt2-LevelLegal7"/>
      <w:lvlText w:val="(%7)"/>
      <w:lvlJc w:val="left"/>
      <w:pPr>
        <w:tabs>
          <w:tab w:val="num" w:pos="3600"/>
        </w:tabs>
        <w:ind w:left="3600" w:hanging="720"/>
      </w:pPr>
      <w:rPr>
        <w:rFonts w:hint="default"/>
        <w:color w:val="00000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AC55B9C"/>
    <w:multiLevelType w:val="hybridMultilevel"/>
    <w:tmpl w:val="70BE8C52"/>
    <w:lvl w:ilvl="0" w:tplc="8D5A24AC">
      <w:start w:val="1"/>
      <w:numFmt w:val="decimal"/>
      <w:pStyle w:val="GEFChar"/>
      <w:lvlText w:val="%1."/>
      <w:lvlJc w:val="left"/>
      <w:pPr>
        <w:tabs>
          <w:tab w:val="num" w:pos="720"/>
        </w:tabs>
        <w:ind w:left="720" w:hanging="360"/>
      </w:pPr>
    </w:lvl>
    <w:lvl w:ilvl="1" w:tplc="68121BF6" w:tentative="1">
      <w:start w:val="1"/>
      <w:numFmt w:val="lowerLetter"/>
      <w:lvlText w:val="%2."/>
      <w:lvlJc w:val="left"/>
      <w:pPr>
        <w:tabs>
          <w:tab w:val="num" w:pos="1440"/>
        </w:tabs>
        <w:ind w:left="1440" w:hanging="360"/>
      </w:pPr>
    </w:lvl>
    <w:lvl w:ilvl="2" w:tplc="EC4A60C4" w:tentative="1">
      <w:start w:val="1"/>
      <w:numFmt w:val="lowerRoman"/>
      <w:lvlText w:val="%3."/>
      <w:lvlJc w:val="right"/>
      <w:pPr>
        <w:tabs>
          <w:tab w:val="num" w:pos="2160"/>
        </w:tabs>
        <w:ind w:left="2160" w:hanging="180"/>
      </w:pPr>
    </w:lvl>
    <w:lvl w:ilvl="3" w:tplc="96D4CBA0" w:tentative="1">
      <w:start w:val="1"/>
      <w:numFmt w:val="decimal"/>
      <w:lvlText w:val="%4."/>
      <w:lvlJc w:val="left"/>
      <w:pPr>
        <w:tabs>
          <w:tab w:val="num" w:pos="2880"/>
        </w:tabs>
        <w:ind w:left="2880" w:hanging="360"/>
      </w:pPr>
    </w:lvl>
    <w:lvl w:ilvl="4" w:tplc="632263AC" w:tentative="1">
      <w:start w:val="1"/>
      <w:numFmt w:val="lowerLetter"/>
      <w:lvlText w:val="%5."/>
      <w:lvlJc w:val="left"/>
      <w:pPr>
        <w:tabs>
          <w:tab w:val="num" w:pos="3600"/>
        </w:tabs>
        <w:ind w:left="3600" w:hanging="360"/>
      </w:pPr>
    </w:lvl>
    <w:lvl w:ilvl="5" w:tplc="323A3212" w:tentative="1">
      <w:start w:val="1"/>
      <w:numFmt w:val="lowerRoman"/>
      <w:lvlText w:val="%6."/>
      <w:lvlJc w:val="right"/>
      <w:pPr>
        <w:tabs>
          <w:tab w:val="num" w:pos="4320"/>
        </w:tabs>
        <w:ind w:left="4320" w:hanging="180"/>
      </w:pPr>
    </w:lvl>
    <w:lvl w:ilvl="6" w:tplc="2CE6F4E6" w:tentative="1">
      <w:start w:val="1"/>
      <w:numFmt w:val="decimal"/>
      <w:lvlText w:val="%7."/>
      <w:lvlJc w:val="left"/>
      <w:pPr>
        <w:tabs>
          <w:tab w:val="num" w:pos="5040"/>
        </w:tabs>
        <w:ind w:left="5040" w:hanging="360"/>
      </w:pPr>
    </w:lvl>
    <w:lvl w:ilvl="7" w:tplc="A6082C4C" w:tentative="1">
      <w:start w:val="1"/>
      <w:numFmt w:val="lowerLetter"/>
      <w:lvlText w:val="%8."/>
      <w:lvlJc w:val="left"/>
      <w:pPr>
        <w:tabs>
          <w:tab w:val="num" w:pos="5760"/>
        </w:tabs>
        <w:ind w:left="5760" w:hanging="360"/>
      </w:pPr>
    </w:lvl>
    <w:lvl w:ilvl="8" w:tplc="A6FCAFB6" w:tentative="1">
      <w:start w:val="1"/>
      <w:numFmt w:val="lowerRoman"/>
      <w:lvlText w:val="%9."/>
      <w:lvlJc w:val="right"/>
      <w:pPr>
        <w:tabs>
          <w:tab w:val="num" w:pos="6480"/>
        </w:tabs>
        <w:ind w:left="6480" w:hanging="180"/>
      </w:pPr>
    </w:lvl>
  </w:abstractNum>
  <w:abstractNum w:abstractNumId="51" w15:restartNumberingAfterBreak="0">
    <w:nsid w:val="3D6D37CF"/>
    <w:multiLevelType w:val="hybridMultilevel"/>
    <w:tmpl w:val="A0BE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4B00FC"/>
    <w:multiLevelType w:val="hybridMultilevel"/>
    <w:tmpl w:val="E978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E64F78"/>
    <w:multiLevelType w:val="hybridMultilevel"/>
    <w:tmpl w:val="E014EE0E"/>
    <w:lvl w:ilvl="0" w:tplc="04090001">
      <w:start w:val="1"/>
      <w:numFmt w:val="bullet"/>
      <w:lvlText w:val=""/>
      <w:lvlJc w:val="left"/>
      <w:pPr>
        <w:ind w:left="630" w:hanging="360"/>
      </w:pPr>
      <w:rPr>
        <w:rFonts w:ascii="Symbol" w:hAnsi="Symbol" w:hint="default"/>
      </w:rPr>
    </w:lvl>
    <w:lvl w:ilvl="1" w:tplc="04100003">
      <w:start w:val="1"/>
      <w:numFmt w:val="bullet"/>
      <w:lvlText w:val="o"/>
      <w:lvlJc w:val="left"/>
      <w:pPr>
        <w:ind w:left="1350" w:hanging="360"/>
      </w:pPr>
      <w:rPr>
        <w:rFonts w:ascii="Courier New" w:hAnsi="Courier New" w:cs="Courier New" w:hint="default"/>
      </w:rPr>
    </w:lvl>
    <w:lvl w:ilvl="2" w:tplc="04100005">
      <w:start w:val="1"/>
      <w:numFmt w:val="bullet"/>
      <w:lvlText w:val=""/>
      <w:lvlJc w:val="left"/>
      <w:pPr>
        <w:ind w:left="2070" w:hanging="360"/>
      </w:pPr>
      <w:rPr>
        <w:rFonts w:ascii="Wingdings" w:hAnsi="Wingdings" w:hint="default"/>
      </w:rPr>
    </w:lvl>
    <w:lvl w:ilvl="3" w:tplc="04100001">
      <w:start w:val="1"/>
      <w:numFmt w:val="bullet"/>
      <w:lvlText w:val=""/>
      <w:lvlJc w:val="left"/>
      <w:pPr>
        <w:ind w:left="2790" w:hanging="360"/>
      </w:pPr>
      <w:rPr>
        <w:rFonts w:ascii="Symbol" w:hAnsi="Symbol" w:hint="default"/>
      </w:rPr>
    </w:lvl>
    <w:lvl w:ilvl="4" w:tplc="04100003">
      <w:start w:val="1"/>
      <w:numFmt w:val="bullet"/>
      <w:lvlText w:val="o"/>
      <w:lvlJc w:val="left"/>
      <w:pPr>
        <w:ind w:left="3510" w:hanging="360"/>
      </w:pPr>
      <w:rPr>
        <w:rFonts w:ascii="Courier New" w:hAnsi="Courier New" w:cs="Courier New" w:hint="default"/>
      </w:rPr>
    </w:lvl>
    <w:lvl w:ilvl="5" w:tplc="04100005">
      <w:start w:val="1"/>
      <w:numFmt w:val="bullet"/>
      <w:lvlText w:val=""/>
      <w:lvlJc w:val="left"/>
      <w:pPr>
        <w:ind w:left="4230" w:hanging="360"/>
      </w:pPr>
      <w:rPr>
        <w:rFonts w:ascii="Wingdings" w:hAnsi="Wingdings" w:hint="default"/>
      </w:rPr>
    </w:lvl>
    <w:lvl w:ilvl="6" w:tplc="04100001">
      <w:start w:val="1"/>
      <w:numFmt w:val="bullet"/>
      <w:lvlText w:val=""/>
      <w:lvlJc w:val="left"/>
      <w:pPr>
        <w:ind w:left="4950" w:hanging="360"/>
      </w:pPr>
      <w:rPr>
        <w:rFonts w:ascii="Symbol" w:hAnsi="Symbol" w:hint="default"/>
      </w:rPr>
    </w:lvl>
    <w:lvl w:ilvl="7" w:tplc="04100003">
      <w:start w:val="1"/>
      <w:numFmt w:val="bullet"/>
      <w:lvlText w:val="o"/>
      <w:lvlJc w:val="left"/>
      <w:pPr>
        <w:ind w:left="5670" w:hanging="360"/>
      </w:pPr>
      <w:rPr>
        <w:rFonts w:ascii="Courier New" w:hAnsi="Courier New" w:cs="Courier New" w:hint="default"/>
      </w:rPr>
    </w:lvl>
    <w:lvl w:ilvl="8" w:tplc="04100005">
      <w:start w:val="1"/>
      <w:numFmt w:val="bullet"/>
      <w:lvlText w:val=""/>
      <w:lvlJc w:val="left"/>
      <w:pPr>
        <w:ind w:left="6390" w:hanging="360"/>
      </w:pPr>
      <w:rPr>
        <w:rFonts w:ascii="Wingdings" w:hAnsi="Wingdings" w:hint="default"/>
      </w:rPr>
    </w:lvl>
  </w:abstractNum>
  <w:abstractNum w:abstractNumId="54" w15:restartNumberingAfterBreak="0">
    <w:nsid w:val="3F821D89"/>
    <w:multiLevelType w:val="hybridMultilevel"/>
    <w:tmpl w:val="4296CB94"/>
    <w:name w:val="AltLvl2ListTemplate"/>
    <w:lvl w:ilvl="0" w:tplc="5C3E2BBE">
      <w:start w:val="1"/>
      <w:numFmt w:val="bullet"/>
      <w:pStyle w:val="ListParagraph1"/>
      <w:lvlText w:val=""/>
      <w:lvlJc w:val="left"/>
      <w:pPr>
        <w:ind w:left="720" w:hanging="360"/>
      </w:pPr>
      <w:rPr>
        <w:rFonts w:ascii="Symbol" w:hAnsi="Symbol" w:hint="default"/>
      </w:rPr>
    </w:lvl>
    <w:lvl w:ilvl="1" w:tplc="78363A18" w:tentative="1">
      <w:start w:val="1"/>
      <w:numFmt w:val="bullet"/>
      <w:lvlText w:val="o"/>
      <w:lvlJc w:val="left"/>
      <w:pPr>
        <w:ind w:left="1440" w:hanging="360"/>
      </w:pPr>
      <w:rPr>
        <w:rFonts w:ascii="Courier New" w:hAnsi="Courier New" w:hint="default"/>
      </w:rPr>
    </w:lvl>
    <w:lvl w:ilvl="2" w:tplc="39468530" w:tentative="1">
      <w:start w:val="1"/>
      <w:numFmt w:val="bullet"/>
      <w:lvlText w:val=""/>
      <w:lvlJc w:val="left"/>
      <w:pPr>
        <w:ind w:left="2160" w:hanging="360"/>
      </w:pPr>
      <w:rPr>
        <w:rFonts w:ascii="Wingdings" w:hAnsi="Wingdings" w:hint="default"/>
      </w:rPr>
    </w:lvl>
    <w:lvl w:ilvl="3" w:tplc="21F639EE" w:tentative="1">
      <w:start w:val="1"/>
      <w:numFmt w:val="bullet"/>
      <w:lvlText w:val=""/>
      <w:lvlJc w:val="left"/>
      <w:pPr>
        <w:ind w:left="2880" w:hanging="360"/>
      </w:pPr>
      <w:rPr>
        <w:rFonts w:ascii="Symbol" w:hAnsi="Symbol" w:hint="default"/>
      </w:rPr>
    </w:lvl>
    <w:lvl w:ilvl="4" w:tplc="E04E98DA" w:tentative="1">
      <w:start w:val="1"/>
      <w:numFmt w:val="bullet"/>
      <w:lvlText w:val="o"/>
      <w:lvlJc w:val="left"/>
      <w:pPr>
        <w:ind w:left="3600" w:hanging="360"/>
      </w:pPr>
      <w:rPr>
        <w:rFonts w:ascii="Courier New" w:hAnsi="Courier New" w:hint="default"/>
      </w:rPr>
    </w:lvl>
    <w:lvl w:ilvl="5" w:tplc="55A61C4C" w:tentative="1">
      <w:start w:val="1"/>
      <w:numFmt w:val="bullet"/>
      <w:lvlText w:val=""/>
      <w:lvlJc w:val="left"/>
      <w:pPr>
        <w:ind w:left="4320" w:hanging="360"/>
      </w:pPr>
      <w:rPr>
        <w:rFonts w:ascii="Wingdings" w:hAnsi="Wingdings" w:hint="default"/>
      </w:rPr>
    </w:lvl>
    <w:lvl w:ilvl="6" w:tplc="FCE0A7A0" w:tentative="1">
      <w:start w:val="1"/>
      <w:numFmt w:val="bullet"/>
      <w:lvlText w:val=""/>
      <w:lvlJc w:val="left"/>
      <w:pPr>
        <w:ind w:left="5040" w:hanging="360"/>
      </w:pPr>
      <w:rPr>
        <w:rFonts w:ascii="Symbol" w:hAnsi="Symbol" w:hint="default"/>
      </w:rPr>
    </w:lvl>
    <w:lvl w:ilvl="7" w:tplc="4BC2D52A" w:tentative="1">
      <w:start w:val="1"/>
      <w:numFmt w:val="bullet"/>
      <w:lvlText w:val="o"/>
      <w:lvlJc w:val="left"/>
      <w:pPr>
        <w:ind w:left="5760" w:hanging="360"/>
      </w:pPr>
      <w:rPr>
        <w:rFonts w:ascii="Courier New" w:hAnsi="Courier New" w:hint="default"/>
      </w:rPr>
    </w:lvl>
    <w:lvl w:ilvl="8" w:tplc="391EB116" w:tentative="1">
      <w:start w:val="1"/>
      <w:numFmt w:val="bullet"/>
      <w:lvlText w:val=""/>
      <w:lvlJc w:val="left"/>
      <w:pPr>
        <w:ind w:left="6480" w:hanging="360"/>
      </w:pPr>
      <w:rPr>
        <w:rFonts w:ascii="Wingdings" w:hAnsi="Wingdings" w:hint="default"/>
      </w:rPr>
    </w:lvl>
  </w:abstractNum>
  <w:abstractNum w:abstractNumId="55" w15:restartNumberingAfterBreak="0">
    <w:nsid w:val="408E48F5"/>
    <w:multiLevelType w:val="hybridMultilevel"/>
    <w:tmpl w:val="37F4E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40E60990"/>
    <w:multiLevelType w:val="hybridMultilevel"/>
    <w:tmpl w:val="C5AE3CB0"/>
    <w:lvl w:ilvl="0" w:tplc="828803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7" w15:restartNumberingAfterBreak="0">
    <w:nsid w:val="41330EAC"/>
    <w:multiLevelType w:val="multilevel"/>
    <w:tmpl w:val="0A92EF3C"/>
    <w:lvl w:ilvl="0">
      <w:start w:val="1"/>
      <w:numFmt w:val="bullet"/>
      <w:pStyle w:val="AR4Listbullet1"/>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1C865CE"/>
    <w:multiLevelType w:val="hybridMultilevel"/>
    <w:tmpl w:val="1A1E4D58"/>
    <w:lvl w:ilvl="0" w:tplc="B9F8FF48">
      <w:start w:val="1"/>
      <w:numFmt w:val="decimal"/>
      <w:lvlText w:val="%1."/>
      <w:lvlJc w:val="left"/>
      <w:pPr>
        <w:ind w:left="720" w:hanging="360"/>
      </w:pPr>
      <w:rPr>
        <w:rFonts w:ascii="Times New Roman" w:eastAsia="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6E50A78"/>
    <w:multiLevelType w:val="hybridMultilevel"/>
    <w:tmpl w:val="B4B07384"/>
    <w:lvl w:ilvl="0" w:tplc="510A4844">
      <w:start w:val="1"/>
      <w:numFmt w:val="bullet"/>
      <w:pStyle w:val="CM3"/>
      <w:lvlText w:val=""/>
      <w:lvlJc w:val="left"/>
      <w:pPr>
        <w:tabs>
          <w:tab w:val="num" w:pos="720"/>
        </w:tabs>
        <w:ind w:left="720" w:hanging="360"/>
      </w:pPr>
      <w:rPr>
        <w:rFonts w:ascii="Symbol" w:hAnsi="Symbol" w:hint="default"/>
      </w:rPr>
    </w:lvl>
    <w:lvl w:ilvl="1" w:tplc="ADB0C450" w:tentative="1">
      <w:start w:val="1"/>
      <w:numFmt w:val="bullet"/>
      <w:lvlText w:val="o"/>
      <w:lvlJc w:val="left"/>
      <w:pPr>
        <w:tabs>
          <w:tab w:val="num" w:pos="1440"/>
        </w:tabs>
        <w:ind w:left="1440" w:hanging="360"/>
      </w:pPr>
      <w:rPr>
        <w:rFonts w:ascii="Courier New" w:hAnsi="Courier New" w:cs="Consolas" w:hint="default"/>
      </w:rPr>
    </w:lvl>
    <w:lvl w:ilvl="2" w:tplc="A738BCF6" w:tentative="1">
      <w:start w:val="1"/>
      <w:numFmt w:val="bullet"/>
      <w:lvlText w:val=""/>
      <w:lvlJc w:val="left"/>
      <w:pPr>
        <w:tabs>
          <w:tab w:val="num" w:pos="2160"/>
        </w:tabs>
        <w:ind w:left="2160" w:hanging="360"/>
      </w:pPr>
      <w:rPr>
        <w:rFonts w:ascii="Wingdings" w:hAnsi="Wingdings" w:hint="default"/>
      </w:rPr>
    </w:lvl>
    <w:lvl w:ilvl="3" w:tplc="BE7C49E6" w:tentative="1">
      <w:start w:val="1"/>
      <w:numFmt w:val="bullet"/>
      <w:lvlText w:val=""/>
      <w:lvlJc w:val="left"/>
      <w:pPr>
        <w:tabs>
          <w:tab w:val="num" w:pos="2880"/>
        </w:tabs>
        <w:ind w:left="2880" w:hanging="360"/>
      </w:pPr>
      <w:rPr>
        <w:rFonts w:ascii="Symbol" w:hAnsi="Symbol" w:hint="default"/>
      </w:rPr>
    </w:lvl>
    <w:lvl w:ilvl="4" w:tplc="73342BE4" w:tentative="1">
      <w:start w:val="1"/>
      <w:numFmt w:val="bullet"/>
      <w:lvlText w:val="o"/>
      <w:lvlJc w:val="left"/>
      <w:pPr>
        <w:tabs>
          <w:tab w:val="num" w:pos="3600"/>
        </w:tabs>
        <w:ind w:left="3600" w:hanging="360"/>
      </w:pPr>
      <w:rPr>
        <w:rFonts w:ascii="Courier New" w:hAnsi="Courier New" w:cs="Consolas" w:hint="default"/>
      </w:rPr>
    </w:lvl>
    <w:lvl w:ilvl="5" w:tplc="21DC4B6E" w:tentative="1">
      <w:start w:val="1"/>
      <w:numFmt w:val="bullet"/>
      <w:lvlText w:val=""/>
      <w:lvlJc w:val="left"/>
      <w:pPr>
        <w:tabs>
          <w:tab w:val="num" w:pos="4320"/>
        </w:tabs>
        <w:ind w:left="4320" w:hanging="360"/>
      </w:pPr>
      <w:rPr>
        <w:rFonts w:ascii="Wingdings" w:hAnsi="Wingdings" w:hint="default"/>
      </w:rPr>
    </w:lvl>
    <w:lvl w:ilvl="6" w:tplc="350C58EE" w:tentative="1">
      <w:start w:val="1"/>
      <w:numFmt w:val="bullet"/>
      <w:lvlText w:val=""/>
      <w:lvlJc w:val="left"/>
      <w:pPr>
        <w:tabs>
          <w:tab w:val="num" w:pos="5040"/>
        </w:tabs>
        <w:ind w:left="5040" w:hanging="360"/>
      </w:pPr>
      <w:rPr>
        <w:rFonts w:ascii="Symbol" w:hAnsi="Symbol" w:hint="default"/>
      </w:rPr>
    </w:lvl>
    <w:lvl w:ilvl="7" w:tplc="39E203C6" w:tentative="1">
      <w:start w:val="1"/>
      <w:numFmt w:val="bullet"/>
      <w:lvlText w:val="o"/>
      <w:lvlJc w:val="left"/>
      <w:pPr>
        <w:tabs>
          <w:tab w:val="num" w:pos="5760"/>
        </w:tabs>
        <w:ind w:left="5760" w:hanging="360"/>
      </w:pPr>
      <w:rPr>
        <w:rFonts w:ascii="Courier New" w:hAnsi="Courier New" w:cs="Consolas" w:hint="default"/>
      </w:rPr>
    </w:lvl>
    <w:lvl w:ilvl="8" w:tplc="FE84D04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73466E7"/>
    <w:multiLevelType w:val="hybridMultilevel"/>
    <w:tmpl w:val="1E309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3FE4618">
      <w:numFmt w:val="bullet"/>
      <w:lvlText w:val="·"/>
      <w:lvlJc w:val="left"/>
      <w:pPr>
        <w:ind w:left="2208" w:hanging="408"/>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3C7944"/>
    <w:multiLevelType w:val="hybridMultilevel"/>
    <w:tmpl w:val="949EFCB4"/>
    <w:lvl w:ilvl="0" w:tplc="11484858">
      <w:start w:val="1"/>
      <w:numFmt w:val="decimal"/>
      <w:pStyle w:val="Normalnumber"/>
      <w:lvlText w:val="%1."/>
      <w:lvlJc w:val="left"/>
      <w:pPr>
        <w:ind w:left="1530" w:hanging="360"/>
      </w:pPr>
      <w:rPr>
        <w:rFonts w:hint="default"/>
      </w:rPr>
    </w:lvl>
    <w:lvl w:ilvl="1" w:tplc="04090019" w:tentative="1">
      <w:start w:val="1"/>
      <w:numFmt w:val="lowerLetter"/>
      <w:lvlText w:val="%2."/>
      <w:lvlJc w:val="left"/>
      <w:pPr>
        <w:ind w:left="3461" w:hanging="360"/>
      </w:pPr>
    </w:lvl>
    <w:lvl w:ilvl="2" w:tplc="0409001B" w:tentative="1">
      <w:start w:val="1"/>
      <w:numFmt w:val="lowerRoman"/>
      <w:lvlText w:val="%3."/>
      <w:lvlJc w:val="right"/>
      <w:pPr>
        <w:ind w:left="4181" w:hanging="180"/>
      </w:pPr>
    </w:lvl>
    <w:lvl w:ilvl="3" w:tplc="0409000F" w:tentative="1">
      <w:start w:val="1"/>
      <w:numFmt w:val="decimal"/>
      <w:lvlText w:val="%4."/>
      <w:lvlJc w:val="left"/>
      <w:pPr>
        <w:ind w:left="4901" w:hanging="360"/>
      </w:pPr>
    </w:lvl>
    <w:lvl w:ilvl="4" w:tplc="04090019" w:tentative="1">
      <w:start w:val="1"/>
      <w:numFmt w:val="lowerLetter"/>
      <w:lvlText w:val="%5."/>
      <w:lvlJc w:val="left"/>
      <w:pPr>
        <w:ind w:left="5621" w:hanging="360"/>
      </w:pPr>
    </w:lvl>
    <w:lvl w:ilvl="5" w:tplc="0409001B" w:tentative="1">
      <w:start w:val="1"/>
      <w:numFmt w:val="lowerRoman"/>
      <w:lvlText w:val="%6."/>
      <w:lvlJc w:val="right"/>
      <w:pPr>
        <w:ind w:left="6341" w:hanging="180"/>
      </w:pPr>
    </w:lvl>
    <w:lvl w:ilvl="6" w:tplc="0409000F" w:tentative="1">
      <w:start w:val="1"/>
      <w:numFmt w:val="decimal"/>
      <w:lvlText w:val="%7."/>
      <w:lvlJc w:val="left"/>
      <w:pPr>
        <w:ind w:left="7061" w:hanging="360"/>
      </w:pPr>
    </w:lvl>
    <w:lvl w:ilvl="7" w:tplc="04090019" w:tentative="1">
      <w:start w:val="1"/>
      <w:numFmt w:val="lowerLetter"/>
      <w:lvlText w:val="%8."/>
      <w:lvlJc w:val="left"/>
      <w:pPr>
        <w:ind w:left="7781" w:hanging="360"/>
      </w:pPr>
    </w:lvl>
    <w:lvl w:ilvl="8" w:tplc="0409001B" w:tentative="1">
      <w:start w:val="1"/>
      <w:numFmt w:val="lowerRoman"/>
      <w:lvlText w:val="%9."/>
      <w:lvlJc w:val="right"/>
      <w:pPr>
        <w:ind w:left="8501" w:hanging="180"/>
      </w:pPr>
    </w:lvl>
  </w:abstractNum>
  <w:abstractNum w:abstractNumId="62" w15:restartNumberingAfterBreak="0">
    <w:nsid w:val="4B140D01"/>
    <w:multiLevelType w:val="hybridMultilevel"/>
    <w:tmpl w:val="FFA88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B1E7BCB"/>
    <w:multiLevelType w:val="hybridMultilevel"/>
    <w:tmpl w:val="2ECCB4D8"/>
    <w:lvl w:ilvl="0" w:tplc="933AA438">
      <w:start w:val="1"/>
      <w:numFmt w:val="bullet"/>
      <w:pStyle w:val="DashListLev3"/>
      <w:lvlText w:val="-"/>
      <w:lvlJc w:val="left"/>
      <w:pPr>
        <w:tabs>
          <w:tab w:val="num" w:pos="1080"/>
        </w:tabs>
        <w:ind w:left="1080" w:hanging="360"/>
      </w:pPr>
      <w:rPr>
        <w:rFonts w:ascii="Times New Roman" w:eastAsia="Times New Roman" w:hAnsi="Times New Roman" w:cs="Times New Roman" w:hint="default"/>
      </w:rPr>
    </w:lvl>
    <w:lvl w:ilvl="1" w:tplc="A19669D6" w:tentative="1">
      <w:start w:val="1"/>
      <w:numFmt w:val="bullet"/>
      <w:lvlText w:val="o"/>
      <w:lvlJc w:val="left"/>
      <w:pPr>
        <w:tabs>
          <w:tab w:val="num" w:pos="1800"/>
        </w:tabs>
        <w:ind w:left="1800" w:hanging="360"/>
      </w:pPr>
      <w:rPr>
        <w:rFonts w:ascii="Courier New" w:hAnsi="Courier New" w:cs="Arial" w:hint="default"/>
      </w:rPr>
    </w:lvl>
    <w:lvl w:ilvl="2" w:tplc="962A583A" w:tentative="1">
      <w:start w:val="1"/>
      <w:numFmt w:val="bullet"/>
      <w:lvlText w:val=""/>
      <w:lvlJc w:val="left"/>
      <w:pPr>
        <w:tabs>
          <w:tab w:val="num" w:pos="2520"/>
        </w:tabs>
        <w:ind w:left="2520" w:hanging="360"/>
      </w:pPr>
      <w:rPr>
        <w:rFonts w:ascii="Wingdings" w:hAnsi="Wingdings" w:hint="default"/>
      </w:rPr>
    </w:lvl>
    <w:lvl w:ilvl="3" w:tplc="0B3EBCF8" w:tentative="1">
      <w:start w:val="1"/>
      <w:numFmt w:val="bullet"/>
      <w:lvlText w:val=""/>
      <w:lvlJc w:val="left"/>
      <w:pPr>
        <w:tabs>
          <w:tab w:val="num" w:pos="3240"/>
        </w:tabs>
        <w:ind w:left="3240" w:hanging="360"/>
      </w:pPr>
      <w:rPr>
        <w:rFonts w:ascii="Symbol" w:hAnsi="Symbol" w:hint="default"/>
      </w:rPr>
    </w:lvl>
    <w:lvl w:ilvl="4" w:tplc="1714CF22" w:tentative="1">
      <w:start w:val="1"/>
      <w:numFmt w:val="bullet"/>
      <w:lvlText w:val="o"/>
      <w:lvlJc w:val="left"/>
      <w:pPr>
        <w:tabs>
          <w:tab w:val="num" w:pos="3960"/>
        </w:tabs>
        <w:ind w:left="3960" w:hanging="360"/>
      </w:pPr>
      <w:rPr>
        <w:rFonts w:ascii="Courier New" w:hAnsi="Courier New" w:cs="Arial" w:hint="default"/>
      </w:rPr>
    </w:lvl>
    <w:lvl w:ilvl="5" w:tplc="D6864FF4" w:tentative="1">
      <w:start w:val="1"/>
      <w:numFmt w:val="bullet"/>
      <w:lvlText w:val=""/>
      <w:lvlJc w:val="left"/>
      <w:pPr>
        <w:tabs>
          <w:tab w:val="num" w:pos="4680"/>
        </w:tabs>
        <w:ind w:left="4680" w:hanging="360"/>
      </w:pPr>
      <w:rPr>
        <w:rFonts w:ascii="Wingdings" w:hAnsi="Wingdings" w:hint="default"/>
      </w:rPr>
    </w:lvl>
    <w:lvl w:ilvl="6" w:tplc="AB82342E" w:tentative="1">
      <w:start w:val="1"/>
      <w:numFmt w:val="bullet"/>
      <w:lvlText w:val=""/>
      <w:lvlJc w:val="left"/>
      <w:pPr>
        <w:tabs>
          <w:tab w:val="num" w:pos="5400"/>
        </w:tabs>
        <w:ind w:left="5400" w:hanging="360"/>
      </w:pPr>
      <w:rPr>
        <w:rFonts w:ascii="Symbol" w:hAnsi="Symbol" w:hint="default"/>
      </w:rPr>
    </w:lvl>
    <w:lvl w:ilvl="7" w:tplc="14067868" w:tentative="1">
      <w:start w:val="1"/>
      <w:numFmt w:val="bullet"/>
      <w:lvlText w:val="o"/>
      <w:lvlJc w:val="left"/>
      <w:pPr>
        <w:tabs>
          <w:tab w:val="num" w:pos="6120"/>
        </w:tabs>
        <w:ind w:left="6120" w:hanging="360"/>
      </w:pPr>
      <w:rPr>
        <w:rFonts w:ascii="Courier New" w:hAnsi="Courier New" w:cs="Arial" w:hint="default"/>
      </w:rPr>
    </w:lvl>
    <w:lvl w:ilvl="8" w:tplc="C338E22E"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4E166811"/>
    <w:multiLevelType w:val="hybridMultilevel"/>
    <w:tmpl w:val="78E4687C"/>
    <w:lvl w:ilvl="0" w:tplc="2A2A1BC6">
      <w:start w:val="2"/>
      <w:numFmt w:val="lowerLetter"/>
      <w:pStyle w:val="IPPAnnexHeadAppendix"/>
      <w:lvlText w:val="(%1)"/>
      <w:lvlJc w:val="left"/>
      <w:pPr>
        <w:tabs>
          <w:tab w:val="num" w:pos="1080"/>
        </w:tabs>
        <w:ind w:left="1080" w:hanging="720"/>
      </w:pPr>
      <w:rPr>
        <w:rFonts w:hint="default"/>
      </w:rPr>
    </w:lvl>
    <w:lvl w:ilvl="1" w:tplc="BEBCB278" w:tentative="1">
      <w:start w:val="1"/>
      <w:numFmt w:val="lowerLetter"/>
      <w:lvlText w:val="%2."/>
      <w:lvlJc w:val="left"/>
      <w:pPr>
        <w:tabs>
          <w:tab w:val="num" w:pos="1440"/>
        </w:tabs>
        <w:ind w:left="1440" w:hanging="360"/>
      </w:pPr>
    </w:lvl>
    <w:lvl w:ilvl="2" w:tplc="22B83E10" w:tentative="1">
      <w:start w:val="1"/>
      <w:numFmt w:val="lowerRoman"/>
      <w:lvlText w:val="%3."/>
      <w:lvlJc w:val="right"/>
      <w:pPr>
        <w:tabs>
          <w:tab w:val="num" w:pos="2160"/>
        </w:tabs>
        <w:ind w:left="2160" w:hanging="180"/>
      </w:pPr>
    </w:lvl>
    <w:lvl w:ilvl="3" w:tplc="76A2A9C2" w:tentative="1">
      <w:start w:val="1"/>
      <w:numFmt w:val="decimal"/>
      <w:lvlText w:val="%4."/>
      <w:lvlJc w:val="left"/>
      <w:pPr>
        <w:tabs>
          <w:tab w:val="num" w:pos="2880"/>
        </w:tabs>
        <w:ind w:left="2880" w:hanging="360"/>
      </w:pPr>
    </w:lvl>
    <w:lvl w:ilvl="4" w:tplc="FBF6C78C" w:tentative="1">
      <w:start w:val="1"/>
      <w:numFmt w:val="lowerLetter"/>
      <w:lvlText w:val="%5."/>
      <w:lvlJc w:val="left"/>
      <w:pPr>
        <w:tabs>
          <w:tab w:val="num" w:pos="3600"/>
        </w:tabs>
        <w:ind w:left="3600" w:hanging="360"/>
      </w:pPr>
    </w:lvl>
    <w:lvl w:ilvl="5" w:tplc="E23A710C" w:tentative="1">
      <w:start w:val="1"/>
      <w:numFmt w:val="lowerRoman"/>
      <w:lvlText w:val="%6."/>
      <w:lvlJc w:val="right"/>
      <w:pPr>
        <w:tabs>
          <w:tab w:val="num" w:pos="4320"/>
        </w:tabs>
        <w:ind w:left="4320" w:hanging="180"/>
      </w:pPr>
    </w:lvl>
    <w:lvl w:ilvl="6" w:tplc="615A0DEC" w:tentative="1">
      <w:start w:val="1"/>
      <w:numFmt w:val="decimal"/>
      <w:lvlText w:val="%7."/>
      <w:lvlJc w:val="left"/>
      <w:pPr>
        <w:tabs>
          <w:tab w:val="num" w:pos="5040"/>
        </w:tabs>
        <w:ind w:left="5040" w:hanging="360"/>
      </w:pPr>
    </w:lvl>
    <w:lvl w:ilvl="7" w:tplc="9D8ED22C" w:tentative="1">
      <w:start w:val="1"/>
      <w:numFmt w:val="lowerLetter"/>
      <w:lvlText w:val="%8."/>
      <w:lvlJc w:val="left"/>
      <w:pPr>
        <w:tabs>
          <w:tab w:val="num" w:pos="5760"/>
        </w:tabs>
        <w:ind w:left="5760" w:hanging="360"/>
      </w:pPr>
    </w:lvl>
    <w:lvl w:ilvl="8" w:tplc="990C0C12" w:tentative="1">
      <w:start w:val="1"/>
      <w:numFmt w:val="lowerRoman"/>
      <w:lvlText w:val="%9."/>
      <w:lvlJc w:val="right"/>
      <w:pPr>
        <w:tabs>
          <w:tab w:val="num" w:pos="6480"/>
        </w:tabs>
        <w:ind w:left="6480" w:hanging="180"/>
      </w:pPr>
    </w:lvl>
  </w:abstractNum>
  <w:abstractNum w:abstractNumId="65" w15:restartNumberingAfterBreak="0">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66" w15:restartNumberingAfterBreak="0">
    <w:nsid w:val="51F3281C"/>
    <w:multiLevelType w:val="multilevel"/>
    <w:tmpl w:val="CFFC9744"/>
    <w:lvl w:ilvl="0">
      <w:start w:val="1"/>
      <w:numFmt w:val="decimal"/>
      <w:pStyle w:val="CM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5267772B"/>
    <w:multiLevelType w:val="hybridMultilevel"/>
    <w:tmpl w:val="7A707782"/>
    <w:lvl w:ilvl="0" w:tplc="30047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A66A9D"/>
    <w:multiLevelType w:val="multilevel"/>
    <w:tmpl w:val="D07A6E4C"/>
    <w:styleLink w:val="Normallist"/>
    <w:lvl w:ilvl="0">
      <w:start w:val="1"/>
      <w:numFmt w:val="decimal"/>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69" w15:restartNumberingAfterBreak="0">
    <w:nsid w:val="5675203A"/>
    <w:multiLevelType w:val="hybridMultilevel"/>
    <w:tmpl w:val="9424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D9100B"/>
    <w:multiLevelType w:val="multilevel"/>
    <w:tmpl w:val="7834EB9A"/>
    <w:lvl w:ilvl="0">
      <w:start w:val="1"/>
      <w:numFmt w:val="lowerLetter"/>
      <w:pStyle w:val="CH4"/>
      <w:lvlText w:val="(%1)"/>
      <w:lvlJc w:val="left"/>
      <w:pPr>
        <w:tabs>
          <w:tab w:val="num" w:pos="0"/>
        </w:tabs>
        <w:ind w:left="578" w:firstLine="0"/>
      </w:pPr>
      <w:rPr>
        <w:rFonts w:ascii="Times New Roman" w:hAnsi="Times New Roman"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570B0F2E"/>
    <w:multiLevelType w:val="hybridMultilevel"/>
    <w:tmpl w:val="35660624"/>
    <w:lvl w:ilvl="0" w:tplc="04100001">
      <w:start w:val="1"/>
      <w:numFmt w:val="bullet"/>
      <w:lvlText w:val=""/>
      <w:lvlJc w:val="left"/>
      <w:pPr>
        <w:ind w:left="1499" w:hanging="360"/>
      </w:pPr>
      <w:rPr>
        <w:rFonts w:ascii="Symbol" w:hAnsi="Symbol" w:hint="default"/>
      </w:rPr>
    </w:lvl>
    <w:lvl w:ilvl="1" w:tplc="04090019">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72" w15:restartNumberingAfterBreak="0">
    <w:nsid w:val="576466B0"/>
    <w:multiLevelType w:val="singleLevel"/>
    <w:tmpl w:val="04090001"/>
    <w:lvl w:ilvl="0">
      <w:start w:val="1"/>
      <w:numFmt w:val="bullet"/>
      <w:pStyle w:val="Smallbullet"/>
      <w:lvlText w:val=""/>
      <w:lvlJc w:val="left"/>
      <w:pPr>
        <w:tabs>
          <w:tab w:val="num" w:pos="360"/>
        </w:tabs>
        <w:ind w:left="360" w:hanging="360"/>
      </w:pPr>
      <w:rPr>
        <w:rFonts w:ascii="Symbol" w:hAnsi="Symbol" w:hint="default"/>
      </w:rPr>
    </w:lvl>
  </w:abstractNum>
  <w:abstractNum w:abstractNumId="73" w15:restartNumberingAfterBreak="0">
    <w:nsid w:val="58C5440B"/>
    <w:multiLevelType w:val="hybridMultilevel"/>
    <w:tmpl w:val="1B42352C"/>
    <w:lvl w:ilvl="0" w:tplc="18CA3E2A">
      <w:start w:val="1"/>
      <w:numFmt w:val="lowerRoman"/>
      <w:pStyle w:val="IPPLetterList"/>
      <w:lvlText w:val="%1."/>
      <w:lvlJc w:val="right"/>
      <w:pPr>
        <w:tabs>
          <w:tab w:val="num" w:pos="120"/>
        </w:tabs>
        <w:ind w:left="120" w:hanging="180"/>
      </w:pPr>
      <w:rPr>
        <w:rFonts w:hint="default"/>
      </w:rPr>
    </w:lvl>
    <w:lvl w:ilvl="1" w:tplc="330E0B74" w:tentative="1">
      <w:start w:val="1"/>
      <w:numFmt w:val="lowerLetter"/>
      <w:lvlText w:val="%2."/>
      <w:lvlJc w:val="left"/>
      <w:pPr>
        <w:tabs>
          <w:tab w:val="num" w:pos="840"/>
        </w:tabs>
        <w:ind w:left="840" w:hanging="360"/>
      </w:pPr>
    </w:lvl>
    <w:lvl w:ilvl="2" w:tplc="9AE834D4" w:tentative="1">
      <w:start w:val="1"/>
      <w:numFmt w:val="lowerRoman"/>
      <w:lvlText w:val="%3."/>
      <w:lvlJc w:val="right"/>
      <w:pPr>
        <w:tabs>
          <w:tab w:val="num" w:pos="1560"/>
        </w:tabs>
        <w:ind w:left="1560" w:hanging="180"/>
      </w:pPr>
    </w:lvl>
    <w:lvl w:ilvl="3" w:tplc="FB3608D2" w:tentative="1">
      <w:start w:val="1"/>
      <w:numFmt w:val="decimal"/>
      <w:lvlText w:val="%4."/>
      <w:lvlJc w:val="left"/>
      <w:pPr>
        <w:tabs>
          <w:tab w:val="num" w:pos="2280"/>
        </w:tabs>
        <w:ind w:left="2280" w:hanging="360"/>
      </w:pPr>
    </w:lvl>
    <w:lvl w:ilvl="4" w:tplc="B59CC228" w:tentative="1">
      <w:start w:val="1"/>
      <w:numFmt w:val="lowerLetter"/>
      <w:lvlText w:val="%5."/>
      <w:lvlJc w:val="left"/>
      <w:pPr>
        <w:tabs>
          <w:tab w:val="num" w:pos="3000"/>
        </w:tabs>
        <w:ind w:left="3000" w:hanging="360"/>
      </w:pPr>
    </w:lvl>
    <w:lvl w:ilvl="5" w:tplc="1974BD16" w:tentative="1">
      <w:start w:val="1"/>
      <w:numFmt w:val="lowerRoman"/>
      <w:lvlText w:val="%6."/>
      <w:lvlJc w:val="right"/>
      <w:pPr>
        <w:tabs>
          <w:tab w:val="num" w:pos="3720"/>
        </w:tabs>
        <w:ind w:left="3720" w:hanging="180"/>
      </w:pPr>
    </w:lvl>
    <w:lvl w:ilvl="6" w:tplc="AF3AC2D0" w:tentative="1">
      <w:start w:val="1"/>
      <w:numFmt w:val="decimal"/>
      <w:lvlText w:val="%7."/>
      <w:lvlJc w:val="left"/>
      <w:pPr>
        <w:tabs>
          <w:tab w:val="num" w:pos="4440"/>
        </w:tabs>
        <w:ind w:left="4440" w:hanging="360"/>
      </w:pPr>
    </w:lvl>
    <w:lvl w:ilvl="7" w:tplc="26120416" w:tentative="1">
      <w:start w:val="1"/>
      <w:numFmt w:val="lowerLetter"/>
      <w:lvlText w:val="%8."/>
      <w:lvlJc w:val="left"/>
      <w:pPr>
        <w:tabs>
          <w:tab w:val="num" w:pos="5160"/>
        </w:tabs>
        <w:ind w:left="5160" w:hanging="360"/>
      </w:pPr>
    </w:lvl>
    <w:lvl w:ilvl="8" w:tplc="4222A73E" w:tentative="1">
      <w:start w:val="1"/>
      <w:numFmt w:val="lowerRoman"/>
      <w:lvlText w:val="%9."/>
      <w:lvlJc w:val="right"/>
      <w:pPr>
        <w:tabs>
          <w:tab w:val="num" w:pos="5880"/>
        </w:tabs>
        <w:ind w:left="5880" w:hanging="180"/>
      </w:pPr>
    </w:lvl>
  </w:abstractNum>
  <w:abstractNum w:abstractNumId="74" w15:restartNumberingAfterBreak="0">
    <w:nsid w:val="597D5FBF"/>
    <w:multiLevelType w:val="hybridMultilevel"/>
    <w:tmpl w:val="4DAADB14"/>
    <w:lvl w:ilvl="0" w:tplc="FD44A6A4">
      <w:start w:val="2006"/>
      <w:numFmt w:val="bullet"/>
      <w:pStyle w:val="DashListLev2"/>
      <w:lvlText w:val="-"/>
      <w:lvlJc w:val="left"/>
      <w:pPr>
        <w:tabs>
          <w:tab w:val="num" w:pos="1080"/>
        </w:tabs>
        <w:ind w:left="1080" w:hanging="360"/>
      </w:pPr>
      <w:rPr>
        <w:rFonts w:ascii="Times New Roman" w:eastAsia="Times New Roman" w:hAnsi="Times New Roman" w:cs="Times New Roman" w:hint="default"/>
      </w:rPr>
    </w:lvl>
    <w:lvl w:ilvl="1" w:tplc="84DA32D6" w:tentative="1">
      <w:start w:val="1"/>
      <w:numFmt w:val="bullet"/>
      <w:lvlText w:val="o"/>
      <w:lvlJc w:val="left"/>
      <w:pPr>
        <w:tabs>
          <w:tab w:val="num" w:pos="1800"/>
        </w:tabs>
        <w:ind w:left="1800" w:hanging="360"/>
      </w:pPr>
      <w:rPr>
        <w:rFonts w:ascii="Courier New" w:hAnsi="Courier New" w:cs="Arial" w:hint="default"/>
      </w:rPr>
    </w:lvl>
    <w:lvl w:ilvl="2" w:tplc="945E661C" w:tentative="1">
      <w:start w:val="1"/>
      <w:numFmt w:val="bullet"/>
      <w:lvlText w:val=""/>
      <w:lvlJc w:val="left"/>
      <w:pPr>
        <w:tabs>
          <w:tab w:val="num" w:pos="2520"/>
        </w:tabs>
        <w:ind w:left="2520" w:hanging="360"/>
      </w:pPr>
      <w:rPr>
        <w:rFonts w:ascii="Wingdings" w:hAnsi="Wingdings" w:hint="default"/>
      </w:rPr>
    </w:lvl>
    <w:lvl w:ilvl="3" w:tplc="D6C84350" w:tentative="1">
      <w:start w:val="1"/>
      <w:numFmt w:val="bullet"/>
      <w:lvlText w:val=""/>
      <w:lvlJc w:val="left"/>
      <w:pPr>
        <w:tabs>
          <w:tab w:val="num" w:pos="3240"/>
        </w:tabs>
        <w:ind w:left="3240" w:hanging="360"/>
      </w:pPr>
      <w:rPr>
        <w:rFonts w:ascii="Symbol" w:hAnsi="Symbol" w:hint="default"/>
      </w:rPr>
    </w:lvl>
    <w:lvl w:ilvl="4" w:tplc="D2B2B734" w:tentative="1">
      <w:start w:val="1"/>
      <w:numFmt w:val="bullet"/>
      <w:lvlText w:val="o"/>
      <w:lvlJc w:val="left"/>
      <w:pPr>
        <w:tabs>
          <w:tab w:val="num" w:pos="3960"/>
        </w:tabs>
        <w:ind w:left="3960" w:hanging="360"/>
      </w:pPr>
      <w:rPr>
        <w:rFonts w:ascii="Courier New" w:hAnsi="Courier New" w:cs="Arial" w:hint="default"/>
      </w:rPr>
    </w:lvl>
    <w:lvl w:ilvl="5" w:tplc="E42C028A" w:tentative="1">
      <w:start w:val="1"/>
      <w:numFmt w:val="bullet"/>
      <w:lvlText w:val=""/>
      <w:lvlJc w:val="left"/>
      <w:pPr>
        <w:tabs>
          <w:tab w:val="num" w:pos="4680"/>
        </w:tabs>
        <w:ind w:left="4680" w:hanging="360"/>
      </w:pPr>
      <w:rPr>
        <w:rFonts w:ascii="Wingdings" w:hAnsi="Wingdings" w:hint="default"/>
      </w:rPr>
    </w:lvl>
    <w:lvl w:ilvl="6" w:tplc="A1BACDD2" w:tentative="1">
      <w:start w:val="1"/>
      <w:numFmt w:val="bullet"/>
      <w:lvlText w:val=""/>
      <w:lvlJc w:val="left"/>
      <w:pPr>
        <w:tabs>
          <w:tab w:val="num" w:pos="5400"/>
        </w:tabs>
        <w:ind w:left="5400" w:hanging="360"/>
      </w:pPr>
      <w:rPr>
        <w:rFonts w:ascii="Symbol" w:hAnsi="Symbol" w:hint="default"/>
      </w:rPr>
    </w:lvl>
    <w:lvl w:ilvl="7" w:tplc="883AA312" w:tentative="1">
      <w:start w:val="1"/>
      <w:numFmt w:val="bullet"/>
      <w:lvlText w:val="o"/>
      <w:lvlJc w:val="left"/>
      <w:pPr>
        <w:tabs>
          <w:tab w:val="num" w:pos="6120"/>
        </w:tabs>
        <w:ind w:left="6120" w:hanging="360"/>
      </w:pPr>
      <w:rPr>
        <w:rFonts w:ascii="Courier New" w:hAnsi="Courier New" w:cs="Arial" w:hint="default"/>
      </w:rPr>
    </w:lvl>
    <w:lvl w:ilvl="8" w:tplc="76FAF8F6"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A6E7C26"/>
    <w:multiLevelType w:val="hybridMultilevel"/>
    <w:tmpl w:val="FE8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28641D"/>
    <w:multiLevelType w:val="multilevel"/>
    <w:tmpl w:val="C504C638"/>
    <w:lvl w:ilvl="0">
      <w:start w:val="1"/>
      <w:numFmt w:val="bullet"/>
      <w:pStyle w:val="RandListLev1"/>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5B4F3D46"/>
    <w:multiLevelType w:val="hybridMultilevel"/>
    <w:tmpl w:val="F10287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5B8D7EDF"/>
    <w:multiLevelType w:val="hybridMultilevel"/>
    <w:tmpl w:val="F976A6C2"/>
    <w:lvl w:ilvl="0" w:tplc="681ECAC2">
      <w:start w:val="1"/>
      <w:numFmt w:val="bullet"/>
      <w:pStyle w:val="IPPNumberedListLast"/>
      <w:lvlText w:val=""/>
      <w:lvlJc w:val="left"/>
      <w:pPr>
        <w:tabs>
          <w:tab w:val="num" w:pos="765"/>
        </w:tabs>
        <w:ind w:left="765" w:hanging="360"/>
      </w:pPr>
      <w:rPr>
        <w:rFonts w:ascii="Wingdings" w:hAnsi="Wingdings" w:hint="default"/>
      </w:rPr>
    </w:lvl>
    <w:lvl w:ilvl="1" w:tplc="FD487CA0" w:tentative="1">
      <w:start w:val="1"/>
      <w:numFmt w:val="bullet"/>
      <w:lvlText w:val="o"/>
      <w:lvlJc w:val="left"/>
      <w:pPr>
        <w:tabs>
          <w:tab w:val="num" w:pos="1485"/>
        </w:tabs>
        <w:ind w:left="1485" w:hanging="360"/>
      </w:pPr>
      <w:rPr>
        <w:rFonts w:ascii="Courier New" w:hAnsi="Courier New" w:cs="MS Gothic" w:hint="default"/>
      </w:rPr>
    </w:lvl>
    <w:lvl w:ilvl="2" w:tplc="655E490A" w:tentative="1">
      <w:start w:val="1"/>
      <w:numFmt w:val="bullet"/>
      <w:lvlText w:val=""/>
      <w:lvlJc w:val="left"/>
      <w:pPr>
        <w:tabs>
          <w:tab w:val="num" w:pos="2205"/>
        </w:tabs>
        <w:ind w:left="2205" w:hanging="360"/>
      </w:pPr>
      <w:rPr>
        <w:rFonts w:ascii="Wingdings" w:hAnsi="Wingdings" w:hint="default"/>
      </w:rPr>
    </w:lvl>
    <w:lvl w:ilvl="3" w:tplc="8C8E9480" w:tentative="1">
      <w:start w:val="1"/>
      <w:numFmt w:val="bullet"/>
      <w:lvlText w:val=""/>
      <w:lvlJc w:val="left"/>
      <w:pPr>
        <w:tabs>
          <w:tab w:val="num" w:pos="2925"/>
        </w:tabs>
        <w:ind w:left="2925" w:hanging="360"/>
      </w:pPr>
      <w:rPr>
        <w:rFonts w:ascii="Symbol" w:hAnsi="Symbol" w:hint="default"/>
      </w:rPr>
    </w:lvl>
    <w:lvl w:ilvl="4" w:tplc="70C6F768" w:tentative="1">
      <w:start w:val="1"/>
      <w:numFmt w:val="bullet"/>
      <w:lvlText w:val="o"/>
      <w:lvlJc w:val="left"/>
      <w:pPr>
        <w:tabs>
          <w:tab w:val="num" w:pos="3645"/>
        </w:tabs>
        <w:ind w:left="3645" w:hanging="360"/>
      </w:pPr>
      <w:rPr>
        <w:rFonts w:ascii="Courier New" w:hAnsi="Courier New" w:cs="MS Gothic" w:hint="default"/>
      </w:rPr>
    </w:lvl>
    <w:lvl w:ilvl="5" w:tplc="ED7E8A32" w:tentative="1">
      <w:start w:val="1"/>
      <w:numFmt w:val="bullet"/>
      <w:lvlText w:val=""/>
      <w:lvlJc w:val="left"/>
      <w:pPr>
        <w:tabs>
          <w:tab w:val="num" w:pos="4365"/>
        </w:tabs>
        <w:ind w:left="4365" w:hanging="360"/>
      </w:pPr>
      <w:rPr>
        <w:rFonts w:ascii="Wingdings" w:hAnsi="Wingdings" w:hint="default"/>
      </w:rPr>
    </w:lvl>
    <w:lvl w:ilvl="6" w:tplc="19E018E8" w:tentative="1">
      <w:start w:val="1"/>
      <w:numFmt w:val="bullet"/>
      <w:lvlText w:val=""/>
      <w:lvlJc w:val="left"/>
      <w:pPr>
        <w:tabs>
          <w:tab w:val="num" w:pos="5085"/>
        </w:tabs>
        <w:ind w:left="5085" w:hanging="360"/>
      </w:pPr>
      <w:rPr>
        <w:rFonts w:ascii="Symbol" w:hAnsi="Symbol" w:hint="default"/>
      </w:rPr>
    </w:lvl>
    <w:lvl w:ilvl="7" w:tplc="FE523592" w:tentative="1">
      <w:start w:val="1"/>
      <w:numFmt w:val="bullet"/>
      <w:lvlText w:val="o"/>
      <w:lvlJc w:val="left"/>
      <w:pPr>
        <w:tabs>
          <w:tab w:val="num" w:pos="5805"/>
        </w:tabs>
        <w:ind w:left="5805" w:hanging="360"/>
      </w:pPr>
      <w:rPr>
        <w:rFonts w:ascii="Courier New" w:hAnsi="Courier New" w:cs="MS Gothic" w:hint="default"/>
      </w:rPr>
    </w:lvl>
    <w:lvl w:ilvl="8" w:tplc="8C006F8C" w:tentative="1">
      <w:start w:val="1"/>
      <w:numFmt w:val="bullet"/>
      <w:lvlText w:val=""/>
      <w:lvlJc w:val="left"/>
      <w:pPr>
        <w:tabs>
          <w:tab w:val="num" w:pos="6525"/>
        </w:tabs>
        <w:ind w:left="6525" w:hanging="360"/>
      </w:pPr>
      <w:rPr>
        <w:rFonts w:ascii="Wingdings" w:hAnsi="Wingdings" w:hint="default"/>
      </w:rPr>
    </w:lvl>
  </w:abstractNum>
  <w:abstractNum w:abstractNumId="79" w15:restartNumberingAfterBreak="0">
    <w:nsid w:val="5E70440A"/>
    <w:multiLevelType w:val="hybridMultilevel"/>
    <w:tmpl w:val="034E3442"/>
    <w:lvl w:ilvl="0" w:tplc="1BC49250">
      <w:start w:val="1"/>
      <w:numFmt w:val="decimal"/>
      <w:pStyle w:val="IPPNormal"/>
      <w:lvlText w:val="%1."/>
      <w:lvlJc w:val="left"/>
      <w:pPr>
        <w:tabs>
          <w:tab w:val="num" w:pos="720"/>
        </w:tabs>
        <w:ind w:left="720" w:hanging="360"/>
      </w:pPr>
    </w:lvl>
    <w:lvl w:ilvl="1" w:tplc="94E0F534" w:tentative="1">
      <w:start w:val="1"/>
      <w:numFmt w:val="lowerLetter"/>
      <w:lvlText w:val="%2."/>
      <w:lvlJc w:val="left"/>
      <w:pPr>
        <w:tabs>
          <w:tab w:val="num" w:pos="1440"/>
        </w:tabs>
        <w:ind w:left="1440" w:hanging="360"/>
      </w:pPr>
    </w:lvl>
    <w:lvl w:ilvl="2" w:tplc="871807C6" w:tentative="1">
      <w:start w:val="1"/>
      <w:numFmt w:val="lowerRoman"/>
      <w:lvlText w:val="%3."/>
      <w:lvlJc w:val="right"/>
      <w:pPr>
        <w:tabs>
          <w:tab w:val="num" w:pos="2160"/>
        </w:tabs>
        <w:ind w:left="2160" w:hanging="180"/>
      </w:pPr>
    </w:lvl>
    <w:lvl w:ilvl="3" w:tplc="AA2E4ABA" w:tentative="1">
      <w:start w:val="1"/>
      <w:numFmt w:val="decimal"/>
      <w:lvlText w:val="%4."/>
      <w:lvlJc w:val="left"/>
      <w:pPr>
        <w:tabs>
          <w:tab w:val="num" w:pos="2880"/>
        </w:tabs>
        <w:ind w:left="2880" w:hanging="360"/>
      </w:pPr>
    </w:lvl>
    <w:lvl w:ilvl="4" w:tplc="3CB65DD4" w:tentative="1">
      <w:start w:val="1"/>
      <w:numFmt w:val="lowerLetter"/>
      <w:lvlText w:val="%5."/>
      <w:lvlJc w:val="left"/>
      <w:pPr>
        <w:tabs>
          <w:tab w:val="num" w:pos="3600"/>
        </w:tabs>
        <w:ind w:left="3600" w:hanging="360"/>
      </w:pPr>
    </w:lvl>
    <w:lvl w:ilvl="5" w:tplc="E158B12A" w:tentative="1">
      <w:start w:val="1"/>
      <w:numFmt w:val="lowerRoman"/>
      <w:lvlText w:val="%6."/>
      <w:lvlJc w:val="right"/>
      <w:pPr>
        <w:tabs>
          <w:tab w:val="num" w:pos="4320"/>
        </w:tabs>
        <w:ind w:left="4320" w:hanging="180"/>
      </w:pPr>
    </w:lvl>
    <w:lvl w:ilvl="6" w:tplc="223260AE" w:tentative="1">
      <w:start w:val="1"/>
      <w:numFmt w:val="decimal"/>
      <w:lvlText w:val="%7."/>
      <w:lvlJc w:val="left"/>
      <w:pPr>
        <w:tabs>
          <w:tab w:val="num" w:pos="5040"/>
        </w:tabs>
        <w:ind w:left="5040" w:hanging="360"/>
      </w:pPr>
    </w:lvl>
    <w:lvl w:ilvl="7" w:tplc="911E922E" w:tentative="1">
      <w:start w:val="1"/>
      <w:numFmt w:val="lowerLetter"/>
      <w:lvlText w:val="%8."/>
      <w:lvlJc w:val="left"/>
      <w:pPr>
        <w:tabs>
          <w:tab w:val="num" w:pos="5760"/>
        </w:tabs>
        <w:ind w:left="5760" w:hanging="360"/>
      </w:pPr>
    </w:lvl>
    <w:lvl w:ilvl="8" w:tplc="831C4494" w:tentative="1">
      <w:start w:val="1"/>
      <w:numFmt w:val="lowerRoman"/>
      <w:lvlText w:val="%9."/>
      <w:lvlJc w:val="right"/>
      <w:pPr>
        <w:tabs>
          <w:tab w:val="num" w:pos="6480"/>
        </w:tabs>
        <w:ind w:left="6480" w:hanging="180"/>
      </w:pPr>
    </w:lvl>
  </w:abstractNum>
  <w:abstractNum w:abstractNumId="80" w15:restartNumberingAfterBreak="0">
    <w:nsid w:val="60501D7D"/>
    <w:multiLevelType w:val="hybridMultilevel"/>
    <w:tmpl w:val="EEA0F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605B5305"/>
    <w:multiLevelType w:val="hybridMultilevel"/>
    <w:tmpl w:val="5394D204"/>
    <w:lvl w:ilvl="0" w:tplc="5E66DE9E">
      <w:start w:val="1"/>
      <w:numFmt w:val="decimal"/>
      <w:pStyle w:val="Paranumbered"/>
      <w:lvlText w:val="%1."/>
      <w:lvlJc w:val="left"/>
      <w:pPr>
        <w:tabs>
          <w:tab w:val="num" w:pos="720"/>
        </w:tabs>
        <w:ind w:left="720" w:hanging="720"/>
      </w:pPr>
      <w:rPr>
        <w:rFonts w:hint="default"/>
      </w:rPr>
    </w:lvl>
    <w:lvl w:ilvl="1" w:tplc="18AA76F4">
      <w:start w:val="1"/>
      <w:numFmt w:val="lowerLetter"/>
      <w:lvlText w:val="%2."/>
      <w:lvlJc w:val="left"/>
      <w:pPr>
        <w:tabs>
          <w:tab w:val="num" w:pos="1440"/>
        </w:tabs>
        <w:ind w:left="1440" w:hanging="360"/>
      </w:pPr>
    </w:lvl>
    <w:lvl w:ilvl="2" w:tplc="CDC21372">
      <w:start w:val="1"/>
      <w:numFmt w:val="lowerRoman"/>
      <w:lvlText w:val="%3."/>
      <w:lvlJc w:val="right"/>
      <w:pPr>
        <w:tabs>
          <w:tab w:val="num" w:pos="2160"/>
        </w:tabs>
        <w:ind w:left="2160" w:hanging="180"/>
      </w:pPr>
    </w:lvl>
    <w:lvl w:ilvl="3" w:tplc="79262EEA">
      <w:start w:val="1"/>
      <w:numFmt w:val="decimal"/>
      <w:lvlText w:val="%4."/>
      <w:lvlJc w:val="left"/>
      <w:pPr>
        <w:tabs>
          <w:tab w:val="num" w:pos="2880"/>
        </w:tabs>
        <w:ind w:left="2880" w:hanging="360"/>
      </w:pPr>
    </w:lvl>
    <w:lvl w:ilvl="4" w:tplc="1D48B888">
      <w:start w:val="1"/>
      <w:numFmt w:val="lowerLetter"/>
      <w:lvlText w:val="%5."/>
      <w:lvlJc w:val="left"/>
      <w:pPr>
        <w:tabs>
          <w:tab w:val="num" w:pos="3600"/>
        </w:tabs>
        <w:ind w:left="3600" w:hanging="360"/>
      </w:pPr>
    </w:lvl>
    <w:lvl w:ilvl="5" w:tplc="BE30C18E">
      <w:start w:val="1"/>
      <w:numFmt w:val="lowerRoman"/>
      <w:lvlText w:val="%6."/>
      <w:lvlJc w:val="right"/>
      <w:pPr>
        <w:tabs>
          <w:tab w:val="num" w:pos="4320"/>
        </w:tabs>
        <w:ind w:left="4320" w:hanging="180"/>
      </w:pPr>
    </w:lvl>
    <w:lvl w:ilvl="6" w:tplc="EEFE24EA">
      <w:start w:val="1"/>
      <w:numFmt w:val="decimal"/>
      <w:lvlText w:val="%7."/>
      <w:lvlJc w:val="left"/>
      <w:pPr>
        <w:tabs>
          <w:tab w:val="num" w:pos="5040"/>
        </w:tabs>
        <w:ind w:left="5040" w:hanging="360"/>
      </w:pPr>
    </w:lvl>
    <w:lvl w:ilvl="7" w:tplc="8E909338">
      <w:start w:val="1"/>
      <w:numFmt w:val="lowerLetter"/>
      <w:lvlText w:val="%8."/>
      <w:lvlJc w:val="left"/>
      <w:pPr>
        <w:tabs>
          <w:tab w:val="num" w:pos="5760"/>
        </w:tabs>
        <w:ind w:left="5760" w:hanging="360"/>
      </w:pPr>
    </w:lvl>
    <w:lvl w:ilvl="8" w:tplc="664E46A0">
      <w:start w:val="1"/>
      <w:numFmt w:val="lowerRoman"/>
      <w:lvlText w:val="%9."/>
      <w:lvlJc w:val="right"/>
      <w:pPr>
        <w:tabs>
          <w:tab w:val="num" w:pos="6480"/>
        </w:tabs>
        <w:ind w:left="6480" w:hanging="180"/>
      </w:pPr>
    </w:lvl>
  </w:abstractNum>
  <w:abstractNum w:abstractNumId="82" w15:restartNumberingAfterBreak="0">
    <w:nsid w:val="606E19AA"/>
    <w:multiLevelType w:val="hybridMultilevel"/>
    <w:tmpl w:val="6AACAAA0"/>
    <w:lvl w:ilvl="0" w:tplc="CD90B98C">
      <w:start w:val="1"/>
      <w:numFmt w:val="bullet"/>
      <w:pStyle w:val="Bulletdash"/>
      <w:lvlText w:val=""/>
      <w:lvlJc w:val="left"/>
      <w:pPr>
        <w:ind w:left="618" w:hanging="360"/>
      </w:pPr>
      <w:rPr>
        <w:rFonts w:ascii="Symbol" w:hAnsi="Symbol" w:hint="default"/>
      </w:rPr>
    </w:lvl>
    <w:lvl w:ilvl="1" w:tplc="B5A04B06" w:tentative="1">
      <w:start w:val="1"/>
      <w:numFmt w:val="bullet"/>
      <w:lvlText w:val="o"/>
      <w:lvlJc w:val="left"/>
      <w:pPr>
        <w:ind w:left="1338" w:hanging="360"/>
      </w:pPr>
      <w:rPr>
        <w:rFonts w:ascii="Courier New" w:hAnsi="Courier New" w:cs="Consolas" w:hint="default"/>
      </w:rPr>
    </w:lvl>
    <w:lvl w:ilvl="2" w:tplc="9DE86EB2" w:tentative="1">
      <w:start w:val="1"/>
      <w:numFmt w:val="bullet"/>
      <w:lvlText w:val=""/>
      <w:lvlJc w:val="left"/>
      <w:pPr>
        <w:ind w:left="2058" w:hanging="360"/>
      </w:pPr>
      <w:rPr>
        <w:rFonts w:ascii="Wingdings" w:hAnsi="Wingdings" w:hint="default"/>
      </w:rPr>
    </w:lvl>
    <w:lvl w:ilvl="3" w:tplc="1EA28136" w:tentative="1">
      <w:start w:val="1"/>
      <w:numFmt w:val="bullet"/>
      <w:lvlText w:val=""/>
      <w:lvlJc w:val="left"/>
      <w:pPr>
        <w:ind w:left="2778" w:hanging="360"/>
      </w:pPr>
      <w:rPr>
        <w:rFonts w:ascii="Symbol" w:hAnsi="Symbol" w:hint="default"/>
      </w:rPr>
    </w:lvl>
    <w:lvl w:ilvl="4" w:tplc="7F905118" w:tentative="1">
      <w:start w:val="1"/>
      <w:numFmt w:val="bullet"/>
      <w:lvlText w:val="o"/>
      <w:lvlJc w:val="left"/>
      <w:pPr>
        <w:ind w:left="3498" w:hanging="360"/>
      </w:pPr>
      <w:rPr>
        <w:rFonts w:ascii="Courier New" w:hAnsi="Courier New" w:cs="Consolas" w:hint="default"/>
      </w:rPr>
    </w:lvl>
    <w:lvl w:ilvl="5" w:tplc="66E25F2E" w:tentative="1">
      <w:start w:val="1"/>
      <w:numFmt w:val="bullet"/>
      <w:lvlText w:val=""/>
      <w:lvlJc w:val="left"/>
      <w:pPr>
        <w:ind w:left="4218" w:hanging="360"/>
      </w:pPr>
      <w:rPr>
        <w:rFonts w:ascii="Wingdings" w:hAnsi="Wingdings" w:hint="default"/>
      </w:rPr>
    </w:lvl>
    <w:lvl w:ilvl="6" w:tplc="DB8E8F84" w:tentative="1">
      <w:start w:val="1"/>
      <w:numFmt w:val="bullet"/>
      <w:lvlText w:val=""/>
      <w:lvlJc w:val="left"/>
      <w:pPr>
        <w:ind w:left="4938" w:hanging="360"/>
      </w:pPr>
      <w:rPr>
        <w:rFonts w:ascii="Symbol" w:hAnsi="Symbol" w:hint="default"/>
      </w:rPr>
    </w:lvl>
    <w:lvl w:ilvl="7" w:tplc="47A61CB2" w:tentative="1">
      <w:start w:val="1"/>
      <w:numFmt w:val="bullet"/>
      <w:lvlText w:val="o"/>
      <w:lvlJc w:val="left"/>
      <w:pPr>
        <w:ind w:left="5658" w:hanging="360"/>
      </w:pPr>
      <w:rPr>
        <w:rFonts w:ascii="Courier New" w:hAnsi="Courier New" w:cs="Consolas" w:hint="default"/>
      </w:rPr>
    </w:lvl>
    <w:lvl w:ilvl="8" w:tplc="4FBE97A4" w:tentative="1">
      <w:start w:val="1"/>
      <w:numFmt w:val="bullet"/>
      <w:lvlText w:val=""/>
      <w:lvlJc w:val="left"/>
      <w:pPr>
        <w:ind w:left="6378" w:hanging="360"/>
      </w:pPr>
      <w:rPr>
        <w:rFonts w:ascii="Wingdings" w:hAnsi="Wingdings" w:hint="default"/>
      </w:rPr>
    </w:lvl>
  </w:abstractNum>
  <w:abstractNum w:abstractNumId="83" w15:restartNumberingAfterBreak="0">
    <w:nsid w:val="61AE1ECE"/>
    <w:multiLevelType w:val="hybridMultilevel"/>
    <w:tmpl w:val="D522F93E"/>
    <w:lvl w:ilvl="0" w:tplc="7932EDE0">
      <w:start w:val="15"/>
      <w:numFmt w:val="decimal"/>
      <w:pStyle w:val="IPPLetterListIndent"/>
      <w:lvlText w:val="%1."/>
      <w:lvlJc w:val="left"/>
      <w:pPr>
        <w:tabs>
          <w:tab w:val="num" w:pos="990"/>
        </w:tabs>
        <w:ind w:left="990" w:hanging="360"/>
      </w:pPr>
      <w:rPr>
        <w:rFonts w:hint="default"/>
      </w:rPr>
    </w:lvl>
    <w:lvl w:ilvl="1" w:tplc="6DB657F2" w:tentative="1">
      <w:start w:val="1"/>
      <w:numFmt w:val="lowerLetter"/>
      <w:lvlText w:val="%2."/>
      <w:lvlJc w:val="left"/>
      <w:pPr>
        <w:tabs>
          <w:tab w:val="num" w:pos="1710"/>
        </w:tabs>
        <w:ind w:left="1710" w:hanging="360"/>
      </w:pPr>
    </w:lvl>
    <w:lvl w:ilvl="2" w:tplc="53D2334A" w:tentative="1">
      <w:start w:val="1"/>
      <w:numFmt w:val="lowerRoman"/>
      <w:lvlText w:val="%3."/>
      <w:lvlJc w:val="right"/>
      <w:pPr>
        <w:tabs>
          <w:tab w:val="num" w:pos="2430"/>
        </w:tabs>
        <w:ind w:left="2430" w:hanging="180"/>
      </w:pPr>
    </w:lvl>
    <w:lvl w:ilvl="3" w:tplc="01F43DE8" w:tentative="1">
      <w:start w:val="1"/>
      <w:numFmt w:val="decimal"/>
      <w:lvlText w:val="%4."/>
      <w:lvlJc w:val="left"/>
      <w:pPr>
        <w:tabs>
          <w:tab w:val="num" w:pos="3150"/>
        </w:tabs>
        <w:ind w:left="3150" w:hanging="360"/>
      </w:pPr>
    </w:lvl>
    <w:lvl w:ilvl="4" w:tplc="4184DA78" w:tentative="1">
      <w:start w:val="1"/>
      <w:numFmt w:val="lowerLetter"/>
      <w:lvlText w:val="%5."/>
      <w:lvlJc w:val="left"/>
      <w:pPr>
        <w:tabs>
          <w:tab w:val="num" w:pos="3870"/>
        </w:tabs>
        <w:ind w:left="3870" w:hanging="360"/>
      </w:pPr>
    </w:lvl>
    <w:lvl w:ilvl="5" w:tplc="ABFA36F6" w:tentative="1">
      <w:start w:val="1"/>
      <w:numFmt w:val="lowerRoman"/>
      <w:lvlText w:val="%6."/>
      <w:lvlJc w:val="right"/>
      <w:pPr>
        <w:tabs>
          <w:tab w:val="num" w:pos="4590"/>
        </w:tabs>
        <w:ind w:left="4590" w:hanging="180"/>
      </w:pPr>
    </w:lvl>
    <w:lvl w:ilvl="6" w:tplc="FCF256CE" w:tentative="1">
      <w:start w:val="1"/>
      <w:numFmt w:val="decimal"/>
      <w:lvlText w:val="%7."/>
      <w:lvlJc w:val="left"/>
      <w:pPr>
        <w:tabs>
          <w:tab w:val="num" w:pos="5310"/>
        </w:tabs>
        <w:ind w:left="5310" w:hanging="360"/>
      </w:pPr>
    </w:lvl>
    <w:lvl w:ilvl="7" w:tplc="7F682FB8" w:tentative="1">
      <w:start w:val="1"/>
      <w:numFmt w:val="lowerLetter"/>
      <w:lvlText w:val="%8."/>
      <w:lvlJc w:val="left"/>
      <w:pPr>
        <w:tabs>
          <w:tab w:val="num" w:pos="6030"/>
        </w:tabs>
        <w:ind w:left="6030" w:hanging="360"/>
      </w:pPr>
    </w:lvl>
    <w:lvl w:ilvl="8" w:tplc="2BA6E802" w:tentative="1">
      <w:start w:val="1"/>
      <w:numFmt w:val="lowerRoman"/>
      <w:lvlText w:val="%9."/>
      <w:lvlJc w:val="right"/>
      <w:pPr>
        <w:tabs>
          <w:tab w:val="num" w:pos="6750"/>
        </w:tabs>
        <w:ind w:left="6750" w:hanging="180"/>
      </w:pPr>
    </w:lvl>
  </w:abstractNum>
  <w:abstractNum w:abstractNumId="84" w15:restartNumberingAfterBreak="0">
    <w:nsid w:val="658A2624"/>
    <w:multiLevelType w:val="hybridMultilevel"/>
    <w:tmpl w:val="C5E8DBFA"/>
    <w:lvl w:ilvl="0" w:tplc="16B225DA">
      <w:start w:val="1"/>
      <w:numFmt w:val="bullet"/>
      <w:pStyle w:val="Style"/>
      <w:lvlText w:val=""/>
      <w:lvlJc w:val="left"/>
      <w:pPr>
        <w:tabs>
          <w:tab w:val="num" w:pos="720"/>
        </w:tabs>
        <w:ind w:left="720" w:hanging="360"/>
      </w:pPr>
      <w:rPr>
        <w:rFonts w:ascii="Symbol" w:hAnsi="Symbol" w:hint="default"/>
      </w:rPr>
    </w:lvl>
    <w:lvl w:ilvl="1" w:tplc="5E464262">
      <w:start w:val="1"/>
      <w:numFmt w:val="bullet"/>
      <w:lvlText w:val="o"/>
      <w:lvlJc w:val="left"/>
      <w:pPr>
        <w:tabs>
          <w:tab w:val="num" w:pos="1440"/>
        </w:tabs>
        <w:ind w:left="1440" w:hanging="360"/>
      </w:pPr>
      <w:rPr>
        <w:rFonts w:ascii="Courier New" w:hAnsi="Courier New" w:cs="Consolas" w:hint="default"/>
      </w:rPr>
    </w:lvl>
    <w:lvl w:ilvl="2" w:tplc="26EC6F76" w:tentative="1">
      <w:start w:val="1"/>
      <w:numFmt w:val="bullet"/>
      <w:lvlText w:val=""/>
      <w:lvlJc w:val="left"/>
      <w:pPr>
        <w:tabs>
          <w:tab w:val="num" w:pos="2160"/>
        </w:tabs>
        <w:ind w:left="2160" w:hanging="360"/>
      </w:pPr>
      <w:rPr>
        <w:rFonts w:ascii="Wingdings" w:hAnsi="Wingdings" w:hint="default"/>
      </w:rPr>
    </w:lvl>
    <w:lvl w:ilvl="3" w:tplc="5EF0A7B2" w:tentative="1">
      <w:start w:val="1"/>
      <w:numFmt w:val="bullet"/>
      <w:lvlText w:val=""/>
      <w:lvlJc w:val="left"/>
      <w:pPr>
        <w:tabs>
          <w:tab w:val="num" w:pos="2880"/>
        </w:tabs>
        <w:ind w:left="2880" w:hanging="360"/>
      </w:pPr>
      <w:rPr>
        <w:rFonts w:ascii="Symbol" w:hAnsi="Symbol" w:hint="default"/>
      </w:rPr>
    </w:lvl>
    <w:lvl w:ilvl="4" w:tplc="068C84BC" w:tentative="1">
      <w:start w:val="1"/>
      <w:numFmt w:val="bullet"/>
      <w:lvlText w:val="o"/>
      <w:lvlJc w:val="left"/>
      <w:pPr>
        <w:tabs>
          <w:tab w:val="num" w:pos="3600"/>
        </w:tabs>
        <w:ind w:left="3600" w:hanging="360"/>
      </w:pPr>
      <w:rPr>
        <w:rFonts w:ascii="Courier New" w:hAnsi="Courier New" w:cs="Consolas" w:hint="default"/>
      </w:rPr>
    </w:lvl>
    <w:lvl w:ilvl="5" w:tplc="8FF8A9E8" w:tentative="1">
      <w:start w:val="1"/>
      <w:numFmt w:val="bullet"/>
      <w:lvlText w:val=""/>
      <w:lvlJc w:val="left"/>
      <w:pPr>
        <w:tabs>
          <w:tab w:val="num" w:pos="4320"/>
        </w:tabs>
        <w:ind w:left="4320" w:hanging="360"/>
      </w:pPr>
      <w:rPr>
        <w:rFonts w:ascii="Wingdings" w:hAnsi="Wingdings" w:hint="default"/>
      </w:rPr>
    </w:lvl>
    <w:lvl w:ilvl="6" w:tplc="D3CCE5E2" w:tentative="1">
      <w:start w:val="1"/>
      <w:numFmt w:val="bullet"/>
      <w:lvlText w:val=""/>
      <w:lvlJc w:val="left"/>
      <w:pPr>
        <w:tabs>
          <w:tab w:val="num" w:pos="5040"/>
        </w:tabs>
        <w:ind w:left="5040" w:hanging="360"/>
      </w:pPr>
      <w:rPr>
        <w:rFonts w:ascii="Symbol" w:hAnsi="Symbol" w:hint="default"/>
      </w:rPr>
    </w:lvl>
    <w:lvl w:ilvl="7" w:tplc="AF9A4E3C" w:tentative="1">
      <w:start w:val="1"/>
      <w:numFmt w:val="bullet"/>
      <w:lvlText w:val="o"/>
      <w:lvlJc w:val="left"/>
      <w:pPr>
        <w:tabs>
          <w:tab w:val="num" w:pos="5760"/>
        </w:tabs>
        <w:ind w:left="5760" w:hanging="360"/>
      </w:pPr>
      <w:rPr>
        <w:rFonts w:ascii="Courier New" w:hAnsi="Courier New" w:cs="Consolas" w:hint="default"/>
      </w:rPr>
    </w:lvl>
    <w:lvl w:ilvl="8" w:tplc="D596801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D6507BD"/>
    <w:multiLevelType w:val="hybridMultilevel"/>
    <w:tmpl w:val="3EBABF54"/>
    <w:lvl w:ilvl="0" w:tplc="3FBA5326">
      <w:start w:val="1"/>
      <w:numFmt w:val="bullet"/>
      <w:pStyle w:val="IPPAnnexHead"/>
      <w:lvlText w:val=""/>
      <w:lvlJc w:val="left"/>
      <w:pPr>
        <w:tabs>
          <w:tab w:val="num" w:pos="720"/>
        </w:tabs>
        <w:ind w:left="720" w:hanging="360"/>
      </w:pPr>
      <w:rPr>
        <w:rFonts w:ascii="Symbol" w:hAnsi="Symbol" w:hint="default"/>
      </w:rPr>
    </w:lvl>
    <w:lvl w:ilvl="1" w:tplc="3C7EFD9C" w:tentative="1">
      <w:start w:val="1"/>
      <w:numFmt w:val="bullet"/>
      <w:lvlText w:val="o"/>
      <w:lvlJc w:val="left"/>
      <w:pPr>
        <w:tabs>
          <w:tab w:val="num" w:pos="1440"/>
        </w:tabs>
        <w:ind w:left="1440" w:hanging="360"/>
      </w:pPr>
      <w:rPr>
        <w:rFonts w:ascii="Courier New" w:hAnsi="Courier New" w:cs="Consolas" w:hint="default"/>
      </w:rPr>
    </w:lvl>
    <w:lvl w:ilvl="2" w:tplc="17604286" w:tentative="1">
      <w:start w:val="1"/>
      <w:numFmt w:val="bullet"/>
      <w:lvlText w:val=""/>
      <w:lvlJc w:val="left"/>
      <w:pPr>
        <w:tabs>
          <w:tab w:val="num" w:pos="2160"/>
        </w:tabs>
        <w:ind w:left="2160" w:hanging="360"/>
      </w:pPr>
      <w:rPr>
        <w:rFonts w:ascii="Wingdings" w:hAnsi="Wingdings" w:hint="default"/>
      </w:rPr>
    </w:lvl>
    <w:lvl w:ilvl="3" w:tplc="80C0D0C2" w:tentative="1">
      <w:start w:val="1"/>
      <w:numFmt w:val="bullet"/>
      <w:lvlText w:val=""/>
      <w:lvlJc w:val="left"/>
      <w:pPr>
        <w:tabs>
          <w:tab w:val="num" w:pos="2880"/>
        </w:tabs>
        <w:ind w:left="2880" w:hanging="360"/>
      </w:pPr>
      <w:rPr>
        <w:rFonts w:ascii="Symbol" w:hAnsi="Symbol" w:hint="default"/>
      </w:rPr>
    </w:lvl>
    <w:lvl w:ilvl="4" w:tplc="5262D67E" w:tentative="1">
      <w:start w:val="1"/>
      <w:numFmt w:val="bullet"/>
      <w:lvlText w:val="o"/>
      <w:lvlJc w:val="left"/>
      <w:pPr>
        <w:tabs>
          <w:tab w:val="num" w:pos="3600"/>
        </w:tabs>
        <w:ind w:left="3600" w:hanging="360"/>
      </w:pPr>
      <w:rPr>
        <w:rFonts w:ascii="Courier New" w:hAnsi="Courier New" w:cs="Consolas" w:hint="default"/>
      </w:rPr>
    </w:lvl>
    <w:lvl w:ilvl="5" w:tplc="2BF82DF2" w:tentative="1">
      <w:start w:val="1"/>
      <w:numFmt w:val="bullet"/>
      <w:lvlText w:val=""/>
      <w:lvlJc w:val="left"/>
      <w:pPr>
        <w:tabs>
          <w:tab w:val="num" w:pos="4320"/>
        </w:tabs>
        <w:ind w:left="4320" w:hanging="360"/>
      </w:pPr>
      <w:rPr>
        <w:rFonts w:ascii="Wingdings" w:hAnsi="Wingdings" w:hint="default"/>
      </w:rPr>
    </w:lvl>
    <w:lvl w:ilvl="6" w:tplc="E3C24FD0" w:tentative="1">
      <w:start w:val="1"/>
      <w:numFmt w:val="bullet"/>
      <w:lvlText w:val=""/>
      <w:lvlJc w:val="left"/>
      <w:pPr>
        <w:tabs>
          <w:tab w:val="num" w:pos="5040"/>
        </w:tabs>
        <w:ind w:left="5040" w:hanging="360"/>
      </w:pPr>
      <w:rPr>
        <w:rFonts w:ascii="Symbol" w:hAnsi="Symbol" w:hint="default"/>
      </w:rPr>
    </w:lvl>
    <w:lvl w:ilvl="7" w:tplc="6F964FB6" w:tentative="1">
      <w:start w:val="1"/>
      <w:numFmt w:val="bullet"/>
      <w:lvlText w:val="o"/>
      <w:lvlJc w:val="left"/>
      <w:pPr>
        <w:tabs>
          <w:tab w:val="num" w:pos="5760"/>
        </w:tabs>
        <w:ind w:left="5760" w:hanging="360"/>
      </w:pPr>
      <w:rPr>
        <w:rFonts w:ascii="Courier New" w:hAnsi="Courier New" w:cs="Consolas" w:hint="default"/>
      </w:rPr>
    </w:lvl>
    <w:lvl w:ilvl="8" w:tplc="7D3C054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1D36CA2"/>
    <w:multiLevelType w:val="hybridMultilevel"/>
    <w:tmpl w:val="B6C67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723C2D8A"/>
    <w:multiLevelType w:val="hybridMultilevel"/>
    <w:tmpl w:val="553C60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27F3C72"/>
    <w:multiLevelType w:val="hybridMultilevel"/>
    <w:tmpl w:val="77B60982"/>
    <w:lvl w:ilvl="0" w:tplc="B81CB32C">
      <w:start w:val="1"/>
      <w:numFmt w:val="decimal"/>
      <w:pStyle w:val="BoxRandList1"/>
      <w:lvlText w:val="%1."/>
      <w:lvlJc w:val="left"/>
      <w:pPr>
        <w:tabs>
          <w:tab w:val="num" w:pos="1278"/>
        </w:tabs>
        <w:ind w:left="1278" w:hanging="360"/>
      </w:pPr>
      <w:rPr>
        <w:rFonts w:hint="default"/>
      </w:rPr>
    </w:lvl>
    <w:lvl w:ilvl="1" w:tplc="1494B8DA" w:tentative="1">
      <w:start w:val="1"/>
      <w:numFmt w:val="aiueoFullWidth"/>
      <w:lvlText w:val="(%2)"/>
      <w:lvlJc w:val="left"/>
      <w:pPr>
        <w:tabs>
          <w:tab w:val="num" w:pos="1758"/>
        </w:tabs>
        <w:ind w:left="1758" w:hanging="420"/>
      </w:pPr>
    </w:lvl>
    <w:lvl w:ilvl="2" w:tplc="018CC1A4" w:tentative="1">
      <w:start w:val="1"/>
      <w:numFmt w:val="decimalEnclosedCircle"/>
      <w:lvlText w:val="%3"/>
      <w:lvlJc w:val="left"/>
      <w:pPr>
        <w:tabs>
          <w:tab w:val="num" w:pos="2178"/>
        </w:tabs>
        <w:ind w:left="2178" w:hanging="420"/>
      </w:pPr>
    </w:lvl>
    <w:lvl w:ilvl="3" w:tplc="38CEBDF8" w:tentative="1">
      <w:start w:val="1"/>
      <w:numFmt w:val="decimal"/>
      <w:lvlText w:val="%4."/>
      <w:lvlJc w:val="left"/>
      <w:pPr>
        <w:tabs>
          <w:tab w:val="num" w:pos="2598"/>
        </w:tabs>
        <w:ind w:left="2598" w:hanging="420"/>
      </w:pPr>
    </w:lvl>
    <w:lvl w:ilvl="4" w:tplc="7FDE0116" w:tentative="1">
      <w:start w:val="1"/>
      <w:numFmt w:val="aiueoFullWidth"/>
      <w:lvlText w:val="(%5)"/>
      <w:lvlJc w:val="left"/>
      <w:pPr>
        <w:tabs>
          <w:tab w:val="num" w:pos="3018"/>
        </w:tabs>
        <w:ind w:left="3018" w:hanging="420"/>
      </w:pPr>
    </w:lvl>
    <w:lvl w:ilvl="5" w:tplc="DFCE99B0" w:tentative="1">
      <w:start w:val="1"/>
      <w:numFmt w:val="decimalEnclosedCircle"/>
      <w:lvlText w:val="%6"/>
      <w:lvlJc w:val="left"/>
      <w:pPr>
        <w:tabs>
          <w:tab w:val="num" w:pos="3438"/>
        </w:tabs>
        <w:ind w:left="3438" w:hanging="420"/>
      </w:pPr>
    </w:lvl>
    <w:lvl w:ilvl="6" w:tplc="6E6EDCBC" w:tentative="1">
      <w:start w:val="1"/>
      <w:numFmt w:val="decimal"/>
      <w:lvlText w:val="%7."/>
      <w:lvlJc w:val="left"/>
      <w:pPr>
        <w:tabs>
          <w:tab w:val="num" w:pos="3858"/>
        </w:tabs>
        <w:ind w:left="3858" w:hanging="420"/>
      </w:pPr>
    </w:lvl>
    <w:lvl w:ilvl="7" w:tplc="D40EB880" w:tentative="1">
      <w:start w:val="1"/>
      <w:numFmt w:val="aiueoFullWidth"/>
      <w:lvlText w:val="(%8)"/>
      <w:lvlJc w:val="left"/>
      <w:pPr>
        <w:tabs>
          <w:tab w:val="num" w:pos="4278"/>
        </w:tabs>
        <w:ind w:left="4278" w:hanging="420"/>
      </w:pPr>
    </w:lvl>
    <w:lvl w:ilvl="8" w:tplc="B024EF66" w:tentative="1">
      <w:start w:val="1"/>
      <w:numFmt w:val="decimalEnclosedCircle"/>
      <w:lvlText w:val="%9"/>
      <w:lvlJc w:val="left"/>
      <w:pPr>
        <w:tabs>
          <w:tab w:val="num" w:pos="4698"/>
        </w:tabs>
        <w:ind w:left="4698" w:hanging="420"/>
      </w:pPr>
    </w:lvl>
  </w:abstractNum>
  <w:abstractNum w:abstractNumId="89" w15:restartNumberingAfterBreak="0">
    <w:nsid w:val="73A127AB"/>
    <w:multiLevelType w:val="hybridMultilevel"/>
    <w:tmpl w:val="FDE256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749306FA"/>
    <w:multiLevelType w:val="multilevel"/>
    <w:tmpl w:val="25B63E1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1" w15:restartNumberingAfterBreak="0">
    <w:nsid w:val="754766C1"/>
    <w:multiLevelType w:val="hybridMultilevel"/>
    <w:tmpl w:val="5EDECFC8"/>
    <w:lvl w:ilvl="0" w:tplc="D0FE22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9372C3"/>
    <w:multiLevelType w:val="hybridMultilevel"/>
    <w:tmpl w:val="08D8A9FC"/>
    <w:lvl w:ilvl="0" w:tplc="04090011">
      <w:start w:val="1"/>
      <w:numFmt w:val="decimal"/>
      <w:lvlText w:val="%1)"/>
      <w:lvlJc w:val="left"/>
      <w:pPr>
        <w:ind w:left="393" w:hanging="36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93" w15:restartNumberingAfterBreak="0">
    <w:nsid w:val="7B9137F9"/>
    <w:multiLevelType w:val="hybridMultilevel"/>
    <w:tmpl w:val="8C8075E4"/>
    <w:lvl w:ilvl="0" w:tplc="286E87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D149F3"/>
    <w:multiLevelType w:val="hybridMultilevel"/>
    <w:tmpl w:val="51CEBB5E"/>
    <w:lvl w:ilvl="0" w:tplc="74181FB4">
      <w:start w:val="1"/>
      <w:numFmt w:val="bullet"/>
      <w:pStyle w:val="IPPNumberedListArial"/>
      <w:lvlText w:val=""/>
      <w:lvlJc w:val="left"/>
      <w:pPr>
        <w:tabs>
          <w:tab w:val="num" w:pos="360"/>
        </w:tabs>
        <w:ind w:left="360" w:hanging="360"/>
      </w:pPr>
      <w:rPr>
        <w:rFonts w:ascii="Symbol" w:hAnsi="Symbol" w:hint="default"/>
        <w:color w:val="auto"/>
      </w:rPr>
    </w:lvl>
    <w:lvl w:ilvl="1" w:tplc="8F10EEF4" w:tentative="1">
      <w:start w:val="1"/>
      <w:numFmt w:val="bullet"/>
      <w:lvlText w:val="o"/>
      <w:lvlJc w:val="left"/>
      <w:pPr>
        <w:tabs>
          <w:tab w:val="num" w:pos="1080"/>
        </w:tabs>
        <w:ind w:left="1080" w:hanging="360"/>
      </w:pPr>
      <w:rPr>
        <w:rFonts w:ascii="Courier New" w:hAnsi="Courier New" w:cs="Consolas" w:hint="default"/>
      </w:rPr>
    </w:lvl>
    <w:lvl w:ilvl="2" w:tplc="C208229A" w:tentative="1">
      <w:start w:val="1"/>
      <w:numFmt w:val="bullet"/>
      <w:lvlText w:val=""/>
      <w:lvlJc w:val="left"/>
      <w:pPr>
        <w:tabs>
          <w:tab w:val="num" w:pos="1800"/>
        </w:tabs>
        <w:ind w:left="1800" w:hanging="360"/>
      </w:pPr>
      <w:rPr>
        <w:rFonts w:ascii="Wingdings" w:hAnsi="Wingdings" w:hint="default"/>
      </w:rPr>
    </w:lvl>
    <w:lvl w:ilvl="3" w:tplc="EEF27C18" w:tentative="1">
      <w:start w:val="1"/>
      <w:numFmt w:val="bullet"/>
      <w:lvlText w:val=""/>
      <w:lvlJc w:val="left"/>
      <w:pPr>
        <w:tabs>
          <w:tab w:val="num" w:pos="2520"/>
        </w:tabs>
        <w:ind w:left="2520" w:hanging="360"/>
      </w:pPr>
      <w:rPr>
        <w:rFonts w:ascii="Symbol" w:hAnsi="Symbol" w:hint="default"/>
      </w:rPr>
    </w:lvl>
    <w:lvl w:ilvl="4" w:tplc="4B8E1B22" w:tentative="1">
      <w:start w:val="1"/>
      <w:numFmt w:val="bullet"/>
      <w:lvlText w:val="o"/>
      <w:lvlJc w:val="left"/>
      <w:pPr>
        <w:tabs>
          <w:tab w:val="num" w:pos="3240"/>
        </w:tabs>
        <w:ind w:left="3240" w:hanging="360"/>
      </w:pPr>
      <w:rPr>
        <w:rFonts w:ascii="Courier New" w:hAnsi="Courier New" w:cs="Consolas" w:hint="default"/>
      </w:rPr>
    </w:lvl>
    <w:lvl w:ilvl="5" w:tplc="271CA3A0" w:tentative="1">
      <w:start w:val="1"/>
      <w:numFmt w:val="bullet"/>
      <w:lvlText w:val=""/>
      <w:lvlJc w:val="left"/>
      <w:pPr>
        <w:tabs>
          <w:tab w:val="num" w:pos="3960"/>
        </w:tabs>
        <w:ind w:left="3960" w:hanging="360"/>
      </w:pPr>
      <w:rPr>
        <w:rFonts w:ascii="Wingdings" w:hAnsi="Wingdings" w:hint="default"/>
      </w:rPr>
    </w:lvl>
    <w:lvl w:ilvl="6" w:tplc="D3C02C0A" w:tentative="1">
      <w:start w:val="1"/>
      <w:numFmt w:val="bullet"/>
      <w:lvlText w:val=""/>
      <w:lvlJc w:val="left"/>
      <w:pPr>
        <w:tabs>
          <w:tab w:val="num" w:pos="4680"/>
        </w:tabs>
        <w:ind w:left="4680" w:hanging="360"/>
      </w:pPr>
      <w:rPr>
        <w:rFonts w:ascii="Symbol" w:hAnsi="Symbol" w:hint="default"/>
      </w:rPr>
    </w:lvl>
    <w:lvl w:ilvl="7" w:tplc="FC96A254" w:tentative="1">
      <w:start w:val="1"/>
      <w:numFmt w:val="bullet"/>
      <w:lvlText w:val="o"/>
      <w:lvlJc w:val="left"/>
      <w:pPr>
        <w:tabs>
          <w:tab w:val="num" w:pos="5400"/>
        </w:tabs>
        <w:ind w:left="5400" w:hanging="360"/>
      </w:pPr>
      <w:rPr>
        <w:rFonts w:ascii="Courier New" w:hAnsi="Courier New" w:cs="Consolas" w:hint="default"/>
      </w:rPr>
    </w:lvl>
    <w:lvl w:ilvl="8" w:tplc="1E88ADD4"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CAA628E"/>
    <w:multiLevelType w:val="hybridMultilevel"/>
    <w:tmpl w:val="36EA3B62"/>
    <w:lvl w:ilvl="0" w:tplc="9D22A2B4">
      <w:start w:val="1"/>
      <w:numFmt w:val="bullet"/>
      <w:pStyle w:val="DashListLev4"/>
      <w:lvlText w:val=""/>
      <w:lvlJc w:val="left"/>
      <w:pPr>
        <w:tabs>
          <w:tab w:val="num" w:pos="720"/>
        </w:tabs>
        <w:ind w:left="720" w:hanging="360"/>
      </w:pPr>
      <w:rPr>
        <w:rFonts w:ascii="Symbol" w:hAnsi="Symbol" w:hint="default"/>
      </w:rPr>
    </w:lvl>
    <w:lvl w:ilvl="1" w:tplc="49721496" w:tentative="1">
      <w:start w:val="1"/>
      <w:numFmt w:val="bullet"/>
      <w:lvlText w:val="o"/>
      <w:lvlJc w:val="left"/>
      <w:pPr>
        <w:tabs>
          <w:tab w:val="num" w:pos="1440"/>
        </w:tabs>
        <w:ind w:left="1440" w:hanging="360"/>
      </w:pPr>
      <w:rPr>
        <w:rFonts w:ascii="Courier New" w:hAnsi="Courier New" w:cs="Consolas" w:hint="default"/>
      </w:rPr>
    </w:lvl>
    <w:lvl w:ilvl="2" w:tplc="049E9CF0" w:tentative="1">
      <w:start w:val="1"/>
      <w:numFmt w:val="bullet"/>
      <w:lvlText w:val=""/>
      <w:lvlJc w:val="left"/>
      <w:pPr>
        <w:tabs>
          <w:tab w:val="num" w:pos="2160"/>
        </w:tabs>
        <w:ind w:left="2160" w:hanging="360"/>
      </w:pPr>
      <w:rPr>
        <w:rFonts w:ascii="Wingdings" w:hAnsi="Wingdings" w:hint="default"/>
      </w:rPr>
    </w:lvl>
    <w:lvl w:ilvl="3" w:tplc="1F0EB0A4" w:tentative="1">
      <w:start w:val="1"/>
      <w:numFmt w:val="bullet"/>
      <w:lvlText w:val=""/>
      <w:lvlJc w:val="left"/>
      <w:pPr>
        <w:tabs>
          <w:tab w:val="num" w:pos="2880"/>
        </w:tabs>
        <w:ind w:left="2880" w:hanging="360"/>
      </w:pPr>
      <w:rPr>
        <w:rFonts w:ascii="Symbol" w:hAnsi="Symbol" w:hint="default"/>
      </w:rPr>
    </w:lvl>
    <w:lvl w:ilvl="4" w:tplc="2D184B3E" w:tentative="1">
      <w:start w:val="1"/>
      <w:numFmt w:val="bullet"/>
      <w:lvlText w:val="o"/>
      <w:lvlJc w:val="left"/>
      <w:pPr>
        <w:tabs>
          <w:tab w:val="num" w:pos="3600"/>
        </w:tabs>
        <w:ind w:left="3600" w:hanging="360"/>
      </w:pPr>
      <w:rPr>
        <w:rFonts w:ascii="Courier New" w:hAnsi="Courier New" w:cs="Consolas" w:hint="default"/>
      </w:rPr>
    </w:lvl>
    <w:lvl w:ilvl="5" w:tplc="1AB2A380" w:tentative="1">
      <w:start w:val="1"/>
      <w:numFmt w:val="bullet"/>
      <w:lvlText w:val=""/>
      <w:lvlJc w:val="left"/>
      <w:pPr>
        <w:tabs>
          <w:tab w:val="num" w:pos="4320"/>
        </w:tabs>
        <w:ind w:left="4320" w:hanging="360"/>
      </w:pPr>
      <w:rPr>
        <w:rFonts w:ascii="Wingdings" w:hAnsi="Wingdings" w:hint="default"/>
      </w:rPr>
    </w:lvl>
    <w:lvl w:ilvl="6" w:tplc="F4E82FFE" w:tentative="1">
      <w:start w:val="1"/>
      <w:numFmt w:val="bullet"/>
      <w:lvlText w:val=""/>
      <w:lvlJc w:val="left"/>
      <w:pPr>
        <w:tabs>
          <w:tab w:val="num" w:pos="5040"/>
        </w:tabs>
        <w:ind w:left="5040" w:hanging="360"/>
      </w:pPr>
      <w:rPr>
        <w:rFonts w:ascii="Symbol" w:hAnsi="Symbol" w:hint="default"/>
      </w:rPr>
    </w:lvl>
    <w:lvl w:ilvl="7" w:tplc="7E90F43A" w:tentative="1">
      <w:start w:val="1"/>
      <w:numFmt w:val="bullet"/>
      <w:lvlText w:val="o"/>
      <w:lvlJc w:val="left"/>
      <w:pPr>
        <w:tabs>
          <w:tab w:val="num" w:pos="5760"/>
        </w:tabs>
        <w:ind w:left="5760" w:hanging="360"/>
      </w:pPr>
      <w:rPr>
        <w:rFonts w:ascii="Courier New" w:hAnsi="Courier New" w:cs="Consolas" w:hint="default"/>
      </w:rPr>
    </w:lvl>
    <w:lvl w:ilvl="8" w:tplc="E1D675C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FBC2F50"/>
    <w:multiLevelType w:val="hybridMultilevel"/>
    <w:tmpl w:val="7AA8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9"/>
  </w:num>
  <w:num w:numId="3">
    <w:abstractNumId w:val="0"/>
  </w:num>
  <w:num w:numId="4">
    <w:abstractNumId w:val="57"/>
  </w:num>
  <w:num w:numId="5">
    <w:abstractNumId w:val="70"/>
  </w:num>
  <w:num w:numId="6">
    <w:abstractNumId w:val="90"/>
  </w:num>
  <w:num w:numId="7">
    <w:abstractNumId w:val="27"/>
  </w:num>
  <w:num w:numId="8">
    <w:abstractNumId w:val="72"/>
  </w:num>
  <w:num w:numId="9">
    <w:abstractNumId w:val="10"/>
  </w:num>
  <w:num w:numId="10">
    <w:abstractNumId w:val="31"/>
  </w:num>
  <w:num w:numId="11">
    <w:abstractNumId w:val="81"/>
  </w:num>
  <w:num w:numId="12">
    <w:abstractNumId w:val="76"/>
  </w:num>
  <w:num w:numId="13">
    <w:abstractNumId w:val="34"/>
  </w:num>
  <w:num w:numId="14">
    <w:abstractNumId w:val="43"/>
  </w:num>
  <w:num w:numId="15">
    <w:abstractNumId w:val="88"/>
  </w:num>
  <w:num w:numId="16">
    <w:abstractNumId w:val="63"/>
  </w:num>
  <w:num w:numId="17">
    <w:abstractNumId w:val="74"/>
  </w:num>
  <w:num w:numId="18">
    <w:abstractNumId w:val="54"/>
  </w:num>
  <w:num w:numId="19">
    <w:abstractNumId w:val="82"/>
  </w:num>
  <w:num w:numId="20">
    <w:abstractNumId w:val="21"/>
  </w:num>
  <w:num w:numId="21">
    <w:abstractNumId w:val="46"/>
  </w:num>
  <w:num w:numId="22">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9"/>
  </w:num>
  <w:num w:numId="24">
    <w:abstractNumId w:val="73"/>
  </w:num>
  <w:num w:numId="25">
    <w:abstractNumId w:val="64"/>
  </w:num>
  <w:num w:numId="26">
    <w:abstractNumId w:val="65"/>
  </w:num>
  <w:num w:numId="27">
    <w:abstractNumId w:val="13"/>
  </w:num>
  <w:num w:numId="28">
    <w:abstractNumId w:val="83"/>
  </w:num>
  <w:num w:numId="29">
    <w:abstractNumId w:val="84"/>
  </w:num>
  <w:num w:numId="30">
    <w:abstractNumId w:val="30"/>
  </w:num>
  <w:num w:numId="31">
    <w:abstractNumId w:val="41"/>
  </w:num>
  <w:num w:numId="32">
    <w:abstractNumId w:val="59"/>
  </w:num>
  <w:num w:numId="33">
    <w:abstractNumId w:val="50"/>
  </w:num>
  <w:num w:numId="34">
    <w:abstractNumId w:val="42"/>
  </w:num>
  <w:num w:numId="35">
    <w:abstractNumId w:val="47"/>
  </w:num>
  <w:num w:numId="36">
    <w:abstractNumId w:val="18"/>
  </w:num>
  <w:num w:numId="37">
    <w:abstractNumId w:val="12"/>
  </w:num>
  <w:num w:numId="38">
    <w:abstractNumId w:val="95"/>
  </w:num>
  <w:num w:numId="39">
    <w:abstractNumId w:val="79"/>
  </w:num>
  <w:num w:numId="40">
    <w:abstractNumId w:val="48"/>
  </w:num>
  <w:num w:numId="41">
    <w:abstractNumId w:val="14"/>
  </w:num>
  <w:num w:numId="42">
    <w:abstractNumId w:val="85"/>
  </w:num>
  <w:num w:numId="43">
    <w:abstractNumId w:val="78"/>
  </w:num>
  <w:num w:numId="44">
    <w:abstractNumId w:val="37"/>
  </w:num>
  <w:num w:numId="45">
    <w:abstractNumId w:val="94"/>
  </w:num>
  <w:num w:numId="46">
    <w:abstractNumId w:val="38"/>
  </w:num>
  <w:num w:numId="47">
    <w:abstractNumId w:val="66"/>
  </w:num>
  <w:num w:numId="48">
    <w:abstractNumId w:val="1"/>
  </w:num>
  <w:num w:numId="49">
    <w:abstractNumId w:val="2"/>
  </w:num>
  <w:num w:numId="50">
    <w:abstractNumId w:val="62"/>
  </w:num>
  <w:num w:numId="51">
    <w:abstractNumId w:val="36"/>
  </w:num>
  <w:num w:numId="52">
    <w:abstractNumId w:val="16"/>
  </w:num>
  <w:num w:numId="53">
    <w:abstractNumId w:val="22"/>
  </w:num>
  <w:num w:numId="54">
    <w:abstractNumId w:val="25"/>
  </w:num>
  <w:num w:numId="55">
    <w:abstractNumId w:val="9"/>
  </w:num>
  <w:num w:numId="56">
    <w:abstractNumId w:val="86"/>
  </w:num>
  <w:num w:numId="57">
    <w:abstractNumId w:val="89"/>
  </w:num>
  <w:num w:numId="58">
    <w:abstractNumId w:val="55"/>
  </w:num>
  <w:num w:numId="59">
    <w:abstractNumId w:val="80"/>
  </w:num>
  <w:num w:numId="60">
    <w:abstractNumId w:val="77"/>
  </w:num>
  <w:num w:numId="61">
    <w:abstractNumId w:val="6"/>
  </w:num>
  <w:num w:numId="62">
    <w:abstractNumId w:val="60"/>
  </w:num>
  <w:num w:numId="63">
    <w:abstractNumId w:val="24"/>
  </w:num>
  <w:num w:numId="64">
    <w:abstractNumId w:val="11"/>
  </w:num>
  <w:num w:numId="65">
    <w:abstractNumId w:val="44"/>
  </w:num>
  <w:num w:numId="66">
    <w:abstractNumId w:val="87"/>
  </w:num>
  <w:num w:numId="67">
    <w:abstractNumId w:val="69"/>
  </w:num>
  <w:num w:numId="68">
    <w:abstractNumId w:val="17"/>
  </w:num>
  <w:num w:numId="69">
    <w:abstractNumId w:val="68"/>
  </w:num>
  <w:num w:numId="70">
    <w:abstractNumId w:val="61"/>
  </w:num>
  <w:num w:numId="71">
    <w:abstractNumId w:val="20"/>
  </w:num>
  <w:num w:numId="72">
    <w:abstractNumId w:val="4"/>
  </w:num>
  <w:num w:numId="73">
    <w:abstractNumId w:val="71"/>
  </w:num>
  <w:num w:numId="74">
    <w:abstractNumId w:val="67"/>
  </w:num>
  <w:num w:numId="75">
    <w:abstractNumId w:val="5"/>
  </w:num>
  <w:num w:numId="76">
    <w:abstractNumId w:val="32"/>
  </w:num>
  <w:num w:numId="77">
    <w:abstractNumId w:val="28"/>
  </w:num>
  <w:num w:numId="78">
    <w:abstractNumId w:val="51"/>
  </w:num>
  <w:num w:numId="79">
    <w:abstractNumId w:val="26"/>
  </w:num>
  <w:num w:numId="80">
    <w:abstractNumId w:val="52"/>
  </w:num>
  <w:num w:numId="81">
    <w:abstractNumId w:val="33"/>
  </w:num>
  <w:num w:numId="82">
    <w:abstractNumId w:val="45"/>
  </w:num>
  <w:num w:numId="83">
    <w:abstractNumId w:val="58"/>
  </w:num>
  <w:num w:numId="84">
    <w:abstractNumId w:val="19"/>
  </w:num>
  <w:num w:numId="85">
    <w:abstractNumId w:val="3"/>
  </w:num>
  <w:num w:numId="86">
    <w:abstractNumId w:val="92"/>
  </w:num>
  <w:num w:numId="87">
    <w:abstractNumId w:val="91"/>
  </w:num>
  <w:num w:numId="88">
    <w:abstractNumId w:val="93"/>
  </w:num>
  <w:num w:numId="89">
    <w:abstractNumId w:val="96"/>
  </w:num>
  <w:num w:numId="90">
    <w:abstractNumId w:val="56"/>
  </w:num>
  <w:num w:numId="91">
    <w:abstractNumId w:val="75"/>
  </w:num>
  <w:num w:numId="92">
    <w:abstractNumId w:val="23"/>
  </w:num>
  <w:num w:numId="93">
    <w:abstractNumId w:val="8"/>
  </w:num>
  <w:num w:numId="94">
    <w:abstractNumId w:val="35"/>
  </w:num>
  <w:num w:numId="95">
    <w:abstractNumId w:val="53"/>
  </w:num>
  <w:num w:numId="96">
    <w:abstractNumId w:val="2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bordersDoNotSurroundHeader/>
  <w:bordersDoNotSurroundFooter/>
  <w:activeWritingStyle w:appName="MSWord" w:lang="en-AU"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0" w:nlCheck="1" w:checkStyle="0"/>
  <w:activeWritingStyle w:appName="MSWord" w:lang="es-ES" w:vendorID="64" w:dllVersion="0" w:nlCheck="1" w:checkStyle="0"/>
  <w:activeWritingStyle w:appName="MSWord" w:lang="en-CA" w:vendorID="64" w:dllVersion="0" w:nlCheck="1" w:checkStyle="1"/>
  <w:activeWritingStyle w:appName="MSWord" w:lang="fr-FR" w:vendorID="64" w:dllVersion="0" w:nlCheck="1" w:checkStyle="1"/>
  <w:activeWritingStyle w:appName="MSWord" w:lang="it-IT" w:vendorID="64" w:dllVersion="0" w:nlCheck="1" w:checkStyle="0"/>
  <w:activeWritingStyle w:appName="MSWord" w:lang="fr-CA" w:vendorID="64" w:dllVersion="0" w:nlCheck="1" w:checkStyle="1"/>
  <w:activeWritingStyle w:appName="MSWord" w:lang="en-GB" w:vendorID="6" w:dllVersion="2" w:checkStyle="1"/>
  <w:activeWritingStyle w:appName="MSWord" w:lang="en-GB" w:vendorID="5" w:dllVersion="2"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nl-NL" w:vendorID="1" w:dllVersion="512" w:checkStyle="1"/>
  <w:activeWritingStyle w:appName="MSWord" w:lang="en-NZ" w:vendorID="8" w:dllVersion="513" w:checkStyle="1"/>
  <w:activeWritingStyle w:appName="MSWord" w:lang="en-CA" w:vendorID="8" w:dllVersion="513" w:checkStyle="1"/>
  <w:activeWritingStyle w:appName="MSWord" w:lang="en-029" w:vendorID="8" w:dllVersion="513" w:checkStyle="1"/>
  <w:activeWritingStyle w:appName="MSWord" w:lang="en-ZA" w:vendorID="8" w:dllVersion="513" w:checkStyle="1"/>
  <w:activeWritingStyle w:appName="MSWord" w:lang="it-IT" w:vendorID="3" w:dllVersion="517"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67"/>
    <w:rsid w:val="000002D2"/>
    <w:rsid w:val="00000B92"/>
    <w:rsid w:val="00001BFC"/>
    <w:rsid w:val="0000233D"/>
    <w:rsid w:val="00003F99"/>
    <w:rsid w:val="00004CE4"/>
    <w:rsid w:val="00004D48"/>
    <w:rsid w:val="000055CF"/>
    <w:rsid w:val="00005739"/>
    <w:rsid w:val="000061A3"/>
    <w:rsid w:val="0000664E"/>
    <w:rsid w:val="0000789E"/>
    <w:rsid w:val="0001082B"/>
    <w:rsid w:val="00010926"/>
    <w:rsid w:val="00010E37"/>
    <w:rsid w:val="00011693"/>
    <w:rsid w:val="0001208A"/>
    <w:rsid w:val="000121EB"/>
    <w:rsid w:val="00014DEB"/>
    <w:rsid w:val="00015FF3"/>
    <w:rsid w:val="00016331"/>
    <w:rsid w:val="00016775"/>
    <w:rsid w:val="000212C8"/>
    <w:rsid w:val="00021656"/>
    <w:rsid w:val="00022D01"/>
    <w:rsid w:val="00023E06"/>
    <w:rsid w:val="0002461B"/>
    <w:rsid w:val="00024744"/>
    <w:rsid w:val="00024BDD"/>
    <w:rsid w:val="00026E28"/>
    <w:rsid w:val="0002700A"/>
    <w:rsid w:val="0002780C"/>
    <w:rsid w:val="00027EEE"/>
    <w:rsid w:val="00030BF7"/>
    <w:rsid w:val="000317F7"/>
    <w:rsid w:val="00031BAC"/>
    <w:rsid w:val="00031D16"/>
    <w:rsid w:val="00032579"/>
    <w:rsid w:val="0003333A"/>
    <w:rsid w:val="00034252"/>
    <w:rsid w:val="00035756"/>
    <w:rsid w:val="00042902"/>
    <w:rsid w:val="0004337A"/>
    <w:rsid w:val="00043BF0"/>
    <w:rsid w:val="000448F7"/>
    <w:rsid w:val="000459FF"/>
    <w:rsid w:val="00045AB8"/>
    <w:rsid w:val="00045F2C"/>
    <w:rsid w:val="00047E9C"/>
    <w:rsid w:val="00050238"/>
    <w:rsid w:val="00050268"/>
    <w:rsid w:val="000523FA"/>
    <w:rsid w:val="000533A9"/>
    <w:rsid w:val="00053765"/>
    <w:rsid w:val="00054011"/>
    <w:rsid w:val="00054808"/>
    <w:rsid w:val="0005510A"/>
    <w:rsid w:val="000575C6"/>
    <w:rsid w:val="00057FEE"/>
    <w:rsid w:val="00060042"/>
    <w:rsid w:val="00061CB1"/>
    <w:rsid w:val="0006302E"/>
    <w:rsid w:val="000639E2"/>
    <w:rsid w:val="00063E0F"/>
    <w:rsid w:val="00064F81"/>
    <w:rsid w:val="0006543B"/>
    <w:rsid w:val="00065FC7"/>
    <w:rsid w:val="00066464"/>
    <w:rsid w:val="0007145E"/>
    <w:rsid w:val="00071E26"/>
    <w:rsid w:val="000740FC"/>
    <w:rsid w:val="00076ABB"/>
    <w:rsid w:val="0008091F"/>
    <w:rsid w:val="000822E8"/>
    <w:rsid w:val="0008359A"/>
    <w:rsid w:val="000844A6"/>
    <w:rsid w:val="00084DD9"/>
    <w:rsid w:val="00085261"/>
    <w:rsid w:val="000853E4"/>
    <w:rsid w:val="00085768"/>
    <w:rsid w:val="00086DBA"/>
    <w:rsid w:val="000875DB"/>
    <w:rsid w:val="00090E5B"/>
    <w:rsid w:val="00091DDE"/>
    <w:rsid w:val="00093E6D"/>
    <w:rsid w:val="00094033"/>
    <w:rsid w:val="0009498A"/>
    <w:rsid w:val="0009516B"/>
    <w:rsid w:val="000969AC"/>
    <w:rsid w:val="00096A83"/>
    <w:rsid w:val="00096F14"/>
    <w:rsid w:val="00096FAA"/>
    <w:rsid w:val="00097B52"/>
    <w:rsid w:val="000A009B"/>
    <w:rsid w:val="000A0BF7"/>
    <w:rsid w:val="000A0CDC"/>
    <w:rsid w:val="000A2EE1"/>
    <w:rsid w:val="000A31D6"/>
    <w:rsid w:val="000A35BA"/>
    <w:rsid w:val="000A4204"/>
    <w:rsid w:val="000A7099"/>
    <w:rsid w:val="000A7D91"/>
    <w:rsid w:val="000B112E"/>
    <w:rsid w:val="000B3491"/>
    <w:rsid w:val="000B3584"/>
    <w:rsid w:val="000B41DB"/>
    <w:rsid w:val="000B53B1"/>
    <w:rsid w:val="000B72D1"/>
    <w:rsid w:val="000B7D4E"/>
    <w:rsid w:val="000C123E"/>
    <w:rsid w:val="000C1A06"/>
    <w:rsid w:val="000C1A64"/>
    <w:rsid w:val="000C361C"/>
    <w:rsid w:val="000C4554"/>
    <w:rsid w:val="000C52B6"/>
    <w:rsid w:val="000C7EFA"/>
    <w:rsid w:val="000D0ADC"/>
    <w:rsid w:val="000D2BC4"/>
    <w:rsid w:val="000D4B8C"/>
    <w:rsid w:val="000D5CF7"/>
    <w:rsid w:val="000D6BA0"/>
    <w:rsid w:val="000D769F"/>
    <w:rsid w:val="000E065C"/>
    <w:rsid w:val="000E24C9"/>
    <w:rsid w:val="000E4579"/>
    <w:rsid w:val="000E4991"/>
    <w:rsid w:val="000F43CD"/>
    <w:rsid w:val="000F749F"/>
    <w:rsid w:val="00100176"/>
    <w:rsid w:val="0010073D"/>
    <w:rsid w:val="00101106"/>
    <w:rsid w:val="001016D2"/>
    <w:rsid w:val="001016FF"/>
    <w:rsid w:val="0010207A"/>
    <w:rsid w:val="001032C4"/>
    <w:rsid w:val="001037C0"/>
    <w:rsid w:val="00110165"/>
    <w:rsid w:val="0011140B"/>
    <w:rsid w:val="001124F5"/>
    <w:rsid w:val="00113452"/>
    <w:rsid w:val="00115DB4"/>
    <w:rsid w:val="00120B30"/>
    <w:rsid w:val="001212F5"/>
    <w:rsid w:val="00122997"/>
    <w:rsid w:val="001233FC"/>
    <w:rsid w:val="00125246"/>
    <w:rsid w:val="00126E23"/>
    <w:rsid w:val="00127867"/>
    <w:rsid w:val="001314D9"/>
    <w:rsid w:val="00131524"/>
    <w:rsid w:val="0013188C"/>
    <w:rsid w:val="00132C6A"/>
    <w:rsid w:val="00134278"/>
    <w:rsid w:val="0013442A"/>
    <w:rsid w:val="001348D5"/>
    <w:rsid w:val="00134BDC"/>
    <w:rsid w:val="0013548D"/>
    <w:rsid w:val="00135F4F"/>
    <w:rsid w:val="00136E98"/>
    <w:rsid w:val="0014024B"/>
    <w:rsid w:val="00141261"/>
    <w:rsid w:val="0014510E"/>
    <w:rsid w:val="001463E5"/>
    <w:rsid w:val="0014760B"/>
    <w:rsid w:val="0014776A"/>
    <w:rsid w:val="00151175"/>
    <w:rsid w:val="001522DF"/>
    <w:rsid w:val="001532DA"/>
    <w:rsid w:val="001533D7"/>
    <w:rsid w:val="00156815"/>
    <w:rsid w:val="0015746F"/>
    <w:rsid w:val="00157B98"/>
    <w:rsid w:val="001646EE"/>
    <w:rsid w:val="001646F8"/>
    <w:rsid w:val="00164BCA"/>
    <w:rsid w:val="00165E88"/>
    <w:rsid w:val="001662D1"/>
    <w:rsid w:val="00166B94"/>
    <w:rsid w:val="00167F7D"/>
    <w:rsid w:val="00170225"/>
    <w:rsid w:val="0017234E"/>
    <w:rsid w:val="00174283"/>
    <w:rsid w:val="00175317"/>
    <w:rsid w:val="00176F9C"/>
    <w:rsid w:val="00177452"/>
    <w:rsid w:val="001815A3"/>
    <w:rsid w:val="001815FF"/>
    <w:rsid w:val="00183904"/>
    <w:rsid w:val="00183B4F"/>
    <w:rsid w:val="00183E2A"/>
    <w:rsid w:val="00190777"/>
    <w:rsid w:val="0019167D"/>
    <w:rsid w:val="00191B96"/>
    <w:rsid w:val="001922D3"/>
    <w:rsid w:val="00192CD6"/>
    <w:rsid w:val="00192F96"/>
    <w:rsid w:val="001966C9"/>
    <w:rsid w:val="001978CC"/>
    <w:rsid w:val="001A03FB"/>
    <w:rsid w:val="001A2000"/>
    <w:rsid w:val="001A2FDF"/>
    <w:rsid w:val="001A3FA1"/>
    <w:rsid w:val="001A42A0"/>
    <w:rsid w:val="001A4338"/>
    <w:rsid w:val="001A4FC6"/>
    <w:rsid w:val="001A501A"/>
    <w:rsid w:val="001A6205"/>
    <w:rsid w:val="001A6881"/>
    <w:rsid w:val="001A6CE7"/>
    <w:rsid w:val="001A7577"/>
    <w:rsid w:val="001B213B"/>
    <w:rsid w:val="001B2AC1"/>
    <w:rsid w:val="001B2EA3"/>
    <w:rsid w:val="001B3DDC"/>
    <w:rsid w:val="001B4918"/>
    <w:rsid w:val="001B7DE2"/>
    <w:rsid w:val="001C1CF5"/>
    <w:rsid w:val="001C1D72"/>
    <w:rsid w:val="001C1E97"/>
    <w:rsid w:val="001C4E7C"/>
    <w:rsid w:val="001C54CE"/>
    <w:rsid w:val="001C5E46"/>
    <w:rsid w:val="001C6792"/>
    <w:rsid w:val="001D147C"/>
    <w:rsid w:val="001D19E9"/>
    <w:rsid w:val="001D19F1"/>
    <w:rsid w:val="001D2563"/>
    <w:rsid w:val="001D3775"/>
    <w:rsid w:val="001D517C"/>
    <w:rsid w:val="001D5A81"/>
    <w:rsid w:val="001D5F57"/>
    <w:rsid w:val="001D66F5"/>
    <w:rsid w:val="001D6A45"/>
    <w:rsid w:val="001D74A9"/>
    <w:rsid w:val="001E025D"/>
    <w:rsid w:val="001E0ED6"/>
    <w:rsid w:val="001E2E6D"/>
    <w:rsid w:val="001E3DEF"/>
    <w:rsid w:val="001E4C71"/>
    <w:rsid w:val="001E5746"/>
    <w:rsid w:val="001E6351"/>
    <w:rsid w:val="001E78FA"/>
    <w:rsid w:val="001F0D0D"/>
    <w:rsid w:val="001F1773"/>
    <w:rsid w:val="001F1E0D"/>
    <w:rsid w:val="001F2861"/>
    <w:rsid w:val="001F5725"/>
    <w:rsid w:val="001F57EF"/>
    <w:rsid w:val="001F6C65"/>
    <w:rsid w:val="002001D2"/>
    <w:rsid w:val="002016C5"/>
    <w:rsid w:val="0020279B"/>
    <w:rsid w:val="00202E86"/>
    <w:rsid w:val="00203163"/>
    <w:rsid w:val="00203240"/>
    <w:rsid w:val="00203E52"/>
    <w:rsid w:val="002047FE"/>
    <w:rsid w:val="00204AA0"/>
    <w:rsid w:val="00206042"/>
    <w:rsid w:val="00206987"/>
    <w:rsid w:val="00207C55"/>
    <w:rsid w:val="00207DB0"/>
    <w:rsid w:val="00210C0E"/>
    <w:rsid w:val="002124D0"/>
    <w:rsid w:val="002124E7"/>
    <w:rsid w:val="0021274D"/>
    <w:rsid w:val="00213847"/>
    <w:rsid w:val="00214CD9"/>
    <w:rsid w:val="00215425"/>
    <w:rsid w:val="00215A8F"/>
    <w:rsid w:val="00217D00"/>
    <w:rsid w:val="002203A5"/>
    <w:rsid w:val="002210A2"/>
    <w:rsid w:val="002216FF"/>
    <w:rsid w:val="00222DF8"/>
    <w:rsid w:val="002241F3"/>
    <w:rsid w:val="00224CC3"/>
    <w:rsid w:val="00225A6B"/>
    <w:rsid w:val="002261E5"/>
    <w:rsid w:val="002300AD"/>
    <w:rsid w:val="00230CEE"/>
    <w:rsid w:val="00232963"/>
    <w:rsid w:val="00233F35"/>
    <w:rsid w:val="00235F95"/>
    <w:rsid w:val="00236B63"/>
    <w:rsid w:val="00237A11"/>
    <w:rsid w:val="00237BFA"/>
    <w:rsid w:val="00240812"/>
    <w:rsid w:val="00240E37"/>
    <w:rsid w:val="0024285E"/>
    <w:rsid w:val="00242A89"/>
    <w:rsid w:val="002434ED"/>
    <w:rsid w:val="00243A3C"/>
    <w:rsid w:val="00245905"/>
    <w:rsid w:val="00245FFA"/>
    <w:rsid w:val="00246894"/>
    <w:rsid w:val="00247D6B"/>
    <w:rsid w:val="0025201D"/>
    <w:rsid w:val="00253E28"/>
    <w:rsid w:val="00255612"/>
    <w:rsid w:val="00255995"/>
    <w:rsid w:val="00256A43"/>
    <w:rsid w:val="002578F4"/>
    <w:rsid w:val="00260C5C"/>
    <w:rsid w:val="00260D44"/>
    <w:rsid w:val="00260E9A"/>
    <w:rsid w:val="00260EC0"/>
    <w:rsid w:val="00261153"/>
    <w:rsid w:val="00262A56"/>
    <w:rsid w:val="002635F7"/>
    <w:rsid w:val="00264C69"/>
    <w:rsid w:val="002658BC"/>
    <w:rsid w:val="00267711"/>
    <w:rsid w:val="00267FB5"/>
    <w:rsid w:val="00270BB9"/>
    <w:rsid w:val="00271774"/>
    <w:rsid w:val="00271786"/>
    <w:rsid w:val="002719F2"/>
    <w:rsid w:val="00271CAA"/>
    <w:rsid w:val="002737F8"/>
    <w:rsid w:val="00274196"/>
    <w:rsid w:val="002741FC"/>
    <w:rsid w:val="00274783"/>
    <w:rsid w:val="00274E53"/>
    <w:rsid w:val="00276844"/>
    <w:rsid w:val="00276C46"/>
    <w:rsid w:val="00281DB7"/>
    <w:rsid w:val="002830D2"/>
    <w:rsid w:val="00284308"/>
    <w:rsid w:val="002845EE"/>
    <w:rsid w:val="00284AC1"/>
    <w:rsid w:val="00285232"/>
    <w:rsid w:val="00285C72"/>
    <w:rsid w:val="002878D4"/>
    <w:rsid w:val="00290A77"/>
    <w:rsid w:val="002918F7"/>
    <w:rsid w:val="00291A58"/>
    <w:rsid w:val="00293BDC"/>
    <w:rsid w:val="00293F93"/>
    <w:rsid w:val="00294065"/>
    <w:rsid w:val="00294C55"/>
    <w:rsid w:val="002963FC"/>
    <w:rsid w:val="00296CD3"/>
    <w:rsid w:val="00296E8F"/>
    <w:rsid w:val="002A137B"/>
    <w:rsid w:val="002A3A2D"/>
    <w:rsid w:val="002A4A87"/>
    <w:rsid w:val="002A4E6F"/>
    <w:rsid w:val="002A5AD3"/>
    <w:rsid w:val="002B03EF"/>
    <w:rsid w:val="002B4224"/>
    <w:rsid w:val="002B4DA6"/>
    <w:rsid w:val="002B68B0"/>
    <w:rsid w:val="002B718A"/>
    <w:rsid w:val="002B7818"/>
    <w:rsid w:val="002C2C8B"/>
    <w:rsid w:val="002C54B5"/>
    <w:rsid w:val="002C5E4A"/>
    <w:rsid w:val="002D0451"/>
    <w:rsid w:val="002D0B94"/>
    <w:rsid w:val="002D15FF"/>
    <w:rsid w:val="002D1FC6"/>
    <w:rsid w:val="002D212F"/>
    <w:rsid w:val="002D2DF4"/>
    <w:rsid w:val="002E0E53"/>
    <w:rsid w:val="002E0FE0"/>
    <w:rsid w:val="002E3385"/>
    <w:rsid w:val="002E6D43"/>
    <w:rsid w:val="002E7EB0"/>
    <w:rsid w:val="002F0F6A"/>
    <w:rsid w:val="002F2114"/>
    <w:rsid w:val="002F2119"/>
    <w:rsid w:val="002F28DC"/>
    <w:rsid w:val="002F34BD"/>
    <w:rsid w:val="002F3E1D"/>
    <w:rsid w:val="002F40FF"/>
    <w:rsid w:val="002F5B9C"/>
    <w:rsid w:val="002F65A9"/>
    <w:rsid w:val="003001B1"/>
    <w:rsid w:val="00300527"/>
    <w:rsid w:val="00300D32"/>
    <w:rsid w:val="0030141E"/>
    <w:rsid w:val="00301F5A"/>
    <w:rsid w:val="00302856"/>
    <w:rsid w:val="003040A2"/>
    <w:rsid w:val="0030429A"/>
    <w:rsid w:val="00306985"/>
    <w:rsid w:val="00307EE1"/>
    <w:rsid w:val="00312589"/>
    <w:rsid w:val="00313318"/>
    <w:rsid w:val="0031425E"/>
    <w:rsid w:val="00314538"/>
    <w:rsid w:val="00314D41"/>
    <w:rsid w:val="00315DF7"/>
    <w:rsid w:val="00320456"/>
    <w:rsid w:val="003208DC"/>
    <w:rsid w:val="00320AD9"/>
    <w:rsid w:val="0032111D"/>
    <w:rsid w:val="00321992"/>
    <w:rsid w:val="00321E9C"/>
    <w:rsid w:val="003223A6"/>
    <w:rsid w:val="00323E9F"/>
    <w:rsid w:val="00324527"/>
    <w:rsid w:val="00324CA3"/>
    <w:rsid w:val="00325D63"/>
    <w:rsid w:val="00326F62"/>
    <w:rsid w:val="00331499"/>
    <w:rsid w:val="00332594"/>
    <w:rsid w:val="00335434"/>
    <w:rsid w:val="00335D5A"/>
    <w:rsid w:val="0033796A"/>
    <w:rsid w:val="00337D0C"/>
    <w:rsid w:val="00337FAE"/>
    <w:rsid w:val="00341904"/>
    <w:rsid w:val="00341EDC"/>
    <w:rsid w:val="00342157"/>
    <w:rsid w:val="0034262D"/>
    <w:rsid w:val="00343A2F"/>
    <w:rsid w:val="00343C3B"/>
    <w:rsid w:val="00343FA0"/>
    <w:rsid w:val="00345E9B"/>
    <w:rsid w:val="00346168"/>
    <w:rsid w:val="00347B0A"/>
    <w:rsid w:val="00350B22"/>
    <w:rsid w:val="00351235"/>
    <w:rsid w:val="003514D8"/>
    <w:rsid w:val="0035159B"/>
    <w:rsid w:val="00351651"/>
    <w:rsid w:val="00351B1C"/>
    <w:rsid w:val="00353210"/>
    <w:rsid w:val="003552E6"/>
    <w:rsid w:val="00355437"/>
    <w:rsid w:val="00355A2F"/>
    <w:rsid w:val="00356254"/>
    <w:rsid w:val="003571AA"/>
    <w:rsid w:val="00357734"/>
    <w:rsid w:val="00357AA5"/>
    <w:rsid w:val="00360CF9"/>
    <w:rsid w:val="00360E11"/>
    <w:rsid w:val="00361CC7"/>
    <w:rsid w:val="003640FA"/>
    <w:rsid w:val="0036416F"/>
    <w:rsid w:val="003649EB"/>
    <w:rsid w:val="00366ADB"/>
    <w:rsid w:val="00366BC6"/>
    <w:rsid w:val="00366D83"/>
    <w:rsid w:val="00367412"/>
    <w:rsid w:val="00371169"/>
    <w:rsid w:val="003717E1"/>
    <w:rsid w:val="003723F5"/>
    <w:rsid w:val="00372C59"/>
    <w:rsid w:val="00373B8F"/>
    <w:rsid w:val="00373DCB"/>
    <w:rsid w:val="003741DF"/>
    <w:rsid w:val="003743C7"/>
    <w:rsid w:val="0037730E"/>
    <w:rsid w:val="00377CC6"/>
    <w:rsid w:val="003807C3"/>
    <w:rsid w:val="0038225F"/>
    <w:rsid w:val="003822CE"/>
    <w:rsid w:val="00382983"/>
    <w:rsid w:val="00382BB0"/>
    <w:rsid w:val="00385CFE"/>
    <w:rsid w:val="00385D9F"/>
    <w:rsid w:val="003868AA"/>
    <w:rsid w:val="00386920"/>
    <w:rsid w:val="00386CD4"/>
    <w:rsid w:val="00386E07"/>
    <w:rsid w:val="00387313"/>
    <w:rsid w:val="00390A12"/>
    <w:rsid w:val="00391219"/>
    <w:rsid w:val="00393F63"/>
    <w:rsid w:val="00394A7A"/>
    <w:rsid w:val="003954A6"/>
    <w:rsid w:val="00396B46"/>
    <w:rsid w:val="003A02B3"/>
    <w:rsid w:val="003A23FD"/>
    <w:rsid w:val="003A5B2F"/>
    <w:rsid w:val="003A706C"/>
    <w:rsid w:val="003B0866"/>
    <w:rsid w:val="003B342D"/>
    <w:rsid w:val="003B3AC1"/>
    <w:rsid w:val="003B44F2"/>
    <w:rsid w:val="003B5093"/>
    <w:rsid w:val="003C04AF"/>
    <w:rsid w:val="003C253D"/>
    <w:rsid w:val="003C254F"/>
    <w:rsid w:val="003C37C3"/>
    <w:rsid w:val="003C53E6"/>
    <w:rsid w:val="003D0546"/>
    <w:rsid w:val="003D2C44"/>
    <w:rsid w:val="003D3418"/>
    <w:rsid w:val="003D49BB"/>
    <w:rsid w:val="003D5FEE"/>
    <w:rsid w:val="003D7476"/>
    <w:rsid w:val="003D7E39"/>
    <w:rsid w:val="003E01F5"/>
    <w:rsid w:val="003E0F97"/>
    <w:rsid w:val="003E1921"/>
    <w:rsid w:val="003E1965"/>
    <w:rsid w:val="003E19AA"/>
    <w:rsid w:val="003E2299"/>
    <w:rsid w:val="003E3ECB"/>
    <w:rsid w:val="003E428B"/>
    <w:rsid w:val="003E4638"/>
    <w:rsid w:val="003E4893"/>
    <w:rsid w:val="003E7046"/>
    <w:rsid w:val="003F0331"/>
    <w:rsid w:val="003F1AF4"/>
    <w:rsid w:val="003F20B7"/>
    <w:rsid w:val="003F378F"/>
    <w:rsid w:val="003F3B14"/>
    <w:rsid w:val="003F3CFF"/>
    <w:rsid w:val="003F534F"/>
    <w:rsid w:val="003F6D1E"/>
    <w:rsid w:val="00400B3F"/>
    <w:rsid w:val="0040537B"/>
    <w:rsid w:val="00406A32"/>
    <w:rsid w:val="004073FA"/>
    <w:rsid w:val="00407D27"/>
    <w:rsid w:val="0041001E"/>
    <w:rsid w:val="0041354E"/>
    <w:rsid w:val="00413892"/>
    <w:rsid w:val="00413BE5"/>
    <w:rsid w:val="00413C0A"/>
    <w:rsid w:val="00413E4A"/>
    <w:rsid w:val="00415245"/>
    <w:rsid w:val="00415A76"/>
    <w:rsid w:val="00415AA9"/>
    <w:rsid w:val="00417CD0"/>
    <w:rsid w:val="00420558"/>
    <w:rsid w:val="004209D4"/>
    <w:rsid w:val="00420C18"/>
    <w:rsid w:val="00421F83"/>
    <w:rsid w:val="00423030"/>
    <w:rsid w:val="004235F7"/>
    <w:rsid w:val="00423F2A"/>
    <w:rsid w:val="00424CC6"/>
    <w:rsid w:val="0042528F"/>
    <w:rsid w:val="004271A6"/>
    <w:rsid w:val="0043100A"/>
    <w:rsid w:val="0043108A"/>
    <w:rsid w:val="00431119"/>
    <w:rsid w:val="004317D0"/>
    <w:rsid w:val="00431D5B"/>
    <w:rsid w:val="004323D7"/>
    <w:rsid w:val="004326DD"/>
    <w:rsid w:val="00432F9E"/>
    <w:rsid w:val="004334B7"/>
    <w:rsid w:val="00435064"/>
    <w:rsid w:val="00436143"/>
    <w:rsid w:val="0043635A"/>
    <w:rsid w:val="00436890"/>
    <w:rsid w:val="004377A7"/>
    <w:rsid w:val="00440ECF"/>
    <w:rsid w:val="00440F61"/>
    <w:rsid w:val="00441815"/>
    <w:rsid w:val="00442952"/>
    <w:rsid w:val="00443B20"/>
    <w:rsid w:val="00445257"/>
    <w:rsid w:val="0044637A"/>
    <w:rsid w:val="004463D8"/>
    <w:rsid w:val="00446D33"/>
    <w:rsid w:val="00452299"/>
    <w:rsid w:val="004529E6"/>
    <w:rsid w:val="00453103"/>
    <w:rsid w:val="0045350D"/>
    <w:rsid w:val="00453DA9"/>
    <w:rsid w:val="00455471"/>
    <w:rsid w:val="00455D31"/>
    <w:rsid w:val="00456D22"/>
    <w:rsid w:val="00460565"/>
    <w:rsid w:val="004630B4"/>
    <w:rsid w:val="00463762"/>
    <w:rsid w:val="004654D3"/>
    <w:rsid w:val="00465CAF"/>
    <w:rsid w:val="004704AD"/>
    <w:rsid w:val="00470BCD"/>
    <w:rsid w:val="00472907"/>
    <w:rsid w:val="00475004"/>
    <w:rsid w:val="004763F8"/>
    <w:rsid w:val="0048044D"/>
    <w:rsid w:val="0048481F"/>
    <w:rsid w:val="00485BEF"/>
    <w:rsid w:val="00486355"/>
    <w:rsid w:val="00487232"/>
    <w:rsid w:val="00490312"/>
    <w:rsid w:val="0049286E"/>
    <w:rsid w:val="00492FE0"/>
    <w:rsid w:val="00494A75"/>
    <w:rsid w:val="00494CC5"/>
    <w:rsid w:val="00494DC4"/>
    <w:rsid w:val="00495E3D"/>
    <w:rsid w:val="0049656F"/>
    <w:rsid w:val="00496828"/>
    <w:rsid w:val="00496909"/>
    <w:rsid w:val="00497770"/>
    <w:rsid w:val="00497DDE"/>
    <w:rsid w:val="00497F61"/>
    <w:rsid w:val="004A0C29"/>
    <w:rsid w:val="004A0F3C"/>
    <w:rsid w:val="004A0FC5"/>
    <w:rsid w:val="004A281E"/>
    <w:rsid w:val="004A2B75"/>
    <w:rsid w:val="004A3050"/>
    <w:rsid w:val="004A3A81"/>
    <w:rsid w:val="004A51A2"/>
    <w:rsid w:val="004A5F3B"/>
    <w:rsid w:val="004B058C"/>
    <w:rsid w:val="004B0ED1"/>
    <w:rsid w:val="004B10C9"/>
    <w:rsid w:val="004B1E9B"/>
    <w:rsid w:val="004B2ACC"/>
    <w:rsid w:val="004B356F"/>
    <w:rsid w:val="004B38AF"/>
    <w:rsid w:val="004B466D"/>
    <w:rsid w:val="004B46CA"/>
    <w:rsid w:val="004B5430"/>
    <w:rsid w:val="004B5592"/>
    <w:rsid w:val="004B5B91"/>
    <w:rsid w:val="004C0AD5"/>
    <w:rsid w:val="004C4440"/>
    <w:rsid w:val="004C4AE0"/>
    <w:rsid w:val="004C4B88"/>
    <w:rsid w:val="004C5C20"/>
    <w:rsid w:val="004C5FA4"/>
    <w:rsid w:val="004C610B"/>
    <w:rsid w:val="004C6282"/>
    <w:rsid w:val="004C71DF"/>
    <w:rsid w:val="004C7463"/>
    <w:rsid w:val="004C7C03"/>
    <w:rsid w:val="004D0EC1"/>
    <w:rsid w:val="004D0FDB"/>
    <w:rsid w:val="004D142F"/>
    <w:rsid w:val="004D159B"/>
    <w:rsid w:val="004D1972"/>
    <w:rsid w:val="004D2431"/>
    <w:rsid w:val="004D2587"/>
    <w:rsid w:val="004D2D1B"/>
    <w:rsid w:val="004D3C7B"/>
    <w:rsid w:val="004D415D"/>
    <w:rsid w:val="004D52BA"/>
    <w:rsid w:val="004D571E"/>
    <w:rsid w:val="004D6002"/>
    <w:rsid w:val="004D66A7"/>
    <w:rsid w:val="004D6B5B"/>
    <w:rsid w:val="004D7168"/>
    <w:rsid w:val="004D7B4D"/>
    <w:rsid w:val="004E2B8C"/>
    <w:rsid w:val="004E3C1B"/>
    <w:rsid w:val="004E4239"/>
    <w:rsid w:val="004E7AC5"/>
    <w:rsid w:val="004E7F60"/>
    <w:rsid w:val="004F05E9"/>
    <w:rsid w:val="004F10BF"/>
    <w:rsid w:val="004F14F0"/>
    <w:rsid w:val="004F2481"/>
    <w:rsid w:val="004F2506"/>
    <w:rsid w:val="004F2620"/>
    <w:rsid w:val="004F3842"/>
    <w:rsid w:val="004F4D6B"/>
    <w:rsid w:val="004F597A"/>
    <w:rsid w:val="004F5D3D"/>
    <w:rsid w:val="004F5D89"/>
    <w:rsid w:val="004F6382"/>
    <w:rsid w:val="004F7205"/>
    <w:rsid w:val="00501680"/>
    <w:rsid w:val="0050218E"/>
    <w:rsid w:val="0050225C"/>
    <w:rsid w:val="00502410"/>
    <w:rsid w:val="00502484"/>
    <w:rsid w:val="00503BDD"/>
    <w:rsid w:val="00503D2D"/>
    <w:rsid w:val="00506F55"/>
    <w:rsid w:val="005074E8"/>
    <w:rsid w:val="005077BF"/>
    <w:rsid w:val="00510045"/>
    <w:rsid w:val="00510B25"/>
    <w:rsid w:val="0051215F"/>
    <w:rsid w:val="00512C9D"/>
    <w:rsid w:val="00513402"/>
    <w:rsid w:val="005138E4"/>
    <w:rsid w:val="00515800"/>
    <w:rsid w:val="00520D77"/>
    <w:rsid w:val="005237AA"/>
    <w:rsid w:val="00523E05"/>
    <w:rsid w:val="005251A7"/>
    <w:rsid w:val="005255A4"/>
    <w:rsid w:val="00526B70"/>
    <w:rsid w:val="0053015D"/>
    <w:rsid w:val="0053292D"/>
    <w:rsid w:val="00532B26"/>
    <w:rsid w:val="0053319E"/>
    <w:rsid w:val="0053558A"/>
    <w:rsid w:val="0053584A"/>
    <w:rsid w:val="00537A3B"/>
    <w:rsid w:val="005403D7"/>
    <w:rsid w:val="0054050F"/>
    <w:rsid w:val="00540B07"/>
    <w:rsid w:val="0054146B"/>
    <w:rsid w:val="00543851"/>
    <w:rsid w:val="00545DFA"/>
    <w:rsid w:val="005467DE"/>
    <w:rsid w:val="00547D5B"/>
    <w:rsid w:val="00550533"/>
    <w:rsid w:val="00550B40"/>
    <w:rsid w:val="005513F6"/>
    <w:rsid w:val="0055155D"/>
    <w:rsid w:val="00553175"/>
    <w:rsid w:val="00553A6F"/>
    <w:rsid w:val="00553E97"/>
    <w:rsid w:val="00554D03"/>
    <w:rsid w:val="005551CF"/>
    <w:rsid w:val="0055686B"/>
    <w:rsid w:val="00557265"/>
    <w:rsid w:val="00557B07"/>
    <w:rsid w:val="005612A8"/>
    <w:rsid w:val="00562864"/>
    <w:rsid w:val="005631AF"/>
    <w:rsid w:val="005649F7"/>
    <w:rsid w:val="00566F5C"/>
    <w:rsid w:val="005676A4"/>
    <w:rsid w:val="0057009F"/>
    <w:rsid w:val="00570D24"/>
    <w:rsid w:val="00571A40"/>
    <w:rsid w:val="00573A84"/>
    <w:rsid w:val="00580FD6"/>
    <w:rsid w:val="005829B4"/>
    <w:rsid w:val="00582FAD"/>
    <w:rsid w:val="005834DD"/>
    <w:rsid w:val="005842D7"/>
    <w:rsid w:val="00584620"/>
    <w:rsid w:val="00584E0D"/>
    <w:rsid w:val="00587AAA"/>
    <w:rsid w:val="00587D2E"/>
    <w:rsid w:val="00590A0A"/>
    <w:rsid w:val="00590FC0"/>
    <w:rsid w:val="005917EC"/>
    <w:rsid w:val="005918C1"/>
    <w:rsid w:val="00591985"/>
    <w:rsid w:val="00591AA8"/>
    <w:rsid w:val="00592351"/>
    <w:rsid w:val="005969A3"/>
    <w:rsid w:val="0059722B"/>
    <w:rsid w:val="0059744F"/>
    <w:rsid w:val="00597BFE"/>
    <w:rsid w:val="005A0C8B"/>
    <w:rsid w:val="005A19DD"/>
    <w:rsid w:val="005A1CED"/>
    <w:rsid w:val="005A24C1"/>
    <w:rsid w:val="005A3ED1"/>
    <w:rsid w:val="005A40B0"/>
    <w:rsid w:val="005A4E69"/>
    <w:rsid w:val="005A592D"/>
    <w:rsid w:val="005A652B"/>
    <w:rsid w:val="005A7240"/>
    <w:rsid w:val="005A7BE0"/>
    <w:rsid w:val="005B0DF4"/>
    <w:rsid w:val="005B1819"/>
    <w:rsid w:val="005B1FC8"/>
    <w:rsid w:val="005B3236"/>
    <w:rsid w:val="005B3245"/>
    <w:rsid w:val="005B32DE"/>
    <w:rsid w:val="005B4255"/>
    <w:rsid w:val="005B57F2"/>
    <w:rsid w:val="005B6760"/>
    <w:rsid w:val="005B6A8B"/>
    <w:rsid w:val="005B7B41"/>
    <w:rsid w:val="005C1ABF"/>
    <w:rsid w:val="005C22F5"/>
    <w:rsid w:val="005C3547"/>
    <w:rsid w:val="005C6A3C"/>
    <w:rsid w:val="005C70A5"/>
    <w:rsid w:val="005C77D9"/>
    <w:rsid w:val="005C7EBF"/>
    <w:rsid w:val="005D20A9"/>
    <w:rsid w:val="005D2761"/>
    <w:rsid w:val="005D36B5"/>
    <w:rsid w:val="005D3E1D"/>
    <w:rsid w:val="005D4F4E"/>
    <w:rsid w:val="005D6D19"/>
    <w:rsid w:val="005D7B20"/>
    <w:rsid w:val="005E03A8"/>
    <w:rsid w:val="005E1F64"/>
    <w:rsid w:val="005E23C3"/>
    <w:rsid w:val="005E2BBD"/>
    <w:rsid w:val="005E3209"/>
    <w:rsid w:val="005E44AE"/>
    <w:rsid w:val="005E509F"/>
    <w:rsid w:val="005F12E0"/>
    <w:rsid w:val="005F41B9"/>
    <w:rsid w:val="005F5DCC"/>
    <w:rsid w:val="006005AE"/>
    <w:rsid w:val="0060093C"/>
    <w:rsid w:val="0060118F"/>
    <w:rsid w:val="00602DDD"/>
    <w:rsid w:val="0060369B"/>
    <w:rsid w:val="0060397E"/>
    <w:rsid w:val="00604D11"/>
    <w:rsid w:val="006065DB"/>
    <w:rsid w:val="006077BC"/>
    <w:rsid w:val="00607819"/>
    <w:rsid w:val="00610A50"/>
    <w:rsid w:val="00610FED"/>
    <w:rsid w:val="006110B0"/>
    <w:rsid w:val="00612A68"/>
    <w:rsid w:val="00612DBB"/>
    <w:rsid w:val="00613611"/>
    <w:rsid w:val="006136C8"/>
    <w:rsid w:val="00615CFC"/>
    <w:rsid w:val="006161BF"/>
    <w:rsid w:val="00616625"/>
    <w:rsid w:val="006168B2"/>
    <w:rsid w:val="0062091A"/>
    <w:rsid w:val="0062287A"/>
    <w:rsid w:val="00623827"/>
    <w:rsid w:val="00624041"/>
    <w:rsid w:val="00626264"/>
    <w:rsid w:val="00626AC6"/>
    <w:rsid w:val="00630CAD"/>
    <w:rsid w:val="00633A4A"/>
    <w:rsid w:val="0063418A"/>
    <w:rsid w:val="00635A6A"/>
    <w:rsid w:val="006366EC"/>
    <w:rsid w:val="0063750E"/>
    <w:rsid w:val="00640263"/>
    <w:rsid w:val="00640B50"/>
    <w:rsid w:val="00642375"/>
    <w:rsid w:val="00642379"/>
    <w:rsid w:val="00642C0B"/>
    <w:rsid w:val="00642C39"/>
    <w:rsid w:val="00643537"/>
    <w:rsid w:val="00643C65"/>
    <w:rsid w:val="00644510"/>
    <w:rsid w:val="00645FDC"/>
    <w:rsid w:val="00646656"/>
    <w:rsid w:val="00646A70"/>
    <w:rsid w:val="00646C98"/>
    <w:rsid w:val="00647712"/>
    <w:rsid w:val="00650CEB"/>
    <w:rsid w:val="00652BC2"/>
    <w:rsid w:val="00653B89"/>
    <w:rsid w:val="00654CD4"/>
    <w:rsid w:val="00656E7D"/>
    <w:rsid w:val="006579E0"/>
    <w:rsid w:val="006605CB"/>
    <w:rsid w:val="006606D0"/>
    <w:rsid w:val="00662526"/>
    <w:rsid w:val="00663EA9"/>
    <w:rsid w:val="006642C3"/>
    <w:rsid w:val="00664765"/>
    <w:rsid w:val="00664ECF"/>
    <w:rsid w:val="006658DD"/>
    <w:rsid w:val="00665A8D"/>
    <w:rsid w:val="00666080"/>
    <w:rsid w:val="00666324"/>
    <w:rsid w:val="00670E75"/>
    <w:rsid w:val="00671FC9"/>
    <w:rsid w:val="006738C7"/>
    <w:rsid w:val="006804DF"/>
    <w:rsid w:val="0068175C"/>
    <w:rsid w:val="00681D66"/>
    <w:rsid w:val="00683EE8"/>
    <w:rsid w:val="00684D0B"/>
    <w:rsid w:val="006863DA"/>
    <w:rsid w:val="00687DCE"/>
    <w:rsid w:val="006900F7"/>
    <w:rsid w:val="00690431"/>
    <w:rsid w:val="006916EA"/>
    <w:rsid w:val="00692544"/>
    <w:rsid w:val="00692D43"/>
    <w:rsid w:val="00694192"/>
    <w:rsid w:val="006A02A3"/>
    <w:rsid w:val="006A110F"/>
    <w:rsid w:val="006A16FF"/>
    <w:rsid w:val="006A2D73"/>
    <w:rsid w:val="006A44F2"/>
    <w:rsid w:val="006A5238"/>
    <w:rsid w:val="006A65C8"/>
    <w:rsid w:val="006A713F"/>
    <w:rsid w:val="006A79E8"/>
    <w:rsid w:val="006B0F72"/>
    <w:rsid w:val="006B186E"/>
    <w:rsid w:val="006B1E31"/>
    <w:rsid w:val="006B1E7E"/>
    <w:rsid w:val="006B299D"/>
    <w:rsid w:val="006B3D47"/>
    <w:rsid w:val="006B4CB5"/>
    <w:rsid w:val="006B52E0"/>
    <w:rsid w:val="006B5878"/>
    <w:rsid w:val="006B65C1"/>
    <w:rsid w:val="006C1FCE"/>
    <w:rsid w:val="006C2C13"/>
    <w:rsid w:val="006C4670"/>
    <w:rsid w:val="006C62E7"/>
    <w:rsid w:val="006C64A0"/>
    <w:rsid w:val="006C758A"/>
    <w:rsid w:val="006C7630"/>
    <w:rsid w:val="006C793D"/>
    <w:rsid w:val="006C7B74"/>
    <w:rsid w:val="006D007B"/>
    <w:rsid w:val="006D0FEA"/>
    <w:rsid w:val="006D19B7"/>
    <w:rsid w:val="006D2741"/>
    <w:rsid w:val="006D7DDA"/>
    <w:rsid w:val="006E08EE"/>
    <w:rsid w:val="006E13B3"/>
    <w:rsid w:val="006E394F"/>
    <w:rsid w:val="006E4E8B"/>
    <w:rsid w:val="006E5CD1"/>
    <w:rsid w:val="006E5F80"/>
    <w:rsid w:val="006E5FE3"/>
    <w:rsid w:val="006F1800"/>
    <w:rsid w:val="006F1F1D"/>
    <w:rsid w:val="006F2372"/>
    <w:rsid w:val="006F27CC"/>
    <w:rsid w:val="006F33D8"/>
    <w:rsid w:val="006F5393"/>
    <w:rsid w:val="006F5B91"/>
    <w:rsid w:val="006F644E"/>
    <w:rsid w:val="006F6BA3"/>
    <w:rsid w:val="006F6E7A"/>
    <w:rsid w:val="006F7683"/>
    <w:rsid w:val="006F77DD"/>
    <w:rsid w:val="0070164A"/>
    <w:rsid w:val="00701DFB"/>
    <w:rsid w:val="00702336"/>
    <w:rsid w:val="00705613"/>
    <w:rsid w:val="00705C9D"/>
    <w:rsid w:val="00706000"/>
    <w:rsid w:val="0070607D"/>
    <w:rsid w:val="00713E4B"/>
    <w:rsid w:val="00714CE7"/>
    <w:rsid w:val="00716395"/>
    <w:rsid w:val="007168EA"/>
    <w:rsid w:val="0071693A"/>
    <w:rsid w:val="00720A99"/>
    <w:rsid w:val="0072235B"/>
    <w:rsid w:val="00725450"/>
    <w:rsid w:val="00726AFC"/>
    <w:rsid w:val="00727F81"/>
    <w:rsid w:val="007300B9"/>
    <w:rsid w:val="00730F13"/>
    <w:rsid w:val="00731204"/>
    <w:rsid w:val="00731629"/>
    <w:rsid w:val="00731F78"/>
    <w:rsid w:val="007340E4"/>
    <w:rsid w:val="00734BFC"/>
    <w:rsid w:val="00735F94"/>
    <w:rsid w:val="00736989"/>
    <w:rsid w:val="00741C5D"/>
    <w:rsid w:val="00741F1F"/>
    <w:rsid w:val="00743817"/>
    <w:rsid w:val="00744AFE"/>
    <w:rsid w:val="00744BDA"/>
    <w:rsid w:val="0074507E"/>
    <w:rsid w:val="007450BD"/>
    <w:rsid w:val="00747F35"/>
    <w:rsid w:val="00750926"/>
    <w:rsid w:val="00751913"/>
    <w:rsid w:val="00752813"/>
    <w:rsid w:val="00752AE2"/>
    <w:rsid w:val="0075367B"/>
    <w:rsid w:val="0075456C"/>
    <w:rsid w:val="00755882"/>
    <w:rsid w:val="0075738E"/>
    <w:rsid w:val="00757FF1"/>
    <w:rsid w:val="00762536"/>
    <w:rsid w:val="00762BA4"/>
    <w:rsid w:val="00762DFE"/>
    <w:rsid w:val="0076318F"/>
    <w:rsid w:val="007637BD"/>
    <w:rsid w:val="00764B04"/>
    <w:rsid w:val="00764E6B"/>
    <w:rsid w:val="0076540F"/>
    <w:rsid w:val="00765764"/>
    <w:rsid w:val="00765ED6"/>
    <w:rsid w:val="00766033"/>
    <w:rsid w:val="007676D8"/>
    <w:rsid w:val="00767B1E"/>
    <w:rsid w:val="00770398"/>
    <w:rsid w:val="00770FBC"/>
    <w:rsid w:val="00771C95"/>
    <w:rsid w:val="00771F6C"/>
    <w:rsid w:val="00774598"/>
    <w:rsid w:val="00774F43"/>
    <w:rsid w:val="00775B99"/>
    <w:rsid w:val="00776929"/>
    <w:rsid w:val="007772DE"/>
    <w:rsid w:val="00777872"/>
    <w:rsid w:val="00780C5D"/>
    <w:rsid w:val="00780D4A"/>
    <w:rsid w:val="007814E6"/>
    <w:rsid w:val="00782938"/>
    <w:rsid w:val="00783D3C"/>
    <w:rsid w:val="00784824"/>
    <w:rsid w:val="00785AAA"/>
    <w:rsid w:val="00787EA1"/>
    <w:rsid w:val="00787F71"/>
    <w:rsid w:val="00793810"/>
    <w:rsid w:val="00796A8C"/>
    <w:rsid w:val="00796E39"/>
    <w:rsid w:val="007979AE"/>
    <w:rsid w:val="007A1DDF"/>
    <w:rsid w:val="007A2694"/>
    <w:rsid w:val="007A308B"/>
    <w:rsid w:val="007A44DB"/>
    <w:rsid w:val="007A703C"/>
    <w:rsid w:val="007A73C6"/>
    <w:rsid w:val="007B0435"/>
    <w:rsid w:val="007B16A0"/>
    <w:rsid w:val="007B30E2"/>
    <w:rsid w:val="007B4265"/>
    <w:rsid w:val="007B46F5"/>
    <w:rsid w:val="007B5D5B"/>
    <w:rsid w:val="007B7DCB"/>
    <w:rsid w:val="007C22E1"/>
    <w:rsid w:val="007C3005"/>
    <w:rsid w:val="007C3101"/>
    <w:rsid w:val="007C5390"/>
    <w:rsid w:val="007C735F"/>
    <w:rsid w:val="007C7560"/>
    <w:rsid w:val="007D045B"/>
    <w:rsid w:val="007D246C"/>
    <w:rsid w:val="007D6EC9"/>
    <w:rsid w:val="007D7370"/>
    <w:rsid w:val="007D7F62"/>
    <w:rsid w:val="007E1B65"/>
    <w:rsid w:val="007E51F4"/>
    <w:rsid w:val="007E5803"/>
    <w:rsid w:val="007E5AA3"/>
    <w:rsid w:val="007F0D47"/>
    <w:rsid w:val="007F17BC"/>
    <w:rsid w:val="007F1FC7"/>
    <w:rsid w:val="007F2FA5"/>
    <w:rsid w:val="007F503E"/>
    <w:rsid w:val="007F78CB"/>
    <w:rsid w:val="0080536C"/>
    <w:rsid w:val="00806A8C"/>
    <w:rsid w:val="0080712C"/>
    <w:rsid w:val="00807C7E"/>
    <w:rsid w:val="008100AC"/>
    <w:rsid w:val="00811126"/>
    <w:rsid w:val="008115B8"/>
    <w:rsid w:val="00812F99"/>
    <w:rsid w:val="008131E9"/>
    <w:rsid w:val="00813FD3"/>
    <w:rsid w:val="00814B16"/>
    <w:rsid w:val="008153B8"/>
    <w:rsid w:val="00815BE3"/>
    <w:rsid w:val="00815D88"/>
    <w:rsid w:val="00816A19"/>
    <w:rsid w:val="0082083A"/>
    <w:rsid w:val="008209F6"/>
    <w:rsid w:val="00820EA5"/>
    <w:rsid w:val="008245A8"/>
    <w:rsid w:val="008261A6"/>
    <w:rsid w:val="00827EEC"/>
    <w:rsid w:val="00830FBF"/>
    <w:rsid w:val="00831BE0"/>
    <w:rsid w:val="00833078"/>
    <w:rsid w:val="00833CFA"/>
    <w:rsid w:val="00834995"/>
    <w:rsid w:val="00834D18"/>
    <w:rsid w:val="008350E2"/>
    <w:rsid w:val="008363F2"/>
    <w:rsid w:val="0083708E"/>
    <w:rsid w:val="00841011"/>
    <w:rsid w:val="00841BDE"/>
    <w:rsid w:val="00841D8E"/>
    <w:rsid w:val="00841DA8"/>
    <w:rsid w:val="008425C0"/>
    <w:rsid w:val="0084263E"/>
    <w:rsid w:val="008466D3"/>
    <w:rsid w:val="008470A8"/>
    <w:rsid w:val="00847BD1"/>
    <w:rsid w:val="008504D1"/>
    <w:rsid w:val="00851B0C"/>
    <w:rsid w:val="00851F74"/>
    <w:rsid w:val="008522C0"/>
    <w:rsid w:val="00852D6E"/>
    <w:rsid w:val="00852FC6"/>
    <w:rsid w:val="008530E3"/>
    <w:rsid w:val="00853831"/>
    <w:rsid w:val="0085436D"/>
    <w:rsid w:val="00854F05"/>
    <w:rsid w:val="00857553"/>
    <w:rsid w:val="0086014F"/>
    <w:rsid w:val="00860876"/>
    <w:rsid w:val="00861D1E"/>
    <w:rsid w:val="00862BA7"/>
    <w:rsid w:val="00863544"/>
    <w:rsid w:val="00863BF9"/>
    <w:rsid w:val="00863C52"/>
    <w:rsid w:val="0086638D"/>
    <w:rsid w:val="00866726"/>
    <w:rsid w:val="00870180"/>
    <w:rsid w:val="008704C9"/>
    <w:rsid w:val="00871C44"/>
    <w:rsid w:val="008754D6"/>
    <w:rsid w:val="008758B7"/>
    <w:rsid w:val="00876EBB"/>
    <w:rsid w:val="00882312"/>
    <w:rsid w:val="00882988"/>
    <w:rsid w:val="0088370B"/>
    <w:rsid w:val="00883E1F"/>
    <w:rsid w:val="008841A6"/>
    <w:rsid w:val="00887F31"/>
    <w:rsid w:val="008909BB"/>
    <w:rsid w:val="008909D3"/>
    <w:rsid w:val="0089209D"/>
    <w:rsid w:val="00892D99"/>
    <w:rsid w:val="00894D0B"/>
    <w:rsid w:val="00897387"/>
    <w:rsid w:val="008A207D"/>
    <w:rsid w:val="008A45C9"/>
    <w:rsid w:val="008A4BB2"/>
    <w:rsid w:val="008A683D"/>
    <w:rsid w:val="008B0886"/>
    <w:rsid w:val="008B24AB"/>
    <w:rsid w:val="008B2989"/>
    <w:rsid w:val="008B3115"/>
    <w:rsid w:val="008B329D"/>
    <w:rsid w:val="008B49D5"/>
    <w:rsid w:val="008B4F17"/>
    <w:rsid w:val="008B571A"/>
    <w:rsid w:val="008B6A48"/>
    <w:rsid w:val="008B7108"/>
    <w:rsid w:val="008C074D"/>
    <w:rsid w:val="008C3278"/>
    <w:rsid w:val="008C3782"/>
    <w:rsid w:val="008C3A0C"/>
    <w:rsid w:val="008C3ED4"/>
    <w:rsid w:val="008C578A"/>
    <w:rsid w:val="008C68D5"/>
    <w:rsid w:val="008D02DB"/>
    <w:rsid w:val="008D06EA"/>
    <w:rsid w:val="008D1325"/>
    <w:rsid w:val="008D2DAA"/>
    <w:rsid w:val="008D4D27"/>
    <w:rsid w:val="008D58B5"/>
    <w:rsid w:val="008D5CB1"/>
    <w:rsid w:val="008D6B84"/>
    <w:rsid w:val="008D7F20"/>
    <w:rsid w:val="008E1842"/>
    <w:rsid w:val="008E1961"/>
    <w:rsid w:val="008E2721"/>
    <w:rsid w:val="008E38F6"/>
    <w:rsid w:val="008E495F"/>
    <w:rsid w:val="008E53FD"/>
    <w:rsid w:val="008E5BF3"/>
    <w:rsid w:val="008E622B"/>
    <w:rsid w:val="008F070E"/>
    <w:rsid w:val="008F1274"/>
    <w:rsid w:val="008F1795"/>
    <w:rsid w:val="008F2F46"/>
    <w:rsid w:val="008F34EA"/>
    <w:rsid w:val="008F4CB1"/>
    <w:rsid w:val="008F5C89"/>
    <w:rsid w:val="008F6193"/>
    <w:rsid w:val="00901B08"/>
    <w:rsid w:val="00902998"/>
    <w:rsid w:val="00903B63"/>
    <w:rsid w:val="009056CF"/>
    <w:rsid w:val="0090695C"/>
    <w:rsid w:val="00910844"/>
    <w:rsid w:val="009117E1"/>
    <w:rsid w:val="00913031"/>
    <w:rsid w:val="00914F15"/>
    <w:rsid w:val="009159BE"/>
    <w:rsid w:val="00916D84"/>
    <w:rsid w:val="00921DCD"/>
    <w:rsid w:val="009224F6"/>
    <w:rsid w:val="00924DC9"/>
    <w:rsid w:val="0093093E"/>
    <w:rsid w:val="0093171A"/>
    <w:rsid w:val="0093187B"/>
    <w:rsid w:val="00931B7E"/>
    <w:rsid w:val="009340DD"/>
    <w:rsid w:val="00934436"/>
    <w:rsid w:val="00935013"/>
    <w:rsid w:val="0093586F"/>
    <w:rsid w:val="00936A7C"/>
    <w:rsid w:val="009400C9"/>
    <w:rsid w:val="009403A3"/>
    <w:rsid w:val="0094183F"/>
    <w:rsid w:val="0094239E"/>
    <w:rsid w:val="0094262D"/>
    <w:rsid w:val="009427BE"/>
    <w:rsid w:val="00942E2A"/>
    <w:rsid w:val="0094334C"/>
    <w:rsid w:val="00943511"/>
    <w:rsid w:val="00943D38"/>
    <w:rsid w:val="00943EAB"/>
    <w:rsid w:val="00944190"/>
    <w:rsid w:val="00944592"/>
    <w:rsid w:val="009464EC"/>
    <w:rsid w:val="00947784"/>
    <w:rsid w:val="009501A1"/>
    <w:rsid w:val="0095076E"/>
    <w:rsid w:val="00951D8A"/>
    <w:rsid w:val="00953878"/>
    <w:rsid w:val="0095770A"/>
    <w:rsid w:val="00957F84"/>
    <w:rsid w:val="0096012D"/>
    <w:rsid w:val="009605D2"/>
    <w:rsid w:val="00960E85"/>
    <w:rsid w:val="00961265"/>
    <w:rsid w:val="009635D0"/>
    <w:rsid w:val="0096475F"/>
    <w:rsid w:val="00966473"/>
    <w:rsid w:val="009727B8"/>
    <w:rsid w:val="0097400E"/>
    <w:rsid w:val="00974762"/>
    <w:rsid w:val="00975649"/>
    <w:rsid w:val="00975F86"/>
    <w:rsid w:val="009774A8"/>
    <w:rsid w:val="00980993"/>
    <w:rsid w:val="00981D72"/>
    <w:rsid w:val="00981E1C"/>
    <w:rsid w:val="00982C26"/>
    <w:rsid w:val="00983B82"/>
    <w:rsid w:val="0098413B"/>
    <w:rsid w:val="009847BE"/>
    <w:rsid w:val="00984B20"/>
    <w:rsid w:val="00984D1C"/>
    <w:rsid w:val="0098504E"/>
    <w:rsid w:val="009871E4"/>
    <w:rsid w:val="00990039"/>
    <w:rsid w:val="00991BBE"/>
    <w:rsid w:val="0099336B"/>
    <w:rsid w:val="00993D68"/>
    <w:rsid w:val="009943D7"/>
    <w:rsid w:val="009947B5"/>
    <w:rsid w:val="009963E3"/>
    <w:rsid w:val="00996AAF"/>
    <w:rsid w:val="00996DB2"/>
    <w:rsid w:val="009972AA"/>
    <w:rsid w:val="0099794D"/>
    <w:rsid w:val="009A0454"/>
    <w:rsid w:val="009A0ED6"/>
    <w:rsid w:val="009A21C8"/>
    <w:rsid w:val="009A28B4"/>
    <w:rsid w:val="009A30CA"/>
    <w:rsid w:val="009A3190"/>
    <w:rsid w:val="009A47CF"/>
    <w:rsid w:val="009A5BDD"/>
    <w:rsid w:val="009A61B8"/>
    <w:rsid w:val="009A632C"/>
    <w:rsid w:val="009A793A"/>
    <w:rsid w:val="009B0083"/>
    <w:rsid w:val="009B08AE"/>
    <w:rsid w:val="009B0BBA"/>
    <w:rsid w:val="009B0E2E"/>
    <w:rsid w:val="009B0EE4"/>
    <w:rsid w:val="009B1AD6"/>
    <w:rsid w:val="009B385B"/>
    <w:rsid w:val="009B3B1D"/>
    <w:rsid w:val="009B3CF6"/>
    <w:rsid w:val="009B498E"/>
    <w:rsid w:val="009B5EA4"/>
    <w:rsid w:val="009B682E"/>
    <w:rsid w:val="009B7C7B"/>
    <w:rsid w:val="009C0D61"/>
    <w:rsid w:val="009C2311"/>
    <w:rsid w:val="009C2717"/>
    <w:rsid w:val="009C3F62"/>
    <w:rsid w:val="009C4920"/>
    <w:rsid w:val="009C72E2"/>
    <w:rsid w:val="009C7C4B"/>
    <w:rsid w:val="009C7E14"/>
    <w:rsid w:val="009D1104"/>
    <w:rsid w:val="009D3A88"/>
    <w:rsid w:val="009D3FCA"/>
    <w:rsid w:val="009D4079"/>
    <w:rsid w:val="009D5977"/>
    <w:rsid w:val="009D5CDA"/>
    <w:rsid w:val="009D6E18"/>
    <w:rsid w:val="009E1ED5"/>
    <w:rsid w:val="009E24F5"/>
    <w:rsid w:val="009E3E2B"/>
    <w:rsid w:val="009E54C1"/>
    <w:rsid w:val="009E555F"/>
    <w:rsid w:val="009E581D"/>
    <w:rsid w:val="009E7355"/>
    <w:rsid w:val="009F09A9"/>
    <w:rsid w:val="009F0D50"/>
    <w:rsid w:val="009F102B"/>
    <w:rsid w:val="009F40D8"/>
    <w:rsid w:val="009F5C46"/>
    <w:rsid w:val="009F5CB5"/>
    <w:rsid w:val="009F5DA2"/>
    <w:rsid w:val="009F7700"/>
    <w:rsid w:val="009F7A41"/>
    <w:rsid w:val="00A00129"/>
    <w:rsid w:val="00A00EEF"/>
    <w:rsid w:val="00A036A5"/>
    <w:rsid w:val="00A03D9E"/>
    <w:rsid w:val="00A04150"/>
    <w:rsid w:val="00A05A78"/>
    <w:rsid w:val="00A07D31"/>
    <w:rsid w:val="00A12A40"/>
    <w:rsid w:val="00A13899"/>
    <w:rsid w:val="00A140B1"/>
    <w:rsid w:val="00A151CF"/>
    <w:rsid w:val="00A153BF"/>
    <w:rsid w:val="00A1722A"/>
    <w:rsid w:val="00A1743E"/>
    <w:rsid w:val="00A17568"/>
    <w:rsid w:val="00A17B6D"/>
    <w:rsid w:val="00A20CDF"/>
    <w:rsid w:val="00A20F61"/>
    <w:rsid w:val="00A20FB3"/>
    <w:rsid w:val="00A228BF"/>
    <w:rsid w:val="00A23F3A"/>
    <w:rsid w:val="00A24B8D"/>
    <w:rsid w:val="00A254A6"/>
    <w:rsid w:val="00A26F2C"/>
    <w:rsid w:val="00A27572"/>
    <w:rsid w:val="00A27B6B"/>
    <w:rsid w:val="00A30DBA"/>
    <w:rsid w:val="00A3229B"/>
    <w:rsid w:val="00A331D1"/>
    <w:rsid w:val="00A33EB1"/>
    <w:rsid w:val="00A346A2"/>
    <w:rsid w:val="00A3520A"/>
    <w:rsid w:val="00A36B8D"/>
    <w:rsid w:val="00A373D1"/>
    <w:rsid w:val="00A41410"/>
    <w:rsid w:val="00A4158F"/>
    <w:rsid w:val="00A41683"/>
    <w:rsid w:val="00A42A47"/>
    <w:rsid w:val="00A42A5D"/>
    <w:rsid w:val="00A438EC"/>
    <w:rsid w:val="00A44546"/>
    <w:rsid w:val="00A47D9E"/>
    <w:rsid w:val="00A516F1"/>
    <w:rsid w:val="00A54649"/>
    <w:rsid w:val="00A549B3"/>
    <w:rsid w:val="00A54DD4"/>
    <w:rsid w:val="00A56185"/>
    <w:rsid w:val="00A56833"/>
    <w:rsid w:val="00A60067"/>
    <w:rsid w:val="00A61B9A"/>
    <w:rsid w:val="00A62F90"/>
    <w:rsid w:val="00A635AA"/>
    <w:rsid w:val="00A64273"/>
    <w:rsid w:val="00A64E06"/>
    <w:rsid w:val="00A663AA"/>
    <w:rsid w:val="00A66B22"/>
    <w:rsid w:val="00A66F2B"/>
    <w:rsid w:val="00A67393"/>
    <w:rsid w:val="00A71454"/>
    <w:rsid w:val="00A716D4"/>
    <w:rsid w:val="00A722E2"/>
    <w:rsid w:val="00A729DA"/>
    <w:rsid w:val="00A73007"/>
    <w:rsid w:val="00A737AB"/>
    <w:rsid w:val="00A753C9"/>
    <w:rsid w:val="00A76A30"/>
    <w:rsid w:val="00A80795"/>
    <w:rsid w:val="00A81889"/>
    <w:rsid w:val="00A81C39"/>
    <w:rsid w:val="00A8314E"/>
    <w:rsid w:val="00A8345B"/>
    <w:rsid w:val="00A8473F"/>
    <w:rsid w:val="00A8686D"/>
    <w:rsid w:val="00A86901"/>
    <w:rsid w:val="00A872CF"/>
    <w:rsid w:val="00A90547"/>
    <w:rsid w:val="00A9146B"/>
    <w:rsid w:val="00A92FC8"/>
    <w:rsid w:val="00A93767"/>
    <w:rsid w:val="00A95A00"/>
    <w:rsid w:val="00A95C0E"/>
    <w:rsid w:val="00A977FB"/>
    <w:rsid w:val="00A97B3B"/>
    <w:rsid w:val="00AA11BB"/>
    <w:rsid w:val="00AA1745"/>
    <w:rsid w:val="00AA1A8F"/>
    <w:rsid w:val="00AA4F62"/>
    <w:rsid w:val="00AA5C26"/>
    <w:rsid w:val="00AB0702"/>
    <w:rsid w:val="00AB23FC"/>
    <w:rsid w:val="00AB265C"/>
    <w:rsid w:val="00AB5433"/>
    <w:rsid w:val="00AB5696"/>
    <w:rsid w:val="00AB56B1"/>
    <w:rsid w:val="00AB65FA"/>
    <w:rsid w:val="00AB6A3B"/>
    <w:rsid w:val="00AB6DDB"/>
    <w:rsid w:val="00AC0FDC"/>
    <w:rsid w:val="00AC2580"/>
    <w:rsid w:val="00AC2E3C"/>
    <w:rsid w:val="00AC4C87"/>
    <w:rsid w:val="00AC7131"/>
    <w:rsid w:val="00AC793B"/>
    <w:rsid w:val="00AC79C3"/>
    <w:rsid w:val="00AD066E"/>
    <w:rsid w:val="00AD06A9"/>
    <w:rsid w:val="00AD0C75"/>
    <w:rsid w:val="00AD33E5"/>
    <w:rsid w:val="00AD4A79"/>
    <w:rsid w:val="00AD4B2A"/>
    <w:rsid w:val="00AD5E7E"/>
    <w:rsid w:val="00AE1CDA"/>
    <w:rsid w:val="00AE2005"/>
    <w:rsid w:val="00AE2C23"/>
    <w:rsid w:val="00AE326E"/>
    <w:rsid w:val="00AE43FB"/>
    <w:rsid w:val="00AE5D81"/>
    <w:rsid w:val="00AE6448"/>
    <w:rsid w:val="00AE7C9D"/>
    <w:rsid w:val="00AF0390"/>
    <w:rsid w:val="00AF10B7"/>
    <w:rsid w:val="00AF36BF"/>
    <w:rsid w:val="00AF4B87"/>
    <w:rsid w:val="00AF4D90"/>
    <w:rsid w:val="00AF5AFB"/>
    <w:rsid w:val="00B00967"/>
    <w:rsid w:val="00B030E0"/>
    <w:rsid w:val="00B04BC1"/>
    <w:rsid w:val="00B067D4"/>
    <w:rsid w:val="00B06D4E"/>
    <w:rsid w:val="00B076CC"/>
    <w:rsid w:val="00B10A12"/>
    <w:rsid w:val="00B12346"/>
    <w:rsid w:val="00B15736"/>
    <w:rsid w:val="00B1622B"/>
    <w:rsid w:val="00B2021F"/>
    <w:rsid w:val="00B20B20"/>
    <w:rsid w:val="00B21517"/>
    <w:rsid w:val="00B22DB0"/>
    <w:rsid w:val="00B24C1A"/>
    <w:rsid w:val="00B2547A"/>
    <w:rsid w:val="00B25ED1"/>
    <w:rsid w:val="00B26248"/>
    <w:rsid w:val="00B273E3"/>
    <w:rsid w:val="00B32918"/>
    <w:rsid w:val="00B36B27"/>
    <w:rsid w:val="00B36B60"/>
    <w:rsid w:val="00B37AEE"/>
    <w:rsid w:val="00B37E5A"/>
    <w:rsid w:val="00B40426"/>
    <w:rsid w:val="00B4076B"/>
    <w:rsid w:val="00B41212"/>
    <w:rsid w:val="00B41DF0"/>
    <w:rsid w:val="00B42070"/>
    <w:rsid w:val="00B43E3E"/>
    <w:rsid w:val="00B44409"/>
    <w:rsid w:val="00B44576"/>
    <w:rsid w:val="00B448E0"/>
    <w:rsid w:val="00B46FF9"/>
    <w:rsid w:val="00B5050B"/>
    <w:rsid w:val="00B5074E"/>
    <w:rsid w:val="00B508CB"/>
    <w:rsid w:val="00B509A0"/>
    <w:rsid w:val="00B5373B"/>
    <w:rsid w:val="00B53D9D"/>
    <w:rsid w:val="00B54A53"/>
    <w:rsid w:val="00B54A95"/>
    <w:rsid w:val="00B552BC"/>
    <w:rsid w:val="00B55F20"/>
    <w:rsid w:val="00B5697C"/>
    <w:rsid w:val="00B5783D"/>
    <w:rsid w:val="00B57B0A"/>
    <w:rsid w:val="00B6106F"/>
    <w:rsid w:val="00B63170"/>
    <w:rsid w:val="00B63827"/>
    <w:rsid w:val="00B63881"/>
    <w:rsid w:val="00B63A71"/>
    <w:rsid w:val="00B6407A"/>
    <w:rsid w:val="00B64762"/>
    <w:rsid w:val="00B65F25"/>
    <w:rsid w:val="00B66966"/>
    <w:rsid w:val="00B67470"/>
    <w:rsid w:val="00B70A17"/>
    <w:rsid w:val="00B70D4D"/>
    <w:rsid w:val="00B73437"/>
    <w:rsid w:val="00B77294"/>
    <w:rsid w:val="00B804C0"/>
    <w:rsid w:val="00B80FE4"/>
    <w:rsid w:val="00B81731"/>
    <w:rsid w:val="00B81ECB"/>
    <w:rsid w:val="00B85BAB"/>
    <w:rsid w:val="00B8621B"/>
    <w:rsid w:val="00B87F9A"/>
    <w:rsid w:val="00B91F7F"/>
    <w:rsid w:val="00B92517"/>
    <w:rsid w:val="00B92589"/>
    <w:rsid w:val="00B9499B"/>
    <w:rsid w:val="00B95731"/>
    <w:rsid w:val="00B95895"/>
    <w:rsid w:val="00B9668B"/>
    <w:rsid w:val="00B96793"/>
    <w:rsid w:val="00B9697A"/>
    <w:rsid w:val="00B97F86"/>
    <w:rsid w:val="00BA1E6E"/>
    <w:rsid w:val="00BA2A6A"/>
    <w:rsid w:val="00BA2B00"/>
    <w:rsid w:val="00BA2F3A"/>
    <w:rsid w:val="00BA2FE2"/>
    <w:rsid w:val="00BA2FF0"/>
    <w:rsid w:val="00BA4010"/>
    <w:rsid w:val="00BB0E86"/>
    <w:rsid w:val="00BB1944"/>
    <w:rsid w:val="00BB1D04"/>
    <w:rsid w:val="00BB266C"/>
    <w:rsid w:val="00BB3EB4"/>
    <w:rsid w:val="00BB4A96"/>
    <w:rsid w:val="00BB4B3A"/>
    <w:rsid w:val="00BB5801"/>
    <w:rsid w:val="00BB5ABE"/>
    <w:rsid w:val="00BB5F73"/>
    <w:rsid w:val="00BC0062"/>
    <w:rsid w:val="00BC0847"/>
    <w:rsid w:val="00BC12BF"/>
    <w:rsid w:val="00BC137A"/>
    <w:rsid w:val="00BC1605"/>
    <w:rsid w:val="00BC1D91"/>
    <w:rsid w:val="00BC2571"/>
    <w:rsid w:val="00BC3911"/>
    <w:rsid w:val="00BC43CD"/>
    <w:rsid w:val="00BC4C27"/>
    <w:rsid w:val="00BC4FC5"/>
    <w:rsid w:val="00BC5380"/>
    <w:rsid w:val="00BD0313"/>
    <w:rsid w:val="00BD0B60"/>
    <w:rsid w:val="00BD14DC"/>
    <w:rsid w:val="00BD3480"/>
    <w:rsid w:val="00BD3AC1"/>
    <w:rsid w:val="00BD3C31"/>
    <w:rsid w:val="00BD4591"/>
    <w:rsid w:val="00BD461C"/>
    <w:rsid w:val="00BD5B4A"/>
    <w:rsid w:val="00BE10C6"/>
    <w:rsid w:val="00BE19B5"/>
    <w:rsid w:val="00BE2C43"/>
    <w:rsid w:val="00BE38D9"/>
    <w:rsid w:val="00BE4BB0"/>
    <w:rsid w:val="00BE5ED3"/>
    <w:rsid w:val="00BE6B42"/>
    <w:rsid w:val="00BF1A30"/>
    <w:rsid w:val="00BF2381"/>
    <w:rsid w:val="00BF3606"/>
    <w:rsid w:val="00BF3B2B"/>
    <w:rsid w:val="00BF4C57"/>
    <w:rsid w:val="00BF5037"/>
    <w:rsid w:val="00BF5B5D"/>
    <w:rsid w:val="00C02CD6"/>
    <w:rsid w:val="00C03BE5"/>
    <w:rsid w:val="00C03D8F"/>
    <w:rsid w:val="00C049B5"/>
    <w:rsid w:val="00C04B5C"/>
    <w:rsid w:val="00C07ADA"/>
    <w:rsid w:val="00C10C17"/>
    <w:rsid w:val="00C12244"/>
    <w:rsid w:val="00C15055"/>
    <w:rsid w:val="00C15365"/>
    <w:rsid w:val="00C1590C"/>
    <w:rsid w:val="00C1616E"/>
    <w:rsid w:val="00C1629F"/>
    <w:rsid w:val="00C16FD6"/>
    <w:rsid w:val="00C203E5"/>
    <w:rsid w:val="00C20CD0"/>
    <w:rsid w:val="00C215D7"/>
    <w:rsid w:val="00C21BEF"/>
    <w:rsid w:val="00C26F27"/>
    <w:rsid w:val="00C27162"/>
    <w:rsid w:val="00C271CA"/>
    <w:rsid w:val="00C27227"/>
    <w:rsid w:val="00C2726C"/>
    <w:rsid w:val="00C2759D"/>
    <w:rsid w:val="00C27A9F"/>
    <w:rsid w:val="00C31D4B"/>
    <w:rsid w:val="00C33FF9"/>
    <w:rsid w:val="00C343FE"/>
    <w:rsid w:val="00C34530"/>
    <w:rsid w:val="00C357AC"/>
    <w:rsid w:val="00C361F5"/>
    <w:rsid w:val="00C40A7B"/>
    <w:rsid w:val="00C41552"/>
    <w:rsid w:val="00C4208D"/>
    <w:rsid w:val="00C4266A"/>
    <w:rsid w:val="00C43F07"/>
    <w:rsid w:val="00C4570D"/>
    <w:rsid w:val="00C464E4"/>
    <w:rsid w:val="00C47E0A"/>
    <w:rsid w:val="00C55283"/>
    <w:rsid w:val="00C55FA0"/>
    <w:rsid w:val="00C57682"/>
    <w:rsid w:val="00C62D11"/>
    <w:rsid w:val="00C6392F"/>
    <w:rsid w:val="00C6669E"/>
    <w:rsid w:val="00C66CFE"/>
    <w:rsid w:val="00C70692"/>
    <w:rsid w:val="00C70FCA"/>
    <w:rsid w:val="00C726A5"/>
    <w:rsid w:val="00C7275E"/>
    <w:rsid w:val="00C761B6"/>
    <w:rsid w:val="00C81059"/>
    <w:rsid w:val="00C811CC"/>
    <w:rsid w:val="00C81239"/>
    <w:rsid w:val="00C825CC"/>
    <w:rsid w:val="00C8262F"/>
    <w:rsid w:val="00C82EEB"/>
    <w:rsid w:val="00C84451"/>
    <w:rsid w:val="00C90BD0"/>
    <w:rsid w:val="00C9121A"/>
    <w:rsid w:val="00C915BD"/>
    <w:rsid w:val="00C9340D"/>
    <w:rsid w:val="00C93833"/>
    <w:rsid w:val="00C948A7"/>
    <w:rsid w:val="00C94B4A"/>
    <w:rsid w:val="00C94FDB"/>
    <w:rsid w:val="00C950DE"/>
    <w:rsid w:val="00C968EB"/>
    <w:rsid w:val="00CA0BFE"/>
    <w:rsid w:val="00CA169C"/>
    <w:rsid w:val="00CA4278"/>
    <w:rsid w:val="00CA5E9C"/>
    <w:rsid w:val="00CA5F28"/>
    <w:rsid w:val="00CA613F"/>
    <w:rsid w:val="00CA6145"/>
    <w:rsid w:val="00CA71E8"/>
    <w:rsid w:val="00CA7520"/>
    <w:rsid w:val="00CA7923"/>
    <w:rsid w:val="00CB1CD6"/>
    <w:rsid w:val="00CB2442"/>
    <w:rsid w:val="00CB2FE2"/>
    <w:rsid w:val="00CB448C"/>
    <w:rsid w:val="00CB521A"/>
    <w:rsid w:val="00CB63AD"/>
    <w:rsid w:val="00CB64F5"/>
    <w:rsid w:val="00CB66F5"/>
    <w:rsid w:val="00CB7971"/>
    <w:rsid w:val="00CC035D"/>
    <w:rsid w:val="00CC2003"/>
    <w:rsid w:val="00CC2093"/>
    <w:rsid w:val="00CC3BD4"/>
    <w:rsid w:val="00CC56DF"/>
    <w:rsid w:val="00CC57D1"/>
    <w:rsid w:val="00CD06AB"/>
    <w:rsid w:val="00CD167A"/>
    <w:rsid w:val="00CD2E2B"/>
    <w:rsid w:val="00CD37ED"/>
    <w:rsid w:val="00CD5B45"/>
    <w:rsid w:val="00CD7A7B"/>
    <w:rsid w:val="00CD7C35"/>
    <w:rsid w:val="00CE019B"/>
    <w:rsid w:val="00CE1FFB"/>
    <w:rsid w:val="00CE272A"/>
    <w:rsid w:val="00CE338D"/>
    <w:rsid w:val="00CE595C"/>
    <w:rsid w:val="00CE632C"/>
    <w:rsid w:val="00CE7E5C"/>
    <w:rsid w:val="00CF018E"/>
    <w:rsid w:val="00CF01A0"/>
    <w:rsid w:val="00CF0808"/>
    <w:rsid w:val="00CF21B5"/>
    <w:rsid w:val="00CF2E6E"/>
    <w:rsid w:val="00CF3540"/>
    <w:rsid w:val="00CF4FF2"/>
    <w:rsid w:val="00CF6AAA"/>
    <w:rsid w:val="00CF6D6E"/>
    <w:rsid w:val="00D0040D"/>
    <w:rsid w:val="00D0481C"/>
    <w:rsid w:val="00D048EE"/>
    <w:rsid w:val="00D04F6C"/>
    <w:rsid w:val="00D04FAC"/>
    <w:rsid w:val="00D07E69"/>
    <w:rsid w:val="00D10B97"/>
    <w:rsid w:val="00D11FFD"/>
    <w:rsid w:val="00D137D9"/>
    <w:rsid w:val="00D1412D"/>
    <w:rsid w:val="00D14238"/>
    <w:rsid w:val="00D14FCE"/>
    <w:rsid w:val="00D15CC2"/>
    <w:rsid w:val="00D1669E"/>
    <w:rsid w:val="00D16D29"/>
    <w:rsid w:val="00D16F2B"/>
    <w:rsid w:val="00D176B8"/>
    <w:rsid w:val="00D21177"/>
    <w:rsid w:val="00D211EB"/>
    <w:rsid w:val="00D21E69"/>
    <w:rsid w:val="00D22687"/>
    <w:rsid w:val="00D243B1"/>
    <w:rsid w:val="00D24482"/>
    <w:rsid w:val="00D2563A"/>
    <w:rsid w:val="00D3008A"/>
    <w:rsid w:val="00D3337C"/>
    <w:rsid w:val="00D35471"/>
    <w:rsid w:val="00D378B1"/>
    <w:rsid w:val="00D406B2"/>
    <w:rsid w:val="00D41EAD"/>
    <w:rsid w:val="00D423F1"/>
    <w:rsid w:val="00D428D8"/>
    <w:rsid w:val="00D444B5"/>
    <w:rsid w:val="00D445FC"/>
    <w:rsid w:val="00D44618"/>
    <w:rsid w:val="00D44991"/>
    <w:rsid w:val="00D44C95"/>
    <w:rsid w:val="00D456E7"/>
    <w:rsid w:val="00D45D78"/>
    <w:rsid w:val="00D468A0"/>
    <w:rsid w:val="00D46945"/>
    <w:rsid w:val="00D47F38"/>
    <w:rsid w:val="00D520B4"/>
    <w:rsid w:val="00D52639"/>
    <w:rsid w:val="00D52820"/>
    <w:rsid w:val="00D5340C"/>
    <w:rsid w:val="00D54787"/>
    <w:rsid w:val="00D5478D"/>
    <w:rsid w:val="00D55228"/>
    <w:rsid w:val="00D56DCD"/>
    <w:rsid w:val="00D57018"/>
    <w:rsid w:val="00D57157"/>
    <w:rsid w:val="00D610BD"/>
    <w:rsid w:val="00D6181C"/>
    <w:rsid w:val="00D62306"/>
    <w:rsid w:val="00D62A02"/>
    <w:rsid w:val="00D62EF2"/>
    <w:rsid w:val="00D64079"/>
    <w:rsid w:val="00D65BA7"/>
    <w:rsid w:val="00D6603E"/>
    <w:rsid w:val="00D67529"/>
    <w:rsid w:val="00D675A4"/>
    <w:rsid w:val="00D7091F"/>
    <w:rsid w:val="00D7239A"/>
    <w:rsid w:val="00D72773"/>
    <w:rsid w:val="00D732CA"/>
    <w:rsid w:val="00D73321"/>
    <w:rsid w:val="00D73CD1"/>
    <w:rsid w:val="00D7426B"/>
    <w:rsid w:val="00D747FB"/>
    <w:rsid w:val="00D74DF8"/>
    <w:rsid w:val="00D75C0B"/>
    <w:rsid w:val="00D75E8F"/>
    <w:rsid w:val="00D763B0"/>
    <w:rsid w:val="00D773BD"/>
    <w:rsid w:val="00D7791D"/>
    <w:rsid w:val="00D77F44"/>
    <w:rsid w:val="00D83641"/>
    <w:rsid w:val="00D84823"/>
    <w:rsid w:val="00D87DA7"/>
    <w:rsid w:val="00D91E18"/>
    <w:rsid w:val="00D92087"/>
    <w:rsid w:val="00D93246"/>
    <w:rsid w:val="00D9429B"/>
    <w:rsid w:val="00D9483D"/>
    <w:rsid w:val="00D95100"/>
    <w:rsid w:val="00D95B43"/>
    <w:rsid w:val="00D95F00"/>
    <w:rsid w:val="00D95F01"/>
    <w:rsid w:val="00D96ACD"/>
    <w:rsid w:val="00D971B6"/>
    <w:rsid w:val="00D971C2"/>
    <w:rsid w:val="00D976C7"/>
    <w:rsid w:val="00DA0F78"/>
    <w:rsid w:val="00DA13B4"/>
    <w:rsid w:val="00DA326A"/>
    <w:rsid w:val="00DA42C1"/>
    <w:rsid w:val="00DA5504"/>
    <w:rsid w:val="00DB1117"/>
    <w:rsid w:val="00DB47D7"/>
    <w:rsid w:val="00DB641A"/>
    <w:rsid w:val="00DB6D67"/>
    <w:rsid w:val="00DB7620"/>
    <w:rsid w:val="00DC18A6"/>
    <w:rsid w:val="00DC478B"/>
    <w:rsid w:val="00DC6303"/>
    <w:rsid w:val="00DC694A"/>
    <w:rsid w:val="00DC7FF4"/>
    <w:rsid w:val="00DD26EF"/>
    <w:rsid w:val="00DD3284"/>
    <w:rsid w:val="00DD3EBA"/>
    <w:rsid w:val="00DD3F35"/>
    <w:rsid w:val="00DD6234"/>
    <w:rsid w:val="00DD6BE4"/>
    <w:rsid w:val="00DD6C8B"/>
    <w:rsid w:val="00DD7190"/>
    <w:rsid w:val="00DD72BF"/>
    <w:rsid w:val="00DD7735"/>
    <w:rsid w:val="00DD7BAD"/>
    <w:rsid w:val="00DE0456"/>
    <w:rsid w:val="00DE0874"/>
    <w:rsid w:val="00DE1373"/>
    <w:rsid w:val="00DE1A9A"/>
    <w:rsid w:val="00DE1EB5"/>
    <w:rsid w:val="00DE227A"/>
    <w:rsid w:val="00DE2BAD"/>
    <w:rsid w:val="00DE31FC"/>
    <w:rsid w:val="00DE333B"/>
    <w:rsid w:val="00DE618A"/>
    <w:rsid w:val="00DE7C74"/>
    <w:rsid w:val="00DF0B15"/>
    <w:rsid w:val="00DF2192"/>
    <w:rsid w:val="00DF3205"/>
    <w:rsid w:val="00DF5AAA"/>
    <w:rsid w:val="00DF69A9"/>
    <w:rsid w:val="00DF70DE"/>
    <w:rsid w:val="00DF7F9A"/>
    <w:rsid w:val="00E0209A"/>
    <w:rsid w:val="00E0339D"/>
    <w:rsid w:val="00E04DE9"/>
    <w:rsid w:val="00E064A2"/>
    <w:rsid w:val="00E0759A"/>
    <w:rsid w:val="00E0764E"/>
    <w:rsid w:val="00E077A6"/>
    <w:rsid w:val="00E12EDE"/>
    <w:rsid w:val="00E13AFF"/>
    <w:rsid w:val="00E158E1"/>
    <w:rsid w:val="00E15CCC"/>
    <w:rsid w:val="00E15F90"/>
    <w:rsid w:val="00E15FE9"/>
    <w:rsid w:val="00E16716"/>
    <w:rsid w:val="00E16B94"/>
    <w:rsid w:val="00E16CC8"/>
    <w:rsid w:val="00E17D10"/>
    <w:rsid w:val="00E215A1"/>
    <w:rsid w:val="00E232AF"/>
    <w:rsid w:val="00E27B72"/>
    <w:rsid w:val="00E30462"/>
    <w:rsid w:val="00E31656"/>
    <w:rsid w:val="00E316D2"/>
    <w:rsid w:val="00E3296D"/>
    <w:rsid w:val="00E3400C"/>
    <w:rsid w:val="00E36F5A"/>
    <w:rsid w:val="00E3752A"/>
    <w:rsid w:val="00E40868"/>
    <w:rsid w:val="00E419E1"/>
    <w:rsid w:val="00E4206F"/>
    <w:rsid w:val="00E42383"/>
    <w:rsid w:val="00E42472"/>
    <w:rsid w:val="00E42B79"/>
    <w:rsid w:val="00E4327F"/>
    <w:rsid w:val="00E45258"/>
    <w:rsid w:val="00E47E41"/>
    <w:rsid w:val="00E51F97"/>
    <w:rsid w:val="00E54195"/>
    <w:rsid w:val="00E5435F"/>
    <w:rsid w:val="00E54C2F"/>
    <w:rsid w:val="00E551DE"/>
    <w:rsid w:val="00E5540A"/>
    <w:rsid w:val="00E5566D"/>
    <w:rsid w:val="00E56246"/>
    <w:rsid w:val="00E578C7"/>
    <w:rsid w:val="00E57ABC"/>
    <w:rsid w:val="00E6054B"/>
    <w:rsid w:val="00E61BC5"/>
    <w:rsid w:val="00E641A0"/>
    <w:rsid w:val="00E64798"/>
    <w:rsid w:val="00E64BDD"/>
    <w:rsid w:val="00E66AB0"/>
    <w:rsid w:val="00E70C38"/>
    <w:rsid w:val="00E70D9F"/>
    <w:rsid w:val="00E71C05"/>
    <w:rsid w:val="00E7263D"/>
    <w:rsid w:val="00E73B08"/>
    <w:rsid w:val="00E74C88"/>
    <w:rsid w:val="00E77979"/>
    <w:rsid w:val="00E80777"/>
    <w:rsid w:val="00E82B31"/>
    <w:rsid w:val="00E83879"/>
    <w:rsid w:val="00E86587"/>
    <w:rsid w:val="00E90B45"/>
    <w:rsid w:val="00E932BD"/>
    <w:rsid w:val="00E950B8"/>
    <w:rsid w:val="00E95DA1"/>
    <w:rsid w:val="00E97E22"/>
    <w:rsid w:val="00EA1F29"/>
    <w:rsid w:val="00EA261B"/>
    <w:rsid w:val="00EA4ADE"/>
    <w:rsid w:val="00EA5E5E"/>
    <w:rsid w:val="00EA6320"/>
    <w:rsid w:val="00EA66B3"/>
    <w:rsid w:val="00EA689F"/>
    <w:rsid w:val="00EA76A8"/>
    <w:rsid w:val="00EB02E6"/>
    <w:rsid w:val="00EB1361"/>
    <w:rsid w:val="00EB2FEC"/>
    <w:rsid w:val="00EB5480"/>
    <w:rsid w:val="00EB5F4F"/>
    <w:rsid w:val="00EC0807"/>
    <w:rsid w:val="00EC1418"/>
    <w:rsid w:val="00EC173A"/>
    <w:rsid w:val="00EC1910"/>
    <w:rsid w:val="00EC1E56"/>
    <w:rsid w:val="00EC35B3"/>
    <w:rsid w:val="00EC36CB"/>
    <w:rsid w:val="00EC430B"/>
    <w:rsid w:val="00EC67F3"/>
    <w:rsid w:val="00ED0130"/>
    <w:rsid w:val="00ED0794"/>
    <w:rsid w:val="00ED0A0B"/>
    <w:rsid w:val="00ED0F3B"/>
    <w:rsid w:val="00EE119C"/>
    <w:rsid w:val="00EE145D"/>
    <w:rsid w:val="00EE1B09"/>
    <w:rsid w:val="00EE1DB4"/>
    <w:rsid w:val="00EE466B"/>
    <w:rsid w:val="00EE5277"/>
    <w:rsid w:val="00EE5FF1"/>
    <w:rsid w:val="00EE7947"/>
    <w:rsid w:val="00EF0025"/>
    <w:rsid w:val="00EF030B"/>
    <w:rsid w:val="00EF3582"/>
    <w:rsid w:val="00EF631A"/>
    <w:rsid w:val="00EF687A"/>
    <w:rsid w:val="00F00DE0"/>
    <w:rsid w:val="00F0151F"/>
    <w:rsid w:val="00F01AF2"/>
    <w:rsid w:val="00F01E88"/>
    <w:rsid w:val="00F02E32"/>
    <w:rsid w:val="00F049B7"/>
    <w:rsid w:val="00F0524B"/>
    <w:rsid w:val="00F05C10"/>
    <w:rsid w:val="00F065AC"/>
    <w:rsid w:val="00F117BC"/>
    <w:rsid w:val="00F12A62"/>
    <w:rsid w:val="00F14098"/>
    <w:rsid w:val="00F14605"/>
    <w:rsid w:val="00F172A0"/>
    <w:rsid w:val="00F17DBA"/>
    <w:rsid w:val="00F204A6"/>
    <w:rsid w:val="00F21FFB"/>
    <w:rsid w:val="00F2315C"/>
    <w:rsid w:val="00F23856"/>
    <w:rsid w:val="00F247CB"/>
    <w:rsid w:val="00F2548E"/>
    <w:rsid w:val="00F334C9"/>
    <w:rsid w:val="00F34499"/>
    <w:rsid w:val="00F35D24"/>
    <w:rsid w:val="00F360A7"/>
    <w:rsid w:val="00F36173"/>
    <w:rsid w:val="00F37821"/>
    <w:rsid w:val="00F40AF4"/>
    <w:rsid w:val="00F41D1E"/>
    <w:rsid w:val="00F42C8B"/>
    <w:rsid w:val="00F44104"/>
    <w:rsid w:val="00F46063"/>
    <w:rsid w:val="00F47D7B"/>
    <w:rsid w:val="00F505B0"/>
    <w:rsid w:val="00F50EDE"/>
    <w:rsid w:val="00F51AA9"/>
    <w:rsid w:val="00F51C13"/>
    <w:rsid w:val="00F51FCF"/>
    <w:rsid w:val="00F53DB5"/>
    <w:rsid w:val="00F5693D"/>
    <w:rsid w:val="00F57C1A"/>
    <w:rsid w:val="00F60E3C"/>
    <w:rsid w:val="00F6241F"/>
    <w:rsid w:val="00F6554D"/>
    <w:rsid w:val="00F65B85"/>
    <w:rsid w:val="00F71081"/>
    <w:rsid w:val="00F73340"/>
    <w:rsid w:val="00F75E83"/>
    <w:rsid w:val="00F75FC5"/>
    <w:rsid w:val="00F8137D"/>
    <w:rsid w:val="00F82C7C"/>
    <w:rsid w:val="00F839A9"/>
    <w:rsid w:val="00F8579E"/>
    <w:rsid w:val="00F85D8C"/>
    <w:rsid w:val="00F86511"/>
    <w:rsid w:val="00F867D0"/>
    <w:rsid w:val="00F86AB9"/>
    <w:rsid w:val="00F91348"/>
    <w:rsid w:val="00F91A3F"/>
    <w:rsid w:val="00F91F8F"/>
    <w:rsid w:val="00F926DD"/>
    <w:rsid w:val="00F941D9"/>
    <w:rsid w:val="00F95F7D"/>
    <w:rsid w:val="00F96A33"/>
    <w:rsid w:val="00F96BEB"/>
    <w:rsid w:val="00F97357"/>
    <w:rsid w:val="00FA68F3"/>
    <w:rsid w:val="00FA7362"/>
    <w:rsid w:val="00FA775E"/>
    <w:rsid w:val="00FA7B6E"/>
    <w:rsid w:val="00FA7DAE"/>
    <w:rsid w:val="00FB1F45"/>
    <w:rsid w:val="00FB23F0"/>
    <w:rsid w:val="00FB2F79"/>
    <w:rsid w:val="00FB338C"/>
    <w:rsid w:val="00FB50B1"/>
    <w:rsid w:val="00FB50B8"/>
    <w:rsid w:val="00FB6324"/>
    <w:rsid w:val="00FC01C1"/>
    <w:rsid w:val="00FC14E4"/>
    <w:rsid w:val="00FC5F3C"/>
    <w:rsid w:val="00FC6BA2"/>
    <w:rsid w:val="00FC6CEC"/>
    <w:rsid w:val="00FC7D6C"/>
    <w:rsid w:val="00FD1E75"/>
    <w:rsid w:val="00FD2274"/>
    <w:rsid w:val="00FD2654"/>
    <w:rsid w:val="00FD2A02"/>
    <w:rsid w:val="00FD389C"/>
    <w:rsid w:val="00FD4EE9"/>
    <w:rsid w:val="00FD58B4"/>
    <w:rsid w:val="00FD5B1C"/>
    <w:rsid w:val="00FD5BFB"/>
    <w:rsid w:val="00FD766E"/>
    <w:rsid w:val="00FD79CE"/>
    <w:rsid w:val="00FE106C"/>
    <w:rsid w:val="00FE2524"/>
    <w:rsid w:val="00FE44D6"/>
    <w:rsid w:val="00FE5A84"/>
    <w:rsid w:val="00FE63E1"/>
    <w:rsid w:val="00FE72B2"/>
    <w:rsid w:val="00FF0538"/>
    <w:rsid w:val="00FF12A4"/>
    <w:rsid w:val="00FF246E"/>
    <w:rsid w:val="00FF50A3"/>
    <w:rsid w:val="00FF5D22"/>
    <w:rsid w:val="00FF6B75"/>
    <w:rsid w:val="00FF74CF"/>
    <w:rsid w:val="00FF7D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7CA58F"/>
  <w14:defaultImageDpi w14:val="300"/>
  <w15:docId w15:val="{AEB07F46-DEB9-4477-A08C-D8B72367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AU"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635A"/>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autoRedefine/>
    <w:uiPriority w:val="9"/>
    <w:qFormat/>
    <w:rsid w:val="00D45D78"/>
    <w:pPr>
      <w:keepNext/>
      <w:ind w:left="540" w:hanging="540"/>
      <w:outlineLvl w:val="0"/>
    </w:pPr>
    <w:rPr>
      <w:szCs w:val="22"/>
    </w:rPr>
  </w:style>
  <w:style w:type="paragraph" w:styleId="Heading2">
    <w:name w:val="heading 2"/>
    <w:aliases w:val="SubPara (a),Heading 2 Char1 Char,SubPara (a) Char1 Char,Heading 2 Char3 Char Char,Heading 2 Char Char2 Char Char,Heading 2 Char1 Char Char1 Char Char,SubPara (a) Char Char Char1 Char Char,Heading 2 Char Char Char Char1 Char Char,Heading 2 C..."/>
    <w:basedOn w:val="Heading1"/>
    <w:next w:val="Normal"/>
    <w:autoRedefine/>
    <w:uiPriority w:val="9"/>
    <w:qFormat/>
    <w:rsid w:val="00983B82"/>
    <w:pPr>
      <w:keepLines/>
      <w:widowControl w:val="0"/>
      <w:tabs>
        <w:tab w:val="left" w:pos="720"/>
      </w:tabs>
      <w:autoSpaceDE w:val="0"/>
      <w:autoSpaceDN w:val="0"/>
      <w:adjustRightInd w:val="0"/>
      <w:spacing w:before="240"/>
      <w:ind w:left="720" w:right="29" w:hanging="720"/>
      <w:outlineLvl w:val="1"/>
    </w:pPr>
    <w:rPr>
      <w:rFonts w:eastAsia="MS Mincho"/>
      <w:b/>
      <w:snapToGrid w:val="0"/>
      <w:color w:val="auto"/>
      <w:sz w:val="24"/>
      <w:lang w:val="en-US" w:eastAsia="en-US"/>
    </w:rPr>
  </w:style>
  <w:style w:type="paragraph" w:styleId="Heading3">
    <w:name w:val="heading 3"/>
    <w:aliases w:val="Heading 3 Char1 Char,Heading 3 Char Char Char,Char Char Char Char,Char Char1 Char,Sec"/>
    <w:basedOn w:val="Heading2"/>
    <w:next w:val="Normal"/>
    <w:autoRedefine/>
    <w:uiPriority w:val="9"/>
    <w:qFormat/>
    <w:rsid w:val="0041354E"/>
    <w:pPr>
      <w:tabs>
        <w:tab w:val="clear" w:pos="720"/>
        <w:tab w:val="left" w:pos="0"/>
      </w:tabs>
      <w:spacing w:before="120"/>
      <w:ind w:left="851" w:hanging="851"/>
      <w:outlineLvl w:val="2"/>
    </w:pPr>
  </w:style>
  <w:style w:type="paragraph" w:styleId="Heading4">
    <w:name w:val="heading 4"/>
    <w:aliases w:val="MainPara"/>
    <w:basedOn w:val="Heading3"/>
    <w:next w:val="Normal"/>
    <w:autoRedefine/>
    <w:uiPriority w:val="9"/>
    <w:qFormat/>
    <w:rsid w:val="00BC4C27"/>
    <w:pPr>
      <w:keepLines w:val="0"/>
      <w:autoSpaceDE/>
      <w:autoSpaceDN/>
      <w:adjustRightInd/>
      <w:spacing w:before="0" w:after="60" w:line="276" w:lineRule="auto"/>
      <w:ind w:right="0"/>
      <w:outlineLvl w:val="3"/>
    </w:pPr>
    <w:rPr>
      <w:i/>
      <w:color w:val="000000" w:themeColor="text1"/>
      <w:shd w:val="clear" w:color="auto" w:fill="FFFFFF"/>
    </w:rPr>
  </w:style>
  <w:style w:type="paragraph" w:styleId="Heading5">
    <w:name w:val="heading 5"/>
    <w:aliases w:val="Subpara 2"/>
    <w:basedOn w:val="Heading1"/>
    <w:next w:val="Normal"/>
    <w:autoRedefine/>
    <w:uiPriority w:val="9"/>
    <w:qFormat/>
    <w:rsid w:val="00F91A3F"/>
    <w:pPr>
      <w:widowControl w:val="0"/>
      <w:ind w:left="851"/>
      <w:outlineLvl w:val="4"/>
    </w:pPr>
    <w:rPr>
      <w:i/>
    </w:rPr>
  </w:style>
  <w:style w:type="paragraph" w:styleId="Heading6">
    <w:name w:val="heading 6"/>
    <w:aliases w:val="Subpara 3"/>
    <w:basedOn w:val="Normal"/>
    <w:next w:val="Normal"/>
    <w:uiPriority w:val="9"/>
    <w:qFormat/>
    <w:pPr>
      <w:keepNext/>
      <w:tabs>
        <w:tab w:val="left" w:pos="230"/>
        <w:tab w:val="left" w:pos="1877"/>
      </w:tabs>
      <w:spacing w:before="48"/>
      <w:outlineLvl w:val="5"/>
    </w:pPr>
  </w:style>
  <w:style w:type="paragraph" w:styleId="Heading7">
    <w:name w:val="heading 7"/>
    <w:aliases w:val="Subpara 4"/>
    <w:basedOn w:val="Normal"/>
    <w:next w:val="Normal"/>
    <w:uiPriority w:val="9"/>
    <w:qFormat/>
    <w:pPr>
      <w:keepNext/>
      <w:numPr>
        <w:ilvl w:val="6"/>
        <w:numId w:val="6"/>
      </w:numPr>
      <w:spacing w:before="48"/>
      <w:jc w:val="center"/>
      <w:outlineLvl w:val="6"/>
    </w:pPr>
    <w:rPr>
      <w:b/>
    </w:rPr>
  </w:style>
  <w:style w:type="paragraph" w:styleId="Heading8">
    <w:name w:val="heading 8"/>
    <w:aliases w:val="Subpara 5"/>
    <w:basedOn w:val="Normal"/>
    <w:next w:val="Normal"/>
    <w:uiPriority w:val="9"/>
    <w:qFormat/>
    <w:pPr>
      <w:keepNext/>
      <w:numPr>
        <w:ilvl w:val="7"/>
        <w:numId w:val="6"/>
      </w:numPr>
      <w:tabs>
        <w:tab w:val="left" w:pos="2160"/>
        <w:tab w:val="left" w:pos="2880"/>
        <w:tab w:val="left" w:pos="3600"/>
        <w:tab w:val="left" w:pos="6480"/>
        <w:tab w:val="left" w:pos="7290"/>
        <w:tab w:val="left" w:pos="7920"/>
        <w:tab w:val="left" w:pos="8640"/>
      </w:tabs>
      <w:spacing w:line="240" w:lineRule="exact"/>
      <w:outlineLvl w:val="7"/>
    </w:pPr>
    <w:rPr>
      <w:b/>
    </w:rPr>
  </w:style>
  <w:style w:type="paragraph" w:styleId="Heading9">
    <w:name w:val="heading 9"/>
    <w:aliases w:val="Subpara 6"/>
    <w:basedOn w:val="Normal"/>
    <w:next w:val="Normal"/>
    <w:uiPriority w:val="9"/>
    <w:qFormat/>
    <w:pPr>
      <w:keepNext/>
      <w:numPr>
        <w:ilvl w:val="8"/>
        <w:numId w:val="6"/>
      </w:numPr>
      <w:spacing w:line="240" w:lineRule="atLeas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
    <w:name w:val="Char Char2"/>
    <w:locked/>
    <w:rPr>
      <w:b/>
      <w:noProof w:val="0"/>
      <w:color w:val="000000"/>
      <w:sz w:val="28"/>
      <w:lang w:val="en-GB" w:eastAsia="zh-CN" w:bidi="ar-SA"/>
    </w:rPr>
  </w:style>
  <w:style w:type="character" w:customStyle="1" w:styleId="SubParaaCharChar">
    <w:name w:val="SubPara (a) Char Char"/>
    <w:rPr>
      <w:b/>
      <w:noProof w:val="0"/>
      <w:snapToGrid w:val="0"/>
      <w:color w:val="000000"/>
      <w:sz w:val="24"/>
      <w:szCs w:val="24"/>
      <w:lang w:val="en-GB" w:eastAsia="zh-CN" w:bidi="ar-SA"/>
    </w:rPr>
  </w:style>
  <w:style w:type="paragraph" w:styleId="BodyText">
    <w:name w:val="Body Text"/>
    <w:aliases w:val=" Char Char,Char Char,Body Text Char Char Char Char Char,Body Text Char Char Char Char"/>
    <w:basedOn w:val="Normal"/>
    <w:uiPriority w:val="99"/>
    <w:pPr>
      <w:spacing w:line="240" w:lineRule="atLeast"/>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Header">
    <w:name w:val="header"/>
    <w:aliases w:val="EthylHeader"/>
    <w:basedOn w:val="Normal"/>
    <w:link w:val="HeaderChar1"/>
    <w:uiPriority w:val="99"/>
    <w:pPr>
      <w:tabs>
        <w:tab w:val="center" w:pos="4320"/>
        <w:tab w:val="right" w:pos="8640"/>
      </w:tabs>
    </w:pPr>
  </w:style>
  <w:style w:type="paragraph" w:customStyle="1" w:styleId="ChapterHeading">
    <w:name w:val="Chapter Heading"/>
    <w:basedOn w:val="Heading1"/>
    <w:pPr>
      <w:keepNext w:val="0"/>
      <w:keepLines/>
      <w:ind w:left="2520" w:hanging="1440"/>
    </w:pPr>
    <w:rPr>
      <w:sz w:val="32"/>
    </w:rPr>
  </w:style>
  <w:style w:type="paragraph" w:customStyle="1" w:styleId="Bullet">
    <w:name w:val="Bullet"/>
    <w:basedOn w:val="Normal"/>
    <w:pPr>
      <w:numPr>
        <w:numId w:val="1"/>
      </w:numPr>
      <w:tabs>
        <w:tab w:val="left" w:pos="1531"/>
      </w:tabs>
      <w:spacing w:before="60" w:after="60"/>
    </w:pPr>
  </w:style>
  <w:style w:type="character" w:styleId="FootnoteReference">
    <w:name w:val="footnote reference"/>
    <w:aliases w:val="Footnote text,16 Point,Superscript 6 Point,number,Footnote reference number,Footnote symbol,note TESI,-E Fußnotenzeichen,SUPERS,stylish,ftref,Footnote Reference Superscript,-E Fuﬂnotenzeichen,-E Fuûnotenzeichen,fr"/>
    <w:link w:val="CharCharCharCharCarChar"/>
    <w:uiPriority w:val="99"/>
    <w:qFormat/>
    <w:rPr>
      <w:vertAlign w:val="superscript"/>
    </w:rPr>
  </w:style>
  <w:style w:type="paragraph" w:styleId="ListBullet">
    <w:name w:val="List Bullet"/>
    <w:basedOn w:val="Normal"/>
    <w:pPr>
      <w:widowControl w:val="0"/>
      <w:ind w:left="425" w:hanging="425"/>
    </w:pPr>
    <w:rPr>
      <w:color w:val="auto"/>
    </w:rPr>
  </w:style>
  <w:style w:type="paragraph" w:styleId="ListNumber">
    <w:name w:val="List Number"/>
    <w:basedOn w:val="Normal"/>
    <w:pPr>
      <w:widowControl w:val="0"/>
      <w:spacing w:before="120"/>
      <w:ind w:left="1512" w:hanging="432"/>
    </w:pPr>
    <w:rPr>
      <w:color w:val="auto"/>
    </w:rPr>
  </w:style>
  <w:style w:type="paragraph" w:styleId="FootnoteText">
    <w:name w:val="footnote text"/>
    <w:aliases w:val="Geneva 9,Font: Geneva 9,Boston 10,f,Fußnotentextf,-E Fußnotentext,Fußnotentext Ursprung,-E Fußnotentext1,-E Fußnotentext2,-E Fußnotentext3,Fußnotentext Char1,Fußnotentext Char Char,Fußnotentext Char1 Char Char"/>
    <w:basedOn w:val="Normal"/>
    <w:link w:val="FootnoteTextChar1"/>
    <w:uiPriority w:val="99"/>
    <w:rsid w:val="00BC4C27"/>
    <w:pPr>
      <w:widowControl w:val="0"/>
    </w:pPr>
    <w:rPr>
      <w:color w:val="auto"/>
      <w:sz w:val="18"/>
      <w:szCs w:val="18"/>
    </w:rPr>
  </w:style>
  <w:style w:type="paragraph" w:styleId="BodyTextIndent">
    <w:name w:val="Body Text Indent"/>
    <w:basedOn w:val="Normal"/>
    <w:pPr>
      <w:spacing w:line="240" w:lineRule="atLeast"/>
      <w:ind w:left="2127" w:hanging="993"/>
    </w:pPr>
  </w:style>
  <w:style w:type="character" w:styleId="LineNumber">
    <w:name w:val="line number"/>
    <w:basedOn w:val="DefaultParagraphFont"/>
  </w:style>
  <w:style w:type="paragraph" w:customStyle="1" w:styleId="SummaryShading">
    <w:name w:val="Summary Shading"/>
    <w:basedOn w:val="Normal"/>
    <w:pPr>
      <w:shd w:val="pct5" w:color="808080" w:fill="auto"/>
      <w:spacing w:before="120" w:after="120"/>
      <w:jc w:val="both"/>
    </w:pPr>
    <w:rPr>
      <w:rFonts w:ascii="Garamond" w:hAnsi="Garamond"/>
      <w:color w:val="auto"/>
    </w:rPr>
  </w:style>
  <w:style w:type="paragraph" w:customStyle="1" w:styleId="MainText">
    <w:name w:val="Main Text"/>
    <w:pPr>
      <w:widowControl w:val="0"/>
      <w:spacing w:line="240" w:lineRule="exact"/>
      <w:ind w:left="567" w:hanging="567"/>
    </w:pPr>
    <w:rPr>
      <w:color w:val="000000"/>
      <w:lang w:val="en-US" w:eastAsia="zh-CN"/>
    </w:rPr>
  </w:style>
  <w:style w:type="paragraph" w:customStyle="1" w:styleId="Paragraph">
    <w:name w:val="Paragraph"/>
    <w:basedOn w:val="Normal"/>
    <w:pPr>
      <w:spacing w:before="120" w:after="120"/>
      <w:jc w:val="both"/>
    </w:pPr>
    <w:rPr>
      <w:rFonts w:ascii="Garamond" w:hAnsi="Garamond"/>
      <w:lang w:val="de-DE"/>
    </w:rPr>
  </w:style>
  <w:style w:type="paragraph" w:customStyle="1" w:styleId="DotPoints">
    <w:name w:val="Dot Points"/>
    <w:basedOn w:val="Normal"/>
    <w:pPr>
      <w:spacing w:after="60"/>
      <w:ind w:left="709" w:right="284" w:hanging="284"/>
      <w:jc w:val="both"/>
    </w:pPr>
    <w:rPr>
      <w:rFonts w:ascii="Garamond" w:hAnsi="Garamond"/>
      <w:color w:val="auto"/>
    </w:rPr>
  </w:style>
  <w:style w:type="paragraph" w:customStyle="1" w:styleId="Style1">
    <w:name w:val="Style1"/>
    <w:basedOn w:val="Normal"/>
    <w:link w:val="Style1Char"/>
    <w:qFormat/>
    <w:pPr>
      <w:spacing w:before="120" w:after="120" w:line="360" w:lineRule="auto"/>
    </w:pPr>
    <w:rPr>
      <w:rFonts w:ascii="Garamond" w:hAnsi="Garamond"/>
      <w:color w:val="auto"/>
      <w:lang w:val="en-AU"/>
    </w:rPr>
  </w:style>
  <w:style w:type="paragraph" w:customStyle="1" w:styleId="TableColumnHeading">
    <w:name w:val="Table Column Heading"/>
    <w:basedOn w:val="Normal"/>
    <w:pPr>
      <w:spacing w:before="80" w:after="120"/>
      <w:jc w:val="center"/>
    </w:pPr>
    <w:rPr>
      <w:rFonts w:ascii="Arial Narrow" w:hAnsi="Arial Narrow"/>
      <w:b/>
      <w:color w:val="auto"/>
      <w:sz w:val="20"/>
    </w:rPr>
  </w:style>
  <w:style w:type="paragraph" w:customStyle="1" w:styleId="TableDetails">
    <w:name w:val="Table Details"/>
    <w:basedOn w:val="Normal"/>
    <w:pPr>
      <w:spacing w:before="60" w:after="60"/>
      <w:ind w:left="113" w:right="113"/>
      <w:jc w:val="both"/>
    </w:pPr>
    <w:rPr>
      <w:rFonts w:ascii="Arial Narrow" w:hAnsi="Arial Narrow"/>
      <w:color w:val="auto"/>
      <w:sz w:val="20"/>
    </w:rPr>
  </w:style>
  <w:style w:type="paragraph" w:customStyle="1" w:styleId="TableHeading">
    <w:name w:val="Table Heading"/>
    <w:basedOn w:val="Normal"/>
    <w:pPr>
      <w:spacing w:before="120" w:after="120"/>
      <w:ind w:left="1134" w:hanging="1134"/>
      <w:jc w:val="both"/>
    </w:pPr>
    <w:rPr>
      <w:rFonts w:ascii="Arial" w:hAnsi="Arial"/>
      <w:b/>
      <w:color w:val="auto"/>
      <w:sz w:val="20"/>
    </w:rPr>
  </w:style>
  <w:style w:type="paragraph" w:customStyle="1" w:styleId="References">
    <w:name w:val="References"/>
    <w:basedOn w:val="Normal"/>
    <w:pPr>
      <w:keepLines/>
      <w:spacing w:before="60" w:after="60"/>
      <w:ind w:left="1134" w:hanging="1134"/>
      <w:jc w:val="both"/>
    </w:pPr>
    <w:rPr>
      <w:rFonts w:ascii="Garamond" w:hAnsi="Garamond"/>
      <w:color w:val="auto"/>
      <w:sz w:val="20"/>
    </w:rPr>
  </w:style>
  <w:style w:type="character" w:styleId="Hyperlink">
    <w:name w:val="Hyperlink"/>
    <w:uiPriority w:val="99"/>
    <w:rPr>
      <w:color w:val="0000FF"/>
      <w:u w:val="single"/>
    </w:rPr>
  </w:style>
  <w:style w:type="paragraph" w:styleId="Caption">
    <w:name w:val="caption"/>
    <w:basedOn w:val="Normal"/>
    <w:next w:val="Normal"/>
    <w:uiPriority w:val="35"/>
    <w:qFormat/>
    <w:pPr>
      <w:spacing w:line="240" w:lineRule="atLeast"/>
      <w:ind w:left="1077"/>
    </w:pPr>
    <w:rPr>
      <w:i/>
    </w:rPr>
  </w:style>
  <w:style w:type="character" w:styleId="CommentReference">
    <w:name w:val="annotation reference"/>
    <w:uiPriority w:val="99"/>
    <w:semiHidden/>
    <w:rPr>
      <w:sz w:val="16"/>
    </w:rPr>
  </w:style>
  <w:style w:type="paragraph" w:styleId="CommentText">
    <w:name w:val="annotation text"/>
    <w:basedOn w:val="Normal"/>
    <w:link w:val="CommentTextChar2"/>
    <w:uiPriority w:val="99"/>
    <w:semiHidden/>
    <w:pPr>
      <w:widowControl w:val="0"/>
    </w:pPr>
    <w:rPr>
      <w:rFonts w:ascii="Arial" w:hAnsi="Arial"/>
      <w:color w:val="auto"/>
      <w:sz w:val="20"/>
    </w:rPr>
  </w:style>
  <w:style w:type="character" w:customStyle="1" w:styleId="CharChar1">
    <w:name w:val="Char Char1"/>
    <w:rPr>
      <w:rFonts w:ascii="Arial" w:hAnsi="Arial"/>
      <w:noProof w:val="0"/>
      <w:lang w:val="en-GB" w:eastAsia="zh-CN" w:bidi="ar-SA"/>
    </w:rPr>
  </w:style>
  <w:style w:type="paragraph" w:styleId="TOC1">
    <w:name w:val="toc 1"/>
    <w:basedOn w:val="Normal"/>
    <w:next w:val="Normal"/>
    <w:autoRedefine/>
    <w:uiPriority w:val="39"/>
    <w:qFormat/>
    <w:rsid w:val="00285232"/>
    <w:pPr>
      <w:tabs>
        <w:tab w:val="left" w:pos="1260"/>
        <w:tab w:val="right" w:leader="dot" w:pos="8680"/>
      </w:tabs>
      <w:spacing w:before="120" w:after="0"/>
      <w:ind w:left="1276" w:hanging="1276"/>
    </w:pPr>
    <w:rPr>
      <w:rFonts w:asciiTheme="minorHAnsi" w:hAnsiTheme="minorHAnsi"/>
      <w:b/>
      <w:caps/>
      <w:szCs w:val="22"/>
    </w:rPr>
  </w:style>
  <w:style w:type="paragraph" w:styleId="TOC2">
    <w:name w:val="toc 2"/>
    <w:basedOn w:val="Normal"/>
    <w:next w:val="Normal"/>
    <w:autoRedefine/>
    <w:uiPriority w:val="39"/>
    <w:qFormat/>
    <w:rsid w:val="00E64798"/>
    <w:pPr>
      <w:tabs>
        <w:tab w:val="left" w:pos="1268"/>
        <w:tab w:val="right" w:leader="dot" w:pos="8280"/>
      </w:tabs>
      <w:spacing w:after="0"/>
      <w:ind w:left="1260" w:hanging="1040"/>
    </w:pPr>
    <w:rPr>
      <w:rFonts w:asciiTheme="minorHAnsi" w:hAnsiTheme="minorHAnsi"/>
      <w:b/>
      <w:smallCaps/>
      <w:noProof/>
      <w:szCs w:val="22"/>
    </w:rPr>
  </w:style>
  <w:style w:type="paragraph" w:styleId="TOC3">
    <w:name w:val="toc 3"/>
    <w:basedOn w:val="Normal"/>
    <w:next w:val="Normal"/>
    <w:autoRedefine/>
    <w:uiPriority w:val="39"/>
    <w:qFormat/>
    <w:rsid w:val="00260D44"/>
    <w:pPr>
      <w:tabs>
        <w:tab w:val="left" w:pos="1260"/>
        <w:tab w:val="right" w:leader="dot" w:pos="8622"/>
      </w:tabs>
      <w:spacing w:after="0"/>
      <w:ind w:left="1260" w:right="-310" w:hanging="820"/>
    </w:pPr>
    <w:rPr>
      <w:rFonts w:asciiTheme="minorHAnsi" w:hAnsiTheme="minorHAnsi"/>
      <w:i/>
      <w:szCs w:val="22"/>
    </w:rPr>
  </w:style>
  <w:style w:type="paragraph" w:styleId="TOC4">
    <w:name w:val="toc 4"/>
    <w:basedOn w:val="Normal"/>
    <w:next w:val="Normal"/>
    <w:autoRedefine/>
    <w:uiPriority w:val="39"/>
    <w:rsid w:val="002B4224"/>
    <w:pPr>
      <w:tabs>
        <w:tab w:val="left" w:pos="1540"/>
        <w:tab w:val="right" w:leader="dot" w:pos="8297"/>
      </w:tabs>
      <w:spacing w:after="0"/>
      <w:ind w:left="851"/>
    </w:pPr>
    <w:rPr>
      <w:rFonts w:asciiTheme="minorHAnsi" w:hAnsiTheme="minorHAnsi"/>
      <w:sz w:val="18"/>
      <w:szCs w:val="18"/>
    </w:rPr>
  </w:style>
  <w:style w:type="paragraph" w:styleId="TOC5">
    <w:name w:val="toc 5"/>
    <w:basedOn w:val="Normal"/>
    <w:next w:val="Normal"/>
    <w:autoRedefine/>
    <w:uiPriority w:val="39"/>
    <w:pPr>
      <w:spacing w:after="0"/>
      <w:ind w:left="880"/>
    </w:pPr>
    <w:rPr>
      <w:rFonts w:asciiTheme="minorHAnsi" w:hAnsiTheme="minorHAnsi"/>
      <w:sz w:val="18"/>
      <w:szCs w:val="18"/>
    </w:rPr>
  </w:style>
  <w:style w:type="paragraph" w:styleId="TOC6">
    <w:name w:val="toc 6"/>
    <w:basedOn w:val="Normal"/>
    <w:next w:val="Normal"/>
    <w:autoRedefine/>
    <w:uiPriority w:val="39"/>
    <w:pPr>
      <w:spacing w:after="0"/>
      <w:ind w:left="1100"/>
    </w:pPr>
    <w:rPr>
      <w:rFonts w:asciiTheme="minorHAnsi" w:hAnsiTheme="minorHAnsi"/>
      <w:sz w:val="18"/>
      <w:szCs w:val="18"/>
    </w:rPr>
  </w:style>
  <w:style w:type="paragraph" w:styleId="TOC7">
    <w:name w:val="toc 7"/>
    <w:basedOn w:val="Normal"/>
    <w:next w:val="Normal"/>
    <w:autoRedefine/>
    <w:uiPriority w:val="39"/>
    <w:pPr>
      <w:spacing w:after="0"/>
      <w:ind w:left="1320"/>
    </w:pPr>
    <w:rPr>
      <w:rFonts w:asciiTheme="minorHAnsi" w:hAnsiTheme="minorHAnsi"/>
      <w:sz w:val="18"/>
      <w:szCs w:val="18"/>
    </w:rPr>
  </w:style>
  <w:style w:type="paragraph" w:styleId="TOC8">
    <w:name w:val="toc 8"/>
    <w:basedOn w:val="Normal"/>
    <w:next w:val="Normal"/>
    <w:autoRedefine/>
    <w:uiPriority w:val="39"/>
    <w:pPr>
      <w:spacing w:after="0"/>
      <w:ind w:left="1540"/>
    </w:pPr>
    <w:rPr>
      <w:rFonts w:asciiTheme="minorHAnsi" w:hAnsiTheme="minorHAnsi"/>
      <w:sz w:val="18"/>
      <w:szCs w:val="18"/>
    </w:rPr>
  </w:style>
  <w:style w:type="paragraph" w:styleId="TOC9">
    <w:name w:val="toc 9"/>
    <w:basedOn w:val="Normal"/>
    <w:next w:val="Normal"/>
    <w:autoRedefine/>
    <w:uiPriority w:val="39"/>
    <w:pPr>
      <w:spacing w:after="0"/>
      <w:ind w:left="1760"/>
    </w:pPr>
    <w:rPr>
      <w:rFonts w:asciiTheme="minorHAnsi" w:hAnsiTheme="minorHAnsi"/>
      <w:sz w:val="18"/>
      <w:szCs w:val="18"/>
    </w:rPr>
  </w:style>
  <w:style w:type="paragraph" w:customStyle="1" w:styleId="Table-Labels">
    <w:name w:val="Table-Labels"/>
    <w:basedOn w:val="Normal"/>
    <w:next w:val="Normal"/>
    <w:pPr>
      <w:keepNext/>
      <w:keepLines/>
      <w:spacing w:after="60"/>
      <w:ind w:left="2160" w:hanging="1080"/>
    </w:pPr>
    <w:rPr>
      <w:i/>
    </w:rPr>
  </w:style>
  <w:style w:type="paragraph" w:styleId="DocumentMap">
    <w:name w:val="Document Map"/>
    <w:basedOn w:val="Normal"/>
    <w:uiPriority w:val="99"/>
    <w:semiHidden/>
    <w:pPr>
      <w:shd w:val="clear" w:color="auto" w:fill="000080"/>
    </w:pPr>
    <w:rPr>
      <w:rFonts w:ascii="Tahoma" w:hAnsi="Tahoma"/>
    </w:rPr>
  </w:style>
  <w:style w:type="paragraph" w:customStyle="1" w:styleId="Table">
    <w:name w:val="Table"/>
    <w:basedOn w:val="Normal"/>
    <w:pPr>
      <w:keepLines/>
      <w:spacing w:after="0"/>
      <w:ind w:left="72" w:right="72"/>
    </w:pPr>
    <w:rPr>
      <w:snapToGrid w:val="0"/>
      <w:sz w:val="20"/>
    </w:rPr>
  </w:style>
  <w:style w:type="paragraph" w:customStyle="1" w:styleId="Tabel">
    <w:name w:val="Tabel"/>
    <w:basedOn w:val="Normal"/>
    <w:pPr>
      <w:spacing w:after="120"/>
    </w:pPr>
  </w:style>
  <w:style w:type="paragraph" w:styleId="BlockText">
    <w:name w:val="Block Text"/>
    <w:basedOn w:val="Normal"/>
    <w:pPr>
      <w:spacing w:before="120" w:after="120"/>
      <w:ind w:left="450" w:right="566"/>
      <w:jc w:val="both"/>
    </w:pPr>
    <w:rPr>
      <w:rFonts w:ascii="Garamond" w:hAnsi="Garamond"/>
      <w:i/>
      <w:color w:val="auto"/>
    </w:rPr>
  </w:style>
  <w:style w:type="paragraph" w:customStyle="1" w:styleId="Document">
    <w:name w:val="Document"/>
    <w:basedOn w:val="Normal"/>
    <w:pPr>
      <w:spacing w:after="0"/>
      <w:jc w:val="center"/>
    </w:pPr>
    <w:rPr>
      <w:rFonts w:ascii="CG Times" w:hAnsi="CG Times"/>
    </w:rPr>
  </w:style>
  <w:style w:type="paragraph" w:customStyle="1" w:styleId="Bibliogrphy">
    <w:name w:val="Bibliogrphy"/>
    <w:basedOn w:val="Normal"/>
    <w:pPr>
      <w:spacing w:after="0"/>
      <w:ind w:left="720" w:firstLine="720"/>
    </w:pPr>
    <w:rPr>
      <w:rFonts w:ascii="CG Times" w:hAnsi="CG Times"/>
    </w:rPr>
  </w:style>
  <w:style w:type="paragraph" w:customStyle="1" w:styleId="TechInit">
    <w:name w:val="Tech Init"/>
    <w:basedOn w:val="Normal"/>
    <w:pPr>
      <w:spacing w:after="0"/>
    </w:pPr>
    <w:rPr>
      <w:rFonts w:ascii="CG Times" w:hAnsi="CG Times"/>
    </w:rPr>
  </w:style>
  <w:style w:type="paragraph" w:customStyle="1" w:styleId="Technical">
    <w:name w:val="Technical"/>
    <w:basedOn w:val="Normal"/>
    <w:pPr>
      <w:spacing w:after="0"/>
    </w:pPr>
    <w:rPr>
      <w:rFonts w:ascii="CG Times" w:hAnsi="CG Times"/>
    </w:rPr>
  </w:style>
  <w:style w:type="paragraph" w:customStyle="1" w:styleId="Pleading">
    <w:name w:val="Pleading"/>
    <w:basedOn w:val="Normal"/>
    <w:pPr>
      <w:tabs>
        <w:tab w:val="right" w:pos="288"/>
      </w:tabs>
      <w:spacing w:after="0"/>
    </w:pPr>
    <w:rPr>
      <w:rFonts w:ascii="CG Times" w:hAnsi="CG Times"/>
    </w:rPr>
  </w:style>
  <w:style w:type="paragraph" w:customStyle="1" w:styleId="BulletList">
    <w:name w:val="Bullet List"/>
    <w:basedOn w:val="Normal"/>
    <w:pPr>
      <w:spacing w:after="0"/>
      <w:ind w:left="720"/>
    </w:pPr>
    <w:rPr>
      <w:rFonts w:ascii="Roman" w:hAnsi="Roman"/>
      <w:color w:val="auto"/>
      <w:lang w:val="it-IT"/>
    </w:rPr>
  </w:style>
  <w:style w:type="character" w:styleId="FollowedHyperlink">
    <w:name w:val="FollowedHyperlink"/>
    <w:uiPriority w:val="99"/>
    <w:rPr>
      <w:color w:val="800080"/>
      <w:u w:val="single"/>
    </w:rPr>
  </w:style>
  <w:style w:type="paragraph" w:styleId="Title">
    <w:name w:val="Title"/>
    <w:basedOn w:val="Normal"/>
    <w:link w:val="TitleChar1"/>
    <w:uiPriority w:val="10"/>
    <w:qFormat/>
    <w:pPr>
      <w:spacing w:line="240" w:lineRule="atLeast"/>
      <w:jc w:val="center"/>
    </w:pPr>
    <w:rPr>
      <w:b/>
      <w:sz w:val="32"/>
    </w:rPr>
  </w:style>
  <w:style w:type="paragraph" w:customStyle="1" w:styleId="Outline">
    <w:name w:val="Outline"/>
    <w:basedOn w:val="Normal"/>
    <w:pPr>
      <w:spacing w:before="240" w:after="0"/>
    </w:pPr>
    <w:rPr>
      <w:color w:val="auto"/>
      <w:kern w:val="28"/>
    </w:rPr>
  </w:style>
  <w:style w:type="paragraph" w:customStyle="1" w:styleId="Body">
    <w:name w:val="Body"/>
    <w:pPr>
      <w:widowControl w:val="0"/>
    </w:pPr>
    <w:rPr>
      <w:rFonts w:ascii="Times New Roman" w:hAnsi="Times New Roman"/>
      <w:sz w:val="24"/>
      <w:lang w:val="en-GB" w:eastAsia="zh-CN"/>
    </w:rPr>
  </w:style>
  <w:style w:type="character" w:styleId="EndnoteReference">
    <w:name w:val="endnote reference"/>
    <w:semiHidden/>
    <w:rPr>
      <w:vertAlign w:val="superscript"/>
    </w:rPr>
  </w:style>
  <w:style w:type="paragraph" w:customStyle="1" w:styleId="DefaultText">
    <w:name w:val="Default Text"/>
    <w:basedOn w:val="Normal"/>
    <w:pPr>
      <w:autoSpaceDE w:val="0"/>
      <w:autoSpaceDN w:val="0"/>
      <w:adjustRightInd w:val="0"/>
      <w:spacing w:after="0"/>
    </w:pPr>
    <w:rPr>
      <w:color w:val="auto"/>
    </w:rPr>
  </w:style>
  <w:style w:type="paragraph" w:customStyle="1" w:styleId="MSNormal">
    <w:name w:val="MSNormal"/>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 Char,Char"/>
    <w:basedOn w:val="Normal"/>
    <w:uiPriority w:val="99"/>
    <w:pPr>
      <w:spacing w:after="0"/>
    </w:pPr>
    <w:rPr>
      <w:rFonts w:ascii="Courier" w:eastAsia="Times" w:hAnsi="Courier"/>
      <w:color w:val="auto"/>
    </w:rPr>
  </w:style>
  <w:style w:type="paragraph" w:customStyle="1" w:styleId="Reference">
    <w:name w:val="Reference"/>
    <w:basedOn w:val="Normal"/>
    <w:pPr>
      <w:spacing w:after="60"/>
      <w:ind w:left="284"/>
    </w:pPr>
    <w:rPr>
      <w:color w:val="auto"/>
    </w:rPr>
  </w:style>
  <w:style w:type="paragraph" w:customStyle="1" w:styleId="Figures">
    <w:name w:val="Figures"/>
    <w:basedOn w:val="Normal"/>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pPr>
      <w:widowControl w:val="0"/>
      <w:spacing w:after="0"/>
      <w:ind w:firstLine="720"/>
      <w:jc w:val="both"/>
    </w:pPr>
    <w:rPr>
      <w:snapToGrid w:val="0"/>
      <w:color w:val="auto"/>
    </w:rPr>
  </w:style>
  <w:style w:type="paragraph" w:styleId="BodyTextIndent3">
    <w:name w:val="Body Text Indent 3"/>
    <w:basedOn w:val="Normal"/>
    <w:pPr>
      <w:widowControl w:val="0"/>
      <w:spacing w:after="0"/>
      <w:ind w:firstLine="720"/>
      <w:jc w:val="both"/>
    </w:pPr>
    <w:rPr>
      <w:snapToGrid w:val="0"/>
      <w:color w:val="FF0000"/>
    </w:rPr>
  </w:style>
  <w:style w:type="paragraph" w:styleId="BodyText2">
    <w:name w:val="Body Text 2"/>
    <w:basedOn w:val="Normal"/>
    <w:pPr>
      <w:spacing w:after="0"/>
      <w:jc w:val="center"/>
    </w:pPr>
    <w:rPr>
      <w:color w:val="auto"/>
      <w:sz w:val="48"/>
    </w:rPr>
  </w:style>
  <w:style w:type="paragraph" w:styleId="BodyText3">
    <w:name w:val="Body Text 3"/>
    <w:basedOn w:val="Normal"/>
    <w:pPr>
      <w:spacing w:after="0"/>
      <w:jc w:val="center"/>
    </w:pPr>
    <w:rPr>
      <w:color w:val="auto"/>
      <w:sz w:val="36"/>
    </w:rPr>
  </w:style>
  <w:style w:type="paragraph" w:customStyle="1" w:styleId="DefinitionL">
    <w:name w:val="Definition 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napToGrid w:val="0"/>
      <w:sz w:val="24"/>
      <w:lang w:val="en-US" w:eastAsia="zh-CN"/>
    </w:rPr>
  </w:style>
  <w:style w:type="paragraph" w:customStyle="1" w:styleId="Tableheading0">
    <w:name w:val="Table heading"/>
    <w:basedOn w:val="Normal"/>
    <w:pPr>
      <w:keepNext/>
      <w:spacing w:before="120"/>
      <w:ind w:left="1984" w:hanging="907"/>
    </w:pPr>
    <w:rPr>
      <w:i/>
      <w:color w:val="auto"/>
    </w:rPr>
  </w:style>
  <w:style w:type="paragraph" w:customStyle="1" w:styleId="Figure">
    <w:name w:val="Figure"/>
    <w:basedOn w:val="Normal"/>
    <w:pPr>
      <w:widowControl w:val="0"/>
      <w:spacing w:line="-240" w:lineRule="auto"/>
      <w:ind w:left="1077"/>
    </w:pPr>
    <w:rPr>
      <w:rFonts w:ascii="Arial" w:hAnsi="Arial"/>
      <w:b/>
      <w:color w:val="auto"/>
    </w:rPr>
  </w:style>
  <w:style w:type="paragraph" w:styleId="Index1">
    <w:name w:val="index 1"/>
    <w:basedOn w:val="Normal"/>
    <w:next w:val="Normal"/>
    <w:autoRedefine/>
    <w:semiHidden/>
    <w:pPr>
      <w:ind w:left="240" w:hanging="240"/>
    </w:pPr>
    <w:rPr>
      <w:color w:val="auto"/>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qFormat/>
    <w:rPr>
      <w:b/>
    </w:rPr>
  </w:style>
  <w:style w:type="paragraph" w:styleId="BalloonText">
    <w:name w:val="Balloon Text"/>
    <w:basedOn w:val="Normal"/>
    <w:uiPriority w:val="99"/>
    <w:rPr>
      <w:rFonts w:ascii="Tahoma" w:hAnsi="Tahoma"/>
      <w:sz w:val="16"/>
    </w:rPr>
  </w:style>
  <w:style w:type="paragraph" w:styleId="NormalWeb">
    <w:name w:val="Normal (Web)"/>
    <w:basedOn w:val="Normal"/>
    <w:uiPriority w:val="99"/>
    <w:pPr>
      <w:spacing w:before="100" w:after="100"/>
    </w:pPr>
    <w:rPr>
      <w:color w:val="auto"/>
      <w:lang w:val="en-US"/>
    </w:rPr>
  </w:style>
  <w:style w:type="paragraph" w:customStyle="1" w:styleId="Thesisheading1">
    <w:name w:val="Thesisheading1"/>
    <w:basedOn w:val="BodyTextIndent2"/>
    <w:pPr>
      <w:widowControl/>
      <w:numPr>
        <w:numId w:val="2"/>
      </w:numPr>
      <w:spacing w:line="360" w:lineRule="auto"/>
    </w:pPr>
    <w:rPr>
      <w:rFonts w:ascii="Arial" w:hAnsi="Arial"/>
      <w:b/>
      <w:caps/>
      <w:snapToGrid/>
      <w:sz w:val="32"/>
    </w:rPr>
  </w:style>
  <w:style w:type="paragraph" w:customStyle="1" w:styleId="Thesisheading4">
    <w:name w:val="Thesisheading4"/>
    <w:basedOn w:val="Heading3"/>
    <w:pPr>
      <w:numPr>
        <w:ilvl w:val="2"/>
        <w:numId w:val="2"/>
      </w:numPr>
      <w:tabs>
        <w:tab w:val="clear" w:pos="720"/>
        <w:tab w:val="num" w:pos="2880"/>
      </w:tabs>
      <w:spacing w:line="360" w:lineRule="auto"/>
      <w:ind w:left="2880" w:hanging="360"/>
    </w:pPr>
    <w:rPr>
      <w:rFonts w:ascii="Arial" w:hAnsi="Arial"/>
      <w:b w:val="0"/>
      <w:snapToGrid/>
    </w:rPr>
  </w:style>
  <w:style w:type="paragraph" w:customStyle="1" w:styleId="font5">
    <w:name w:val="font5"/>
    <w:basedOn w:val="Normal"/>
    <w:pPr>
      <w:spacing w:before="100" w:after="100"/>
    </w:pPr>
    <w:rPr>
      <w:rFonts w:ascii="Arial" w:eastAsia="Arial Unicode MS" w:hAnsi="Arial"/>
      <w:color w:val="00FF00"/>
      <w:sz w:val="20"/>
      <w:lang w:val="en-AU"/>
    </w:rPr>
  </w:style>
  <w:style w:type="paragraph" w:customStyle="1" w:styleId="xl34">
    <w:name w:val="xl34"/>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pPr>
      <w:spacing w:before="100" w:after="100"/>
    </w:pPr>
    <w:rPr>
      <w:rFonts w:ascii="Arial" w:eastAsia="Arial Unicode MS" w:hAnsi="Arial"/>
      <w:color w:val="auto"/>
      <w:lang w:val="en-AU"/>
    </w:rPr>
  </w:style>
  <w:style w:type="paragraph" w:customStyle="1" w:styleId="xl42">
    <w:name w:val="xl42"/>
    <w:basedOn w:val="Normal"/>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pPr>
      <w:spacing w:before="100" w:after="100"/>
      <w:jc w:val="center"/>
    </w:pPr>
    <w:rPr>
      <w:rFonts w:ascii="Arial" w:eastAsia="Arial Unicode MS" w:hAnsi="Arial"/>
      <w:color w:val="auto"/>
      <w:lang w:val="en-AU"/>
    </w:rPr>
  </w:style>
  <w:style w:type="paragraph" w:customStyle="1" w:styleId="xl44">
    <w:name w:val="xl44"/>
    <w:basedOn w:val="Normal"/>
    <w:pPr>
      <w:spacing w:before="100" w:after="100"/>
      <w:textAlignment w:val="top"/>
    </w:pPr>
    <w:rPr>
      <w:rFonts w:ascii="Arial" w:eastAsia="Arial Unicode MS" w:hAnsi="Arial"/>
      <w:color w:val="auto"/>
      <w:lang w:val="en-AU"/>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pPr>
      <w:autoSpaceDE w:val="0"/>
      <w:autoSpaceDN w:val="0"/>
      <w:adjustRightInd w:val="0"/>
    </w:pPr>
    <w:rPr>
      <w:rFonts w:ascii="Times New Roman" w:hAnsi="Times New Roman"/>
      <w:color w:val="000000"/>
      <w:sz w:val="24"/>
      <w:lang w:val="en-US"/>
    </w:rPr>
  </w:style>
  <w:style w:type="paragraph" w:styleId="ListNumber5">
    <w:name w:val="List Number 5"/>
    <w:basedOn w:val="Normal"/>
    <w:pPr>
      <w:numPr>
        <w:numId w:val="3"/>
      </w:numPr>
      <w:tabs>
        <w:tab w:val="clear" w:pos="1492"/>
        <w:tab w:val="num" w:pos="1800"/>
      </w:tabs>
      <w:spacing w:after="0"/>
      <w:ind w:left="1800"/>
    </w:pPr>
    <w:rPr>
      <w:color w:val="auto"/>
      <w:lang w:val="en-US"/>
    </w:rPr>
  </w:style>
  <w:style w:type="paragraph" w:customStyle="1" w:styleId="Sectionheading">
    <w:name w:val="Section heading"/>
    <w:basedOn w:val="Heading2"/>
    <w:pPr>
      <w:spacing w:before="120"/>
      <w:ind w:left="1080" w:hanging="1080"/>
    </w:pPr>
    <w:rPr>
      <w:snapToGrid/>
    </w:rPr>
  </w:style>
  <w:style w:type="paragraph" w:customStyle="1" w:styleId="Sectionsub-heading">
    <w:name w:val="Section sub-heading"/>
    <w:basedOn w:val="Heading3"/>
    <w:pPr>
      <w:spacing w:before="60"/>
      <w:ind w:left="2126" w:hanging="1049"/>
    </w:pPr>
    <w:rPr>
      <w:snapToGrid/>
    </w:rPr>
  </w:style>
  <w:style w:type="paragraph" w:customStyle="1" w:styleId="MainTextIndent">
    <w:name w:val="Main Text Indent"/>
    <w:basedOn w:val="MainText"/>
    <w:pPr>
      <w:tabs>
        <w:tab w:val="left" w:pos="567"/>
      </w:tabs>
      <w:ind w:left="993" w:hanging="993"/>
    </w:pPr>
  </w:style>
  <w:style w:type="paragraph" w:customStyle="1" w:styleId="MainTextDoubleIndent">
    <w:name w:val="Main Text Double Indent"/>
    <w:basedOn w:val="MainTextIndent"/>
    <w:pPr>
      <w:tabs>
        <w:tab w:val="left" w:pos="993"/>
      </w:tabs>
      <w:ind w:left="1418" w:hanging="1418"/>
    </w:pPr>
  </w:style>
  <w:style w:type="paragraph" w:customStyle="1" w:styleId="HeadingSub">
    <w:name w:val="Heading: Sub"/>
    <w:basedOn w:val="MainText"/>
    <w:rPr>
      <w:rFonts w:ascii="Futura" w:hAnsi="Futura"/>
    </w:rPr>
  </w:style>
  <w:style w:type="paragraph" w:customStyle="1" w:styleId="MainTextNon-indent">
    <w:name w:val="Main Text Non-indent"/>
    <w:basedOn w:val="MainText"/>
    <w:pPr>
      <w:ind w:left="0" w:firstLine="0"/>
    </w:pPr>
  </w:style>
  <w:style w:type="paragraph" w:customStyle="1" w:styleId="HeadingSection">
    <w:name w:val="Heading: Section"/>
    <w:basedOn w:val="Normal"/>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pPr>
      <w:jc w:val="center"/>
    </w:pPr>
    <w:rPr>
      <w:b/>
      <w:color w:val="auto"/>
    </w:rPr>
  </w:style>
  <w:style w:type="paragraph" w:customStyle="1" w:styleId="Closeup">
    <w:name w:val="Closeup"/>
    <w:basedOn w:val="Normal"/>
    <w:pPr>
      <w:spacing w:after="0"/>
    </w:pPr>
    <w:rPr>
      <w:color w:val="auto"/>
      <w:lang w:eastAsia="ja-JP"/>
    </w:rPr>
  </w:style>
  <w:style w:type="paragraph" w:customStyle="1" w:styleId="ScreenFormat-1">
    <w:name w:val="ScreenFormat-1"/>
    <w:basedOn w:val="Normal"/>
    <w:pPr>
      <w:spacing w:before="120" w:after="120"/>
    </w:pPr>
    <w:rPr>
      <w:color w:val="auto"/>
      <w:sz w:val="32"/>
      <w:lang w:eastAsia="ja-JP"/>
    </w:rPr>
  </w:style>
  <w:style w:type="paragraph" w:customStyle="1" w:styleId="TableText">
    <w:name w:val="TableText"/>
    <w:basedOn w:val="BodyText"/>
    <w:pPr>
      <w:keepLines/>
      <w:spacing w:after="0" w:line="240" w:lineRule="auto"/>
    </w:pPr>
    <w:rPr>
      <w:rFonts w:eastAsia="Times"/>
      <w:color w:val="auto"/>
      <w:sz w:val="20"/>
      <w:lang w:val="en-US" w:eastAsia="ja-JP"/>
    </w:rPr>
  </w:style>
  <w:style w:type="paragraph" w:customStyle="1" w:styleId="Equation">
    <w:name w:val="Equation"/>
    <w:basedOn w:val="BodyText"/>
    <w:pPr>
      <w:keepLines/>
      <w:tabs>
        <w:tab w:val="right" w:pos="9639"/>
      </w:tabs>
      <w:spacing w:after="0" w:line="240" w:lineRule="auto"/>
      <w:ind w:left="567"/>
    </w:pPr>
    <w:rPr>
      <w:rFonts w:eastAsia="Times"/>
      <w:color w:val="auto"/>
      <w:lang w:val="en-US" w:eastAsia="ja-JP"/>
    </w:rPr>
  </w:style>
  <w:style w:type="paragraph" w:customStyle="1" w:styleId="Note">
    <w:name w:val="Note"/>
    <w:basedOn w:val="BodyText"/>
    <w:pPr>
      <w:keepLines/>
      <w:pBdr>
        <w:top w:val="single" w:sz="2" w:space="1" w:color="808080"/>
        <w:left w:val="single" w:sz="2" w:space="4" w:color="808080"/>
        <w:bottom w:val="single" w:sz="2" w:space="1" w:color="808080"/>
        <w:right w:val="single" w:sz="2" w:space="4" w:color="808080"/>
      </w:pBdr>
      <w:spacing w:after="0" w:line="240" w:lineRule="auto"/>
    </w:pPr>
    <w:rPr>
      <w:rFonts w:eastAsia="Times"/>
      <w:i/>
      <w:color w:val="auto"/>
      <w:lang w:val="en-US" w:eastAsia="ja-JP"/>
    </w:rPr>
  </w:style>
  <w:style w:type="paragraph" w:customStyle="1" w:styleId="AR4Listbullet1">
    <w:name w:val="AR4 List bullet 1"/>
    <w:basedOn w:val="Normal"/>
    <w:pPr>
      <w:numPr>
        <w:numId w:val="4"/>
      </w:numPr>
      <w:spacing w:after="0"/>
    </w:pPr>
    <w:rPr>
      <w:rFonts w:ascii="Times" w:eastAsia="Times" w:hAnsi="Times"/>
      <w:color w:val="auto"/>
      <w:lang w:val="en-US" w:eastAsia="ja-JP"/>
    </w:rPr>
  </w:style>
  <w:style w:type="paragraph" w:customStyle="1" w:styleId="OurCaption">
    <w:name w:val="OurCaption"/>
    <w:basedOn w:val="Normal"/>
    <w:pPr>
      <w:spacing w:after="0"/>
      <w:ind w:right="12"/>
    </w:pPr>
    <w:rPr>
      <w:rFonts w:eastAsia="Times"/>
      <w:color w:val="auto"/>
      <w:sz w:val="20"/>
      <w:lang w:eastAsia="ja-JP"/>
    </w:rPr>
  </w:style>
  <w:style w:type="paragraph" w:customStyle="1" w:styleId="Paralevel1">
    <w:name w:val="Para level1"/>
    <w:basedOn w:val="Normal"/>
    <w:autoRedefine/>
    <w:pPr>
      <w:tabs>
        <w:tab w:val="left" w:pos="2070"/>
      </w:tabs>
      <w:suppressAutoHyphens/>
    </w:pPr>
    <w:rPr>
      <w:color w:val="auto"/>
      <w:sz w:val="20"/>
    </w:rPr>
  </w:style>
  <w:style w:type="paragraph" w:customStyle="1" w:styleId="CH4">
    <w:name w:val="CH4"/>
    <w:basedOn w:val="Normal"/>
    <w:autoRedefine/>
    <w:pPr>
      <w:keepNext/>
      <w:keepLines/>
      <w:numPr>
        <w:numId w:val="5"/>
      </w:numPr>
      <w:tabs>
        <w:tab w:val="clear" w:pos="0"/>
        <w:tab w:val="num" w:pos="360"/>
      </w:tabs>
      <w:spacing w:before="120"/>
      <w:ind w:left="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r"/>
    <w:rPr>
      <w:rFonts w:ascii="Arial" w:eastAsia="MS Mincho" w:hAnsi="Arial" w:cs="Arial"/>
      <w:b/>
      <w:bCs/>
      <w:noProof w:val="0"/>
      <w:kern w:val="32"/>
      <w:sz w:val="32"/>
      <w:szCs w:val="32"/>
      <w:lang w:val="en-US" w:eastAsia="ja-JP" w:bidi="ar-SA"/>
    </w:rPr>
  </w:style>
  <w:style w:type="paragraph" w:customStyle="1" w:styleId="Titulo3">
    <w:name w:val="Titulo 3"/>
    <w:basedOn w:val="Normal"/>
    <w:pPr>
      <w:widowControl w:val="0"/>
      <w:spacing w:after="0"/>
      <w:ind w:left="1185"/>
      <w:jc w:val="both"/>
    </w:pPr>
    <w:rPr>
      <w:rFonts w:eastAsia="MS Mincho"/>
      <w:b/>
      <w:i/>
      <w:color w:val="auto"/>
      <w:kern w:val="2"/>
      <w:lang w:val="en-US" w:eastAsia="ja-JP"/>
    </w:rPr>
  </w:style>
  <w:style w:type="paragraph" w:customStyle="1" w:styleId="Style2">
    <w:name w:val="Style2"/>
    <w:basedOn w:val="Normal"/>
    <w:link w:val="Style2Char"/>
    <w:qFormat/>
    <w:pPr>
      <w:spacing w:after="0"/>
    </w:pPr>
    <w:rPr>
      <w:color w:val="auto"/>
      <w:lang w:eastAsia="en-GB"/>
    </w:rPr>
  </w:style>
  <w:style w:type="paragraph" w:customStyle="1" w:styleId="TEXTO">
    <w:name w:val="TEXTO"/>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pPr>
      <w:spacing w:before="100" w:beforeAutospacing="1" w:after="100" w:afterAutospacing="1"/>
    </w:pPr>
    <w:rPr>
      <w:szCs w:val="24"/>
      <w:lang w:val="fr-FR" w:eastAsia="fr-FR"/>
    </w:rPr>
  </w:style>
  <w:style w:type="character" w:customStyle="1" w:styleId="epaltsans1">
    <w:name w:val="epaltsans1"/>
    <w:rPr>
      <w:rFonts w:ascii="Arial" w:hAnsi="Arial" w:cs="Arial" w:hint="default"/>
      <w:sz w:val="16"/>
      <w:szCs w:val="16"/>
    </w:rPr>
  </w:style>
  <w:style w:type="paragraph" w:styleId="List">
    <w:name w:val="List"/>
    <w:basedOn w:val="Normal"/>
    <w:semiHidden/>
    <w:pPr>
      <w:spacing w:after="0"/>
      <w:ind w:left="360" w:hanging="360"/>
    </w:pPr>
    <w:rPr>
      <w:color w:val="auto"/>
      <w:szCs w:val="24"/>
      <w:lang w:val="en-US" w:eastAsia="en-US"/>
    </w:rPr>
  </w:style>
  <w:style w:type="character" w:customStyle="1" w:styleId="w">
    <w:name w:val="w"/>
    <w:basedOn w:val="DefaultParagraphFont"/>
  </w:style>
  <w:style w:type="paragraph" w:customStyle="1" w:styleId="BodyTextLetterBullets">
    <w:name w:val="Body Text + Letter Bullets"/>
    <w:basedOn w:val="BodyText"/>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pPr>
      <w:tabs>
        <w:tab w:val="num" w:pos="360"/>
      </w:tabs>
      <w:spacing w:after="0" w:line="288" w:lineRule="auto"/>
    </w:pPr>
    <w:rPr>
      <w:color w:val="auto"/>
      <w:szCs w:val="22"/>
      <w:lang w:val="en-AU" w:eastAsia="en-US"/>
    </w:rPr>
  </w:style>
  <w:style w:type="paragraph" w:customStyle="1" w:styleId="BodyTextbullet">
    <w:name w:val="Body Text + bullet"/>
    <w:basedOn w:val="BodyText"/>
    <w:pPr>
      <w:tabs>
        <w:tab w:val="num" w:pos="360"/>
      </w:tabs>
      <w:spacing w:after="0" w:line="288" w:lineRule="auto"/>
    </w:pPr>
    <w:rPr>
      <w:color w:val="auto"/>
      <w:szCs w:val="22"/>
      <w:lang w:val="en-AU" w:eastAsia="en-US"/>
    </w:rPr>
  </w:style>
  <w:style w:type="paragraph" w:customStyle="1" w:styleId="Head1">
    <w:name w:val="Head 1"/>
    <w:basedOn w:val="Normal"/>
    <w:pPr>
      <w:tabs>
        <w:tab w:val="left" w:pos="340"/>
        <w:tab w:val="num" w:pos="720"/>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pP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58">
    <w:name w:val="xl5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59">
    <w:name w:val="xl59"/>
    <w:basedOn w:val="Normal"/>
    <w:pP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0">
    <w:name w:val="xl60"/>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1">
    <w:name w:val="xl61"/>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2">
    <w:name w:val="xl62"/>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3">
    <w:name w:val="xl6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4">
    <w:name w:val="xl6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5">
    <w:name w:val="xl65"/>
    <w:basedOn w:val="Normal"/>
    <w:pPr>
      <w:pBdr>
        <w:top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6">
    <w:name w:val="xl66"/>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7">
    <w:name w:val="xl67"/>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8">
    <w:name w:val="xl68"/>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9">
    <w:name w:val="xl69"/>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0">
    <w:name w:val="xl70"/>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1">
    <w:name w:val="xl7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2">
    <w:name w:val="xl72"/>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3">
    <w:name w:val="xl73"/>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4">
    <w:name w:val="xl7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5">
    <w:name w:val="xl75"/>
    <w:basedOn w:val="Normal"/>
    <w:pPr>
      <w:pBdr>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6">
    <w:name w:val="xl76"/>
    <w:basedOn w:val="Normal"/>
    <w:pPr>
      <w:pBdr>
        <w:lef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7">
    <w:name w:val="xl77"/>
    <w:basedOn w:val="Normal"/>
    <w:pPr>
      <w:pBdr>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8">
    <w:name w:val="xl7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9">
    <w:name w:val="xl79"/>
    <w:basedOn w:val="Normal"/>
    <w:pPr>
      <w:pBdr>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0">
    <w:name w:val="xl80"/>
    <w:basedOn w:val="Normal"/>
    <w:pPr>
      <w:pBdr>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1">
    <w:name w:val="xl81"/>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2">
    <w:name w:val="xl82"/>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3">
    <w:name w:val="xl83"/>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4">
    <w:name w:val="xl84"/>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7">
    <w:name w:val="xl8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0">
    <w:name w:val="xl90"/>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2">
    <w:name w:val="xl9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4">
    <w:name w:val="xl94"/>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5">
    <w:name w:val="xl9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6">
    <w:name w:val="xl96"/>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98">
    <w:name w:val="xl9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9">
    <w:name w:val="xl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3">
    <w:name w:val="xl103"/>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5">
    <w:name w:val="xl105"/>
    <w:basedOn w:val="Normal"/>
    <w:pPr>
      <w:pBdr>
        <w:top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7">
    <w:name w:val="xl107"/>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10">
    <w:name w:val="xl110"/>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1">
    <w:name w:val="xl111"/>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2">
    <w:name w:val="xl112"/>
    <w:basedOn w:val="Normal"/>
    <w:pPr>
      <w:pBdr>
        <w:top w:val="single" w:sz="4" w:space="0" w:color="auto"/>
        <w:left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13">
    <w:name w:val="xl113"/>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4">
    <w:name w:val="xl114"/>
    <w:basedOn w:val="Normal"/>
    <w:pPr>
      <w:pBdr>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5">
    <w:name w:val="xl115"/>
    <w:basedOn w:val="Normal"/>
    <w:pPr>
      <w:pBdr>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6">
    <w:name w:val="xl116"/>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9">
    <w:name w:val="xl119"/>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0">
    <w:name w:val="xl120"/>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1">
    <w:name w:val="xl121"/>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3">
    <w:name w:val="xl123"/>
    <w:basedOn w:val="Normal"/>
    <w:pPr>
      <w:pBdr>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4">
    <w:name w:val="xl124"/>
    <w:basedOn w:val="Normal"/>
    <w:pPr>
      <w:pBdr>
        <w:left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5">
    <w:name w:val="xl125"/>
    <w:basedOn w:val="Normal"/>
    <w:pPr>
      <w:pBdr>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26">
    <w:name w:val="xl126"/>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30">
    <w:name w:val="xl1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1">
    <w:name w:val="xl131"/>
    <w:basedOn w:val="Normal"/>
    <w:pPr>
      <w:pBdr>
        <w:top w:val="single" w:sz="4" w:space="0" w:color="auto"/>
        <w:bottom w:val="single" w:sz="8"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2">
    <w:name w:val="xl132"/>
    <w:basedOn w:val="Normal"/>
    <w:pPr>
      <w:pBdr>
        <w:top w:val="single" w:sz="4" w:space="0" w:color="auto"/>
        <w:bottom w:val="single" w:sz="8"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3">
    <w:name w:val="xl1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4">
    <w:name w:val="xl1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UnicodeMS"/>
      <w:color w:val="auto"/>
      <w:sz w:val="12"/>
      <w:szCs w:val="12"/>
      <w:lang w:val="en-AU" w:eastAsia="en-US"/>
    </w:rPr>
  </w:style>
  <w:style w:type="paragraph" w:customStyle="1" w:styleId="xl135">
    <w:name w:val="xl13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UnicodeMS"/>
      <w:color w:val="auto"/>
      <w:szCs w:val="24"/>
      <w:lang w:val="en-AU" w:eastAsia="en-US"/>
    </w:rPr>
  </w:style>
  <w:style w:type="paragraph" w:customStyle="1" w:styleId="xl136">
    <w:name w:val="xl136"/>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7">
    <w:name w:val="xl137"/>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8">
    <w:name w:val="xl138"/>
    <w:basedOn w:val="Normal"/>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pPr>
      <w:spacing w:after="0"/>
    </w:pPr>
    <w:rPr>
      <w:b/>
      <w:bCs/>
      <w:color w:val="auto"/>
      <w:sz w:val="28"/>
      <w:szCs w:val="28"/>
      <w:lang w:eastAsia="en-US"/>
    </w:rPr>
  </w:style>
  <w:style w:type="paragraph" w:customStyle="1" w:styleId="Anxtitle">
    <w:name w:val="Anx title"/>
    <w:basedOn w:val="Normal"/>
    <w:pPr>
      <w:spacing w:after="0"/>
      <w:ind w:left="1247"/>
    </w:pPr>
    <w:rPr>
      <w:b/>
      <w:bCs/>
      <w:color w:val="auto"/>
      <w:sz w:val="28"/>
      <w:szCs w:val="28"/>
      <w:lang w:eastAsia="en-US"/>
    </w:rPr>
  </w:style>
  <w:style w:type="paragraph" w:customStyle="1" w:styleId="Style10ptAfter6pt1">
    <w:name w:val="Style 10 pt After:  6 pt1"/>
    <w:basedOn w:val="Normal"/>
    <w:autoRedefine/>
    <w:pPr>
      <w:spacing w:after="120"/>
    </w:pPr>
    <w:rPr>
      <w:rFonts w:ascii="Arial" w:hAnsi="Arial"/>
      <w:color w:val="auto"/>
      <w:sz w:val="18"/>
      <w:lang w:eastAsia="en-US"/>
    </w:rPr>
  </w:style>
  <w:style w:type="paragraph" w:customStyle="1" w:styleId="StyleHeading311ptBold">
    <w:name w:val="Style Heading 3 + 11 pt Bold"/>
    <w:basedOn w:val="Heading3"/>
    <w:rPr>
      <w:b w:val="0"/>
      <w:bCs/>
      <w:iCs/>
    </w:rPr>
  </w:style>
  <w:style w:type="paragraph" w:customStyle="1" w:styleId="Subtitle">
    <w:name w:val="Sub title"/>
    <w:basedOn w:val="Heading2"/>
    <w:pPr>
      <w:ind w:left="1247"/>
    </w:pPr>
    <w:rPr>
      <w:snapToGrid/>
      <w:szCs w:val="24"/>
    </w:rPr>
  </w:style>
  <w:style w:type="character" w:customStyle="1" w:styleId="maintextbldleft1">
    <w:name w:val="maintextbldleft1"/>
    <w:rPr>
      <w:rFonts w:ascii="Arial" w:hAnsi="Arial" w:cs="Arial" w:hint="default"/>
      <w:b/>
      <w:bCs/>
      <w:strike w:val="0"/>
      <w:dstrike w:val="0"/>
      <w:color w:val="000000"/>
      <w:sz w:val="18"/>
      <w:szCs w:val="18"/>
      <w:u w:val="none"/>
      <w:effect w:val="none"/>
    </w:rPr>
  </w:style>
  <w:style w:type="character" w:customStyle="1" w:styleId="maintextleft1">
    <w:name w:val="maintextleft1"/>
    <w:rPr>
      <w:rFonts w:ascii="Arial" w:hAnsi="Arial" w:cs="Arial" w:hint="default"/>
      <w:strike w:val="0"/>
      <w:dstrike w:val="0"/>
      <w:color w:val="000000"/>
      <w:sz w:val="18"/>
      <w:szCs w:val="18"/>
      <w:u w:val="none"/>
      <w:effect w:val="none"/>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Part Char"/>
    <w:autoRedefine/>
    <w:uiPriority w:val="9"/>
    <w:qFormat/>
    <w:rsid w:val="00B81731"/>
    <w:rPr>
      <w:rFonts w:asciiTheme="minorHAnsi" w:hAnsiTheme="minorHAnsi"/>
      <w:b/>
      <w:sz w:val="28"/>
    </w:rPr>
  </w:style>
  <w:style w:type="character" w:customStyle="1" w:styleId="Heading2Char">
    <w:name w:val="Heading 2 Char"/>
    <w:aliases w:val="SubPara (a) Char,Heading 2 Char1 Char Char,SubPara (a) Char1 Char Char,Heading 2 Char3 Char Char Char,Heading 2 Char Char2 Char Char Char,Heading 2 Char1 Char Char1 Char Char Char,SubPara (a) Char Char Char1 Char Char Char,Heading 2 Char1"/>
    <w:uiPriority w:val="9"/>
    <w:rPr>
      <w:b/>
      <w:noProof w:val="0"/>
      <w:snapToGrid w:val="0"/>
      <w:color w:val="000000"/>
      <w:sz w:val="24"/>
      <w:lang w:val="en-GB" w:eastAsia="zh-CN" w:bidi="ar-SA"/>
    </w:rPr>
  </w:style>
  <w:style w:type="character" w:customStyle="1" w:styleId="Heading3Char">
    <w:name w:val="Heading 3 Char"/>
    <w:aliases w:val="Sec Char"/>
    <w:uiPriority w:val="9"/>
    <w:rPr>
      <w:b w:val="0"/>
      <w:noProof w:val="0"/>
      <w:snapToGrid w:val="0"/>
      <w:color w:val="000000"/>
      <w:sz w:val="24"/>
      <w:lang w:val="en-GB" w:eastAsia="zh-CN" w:bidi="ar-SA"/>
    </w:rPr>
  </w:style>
  <w:style w:type="character" w:customStyle="1" w:styleId="Heading4Char">
    <w:name w:val="Heading 4 Char"/>
    <w:aliases w:val="MainPara Char"/>
    <w:autoRedefine/>
    <w:uiPriority w:val="9"/>
    <w:rsid w:val="00F02E32"/>
    <w:rPr>
      <w:snapToGrid w:val="0"/>
      <w:color w:val="000000"/>
      <w:sz w:val="22"/>
      <w:lang w:val="en-GB" w:eastAsia="zh-CN"/>
    </w:rPr>
  </w:style>
  <w:style w:type="paragraph" w:customStyle="1" w:styleId="StyleHeading311ptBold1">
    <w:name w:val="Style Heading 3 + 11 pt Bold1"/>
    <w:basedOn w:val="Heading3"/>
    <w:rPr>
      <w:b w:val="0"/>
      <w:bCs/>
      <w:iCs/>
    </w:rPr>
  </w:style>
  <w:style w:type="paragraph" w:customStyle="1" w:styleId="ANNEXES">
    <w:name w:val="ANNEXES"/>
    <w:basedOn w:val="Normal"/>
    <w:pPr>
      <w:tabs>
        <w:tab w:val="left" w:pos="1080"/>
      </w:tabs>
      <w:spacing w:before="100" w:beforeAutospacing="1" w:after="100" w:afterAutospacing="1"/>
    </w:pPr>
    <w:rPr>
      <w:b/>
      <w:sz w:val="28"/>
    </w:rPr>
  </w:style>
  <w:style w:type="paragraph" w:customStyle="1" w:styleId="Executivesummary">
    <w:name w:val="Executive summary"/>
    <w:basedOn w:val="TOC1"/>
    <w:rPr>
      <w:b w:val="0"/>
    </w:rPr>
  </w:style>
  <w:style w:type="paragraph" w:customStyle="1" w:styleId="Execlevel2">
    <w:name w:val="Exec level2"/>
    <w:basedOn w:val="Anxhead"/>
    <w:rPr>
      <w:sz w:val="24"/>
    </w:rPr>
  </w:style>
  <w:style w:type="character" w:customStyle="1" w:styleId="AnxheadChar">
    <w:name w:val="Anx head Char"/>
    <w:rPr>
      <w:b/>
      <w:bCs/>
      <w:noProof w:val="0"/>
      <w:sz w:val="28"/>
      <w:szCs w:val="28"/>
      <w:lang w:val="en-GB" w:eastAsia="en-US" w:bidi="ar-SA"/>
    </w:rPr>
  </w:style>
  <w:style w:type="character" w:customStyle="1" w:styleId="Execlevel2Char">
    <w:name w:val="Exec level2 Char"/>
    <w:rPr>
      <w:b/>
      <w:bCs/>
      <w:noProof w:val="0"/>
      <w:sz w:val="24"/>
      <w:szCs w:val="28"/>
      <w:lang w:val="en-GB" w:eastAsia="en-US" w:bidi="ar-SA"/>
    </w:rPr>
  </w:style>
  <w:style w:type="character" w:customStyle="1" w:styleId="a">
    <w:name w:val="_"/>
    <w:basedOn w:val="DefaultParagraphFont"/>
  </w:style>
  <w:style w:type="paragraph" w:styleId="CommentSubject">
    <w:name w:val="annotation subject"/>
    <w:basedOn w:val="CommentText"/>
    <w:next w:val="CommentText"/>
    <w:uiPriority w:val="99"/>
    <w:semiHidden/>
    <w:pPr>
      <w:widowControl/>
      <w:spacing w:after="0"/>
    </w:pPr>
    <w:rPr>
      <w:rFonts w:ascii="Times New Roman" w:hAnsi="Times New Roman"/>
      <w:b/>
      <w:lang w:val="en-US"/>
    </w:rPr>
  </w:style>
  <w:style w:type="paragraph" w:customStyle="1" w:styleId="Indentedbullet">
    <w:name w:val="Indented bullet"/>
    <w:basedOn w:val="Indentedbodytext"/>
    <w:pPr>
      <w:tabs>
        <w:tab w:val="num" w:pos="1440"/>
      </w:tabs>
      <w:ind w:left="1434" w:hanging="357"/>
    </w:pPr>
  </w:style>
  <w:style w:type="paragraph" w:customStyle="1" w:styleId="Indentedbodytext">
    <w:name w:val="Indented body text"/>
    <w:basedOn w:val="Normal"/>
    <w:autoRedefine/>
    <w:pPr>
      <w:spacing w:after="120"/>
    </w:pPr>
    <w:rPr>
      <w:lang w:eastAsia="en-US"/>
    </w:rPr>
  </w:style>
  <w:style w:type="paragraph" w:customStyle="1" w:styleId="Smallnumberedbullet">
    <w:name w:val="Small numbered bullet"/>
    <w:basedOn w:val="Smallbullet"/>
    <w:pPr>
      <w:numPr>
        <w:numId w:val="0"/>
      </w:numPr>
      <w:ind w:left="539" w:hanging="539"/>
    </w:pPr>
  </w:style>
  <w:style w:type="paragraph" w:customStyle="1" w:styleId="Smallbullet">
    <w:name w:val="Small bullet"/>
    <w:basedOn w:val="BodyTextSmallBullets"/>
    <w:autoRedefine/>
    <w:pPr>
      <w:numPr>
        <w:numId w:val="8"/>
      </w:numPr>
      <w:tabs>
        <w:tab w:val="num" w:pos="426"/>
      </w:tabs>
      <w:spacing w:after="240" w:line="240" w:lineRule="auto"/>
      <w:ind w:left="425" w:hanging="425"/>
    </w:pPr>
  </w:style>
  <w:style w:type="paragraph" w:customStyle="1" w:styleId="BodyText1">
    <w:name w:val="Body Text1"/>
    <w:basedOn w:val="Normal"/>
    <w:rPr>
      <w:lang w:eastAsia="en-US"/>
    </w:rPr>
  </w:style>
  <w:style w:type="paragraph" w:customStyle="1" w:styleId="Heading311ptBold">
    <w:name w:val="Heading 3 + 11 pt Bold"/>
    <w:basedOn w:val="Heading3"/>
    <w:pPr>
      <w:numPr>
        <w:ilvl w:val="2"/>
        <w:numId w:val="7"/>
      </w:numPr>
      <w:tabs>
        <w:tab w:val="num" w:pos="1800"/>
      </w:tabs>
      <w:ind w:left="0" w:firstLine="0"/>
    </w:pPr>
    <w:rPr>
      <w:b w:val="0"/>
    </w:rPr>
  </w:style>
  <w:style w:type="paragraph" w:customStyle="1" w:styleId="Table5">
    <w:name w:val="Table 5"/>
    <w:basedOn w:val="Normal"/>
    <w:pPr>
      <w:spacing w:after="0" w:line="240" w:lineRule="exact"/>
      <w:ind w:left="567" w:hanging="567"/>
    </w:pPr>
    <w:rPr>
      <w:sz w:val="18"/>
      <w:lang w:eastAsia="ja-JP"/>
    </w:rPr>
  </w:style>
  <w:style w:type="paragraph" w:customStyle="1" w:styleId="ColorfulList-Accent11">
    <w:name w:val="Colorful List - Accent 11"/>
    <w:basedOn w:val="Normal"/>
    <w:qFormat/>
    <w:pPr>
      <w:spacing w:after="0"/>
      <w:ind w:left="720"/>
    </w:pPr>
    <w:rPr>
      <w:rFonts w:eastAsia="MS Mincho"/>
      <w:color w:val="auto"/>
      <w:szCs w:val="24"/>
      <w:lang w:val="en-US" w:eastAsia="ja-JP"/>
    </w:rPr>
  </w:style>
  <w:style w:type="character" w:customStyle="1" w:styleId="mw-headline">
    <w:name w:val="mw-headline"/>
    <w:basedOn w:val="DefaultParagraphFont"/>
  </w:style>
  <w:style w:type="paragraph" w:customStyle="1" w:styleId="ColorfulList-Accent12">
    <w:name w:val="Colorful List - Accent 12"/>
    <w:basedOn w:val="Normal"/>
    <w:qFormat/>
    <w:pPr>
      <w:spacing w:after="0"/>
    </w:pPr>
    <w:rPr>
      <w:rFonts w:ascii="Cambria" w:eastAsia="Cambria" w:hAnsi="Cambria"/>
      <w:color w:val="auto"/>
      <w:sz w:val="24"/>
      <w:lang w:val="en-US"/>
    </w:rPr>
  </w:style>
  <w:style w:type="paragraph" w:styleId="Subtitle0">
    <w:name w:val="Subtitle"/>
    <w:basedOn w:val="Normal"/>
    <w:uiPriority w:val="11"/>
    <w:qFormat/>
    <w:pPr>
      <w:spacing w:after="0"/>
      <w:jc w:val="center"/>
    </w:pPr>
    <w:rPr>
      <w:rFonts w:eastAsia="MS Mincho"/>
      <w:b/>
      <w:color w:val="auto"/>
      <w:lang w:val="en-US"/>
    </w:rPr>
  </w:style>
  <w:style w:type="paragraph" w:styleId="Revision">
    <w:name w:val="Revision"/>
    <w:hidden/>
    <w:uiPriority w:val="99"/>
    <w:semiHidden/>
    <w:rPr>
      <w:rFonts w:ascii="Times New Roman" w:eastAsia="MS Mincho" w:hAnsi="Times New Roman"/>
      <w:sz w:val="24"/>
      <w:szCs w:val="24"/>
      <w:lang w:val="en-US"/>
    </w:rPr>
  </w:style>
  <w:style w:type="paragraph" w:customStyle="1" w:styleId="StyleHeading3Heading3Char1CharHeading3CharCharCharChar">
    <w:name w:val="Style Heading 3Heading 3 Char1 CharHeading 3 Char Char CharChar ..."/>
    <w:basedOn w:val="Heading3"/>
    <w:rPr>
      <w:iCs/>
    </w:rPr>
  </w:style>
  <w:style w:type="paragraph" w:customStyle="1" w:styleId="ParaQPS">
    <w:name w:val="Para QPS"/>
    <w:basedOn w:val="Normal"/>
    <w:qFormat/>
    <w:pPr>
      <w:spacing w:before="120" w:after="120"/>
      <w:ind w:left="1134"/>
      <w:jc w:val="both"/>
    </w:pPr>
    <w:rPr>
      <w:rFonts w:cs="Cambria"/>
      <w:iCs/>
      <w:color w:val="auto"/>
      <w:szCs w:val="24"/>
      <w:lang w:val="en-US" w:eastAsia="en-US" w:bidi="en-US"/>
    </w:rPr>
  </w:style>
  <w:style w:type="paragraph" w:customStyle="1" w:styleId="ParaQPSItalicindent">
    <w:name w:val="Para QPS Italic indent"/>
    <w:basedOn w:val="ParaQPS"/>
    <w:rPr>
      <w:i/>
      <w:iCs w:val="0"/>
    </w:rPr>
  </w:style>
  <w:style w:type="paragraph" w:customStyle="1" w:styleId="ListParagraph1">
    <w:name w:val="List Paragraph1"/>
    <w:aliases w:val="Bullets"/>
    <w:basedOn w:val="Normal"/>
    <w:pPr>
      <w:numPr>
        <w:numId w:val="18"/>
      </w:numPr>
      <w:spacing w:before="60" w:after="60"/>
      <w:jc w:val="both"/>
    </w:pPr>
    <w:rPr>
      <w:rFonts w:ascii="Arial" w:hAnsi="Arial" w:cs="Arial"/>
      <w:color w:val="auto"/>
      <w:szCs w:val="22"/>
      <w:lang w:eastAsia="en-GB" w:bidi="en-US"/>
    </w:rPr>
  </w:style>
  <w:style w:type="paragraph" w:styleId="Bibliography">
    <w:name w:val="Bibliography"/>
    <w:basedOn w:val="Normal"/>
    <w:next w:val="Normal"/>
    <w:pPr>
      <w:spacing w:before="120" w:after="120"/>
      <w:ind w:left="1134"/>
      <w:jc w:val="both"/>
    </w:pPr>
    <w:rPr>
      <w:rFonts w:ascii="Calibri" w:hAnsi="Calibri"/>
      <w:color w:val="auto"/>
      <w:szCs w:val="22"/>
      <w:lang w:bidi="en-US"/>
    </w:rPr>
  </w:style>
  <w:style w:type="paragraph" w:customStyle="1" w:styleId="Footnote">
    <w:name w:val="Footnote"/>
    <w:basedOn w:val="FootnoteText"/>
    <w:pPr>
      <w:widowControl/>
      <w:spacing w:after="0"/>
    </w:pPr>
    <w:rPr>
      <w:szCs w:val="22"/>
      <w:lang w:bidi="en-US"/>
    </w:rPr>
  </w:style>
  <w:style w:type="paragraph" w:customStyle="1" w:styleId="TableforUNEPreport">
    <w:name w:val="Table for UNEP report"/>
    <w:basedOn w:val="Caption"/>
    <w:pPr>
      <w:keepNext/>
      <w:spacing w:after="200" w:line="240" w:lineRule="auto"/>
      <w:ind w:left="0"/>
      <w:jc w:val="both"/>
    </w:pPr>
    <w:rPr>
      <w:rFonts w:ascii="Calibri" w:eastAsia="Calibri" w:hAnsi="Calibri"/>
      <w:b/>
      <w:bCs/>
      <w:i w:val="0"/>
      <w:color w:val="auto"/>
      <w:szCs w:val="18"/>
      <w:lang w:eastAsia="en-GB" w:bidi="en-US"/>
    </w:rPr>
  </w:style>
  <w:style w:type="character" w:customStyle="1" w:styleId="FooterChar">
    <w:name w:val="Footer Char"/>
    <w:uiPriority w:val="99"/>
    <w:rPr>
      <w:rFonts w:eastAsia="SimSun" w:cs="Times New Roman"/>
      <w:noProof w:val="0"/>
      <w:sz w:val="22"/>
      <w:lang w:val="x-none" w:eastAsia="zh-CN"/>
    </w:rPr>
  </w:style>
  <w:style w:type="character" w:customStyle="1" w:styleId="BodyText2Char">
    <w:name w:val="Body Text 2 Char"/>
    <w:rPr>
      <w:rFonts w:ascii="Times New Roman" w:hAnsi="Times New Roman" w:cs="Times New Roman"/>
      <w:b/>
      <w:bCs/>
      <w:sz w:val="24"/>
    </w:rPr>
  </w:style>
  <w:style w:type="paragraph" w:customStyle="1" w:styleId="TitleQPSReport">
    <w:name w:val="Title QPS Report"/>
    <w:basedOn w:val="Normal"/>
    <w:pPr>
      <w:spacing w:before="120" w:after="120"/>
      <w:jc w:val="center"/>
    </w:pPr>
    <w:rPr>
      <w:b/>
      <w:bCs/>
      <w:color w:val="auto"/>
      <w:sz w:val="28"/>
      <w:lang w:bidi="en-US"/>
    </w:rPr>
  </w:style>
  <w:style w:type="paragraph" w:customStyle="1" w:styleId="Bulletdash">
    <w:name w:val="Bullet dash"/>
    <w:basedOn w:val="Normal"/>
    <w:qFormat/>
    <w:pPr>
      <w:numPr>
        <w:numId w:val="19"/>
      </w:numPr>
      <w:spacing w:before="120" w:after="120"/>
      <w:ind w:left="1854"/>
      <w:jc w:val="both"/>
    </w:pPr>
    <w:rPr>
      <w:color w:val="auto"/>
      <w:szCs w:val="22"/>
      <w:lang w:bidi="en-US"/>
    </w:rPr>
  </w:style>
  <w:style w:type="paragraph" w:customStyle="1" w:styleId="Paraleft">
    <w:name w:val="Para left"/>
    <w:basedOn w:val="Normal"/>
    <w:qFormat/>
    <w:pPr>
      <w:keepNext/>
      <w:spacing w:before="120" w:after="120"/>
      <w:ind w:left="1134"/>
    </w:pPr>
    <w:rPr>
      <w:b/>
      <w:bCs/>
      <w:color w:val="auto"/>
      <w:szCs w:val="22"/>
      <w:lang w:eastAsia="ja-JP" w:bidi="en-US"/>
    </w:rPr>
  </w:style>
  <w:style w:type="paragraph" w:customStyle="1" w:styleId="TableandFiguretitles">
    <w:name w:val="Table and Figure titles"/>
    <w:basedOn w:val="Caption"/>
    <w:qFormat/>
    <w:pPr>
      <w:keepNext/>
      <w:spacing w:after="200" w:line="240" w:lineRule="auto"/>
      <w:ind w:left="1134"/>
      <w:jc w:val="both"/>
    </w:pPr>
    <w:rPr>
      <w:b/>
      <w:bCs/>
      <w:i w:val="0"/>
      <w:color w:val="auto"/>
      <w:szCs w:val="22"/>
      <w:lang w:bidi="en-US"/>
    </w:rPr>
  </w:style>
  <w:style w:type="paragraph" w:styleId="TableofFigures">
    <w:name w:val="table of figures"/>
    <w:basedOn w:val="Normal"/>
    <w:next w:val="Normal"/>
    <w:semiHidden/>
    <w:unhideWhenUsed/>
    <w:pPr>
      <w:spacing w:before="120" w:after="120"/>
      <w:ind w:left="1757" w:right="624" w:hanging="1077"/>
      <w:jc w:val="both"/>
    </w:pPr>
    <w:rPr>
      <w:b/>
      <w:caps/>
      <w:color w:val="auto"/>
      <w:szCs w:val="22"/>
      <w:lang w:bidi="en-US"/>
    </w:rPr>
  </w:style>
  <w:style w:type="paragraph" w:customStyle="1" w:styleId="StyleParaQPSItalic">
    <w:name w:val="Style Para QPS + Italic"/>
    <w:basedOn w:val="ParaQPS"/>
    <w:rPr>
      <w:i/>
    </w:rPr>
  </w:style>
  <w:style w:type="paragraph" w:customStyle="1" w:styleId="StyleLeft017cm">
    <w:name w:val="Style Left:  0.17 cm"/>
    <w:basedOn w:val="Normal"/>
    <w:pPr>
      <w:spacing w:before="120" w:after="120"/>
      <w:ind w:left="97"/>
      <w:jc w:val="both"/>
    </w:pPr>
    <w:rPr>
      <w:color w:val="auto"/>
      <w:lang w:bidi="en-US"/>
    </w:rPr>
  </w:style>
  <w:style w:type="paragraph" w:customStyle="1" w:styleId="StyleParaQPS11ptItalic">
    <w:name w:val="Style Para QPS + 11 pt Italic"/>
    <w:basedOn w:val="ParaQPS"/>
    <w:rPr>
      <w:i/>
    </w:rPr>
  </w:style>
  <w:style w:type="paragraph" w:customStyle="1" w:styleId="Bulletnumbered">
    <w:name w:val="Bullet numbered"/>
    <w:basedOn w:val="ParaQPS"/>
    <w:qFormat/>
    <w:pPr>
      <w:numPr>
        <w:numId w:val="21"/>
      </w:numPr>
    </w:pPr>
  </w:style>
  <w:style w:type="paragraph" w:customStyle="1" w:styleId="Annexheader">
    <w:name w:val="Annex header"/>
    <w:basedOn w:val="Header"/>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pPr>
      <w:tabs>
        <w:tab w:val="left" w:pos="1080"/>
      </w:tabs>
      <w:spacing w:after="0"/>
    </w:pPr>
    <w:rPr>
      <w:b/>
      <w:i/>
    </w:rPr>
  </w:style>
  <w:style w:type="paragraph" w:customStyle="1" w:styleId="0Heading0CharChar1Char">
    <w:name w:val="0 Heading 0 Char Char1 Char"/>
    <w:rPr>
      <w:rFonts w:ascii="Times New Roman" w:hAnsi="Times New Roman"/>
      <w:color w:val="000000"/>
      <w:sz w:val="24"/>
      <w:lang w:val="en-GB"/>
    </w:rPr>
  </w:style>
  <w:style w:type="character" w:customStyle="1" w:styleId="0Heading0CharChar1CharChar">
    <w:name w:val="0 Heading 0 Char Char1 Char Char"/>
    <w:rPr>
      <w:noProof w:val="0"/>
      <w:color w:val="000000"/>
      <w:sz w:val="24"/>
      <w:lang w:val="en-GB" w:eastAsia="en-US" w:bidi="ar-SA"/>
    </w:rPr>
  </w:style>
  <w:style w:type="character" w:customStyle="1" w:styleId="HeaderChar">
    <w:name w:val="Header Char"/>
    <w:aliases w:val="EthylHeader Char"/>
    <w:uiPriority w:val="99"/>
    <w:rPr>
      <w:noProof w:val="0"/>
      <w:color w:val="000000"/>
      <w:sz w:val="24"/>
      <w:lang w:val="en-GB" w:eastAsia="zh-CN"/>
    </w:rPr>
  </w:style>
  <w:style w:type="paragraph" w:customStyle="1" w:styleId="Alt2-LevelLegal1">
    <w:name w:val="Alt 2-Level Legal1"/>
    <w:basedOn w:val="Normal"/>
    <w:next w:val="Normal"/>
    <w:pPr>
      <w:numPr>
        <w:numId w:val="23"/>
      </w:numPr>
      <w:jc w:val="center"/>
      <w:outlineLvl w:val="0"/>
    </w:pPr>
    <w:rPr>
      <w:b/>
      <w:color w:val="auto"/>
      <w:szCs w:val="24"/>
    </w:rPr>
  </w:style>
  <w:style w:type="paragraph" w:customStyle="1" w:styleId="Alt2-LevelLegal2">
    <w:name w:val="Alt 2-Level Legal2"/>
    <w:basedOn w:val="Normal"/>
    <w:pPr>
      <w:numPr>
        <w:ilvl w:val="1"/>
        <w:numId w:val="23"/>
      </w:numPr>
      <w:outlineLvl w:val="1"/>
    </w:pPr>
    <w:rPr>
      <w:b/>
      <w:bCs/>
      <w:szCs w:val="24"/>
    </w:rPr>
  </w:style>
  <w:style w:type="paragraph" w:customStyle="1" w:styleId="Alt2-LevelLegal3">
    <w:name w:val="Alt 2-Level Legal3"/>
    <w:basedOn w:val="Normal"/>
    <w:pPr>
      <w:numPr>
        <w:ilvl w:val="2"/>
        <w:numId w:val="23"/>
      </w:numPr>
      <w:outlineLvl w:val="2"/>
    </w:pPr>
    <w:rPr>
      <w:b/>
      <w:szCs w:val="24"/>
    </w:rPr>
  </w:style>
  <w:style w:type="paragraph" w:customStyle="1" w:styleId="Alt2-LevelLegal4">
    <w:name w:val="Alt 2-Level Legal4"/>
    <w:basedOn w:val="Normal"/>
    <w:pPr>
      <w:numPr>
        <w:ilvl w:val="3"/>
        <w:numId w:val="23"/>
      </w:numPr>
      <w:outlineLvl w:val="3"/>
    </w:pPr>
    <w:rPr>
      <w:szCs w:val="24"/>
    </w:rPr>
  </w:style>
  <w:style w:type="paragraph" w:customStyle="1" w:styleId="Alt2-LevelLegal5">
    <w:name w:val="Alt 2-Level Legal5"/>
    <w:basedOn w:val="Normal"/>
    <w:pPr>
      <w:numPr>
        <w:ilvl w:val="4"/>
        <w:numId w:val="23"/>
      </w:numPr>
      <w:ind w:right="720"/>
      <w:jc w:val="both"/>
      <w:outlineLvl w:val="4"/>
    </w:pPr>
    <w:rPr>
      <w:szCs w:val="24"/>
    </w:rPr>
  </w:style>
  <w:style w:type="paragraph" w:customStyle="1" w:styleId="Alt2-LevelLegal6">
    <w:name w:val="Alt 2-Level Legal6"/>
    <w:basedOn w:val="Normal"/>
    <w:pPr>
      <w:numPr>
        <w:ilvl w:val="5"/>
        <w:numId w:val="23"/>
      </w:numPr>
      <w:jc w:val="both"/>
      <w:outlineLvl w:val="5"/>
    </w:pPr>
    <w:rPr>
      <w:szCs w:val="24"/>
    </w:rPr>
  </w:style>
  <w:style w:type="paragraph" w:customStyle="1" w:styleId="Alt2-LevelLegal7">
    <w:name w:val="Alt 2-Level Legal7"/>
    <w:basedOn w:val="Normal"/>
    <w:pPr>
      <w:numPr>
        <w:ilvl w:val="6"/>
        <w:numId w:val="23"/>
      </w:numPr>
      <w:ind w:left="1440"/>
      <w:outlineLvl w:val="6"/>
    </w:pPr>
    <w:rPr>
      <w:szCs w:val="24"/>
    </w:rPr>
  </w:style>
  <w:style w:type="character" w:styleId="Emphasis">
    <w:name w:val="Emphasis"/>
    <w:uiPriority w:val="20"/>
    <w:qFormat/>
    <w:rPr>
      <w:b/>
      <w:bCs/>
      <w:i/>
      <w:iCs/>
      <w:spacing w:val="10"/>
      <w:bdr w:val="none" w:sz="0" w:space="0" w:color="auto"/>
      <w:shd w:val="clear" w:color="auto" w:fill="auto"/>
    </w:rPr>
  </w:style>
  <w:style w:type="paragraph" w:customStyle="1" w:styleId="NoteLevel21">
    <w:name w:val="Note Level 21"/>
    <w:basedOn w:val="Normal"/>
    <w:qFormat/>
    <w:locked/>
    <w:pPr>
      <w:spacing w:after="0"/>
    </w:pPr>
    <w:rPr>
      <w:rFonts w:ascii="Arial" w:eastAsia="Calibri" w:hAnsi="Arial" w:cs="Consolas"/>
      <w:color w:val="auto"/>
      <w:szCs w:val="22"/>
      <w:lang w:eastAsia="en-US"/>
    </w:rPr>
  </w:style>
  <w:style w:type="paragraph" w:styleId="Quote">
    <w:name w:val="Quote"/>
    <w:basedOn w:val="Normal"/>
    <w:next w:val="Normal"/>
    <w:qFormat/>
    <w:locked/>
    <w:pPr>
      <w:spacing w:before="200" w:after="0"/>
      <w:ind w:left="360" w:right="360"/>
    </w:pPr>
    <w:rPr>
      <w:rFonts w:ascii="Arial" w:eastAsia="Calibri" w:hAnsi="Arial" w:cs="Consolas"/>
      <w:i/>
      <w:iCs/>
      <w:color w:val="auto"/>
      <w:szCs w:val="22"/>
      <w:lang w:eastAsia="en-US"/>
    </w:rPr>
  </w:style>
  <w:style w:type="paragraph" w:styleId="IntenseQuote">
    <w:name w:val="Intense Quote"/>
    <w:basedOn w:val="Normal"/>
    <w:next w:val="Normal"/>
    <w:qFormat/>
    <w:locked/>
    <w:pPr>
      <w:pBdr>
        <w:bottom w:val="single" w:sz="4" w:space="1" w:color="auto"/>
      </w:pBdr>
      <w:spacing w:before="200" w:after="280"/>
      <w:ind w:left="1008" w:right="1152"/>
      <w:jc w:val="both"/>
    </w:pPr>
    <w:rPr>
      <w:rFonts w:ascii="Arial" w:eastAsia="Calibri" w:hAnsi="Arial" w:cs="Consolas"/>
      <w:b/>
      <w:bCs/>
      <w:i/>
      <w:iCs/>
      <w:color w:val="auto"/>
      <w:szCs w:val="22"/>
      <w:lang w:eastAsia="en-US"/>
    </w:rPr>
  </w:style>
  <w:style w:type="character" w:styleId="SubtleEmphasis">
    <w:name w:val="Subtle Emphasis"/>
    <w:qFormat/>
    <w:locked/>
    <w:rPr>
      <w:i/>
      <w:iCs/>
    </w:rPr>
  </w:style>
  <w:style w:type="character" w:styleId="IntenseEmphasis">
    <w:name w:val="Intense Emphasis"/>
    <w:qFormat/>
    <w:locked/>
    <w:rPr>
      <w:b/>
      <w:bCs/>
    </w:rPr>
  </w:style>
  <w:style w:type="character" w:styleId="SubtleReference">
    <w:name w:val="Subtle Reference"/>
    <w:uiPriority w:val="31"/>
    <w:qFormat/>
    <w:locked/>
    <w:rPr>
      <w:smallCaps/>
    </w:rPr>
  </w:style>
  <w:style w:type="character" w:styleId="IntenseReference">
    <w:name w:val="Intense Reference"/>
    <w:qFormat/>
    <w:locked/>
    <w:rPr>
      <w:smallCaps/>
      <w:spacing w:val="5"/>
      <w:u w:val="single"/>
    </w:rPr>
  </w:style>
  <w:style w:type="character" w:styleId="BookTitle">
    <w:name w:val="Book Title"/>
    <w:qFormat/>
    <w:locked/>
    <w:rPr>
      <w:i/>
      <w:iCs/>
      <w:smallCaps/>
      <w:spacing w:val="5"/>
    </w:rPr>
  </w:style>
  <w:style w:type="paragraph" w:styleId="TOCHeading">
    <w:name w:val="TOC Heading"/>
    <w:basedOn w:val="Heading1"/>
    <w:next w:val="Normal"/>
    <w:uiPriority w:val="39"/>
    <w:qFormat/>
    <w:locked/>
    <w:pPr>
      <w:keepLines/>
      <w:outlineLvl w:val="9"/>
    </w:pPr>
    <w:rPr>
      <w:rFonts w:ascii="Arial" w:hAnsi="Arial"/>
      <w:bCs/>
      <w:color w:val="auto"/>
      <w:sz w:val="32"/>
      <w:szCs w:val="28"/>
      <w:lang w:eastAsia="en-US"/>
    </w:rPr>
  </w:style>
  <w:style w:type="character" w:customStyle="1" w:styleId="PlainTextChar">
    <w:name w:val="Plain Text Char"/>
    <w:uiPriority w:val="99"/>
    <w:rPr>
      <w:rFonts w:ascii="Consolas" w:hAnsi="Consolas" w:cs="Consolas"/>
      <w:noProof w:val="0"/>
      <w:sz w:val="21"/>
      <w:szCs w:val="21"/>
      <w:lang w:val="en-US" w:eastAsia="en-US"/>
    </w:rPr>
  </w:style>
  <w:style w:type="character" w:customStyle="1" w:styleId="BodyTextIndent3Char">
    <w:name w:val="Body Text Indent 3 Char"/>
    <w:rPr>
      <w:rFonts w:ascii="Times New Roman" w:eastAsia="MS Mincho" w:hAnsi="Times New Roman" w:cs="Times New Roman"/>
      <w:noProof w:val="0"/>
      <w:snapToGrid w:val="0"/>
      <w:color w:val="FF0000"/>
      <w:sz w:val="24"/>
      <w:lang w:eastAsia="zh-CN"/>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Pr>
      <w:rFonts w:ascii="Arial" w:eastAsia="MS Mincho" w:hAnsi="Arial" w:cs="Arial"/>
      <w:b/>
      <w:bCs/>
      <w:noProof w:val="0"/>
      <w:kern w:val="32"/>
      <w:sz w:val="32"/>
      <w:szCs w:val="32"/>
      <w:lang w:val="en-US" w:eastAsia="ja-JP" w:bidi="ar-SA"/>
    </w:rPr>
  </w:style>
  <w:style w:type="paragraph" w:customStyle="1" w:styleId="1">
    <w:name w:val="吹き出し1"/>
    <w:basedOn w:val="Normal"/>
    <w:semiHidden/>
    <w:pPr>
      <w:spacing w:after="0"/>
    </w:pPr>
    <w:rPr>
      <w:rFonts w:ascii="Tahoma" w:eastAsia="MS Mincho" w:hAnsi="Tahoma" w:cs="Consolas"/>
      <w:color w:val="auto"/>
      <w:sz w:val="16"/>
      <w:szCs w:val="16"/>
      <w:lang w:val="en-US" w:eastAsia="en-US"/>
    </w:rPr>
  </w:style>
  <w:style w:type="character" w:customStyle="1" w:styleId="SubParaa">
    <w:name w:val="SubPara (a) (文字) (文字)"/>
    <w:rPr>
      <w:rFonts w:ascii="Arial" w:eastAsia="MS Mincho" w:hAnsi="Arial" w:cs="Arial"/>
      <w:b/>
      <w:bCs/>
      <w:i/>
      <w:iCs/>
      <w:noProof w:val="0"/>
      <w:kern w:val="2"/>
      <w:sz w:val="28"/>
      <w:szCs w:val="28"/>
      <w:lang w:val="en-US" w:eastAsia="ja-JP" w:bidi="ar-SA"/>
    </w:rPr>
  </w:style>
  <w:style w:type="character" w:customStyle="1" w:styleId="10">
    <w:name w:val="(文字) (文字)1"/>
    <w:rPr>
      <w:rFonts w:eastAsia="SimSun"/>
      <w:noProof w:val="0"/>
      <w:sz w:val="24"/>
      <w:szCs w:val="24"/>
      <w:lang w:val="en-US" w:eastAsia="zh-CN" w:bidi="ar-SA"/>
    </w:rPr>
  </w:style>
  <w:style w:type="paragraph" w:customStyle="1" w:styleId="11">
    <w:name w:val="コメント内容1"/>
    <w:basedOn w:val="CommentText"/>
    <w:next w:val="CommentText"/>
    <w:pPr>
      <w:widowControl/>
      <w:spacing w:after="0"/>
    </w:pPr>
    <w:rPr>
      <w:rFonts w:ascii="Times New Roman" w:eastAsia="MS Mincho" w:hAnsi="Times New Roman"/>
      <w:b/>
      <w:bCs/>
      <w:lang w:val="en-US" w:eastAsia="en-US"/>
    </w:rPr>
  </w:style>
  <w:style w:type="character" w:customStyle="1" w:styleId="a0">
    <w:name w:val="(文字) (文字)"/>
    <w:rPr>
      <w:rFonts w:eastAsia="SimSun"/>
      <w:b/>
      <w:bCs/>
      <w:noProof w:val="0"/>
      <w:sz w:val="24"/>
      <w:szCs w:val="24"/>
      <w:lang w:val="en-US" w:eastAsia="en-US" w:bidi="ar-SA"/>
    </w:rPr>
  </w:style>
  <w:style w:type="character" w:customStyle="1" w:styleId="CarCar19">
    <w:name w:val="Car Car19"/>
    <w:locked/>
    <w:rPr>
      <w:rFonts w:eastAsia="MS Mincho"/>
      <w:noProof w:val="0"/>
      <w:color w:val="000000"/>
      <w:sz w:val="24"/>
      <w:szCs w:val="24"/>
      <w:lang w:val="en-GB" w:eastAsia="zh-CN" w:bidi="ar-SA"/>
    </w:rPr>
  </w:style>
  <w:style w:type="paragraph" w:customStyle="1" w:styleId="Decisionparagraphs">
    <w:name w:val="Decision paragraphs"/>
    <w:basedOn w:val="Normal"/>
    <w:autoRedefine/>
    <w:pPr>
      <w:spacing w:after="0"/>
    </w:pPr>
    <w:rPr>
      <w:i/>
      <w:color w:val="auto"/>
      <w:lang w:eastAsia="en-US"/>
    </w:rPr>
  </w:style>
  <w:style w:type="paragraph" w:customStyle="1" w:styleId="Style3">
    <w:name w:val="Style3"/>
    <w:basedOn w:val="Heading1"/>
    <w:pPr>
      <w:tabs>
        <w:tab w:val="left" w:pos="0"/>
        <w:tab w:val="left" w:pos="720"/>
        <w:tab w:val="num" w:pos="1492"/>
      </w:tabs>
      <w:ind w:left="720" w:hanging="720"/>
    </w:pPr>
    <w:rPr>
      <w:szCs w:val="28"/>
    </w:rPr>
  </w:style>
  <w:style w:type="paragraph" w:customStyle="1" w:styleId="Style4">
    <w:name w:val="Style4"/>
    <w:basedOn w:val="Heading2"/>
    <w:qFormat/>
    <w:rPr>
      <w:snapToGrid/>
    </w:rPr>
  </w:style>
  <w:style w:type="paragraph" w:customStyle="1" w:styleId="Style5">
    <w:name w:val="Style5"/>
    <w:basedOn w:val="Heading311ptBold"/>
    <w:autoRedefine/>
    <w:pPr>
      <w:numPr>
        <w:ilvl w:val="0"/>
        <w:numId w:val="0"/>
      </w:numPr>
      <w:tabs>
        <w:tab w:val="clear" w:pos="1800"/>
        <w:tab w:val="left" w:pos="720"/>
        <w:tab w:val="center" w:pos="1440"/>
      </w:tabs>
      <w:spacing w:before="0"/>
    </w:pPr>
    <w:rPr>
      <w:b/>
      <w:snapToGrid/>
    </w:rPr>
  </w:style>
  <w:style w:type="paragraph" w:customStyle="1" w:styleId="Style6">
    <w:name w:val="Style6"/>
    <w:basedOn w:val="Heading311ptBold"/>
    <w:next w:val="Style5"/>
    <w:pPr>
      <w:numPr>
        <w:ilvl w:val="0"/>
        <w:numId w:val="0"/>
      </w:numPr>
      <w:tabs>
        <w:tab w:val="clear" w:pos="1800"/>
        <w:tab w:val="left" w:pos="720"/>
        <w:tab w:val="center" w:pos="1440"/>
      </w:tabs>
      <w:spacing w:before="0"/>
    </w:pPr>
    <w:rPr>
      <w:b/>
      <w:snapToGrid/>
    </w:rPr>
  </w:style>
  <w:style w:type="paragraph" w:customStyle="1" w:styleId="Style7">
    <w:name w:val="Style7"/>
    <w:basedOn w:val="Heading311ptBold"/>
    <w:pPr>
      <w:numPr>
        <w:ilvl w:val="0"/>
        <w:numId w:val="0"/>
      </w:numPr>
      <w:tabs>
        <w:tab w:val="clear" w:pos="1800"/>
        <w:tab w:val="left" w:pos="720"/>
        <w:tab w:val="center" w:pos="1440"/>
      </w:tabs>
      <w:spacing w:before="0"/>
      <w:ind w:left="720" w:hanging="720"/>
    </w:pPr>
    <w:rPr>
      <w:b/>
      <w:snapToGrid/>
    </w:rPr>
  </w:style>
  <w:style w:type="paragraph" w:customStyle="1" w:styleId="StyleHeading2SubParaaHeading2Char1CharSubParaaChar1">
    <w:name w:val="Style Heading 2SubPara (a)Heading 2 Char1 CharSubPara (a) Char1 ..."/>
    <w:basedOn w:val="Heading2"/>
    <w:autoRedefine/>
    <w:rPr>
      <w:bCs/>
      <w:snapToGrid/>
      <w:szCs w:val="20"/>
    </w:rPr>
  </w:style>
  <w:style w:type="paragraph" w:customStyle="1" w:styleId="StyleStyleHeading2SubParaaHeading2Char1CharSubParaaCha">
    <w:name w:val="Style Style Heading 2SubPara (a)Heading 2 Char1 CharSubPara (a) Cha..."/>
    <w:basedOn w:val="StyleHeading2SubParaaHeading2Char1CharSubParaaChar1"/>
  </w:style>
  <w:style w:type="paragraph" w:customStyle="1" w:styleId="StyleHeading4Left0Firstline0">
    <w:name w:val="Style Heading 4 + Left:  0&quot; First line:  0&quot;"/>
    <w:basedOn w:val="Heading4"/>
    <w:autoRedefine/>
    <w:pPr>
      <w:spacing w:after="0"/>
      <w:ind w:left="720"/>
    </w:pPr>
    <w:rPr>
      <w:b w:val="0"/>
      <w:bCs/>
      <w:snapToGrid/>
      <w:szCs w:val="20"/>
    </w:rPr>
  </w:style>
  <w:style w:type="paragraph" w:styleId="ListBullet2">
    <w:name w:val="List Bullet 2"/>
    <w:basedOn w:val="Normal"/>
    <w:semiHidden/>
    <w:pPr>
      <w:tabs>
        <w:tab w:val="num" w:pos="643"/>
      </w:tabs>
      <w:spacing w:after="0"/>
      <w:ind w:left="643" w:hanging="360"/>
    </w:pPr>
    <w:rPr>
      <w:color w:val="auto"/>
      <w:szCs w:val="24"/>
      <w:lang w:eastAsia="en-GB"/>
    </w:rPr>
  </w:style>
  <w:style w:type="paragraph" w:styleId="ListBullet3">
    <w:name w:val="List Bullet 3"/>
    <w:basedOn w:val="Normal"/>
    <w:semiHidden/>
    <w:pPr>
      <w:tabs>
        <w:tab w:val="num" w:pos="926"/>
      </w:tabs>
      <w:spacing w:after="0"/>
      <w:ind w:left="926" w:hanging="360"/>
    </w:pPr>
    <w:rPr>
      <w:color w:val="auto"/>
      <w:szCs w:val="24"/>
      <w:lang w:eastAsia="en-GB"/>
    </w:rPr>
  </w:style>
  <w:style w:type="paragraph" w:styleId="ListBullet4">
    <w:name w:val="List Bullet 4"/>
    <w:basedOn w:val="Normal"/>
    <w:semiHidden/>
    <w:pPr>
      <w:tabs>
        <w:tab w:val="num" w:pos="1209"/>
      </w:tabs>
      <w:spacing w:after="0"/>
      <w:ind w:left="1209" w:hanging="360"/>
    </w:pPr>
    <w:rPr>
      <w:color w:val="auto"/>
      <w:szCs w:val="24"/>
      <w:lang w:eastAsia="en-GB"/>
    </w:rPr>
  </w:style>
  <w:style w:type="paragraph" w:customStyle="1" w:styleId="ECMSHeading1">
    <w:name w:val="ECMS Heading 1"/>
    <w:basedOn w:val="Heading1"/>
    <w:pPr>
      <w:spacing w:after="1080"/>
    </w:pPr>
    <w:rPr>
      <w:rFonts w:ascii="Garamond" w:hAnsi="Garamond" w:cs="Arial"/>
      <w:bCs/>
      <w:color w:val="auto"/>
      <w:sz w:val="48"/>
      <w:szCs w:val="18"/>
      <w:lang w:eastAsia="en-GB"/>
    </w:rPr>
  </w:style>
  <w:style w:type="paragraph" w:customStyle="1" w:styleId="ECMStableheader">
    <w:name w:val="ECMS table header"/>
    <w:basedOn w:val="Normal"/>
    <w:pPr>
      <w:spacing w:after="0"/>
      <w:ind w:left="1320" w:hanging="1320"/>
    </w:pPr>
    <w:rPr>
      <w:b/>
      <w:color w:val="auto"/>
      <w:szCs w:val="24"/>
      <w:lang w:eastAsia="en-GB"/>
    </w:rPr>
  </w:style>
  <w:style w:type="paragraph" w:customStyle="1" w:styleId="Paralevel3">
    <w:name w:val="Para level3"/>
    <w:basedOn w:val="Normal"/>
    <w:autoRedefine/>
    <w:pPr>
      <w:numPr>
        <w:numId w:val="26"/>
      </w:numPr>
      <w:tabs>
        <w:tab w:val="clear" w:pos="2892"/>
        <w:tab w:val="num" w:pos="360"/>
      </w:tabs>
      <w:suppressAutoHyphens/>
      <w:spacing w:after="120"/>
      <w:ind w:left="0" w:firstLine="0"/>
    </w:pPr>
    <w:rPr>
      <w:color w:val="auto"/>
      <w:sz w:val="20"/>
      <w:lang w:eastAsia="en-US"/>
    </w:rPr>
  </w:style>
  <w:style w:type="character" w:customStyle="1" w:styleId="ANNEXESChar">
    <w:name w:val="ANNEXES Char"/>
    <w:rPr>
      <w:b/>
      <w:noProof w:val="0"/>
      <w:color w:val="000000"/>
      <w:sz w:val="28"/>
      <w:lang w:val="en-GB" w:eastAsia="zh-CN" w:bidi="ar-SA"/>
    </w:rPr>
  </w:style>
  <w:style w:type="character" w:customStyle="1" w:styleId="BodyTextChar">
    <w:name w:val="Body Text Char"/>
    <w:aliases w:val=" Char Char Char,Char Char Char,Body Text Char Char Char Char Char Char,Body Text Char Char Char Char Char1"/>
    <w:uiPriority w:val="99"/>
    <w:rPr>
      <w:rFonts w:ascii="Times New Roman" w:hAnsi="Times New Roman"/>
      <w:noProof w:val="0"/>
      <w:color w:val="000000"/>
      <w:lang w:val="en-GB" w:eastAsia="zh-CN"/>
    </w:rPr>
  </w:style>
  <w:style w:type="character" w:customStyle="1" w:styleId="BodyTextIndentChar">
    <w:name w:val="Body Text Indent Char"/>
    <w:rPr>
      <w:rFonts w:ascii="Times New Roman" w:hAnsi="Times New Roman"/>
      <w:noProof w:val="0"/>
      <w:color w:val="000000"/>
      <w:lang w:val="en-GB" w:eastAsia="zh-CN"/>
    </w:rPr>
  </w:style>
  <w:style w:type="paragraph" w:customStyle="1" w:styleId="ColorfulShading-Accent31">
    <w:name w:val="Colorful Shading - Accent 31"/>
    <w:basedOn w:val="Normal"/>
    <w:qFormat/>
    <w:pPr>
      <w:spacing w:after="0"/>
    </w:pPr>
    <w:rPr>
      <w:rFonts w:ascii="Cambria" w:eastAsia="Cambria" w:hAnsi="Cambria"/>
      <w:color w:val="auto"/>
      <w:sz w:val="24"/>
      <w:lang w:val="en-US"/>
    </w:rPr>
  </w:style>
  <w:style w:type="paragraph" w:customStyle="1" w:styleId="summarylevel3">
    <w:name w:val="summary level3"/>
    <w:basedOn w:val="Heading3"/>
    <w:next w:val="Normal"/>
    <w:pPr>
      <w:keepLines w:val="0"/>
      <w:suppressLineNumbers/>
      <w:tabs>
        <w:tab w:val="left" w:pos="851"/>
      </w:tabs>
      <w:spacing w:before="100"/>
    </w:pPr>
    <w:rPr>
      <w:rFonts w:ascii="Times New Roman Bold" w:hAnsi="Times New Roman Bold"/>
      <w:snapToGrid/>
      <w:lang w:val="en-AU"/>
    </w:rPr>
  </w:style>
  <w:style w:type="paragraph" w:customStyle="1" w:styleId="intro">
    <w:name w:val="intro"/>
    <w:basedOn w:val="Normal"/>
    <w:pPr>
      <w:spacing w:before="100" w:after="100"/>
    </w:pPr>
    <w:rPr>
      <w:color w:val="auto"/>
      <w:sz w:val="24"/>
      <w:lang w:val="en-US" w:eastAsia="ja-JP"/>
    </w:rPr>
  </w:style>
  <w:style w:type="paragraph" w:customStyle="1" w:styleId="BodyTextLeft">
    <w:name w:val="Body Text Left"/>
    <w:basedOn w:val="Normal"/>
    <w:pPr>
      <w:widowControl w:val="0"/>
    </w:pPr>
    <w:rPr>
      <w:rFonts w:eastAsia="MS Mincho"/>
      <w:color w:val="auto"/>
      <w:kern w:val="2"/>
      <w:sz w:val="24"/>
      <w:lang w:eastAsia="ja-JP"/>
    </w:rPr>
  </w:style>
  <w:style w:type="paragraph" w:customStyle="1" w:styleId="bullet0">
    <w:name w:val="bullet"/>
    <w:basedOn w:val="Normal"/>
    <w:autoRedefine/>
    <w:pPr>
      <w:spacing w:after="0"/>
      <w:ind w:left="1080"/>
    </w:pPr>
    <w:rPr>
      <w:color w:val="auto"/>
      <w:sz w:val="24"/>
    </w:rPr>
  </w:style>
  <w:style w:type="paragraph" w:customStyle="1" w:styleId="ExecSumHeading">
    <w:name w:val="Exec Sum Heading"/>
    <w:basedOn w:val="Heading1"/>
    <w:pPr>
      <w:widowControl w:val="0"/>
      <w:tabs>
        <w:tab w:val="left" w:pos="851"/>
      </w:tabs>
      <w:spacing w:before="240"/>
    </w:pPr>
    <w:rPr>
      <w:rFonts w:ascii="Times New Roman Bold" w:eastAsia="MS Mincho" w:hAnsi="Times New Roman Bold"/>
      <w:color w:val="auto"/>
      <w:kern w:val="32"/>
      <w:sz w:val="30"/>
    </w:rPr>
  </w:style>
  <w:style w:type="character" w:customStyle="1" w:styleId="text">
    <w:name w:val="text"/>
    <w:basedOn w:val="DefaultParagraphFont"/>
  </w:style>
  <w:style w:type="paragraph" w:customStyle="1" w:styleId="StyleHeading1Para1Heading1Char1CharHeading1CharCharC">
    <w:name w:val="Style Heading 1Para (1)Heading 1 Char1 CharHeading 1 Char Char C..."/>
    <w:basedOn w:val="Heading1"/>
    <w:pPr>
      <w:tabs>
        <w:tab w:val="left" w:pos="851"/>
      </w:tabs>
      <w:spacing w:before="240" w:after="60"/>
    </w:pPr>
    <w:rPr>
      <w:rFonts w:ascii="Times New Roman Bold" w:hAnsi="Times New Roman Bold"/>
      <w:kern w:val="32"/>
      <w:sz w:val="30"/>
      <w:lang w:val="en-US"/>
    </w:rPr>
  </w:style>
  <w:style w:type="character" w:customStyle="1" w:styleId="StyleHeading1Para1Heading1Char1CharHeading1CharCharCChar">
    <w:name w:val="Style Heading 1Para (1)Heading 1 Char1 CharHeading 1 Char Char C... Char"/>
    <w:rPr>
      <w:rFonts w:cs="Arial"/>
      <w:b/>
      <w:bCs/>
      <w:noProof w:val="0"/>
      <w:color w:val="000000"/>
      <w:kern w:val="32"/>
      <w:sz w:val="28"/>
      <w:szCs w:val="32"/>
      <w:lang w:val="en-US" w:eastAsia="en-US" w:bidi="ar-SA"/>
    </w:rPr>
  </w:style>
  <w:style w:type="paragraph" w:customStyle="1" w:styleId="StyleBodyTextLeftAfter0pt">
    <w:name w:val="Style Body Text Left + After:  0 pt"/>
    <w:basedOn w:val="BodyTextLeft"/>
    <w:rPr>
      <w:lang w:eastAsia="zh-CN"/>
    </w:rPr>
  </w:style>
  <w:style w:type="paragraph" w:customStyle="1" w:styleId="StyleBodyTextIndent2Firstline0cm">
    <w:name w:val="Style Body Text Indent 2 + First line:  0 cm"/>
    <w:basedOn w:val="BodyTextIndent2"/>
    <w:pPr>
      <w:spacing w:after="240"/>
      <w:ind w:firstLine="0"/>
    </w:pPr>
  </w:style>
  <w:style w:type="paragraph" w:customStyle="1" w:styleId="StyleBodyTextIndent2Firstline0cm1">
    <w:name w:val="Style Body Text Indent 2 + First line:  0 cm1"/>
    <w:basedOn w:val="BodyTextIndent2"/>
    <w:pPr>
      <w:spacing w:after="240"/>
      <w:ind w:firstLine="0"/>
    </w:pPr>
  </w:style>
  <w:style w:type="paragraph" w:customStyle="1" w:styleId="NormalBold">
    <w:name w:val="Normal + Bold"/>
    <w:aliases w:val="Italic,Centered"/>
    <w:basedOn w:val="Execlevel3"/>
    <w:pPr>
      <w:spacing w:after="240"/>
      <w:jc w:val="center"/>
    </w:pPr>
  </w:style>
  <w:style w:type="paragraph" w:styleId="List5">
    <w:name w:val="List 5"/>
    <w:basedOn w:val="Normal"/>
    <w:semiHidden/>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255612"/>
    <w:pPr>
      <w:tabs>
        <w:tab w:val="left" w:pos="720"/>
        <w:tab w:val="right" w:pos="9360"/>
      </w:tabs>
      <w:spacing w:after="0"/>
    </w:pPr>
    <w:rPr>
      <w:rFonts w:ascii="Helvetica" w:hAnsi="Helvetica"/>
      <w:color w:val="auto"/>
      <w:lang w:val="en-US"/>
    </w:rPr>
  </w:style>
  <w:style w:type="character" w:customStyle="1" w:styleId="CommentTextChar1">
    <w:name w:val="Comment Text Char1"/>
    <w:uiPriority w:val="99"/>
    <w:rPr>
      <w:rFonts w:cs="Times New Roman"/>
      <w:noProof w:val="0"/>
      <w:sz w:val="24"/>
      <w:lang w:val="en-US" w:eastAsia="ja-JP"/>
    </w:rPr>
  </w:style>
  <w:style w:type="character" w:customStyle="1" w:styleId="CommentTextChar">
    <w:name w:val="Comment Text Char"/>
    <w:uiPriority w:val="99"/>
    <w:rPr>
      <w:rFonts w:ascii="Times New Roman" w:hAnsi="Times New Roman" w:cs="Times New Roman"/>
      <w:noProof w:val="0"/>
      <w:sz w:val="24"/>
      <w:lang w:val="x-none" w:eastAsia="ja-JP"/>
    </w:rPr>
  </w:style>
  <w:style w:type="character" w:customStyle="1" w:styleId="BalloonTextChar">
    <w:name w:val="Balloon Text Char"/>
    <w:uiPriority w:val="99"/>
    <w:rPr>
      <w:rFonts w:ascii="Tahoma" w:hAnsi="Tahoma" w:cs="MS Mincho"/>
      <w:sz w:val="16"/>
    </w:rPr>
  </w:style>
  <w:style w:type="character" w:customStyle="1" w:styleId="CommentSubjectChar">
    <w:name w:val="Comment Subject Char"/>
    <w:uiPriority w:val="99"/>
    <w:rPr>
      <w:rFonts w:eastAsia="Times New Roman" w:cs="Times New Roman"/>
      <w:b/>
      <w:bCs/>
      <w:noProof w:val="0"/>
      <w:sz w:val="24"/>
      <w:lang w:val="en-US" w:eastAsia="ja-JP"/>
    </w:rPr>
  </w:style>
  <w:style w:type="character" w:customStyle="1" w:styleId="Heading5Char">
    <w:name w:val="Heading 5 Char"/>
    <w:aliases w:val="Subpara 2 Char"/>
    <w:uiPriority w:val="9"/>
    <w:rPr>
      <w:rFonts w:ascii="Cambria" w:eastAsia="Times New Roman" w:hAnsi="Cambria" w:cs="Times New Roman"/>
      <w:color w:val="243F60"/>
    </w:rPr>
  </w:style>
  <w:style w:type="character" w:customStyle="1" w:styleId="Heading6Char">
    <w:name w:val="Heading 6 Char"/>
    <w:aliases w:val="Subpara 3 Char"/>
    <w:uiPriority w:val="9"/>
    <w:rPr>
      <w:rFonts w:ascii="Cambria" w:eastAsia="Times New Roman" w:hAnsi="Cambria" w:cs="Times New Roman"/>
      <w:i/>
      <w:iCs/>
      <w:color w:val="243F60"/>
    </w:rPr>
  </w:style>
  <w:style w:type="character" w:customStyle="1" w:styleId="Heading7Char">
    <w:name w:val="Heading 7 Char"/>
    <w:aliases w:val="Subpara 4 Char"/>
    <w:uiPriority w:val="9"/>
    <w:rPr>
      <w:rFonts w:ascii="Cambria" w:eastAsia="Times New Roman" w:hAnsi="Cambria" w:cs="Times New Roman"/>
      <w:i/>
      <w:iCs/>
      <w:color w:val="404040"/>
    </w:rPr>
  </w:style>
  <w:style w:type="character" w:customStyle="1" w:styleId="Heading8Char">
    <w:name w:val="Heading 8 Char"/>
    <w:aliases w:val="Subpara 5 Char"/>
    <w:uiPriority w:val="9"/>
    <w:rPr>
      <w:rFonts w:ascii="Cambria" w:eastAsia="Times New Roman" w:hAnsi="Cambria" w:cs="Times New Roman"/>
      <w:color w:val="404040"/>
      <w:sz w:val="20"/>
      <w:szCs w:val="20"/>
    </w:rPr>
  </w:style>
  <w:style w:type="character" w:customStyle="1" w:styleId="Heading9Char">
    <w:name w:val="Heading 9 Char"/>
    <w:aliases w:val="Subpara 6 Char"/>
    <w:uiPriority w:val="9"/>
    <w:rPr>
      <w:rFonts w:ascii="Cambria" w:eastAsia="Times New Roman" w:hAnsi="Cambria" w:cs="Times New Roman"/>
      <w:i/>
      <w:iCs/>
      <w:color w:val="404040"/>
      <w:sz w:val="20"/>
      <w:szCs w:val="20"/>
    </w:rPr>
  </w:style>
  <w:style w:type="paragraph" w:customStyle="1" w:styleId="Paraindent">
    <w:name w:val="Para indent"/>
    <w:basedOn w:val="Normal"/>
    <w:qFormat/>
    <w:pPr>
      <w:widowControl w:val="0"/>
      <w:spacing w:before="120" w:after="120"/>
      <w:ind w:left="709" w:right="720"/>
      <w:jc w:val="both"/>
    </w:pPr>
    <w:rPr>
      <w:i/>
      <w:sz w:val="20"/>
    </w:rPr>
  </w:style>
  <w:style w:type="paragraph" w:customStyle="1" w:styleId="BulletsinTable">
    <w:name w:val="Bullets in Table"/>
    <w:basedOn w:val="ListParagraph1"/>
    <w:qFormat/>
    <w:pPr>
      <w:numPr>
        <w:numId w:val="9"/>
      </w:numPr>
      <w:autoSpaceDE w:val="0"/>
      <w:autoSpaceDN w:val="0"/>
      <w:adjustRightInd w:val="0"/>
      <w:ind w:left="720" w:right="720"/>
      <w:jc w:val="left"/>
    </w:pPr>
    <w:rPr>
      <w:rFonts w:ascii="Times New Roman" w:eastAsia="Times New Roman" w:hAnsi="Times New Roman"/>
      <w:i/>
      <w:color w:val="000000"/>
      <w:sz w:val="20"/>
      <w:lang w:val="en"/>
    </w:rPr>
  </w:style>
  <w:style w:type="paragraph" w:customStyle="1" w:styleId="Annex">
    <w:name w:val="Annex"/>
    <w:basedOn w:val="Caption"/>
    <w:qFormat/>
    <w:pPr>
      <w:spacing w:before="100" w:after="100" w:line="240" w:lineRule="auto"/>
      <w:ind w:left="426" w:right="720"/>
    </w:pPr>
    <w:rPr>
      <w:b/>
      <w:caps/>
      <w:color w:val="auto"/>
      <w:sz w:val="20"/>
    </w:rPr>
  </w:style>
  <w:style w:type="paragraph" w:customStyle="1" w:styleId="Tableandfigureheadings">
    <w:name w:val="Table and figure headings"/>
    <w:basedOn w:val="TableofFigures"/>
    <w:qFormat/>
    <w:pPr>
      <w:keepNext/>
      <w:ind w:left="0" w:right="720" w:firstLine="0"/>
      <w:jc w:val="left"/>
    </w:pPr>
    <w:rPr>
      <w:rFonts w:eastAsia="Times New Roman"/>
      <w:i/>
      <w:caps w:val="0"/>
      <w:sz w:val="24"/>
    </w:rPr>
  </w:style>
  <w:style w:type="paragraph" w:customStyle="1" w:styleId="Bulletsnumbered">
    <w:name w:val="Bullets numbered"/>
    <w:basedOn w:val="Paraindent"/>
    <w:qFormat/>
    <w:pPr>
      <w:tabs>
        <w:tab w:val="num" w:pos="720"/>
      </w:tabs>
      <w:ind w:left="1560" w:hanging="720"/>
    </w:pPr>
  </w:style>
  <w:style w:type="paragraph" w:customStyle="1" w:styleId="Style">
    <w:name w:val="Style"/>
    <w:pPr>
      <w:widowControl w:val="0"/>
      <w:numPr>
        <w:numId w:val="29"/>
      </w:numPr>
      <w:tabs>
        <w:tab w:val="clear" w:pos="720"/>
      </w:tabs>
      <w:autoSpaceDE w:val="0"/>
      <w:autoSpaceDN w:val="0"/>
      <w:adjustRightInd w:val="0"/>
      <w:ind w:left="0" w:firstLine="0"/>
    </w:pPr>
    <w:rPr>
      <w:rFonts w:ascii="Arial" w:hAnsi="Arial"/>
      <w:sz w:val="24"/>
      <w:lang w:val="en-GB" w:eastAsia="ko-KR"/>
    </w:rPr>
  </w:style>
  <w:style w:type="paragraph" w:customStyle="1" w:styleId="Chapternumber">
    <w:name w:val="Chapter number"/>
    <w:basedOn w:val="Normal"/>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Pr>
      <w:rFonts w:ascii="FrutigerLTStd-Bold" w:hAnsi="FrutigerLTStd-Bold" w:cs="Verdana"/>
      <w:b/>
      <w:bCs/>
    </w:rPr>
  </w:style>
  <w:style w:type="paragraph" w:customStyle="1" w:styleId="Section3numbered">
    <w:name w:val="Section 3 numbered"/>
    <w:pPr>
      <w:numPr>
        <w:numId w:val="30"/>
      </w:numPr>
      <w:tabs>
        <w:tab w:val="clear" w:pos="72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pPr>
      <w:tabs>
        <w:tab w:val="num" w:pos="0"/>
      </w:tabs>
      <w:spacing w:after="227"/>
      <w:ind w:left="578"/>
    </w:pPr>
    <w:rPr>
      <w:rFonts w:ascii="FrutigerLTStd-Light" w:hAnsi="FrutigerLTStd-Light"/>
      <w:color w:val="000000"/>
      <w:sz w:val="24"/>
      <w:lang w:val="en-GB" w:eastAsia="ko-KR"/>
    </w:rPr>
  </w:style>
  <w:style w:type="paragraph" w:customStyle="1" w:styleId="BasicParagraph">
    <w:name w:val="[Basic Paragraph]"/>
    <w:basedOn w:val="Normal"/>
    <w:pPr>
      <w:widowControl w:val="0"/>
      <w:numPr>
        <w:numId w:val="31"/>
      </w:numPr>
      <w:tabs>
        <w:tab w:val="clear" w:pos="720"/>
      </w:tabs>
      <w:autoSpaceDE w:val="0"/>
      <w:autoSpaceDN w:val="0"/>
      <w:adjustRightInd w:val="0"/>
      <w:spacing w:before="100" w:after="0" w:line="288" w:lineRule="auto"/>
      <w:ind w:left="0" w:right="720" w:firstLine="0"/>
      <w:textAlignment w:val="center"/>
    </w:pPr>
    <w:rPr>
      <w:rFonts w:ascii="Times-Roman" w:hAnsi="Times-Roman"/>
      <w:i/>
      <w:sz w:val="24"/>
      <w:lang w:val="en-US"/>
    </w:rPr>
  </w:style>
  <w:style w:type="character" w:customStyle="1" w:styleId="t1">
    <w:name w:val="t1"/>
    <w:basedOn w:val="DefaultParagraphFont"/>
  </w:style>
  <w:style w:type="paragraph" w:customStyle="1" w:styleId="Bulletstechnologytable">
    <w:name w:val="Bullets technology table"/>
    <w:basedOn w:val="BulletsinTable"/>
    <w:qFormat/>
    <w:pPr>
      <w:ind w:left="175" w:hanging="142"/>
    </w:pPr>
  </w:style>
  <w:style w:type="paragraph" w:customStyle="1" w:styleId="Recommendationsnumbered">
    <w:name w:val="Recommendations numbered"/>
    <w:basedOn w:val="Bulletsnumbered"/>
    <w:qFormat/>
    <w:pPr>
      <w:ind w:left="1134" w:hanging="425"/>
    </w:pPr>
  </w:style>
  <w:style w:type="paragraph" w:customStyle="1" w:styleId="wbtbullet1">
    <w:name w:val="wbtbullet1"/>
    <w:basedOn w:val="Normal"/>
    <w:pPr>
      <w:spacing w:before="100" w:after="0"/>
      <w:ind w:right="720"/>
      <w:jc w:val="both"/>
    </w:pPr>
    <w:rPr>
      <w:rFonts w:ascii="Verdana" w:hAnsi="Verdana"/>
      <w:i/>
      <w:color w:val="auto"/>
      <w:sz w:val="16"/>
    </w:rPr>
  </w:style>
  <w:style w:type="paragraph" w:customStyle="1" w:styleId="Box">
    <w:name w:val="Box"/>
    <w:basedOn w:val="BodyText"/>
    <w:qFormat/>
    <w:pPr>
      <w:numPr>
        <w:ilvl w:val="1"/>
        <w:numId w:val="7"/>
      </w:numPr>
      <w:pBdr>
        <w:top w:val="single" w:sz="4" w:space="1" w:color="auto"/>
        <w:left w:val="single" w:sz="4" w:space="4" w:color="auto"/>
        <w:bottom w:val="single" w:sz="4" w:space="1" w:color="auto"/>
        <w:right w:val="single" w:sz="4" w:space="4" w:color="auto"/>
      </w:pBdr>
      <w:spacing w:before="100" w:after="0" w:line="240" w:lineRule="auto"/>
      <w:ind w:right="720"/>
    </w:pPr>
    <w:rPr>
      <w:rFonts w:ascii="Calibri" w:hAnsi="Calibri"/>
      <w:i/>
      <w:color w:val="auto"/>
      <w:spacing w:val="-2"/>
      <w:sz w:val="18"/>
      <w:lang w:val="en-US"/>
    </w:rPr>
  </w:style>
  <w:style w:type="character" w:customStyle="1" w:styleId="content1">
    <w:name w:val="content1"/>
    <w:rPr>
      <w:rFonts w:ascii="Trebuchet MS" w:hAnsi="Trebuchet MS" w:hint="default"/>
      <w:color w:val="292929"/>
      <w:sz w:val="18"/>
      <w:szCs w:val="18"/>
    </w:rPr>
  </w:style>
  <w:style w:type="character" w:customStyle="1" w:styleId="smbody1">
    <w:name w:val="smbody1"/>
    <w:rPr>
      <w:rFonts w:ascii="Verdana" w:hAnsi="Verdana" w:hint="default"/>
      <w:color w:val="333333"/>
      <w:sz w:val="15"/>
      <w:szCs w:val="15"/>
    </w:rPr>
  </w:style>
  <w:style w:type="paragraph" w:customStyle="1" w:styleId="Text0">
    <w:name w:val="Text"/>
    <w:basedOn w:val="Normal"/>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pPr>
      <w:keepLines w:val="0"/>
      <w:numPr>
        <w:ilvl w:val="2"/>
        <w:numId w:val="1"/>
      </w:numPr>
      <w:tabs>
        <w:tab w:val="num" w:pos="1800"/>
      </w:tabs>
      <w:spacing w:before="240" w:after="60"/>
      <w:ind w:left="1440" w:firstLine="0"/>
    </w:pPr>
    <w:rPr>
      <w:b w:val="0"/>
      <w:i/>
      <w:snapToGrid/>
    </w:rPr>
  </w:style>
  <w:style w:type="character" w:customStyle="1" w:styleId="TitleChar">
    <w:name w:val="Title Char"/>
    <w:uiPriority w:val="10"/>
    <w:rPr>
      <w:rFonts w:ascii="Arial" w:eastAsia="Times New Roman" w:hAnsi="Arial" w:cs="Arial"/>
      <w:b/>
      <w:bCs/>
      <w:kern w:val="28"/>
      <w:sz w:val="28"/>
      <w:szCs w:val="32"/>
      <w:lang w:eastAsia="en-U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character" w:customStyle="1" w:styleId="BodyText3Char">
    <w:name w:val="Body Text 3 Char"/>
    <w:rPr>
      <w:rFonts w:ascii="Arial" w:eastAsia="Times New Roman" w:hAnsi="Arial" w:cs="Times New Roman"/>
      <w:sz w:val="16"/>
      <w:szCs w:val="16"/>
      <w:lang w:eastAsia="en-US"/>
    </w:rPr>
  </w:style>
  <w:style w:type="paragraph" w:customStyle="1" w:styleId="TablesinAnnexlandscape">
    <w:name w:val="Tables in Annex landscape"/>
    <w:basedOn w:val="Table"/>
    <w:qFormat/>
    <w:pPr>
      <w:keepLines w:val="0"/>
      <w:spacing w:before="120" w:after="120"/>
      <w:ind w:left="709" w:right="720"/>
    </w:pPr>
    <w:rPr>
      <w:b/>
      <w:i/>
      <w:snapToGrid/>
    </w:rPr>
  </w:style>
  <w:style w:type="paragraph" w:customStyle="1" w:styleId="Tablefootnote">
    <w:name w:val="Table footnote"/>
    <w:basedOn w:val="Normal"/>
    <w:qFormat/>
    <w:pPr>
      <w:tabs>
        <w:tab w:val="left" w:pos="3000"/>
      </w:tabs>
      <w:spacing w:before="100" w:after="0"/>
      <w:ind w:left="709" w:right="720"/>
    </w:pPr>
    <w:rPr>
      <w:i/>
      <w:color w:val="auto"/>
      <w:sz w:val="18"/>
    </w:rPr>
  </w:style>
  <w:style w:type="paragraph" w:customStyle="1" w:styleId="TableinfrontwithmeandKJ">
    <w:name w:val="Table in front with me and KJ"/>
    <w:basedOn w:val="Normal"/>
    <w:qFormat/>
    <w:pPr>
      <w:spacing w:before="60" w:after="60"/>
      <w:ind w:right="720"/>
    </w:pPr>
    <w:rPr>
      <w:i/>
      <w:color w:val="auto"/>
      <w:sz w:val="18"/>
    </w:rPr>
  </w:style>
  <w:style w:type="paragraph" w:customStyle="1" w:styleId="ParaindentItalicsubheader">
    <w:name w:val="Para indent Italic subheader"/>
    <w:basedOn w:val="Paraindent"/>
    <w:qFormat/>
    <w:rPr>
      <w:i w:val="0"/>
    </w:rPr>
  </w:style>
  <w:style w:type="paragraph" w:customStyle="1" w:styleId="Paratextintable">
    <w:name w:val="Para text in table"/>
    <w:basedOn w:val="Normal"/>
    <w:qFormat/>
    <w:pPr>
      <w:spacing w:before="120" w:after="120"/>
      <w:ind w:right="720"/>
    </w:pPr>
    <w:rPr>
      <w:color w:val="auto"/>
      <w:sz w:val="18"/>
      <w:lang w:val="en-US"/>
    </w:rPr>
  </w:style>
  <w:style w:type="paragraph" w:customStyle="1" w:styleId="Bulletsnumberedintable">
    <w:name w:val="Bullets numbered in table"/>
    <w:basedOn w:val="ListParagraph1"/>
    <w:qFormat/>
    <w:pPr>
      <w:numPr>
        <w:numId w:val="10"/>
      </w:numPr>
      <w:spacing w:before="100" w:after="0"/>
      <w:ind w:right="720"/>
      <w:jc w:val="left"/>
    </w:pPr>
    <w:rPr>
      <w:rFonts w:ascii="Times New Roman" w:eastAsia="Times New Roman" w:hAnsi="Times New Roman"/>
      <w:i/>
      <w:sz w:val="18"/>
      <w:lang w:val="en-US"/>
    </w:rPr>
  </w:style>
  <w:style w:type="paragraph" w:customStyle="1" w:styleId="Paranumbered">
    <w:name w:val="Para numbered"/>
    <w:basedOn w:val="ListParagraph1"/>
    <w:qFormat/>
    <w:pPr>
      <w:numPr>
        <w:numId w:val="11"/>
      </w:numPr>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qFormat/>
    <w:pPr>
      <w:numPr>
        <w:numId w:val="0"/>
      </w:numPr>
      <w:autoSpaceDE w:val="0"/>
      <w:autoSpaceDN w:val="0"/>
      <w:adjustRightInd w:val="0"/>
      <w:ind w:left="1985" w:right="720" w:hanging="360"/>
      <w:jc w:val="left"/>
    </w:pPr>
    <w:rPr>
      <w:rFonts w:ascii="Times New Roman" w:eastAsia="Times New Roman" w:hAnsi="Times New Roman"/>
      <w:i/>
      <w:color w:val="000000"/>
      <w:lang w:val="en"/>
    </w:rPr>
  </w:style>
  <w:style w:type="paragraph" w:customStyle="1" w:styleId="TableandFigureVol1">
    <w:name w:val="Table and Figure Vol 1"/>
    <w:basedOn w:val="Caption"/>
    <w:qFormat/>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pPr>
      <w:numPr>
        <w:numId w:val="33"/>
      </w:numPr>
      <w:spacing w:before="180" w:after="0" w:line="250" w:lineRule="exact"/>
      <w:ind w:left="0" w:right="720" w:firstLine="0"/>
      <w:jc w:val="both"/>
    </w:pPr>
    <w:rPr>
      <w:i/>
      <w:color w:val="auto"/>
      <w:sz w:val="20"/>
    </w:rPr>
  </w:style>
  <w:style w:type="character" w:customStyle="1" w:styleId="ft">
    <w:name w:val="ft"/>
  </w:style>
  <w:style w:type="character" w:customStyle="1" w:styleId="googqs-tidbit-0">
    <w:name w:val="goog_qs-tidbit-0"/>
    <w:basedOn w:val="DefaultParagraphFont"/>
  </w:style>
  <w:style w:type="character" w:customStyle="1" w:styleId="style81">
    <w:name w:val="style81"/>
    <w:rPr>
      <w:rFonts w:ascii="Verdana" w:hAnsi="Verdana" w:hint="default"/>
      <w:color w:val="008000"/>
      <w:sz w:val="27"/>
      <w:szCs w:val="27"/>
    </w:rPr>
  </w:style>
  <w:style w:type="character" w:customStyle="1" w:styleId="A6">
    <w:name w:val="A6"/>
    <w:rPr>
      <w:rFonts w:cs="Georgia"/>
      <w:color w:val="000000"/>
      <w:sz w:val="20"/>
      <w:szCs w:val="20"/>
    </w:rPr>
  </w:style>
  <w:style w:type="character" w:customStyle="1" w:styleId="googqs-tidbit1">
    <w:name w:val="goog_qs-tidbit1"/>
    <w:rPr>
      <w:vanish w:val="0"/>
      <w:webHidden w:val="0"/>
      <w:specVanish w:val="0"/>
    </w:rPr>
  </w:style>
  <w:style w:type="paragraph" w:customStyle="1" w:styleId="bodytext0">
    <w:name w:val="bodytext"/>
    <w:basedOn w:val="Normal"/>
    <w:pPr>
      <w:spacing w:before="100" w:after="100"/>
      <w:ind w:right="720"/>
    </w:pPr>
    <w:rPr>
      <w:i/>
      <w:color w:val="auto"/>
      <w:sz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pPr>
      <w:numPr>
        <w:numId w:val="13"/>
      </w:numPr>
      <w:spacing w:before="100" w:after="0"/>
      <w:ind w:right="720"/>
    </w:pPr>
    <w:rPr>
      <w:i/>
      <w:noProof/>
      <w:color w:val="auto"/>
      <w:sz w:val="18"/>
    </w:rPr>
  </w:style>
  <w:style w:type="character" w:customStyle="1" w:styleId="Bold">
    <w:name w:val="Bold"/>
    <w:rPr>
      <w:b/>
    </w:rPr>
  </w:style>
  <w:style w:type="character" w:customStyle="1" w:styleId="BoldItalic">
    <w:name w:val="Bold Italic"/>
    <w:rPr>
      <w:b/>
      <w:i/>
    </w:rPr>
  </w:style>
  <w:style w:type="character" w:customStyle="1" w:styleId="BoldItalicUnderline">
    <w:name w:val="Bold Italic Underline"/>
    <w:rPr>
      <w:b/>
      <w:i/>
      <w:u w:val="single"/>
    </w:rPr>
  </w:style>
  <w:style w:type="character" w:customStyle="1" w:styleId="BoldUnderline">
    <w:name w:val="Bold Underline"/>
    <w:rPr>
      <w:b/>
      <w:u w:val="single"/>
    </w:rPr>
  </w:style>
  <w:style w:type="paragraph" w:customStyle="1" w:styleId="BoxText">
    <w:name w:val="Box Text"/>
    <w:basedOn w:val="BoxNewPara"/>
    <w:pPr>
      <w:tabs>
        <w:tab w:val="clear" w:pos="425"/>
        <w:tab w:val="left" w:pos="426"/>
      </w:tabs>
    </w:pPr>
  </w:style>
  <w:style w:type="paragraph" w:customStyle="1" w:styleId="BoxNewPara">
    <w:name w:val="Box NewPara"/>
    <w:basedOn w:val="Normal"/>
    <w:next w:val="Normal"/>
    <w:pPr>
      <w:pBdr>
        <w:left w:val="single" w:sz="6" w:space="1" w:color="auto"/>
        <w:right w:val="single" w:sz="6" w:space="1" w:color="auto"/>
      </w:pBdr>
      <w:shd w:val="pct10" w:color="auto" w:fill="auto"/>
      <w:tabs>
        <w:tab w:val="left" w:pos="425"/>
        <w:tab w:val="num" w:pos="720"/>
      </w:tabs>
      <w:spacing w:before="100" w:after="0"/>
      <w:ind w:left="720" w:right="720" w:hanging="360"/>
      <w:jc w:val="both"/>
    </w:pPr>
    <w:rPr>
      <w:i/>
      <w:noProof/>
      <w:color w:val="auto"/>
      <w:sz w:val="20"/>
    </w:rPr>
  </w:style>
  <w:style w:type="paragraph" w:customStyle="1" w:styleId="FigureCaption">
    <w:name w:val="Figure Caption"/>
    <w:basedOn w:val="Normal"/>
    <w:pPr>
      <w:spacing w:before="120" w:after="0"/>
      <w:ind w:right="720"/>
    </w:pPr>
    <w:rPr>
      <w:noProof/>
      <w:color w:val="auto"/>
      <w:sz w:val="18"/>
    </w:rPr>
  </w:style>
  <w:style w:type="paragraph" w:customStyle="1" w:styleId="BoxNote">
    <w:name w:val="Box Note"/>
    <w:basedOn w:val="Normal"/>
    <w:next w:val="Normal"/>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pPr>
      <w:numPr>
        <w:numId w:val="35"/>
      </w:numPr>
      <w:tabs>
        <w:tab w:val="clear" w:pos="720"/>
        <w:tab w:val="left" w:pos="709"/>
      </w:tabs>
      <w:spacing w:before="160" w:after="20"/>
      <w:ind w:left="0" w:right="720" w:firstLine="0"/>
    </w:pPr>
    <w:rPr>
      <w:i/>
      <w:noProof/>
      <w:color w:val="auto"/>
      <w:sz w:val="18"/>
    </w:rPr>
  </w:style>
  <w:style w:type="paragraph" w:customStyle="1" w:styleId="BoxParaTitle">
    <w:name w:val="Box ParaTitle"/>
    <w:basedOn w:val="BoxNote"/>
    <w:rPr>
      <w:b/>
      <w:i/>
    </w:rPr>
  </w:style>
  <w:style w:type="paragraph" w:customStyle="1" w:styleId="BoxRandList1">
    <w:name w:val="Box RandList 1"/>
    <w:basedOn w:val="Normal"/>
    <w:pPr>
      <w:numPr>
        <w:numId w:val="15"/>
      </w:numPr>
      <w:pBdr>
        <w:left w:val="single" w:sz="6" w:space="10" w:color="auto"/>
        <w:right w:val="single" w:sz="6" w:space="10" w:color="auto"/>
      </w:pBdr>
      <w:shd w:val="pct10" w:color="auto" w:fill="auto"/>
      <w:tabs>
        <w:tab w:val="left" w:pos="437"/>
      </w:tabs>
      <w:spacing w:before="100" w:after="0" w:line="360" w:lineRule="auto"/>
      <w:ind w:left="437" w:right="181" w:hanging="256"/>
      <w:jc w:val="both"/>
    </w:pPr>
    <w:rPr>
      <w:i/>
      <w:noProof/>
      <w:color w:val="auto"/>
      <w:sz w:val="20"/>
    </w:rPr>
  </w:style>
  <w:style w:type="paragraph" w:customStyle="1" w:styleId="RandListLev1">
    <w:name w:val="Rand List Lev1"/>
    <w:basedOn w:val="Normal"/>
    <w:pPr>
      <w:numPr>
        <w:numId w:val="12"/>
      </w:numPr>
      <w:tabs>
        <w:tab w:val="left" w:pos="754"/>
      </w:tabs>
      <w:spacing w:before="100" w:after="0"/>
      <w:ind w:left="754" w:right="720" w:hanging="357"/>
    </w:pPr>
    <w:rPr>
      <w:i/>
      <w:noProof/>
      <w:color w:val="auto"/>
      <w:sz w:val="18"/>
    </w:rPr>
  </w:style>
  <w:style w:type="paragraph" w:customStyle="1" w:styleId="BoxRandList2">
    <w:name w:val="Box RandList 2"/>
    <w:basedOn w:val="BoxRandList1"/>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numId w:val="36"/>
      </w:numPr>
      <w:pBdr>
        <w:left w:val="single" w:sz="6" w:space="8" w:color="auto"/>
        <w:right w:val="single" w:sz="6" w:space="10" w:color="auto"/>
      </w:pBdr>
      <w:shd w:val="pct10" w:color="auto" w:fill="auto"/>
      <w:tabs>
        <w:tab w:val="num" w:pos="567"/>
      </w:tabs>
      <w:spacing w:before="100" w:after="0" w:line="360" w:lineRule="auto"/>
      <w:ind w:left="567" w:right="181" w:hanging="425"/>
      <w:jc w:val="both"/>
    </w:pPr>
    <w:rPr>
      <w:i/>
      <w:noProof/>
      <w:color w:val="auto"/>
      <w:sz w:val="20"/>
    </w:rPr>
  </w:style>
  <w:style w:type="paragraph" w:customStyle="1" w:styleId="BoxSeqList3">
    <w:name w:val="Box SeqList 3"/>
    <w:basedOn w:val="BoxSeqList2"/>
    <w:pPr>
      <w:numPr>
        <w:ilvl w:val="0"/>
        <w:numId w:val="34"/>
      </w:numPr>
      <w:pBdr>
        <w:left w:val="single" w:sz="6" w:space="30" w:color="auto"/>
        <w:right w:val="single" w:sz="6" w:space="30" w:color="auto"/>
      </w:pBdr>
      <w:tabs>
        <w:tab w:val="clear" w:pos="720"/>
        <w:tab w:val="num" w:pos="1009"/>
      </w:tabs>
      <w:ind w:left="1009" w:right="584" w:hanging="425"/>
    </w:pPr>
  </w:style>
  <w:style w:type="paragraph" w:customStyle="1" w:styleId="BoxSeqList2">
    <w:name w:val="Box SeqList 2"/>
    <w:basedOn w:val="BoxSeqList1"/>
    <w:pPr>
      <w:numPr>
        <w:ilvl w:val="2"/>
        <w:numId w:val="14"/>
      </w:numPr>
      <w:pBdr>
        <w:left w:val="single" w:sz="6" w:space="20" w:color="auto"/>
      </w:pBdr>
      <w:tabs>
        <w:tab w:val="clear" w:pos="2160"/>
      </w:tabs>
      <w:ind w:hanging="360"/>
    </w:pPr>
  </w:style>
  <w:style w:type="paragraph" w:customStyle="1" w:styleId="TableTitle">
    <w:name w:val="Table Title"/>
    <w:basedOn w:val="Normal"/>
    <w:pPr>
      <w:keepNext/>
      <w:spacing w:before="120" w:after="0"/>
      <w:ind w:right="720"/>
    </w:pPr>
    <w:rPr>
      <w:b/>
      <w:i/>
      <w:noProof/>
      <w:color w:val="auto"/>
      <w:sz w:val="18"/>
    </w:rPr>
  </w:style>
  <w:style w:type="paragraph" w:customStyle="1" w:styleId="TableEntry">
    <w:name w:val="TableEntry"/>
    <w:basedOn w:val="Normal"/>
    <w:pPr>
      <w:numPr>
        <w:ilvl w:val="1"/>
        <w:numId w:val="35"/>
      </w:numPr>
      <w:spacing w:before="80" w:after="0"/>
      <w:ind w:left="0" w:right="720" w:firstLine="0"/>
    </w:pPr>
    <w:rPr>
      <w:i/>
      <w:noProof/>
      <w:color w:val="auto"/>
      <w:sz w:val="18"/>
    </w:rPr>
  </w:style>
  <w:style w:type="paragraph" w:customStyle="1" w:styleId="BoxTitle">
    <w:name w:val="Box Title"/>
    <w:basedOn w:val="Normal"/>
    <w:next w:val="BoxText"/>
    <w:pPr>
      <w:numPr>
        <w:ilvl w:val="3"/>
        <w:numId w:val="35"/>
      </w:numPr>
      <w:pBdr>
        <w:top w:val="single" w:sz="6" w:space="7" w:color="auto"/>
        <w:left w:val="single" w:sz="6" w:space="7" w:color="auto"/>
        <w:right w:val="single" w:sz="6" w:space="7" w:color="auto"/>
      </w:pBdr>
      <w:shd w:val="pct10" w:color="auto" w:fill="auto"/>
      <w:spacing w:before="120" w:after="0" w:line="360" w:lineRule="auto"/>
      <w:ind w:left="119" w:right="119" w:firstLine="0"/>
      <w:jc w:val="center"/>
    </w:pPr>
    <w:rPr>
      <w:b/>
      <w:noProof/>
      <w:color w:val="auto"/>
      <w:sz w:val="20"/>
    </w:rPr>
  </w:style>
  <w:style w:type="character" w:customStyle="1" w:styleId="Chart">
    <w:name w:val="Chart"/>
    <w:basedOn w:val="DefaultParagraphFont"/>
  </w:style>
  <w:style w:type="paragraph" w:customStyle="1" w:styleId="RandListLev2">
    <w:name w:val="Rand List Lev2"/>
    <w:basedOn w:val="RandListLev1"/>
    <w:pPr>
      <w:tabs>
        <w:tab w:val="clear" w:pos="754"/>
        <w:tab w:val="left" w:pos="1134"/>
      </w:tabs>
      <w:ind w:left="1134"/>
    </w:pPr>
  </w:style>
  <w:style w:type="paragraph" w:customStyle="1" w:styleId="RandListLev3">
    <w:name w:val="Rand List Lev3"/>
    <w:basedOn w:val="RandListLev2"/>
    <w:pPr>
      <w:tabs>
        <w:tab w:val="clear" w:pos="1134"/>
        <w:tab w:val="left" w:pos="1559"/>
      </w:tabs>
      <w:ind w:left="1559"/>
    </w:pPr>
  </w:style>
  <w:style w:type="paragraph" w:customStyle="1" w:styleId="RandListLev4">
    <w:name w:val="Rand List Lev4"/>
    <w:basedOn w:val="RandListLev3"/>
    <w:pPr>
      <w:tabs>
        <w:tab w:val="clear" w:pos="1559"/>
        <w:tab w:val="left" w:pos="1984"/>
      </w:tabs>
      <w:ind w:left="1984"/>
    </w:pPr>
  </w:style>
  <w:style w:type="paragraph" w:customStyle="1" w:styleId="DefListHeader">
    <w:name w:val="Def List Header"/>
    <w:basedOn w:val="Normal"/>
    <w:next w:val="Normal"/>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pPr>
      <w:spacing w:before="120" w:after="480"/>
      <w:ind w:right="720"/>
      <w:jc w:val="center"/>
    </w:pPr>
    <w:rPr>
      <w:i/>
      <w:smallCaps/>
      <w:noProof/>
      <w:color w:val="808080"/>
      <w:sz w:val="56"/>
    </w:rPr>
  </w:style>
  <w:style w:type="paragraph" w:customStyle="1" w:styleId="EndBox">
    <w:name w:val="EndBox"/>
    <w:basedOn w:val="Normal"/>
    <w:next w:val="Normal"/>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pPr>
      <w:spacing w:before="120" w:after="0"/>
      <w:ind w:right="720"/>
    </w:pPr>
    <w:rPr>
      <w:i/>
      <w:noProof/>
      <w:color w:val="auto"/>
      <w:sz w:val="18"/>
    </w:rPr>
  </w:style>
  <w:style w:type="paragraph" w:customStyle="1" w:styleId="FigureTitle">
    <w:name w:val="Figure Title"/>
    <w:basedOn w:val="Normal"/>
    <w:pPr>
      <w:keepNext/>
      <w:spacing w:before="120" w:after="0"/>
      <w:ind w:right="720"/>
    </w:pPr>
    <w:rPr>
      <w:b/>
      <w:noProof/>
      <w:color w:val="auto"/>
      <w:sz w:val="18"/>
    </w:rPr>
  </w:style>
  <w:style w:type="character" w:customStyle="1" w:styleId="Graph">
    <w:name w:val="Graph"/>
    <w:basedOn w:val="DefaultParagraphFont"/>
  </w:style>
  <w:style w:type="character" w:customStyle="1" w:styleId="Image">
    <w:name w:val="Image"/>
    <w:basedOn w:val="DefaultParagraphFont"/>
  </w:style>
  <w:style w:type="character" w:customStyle="1" w:styleId="ItalicUnderline">
    <w:name w:val="Italic Underline"/>
    <w:rPr>
      <w:i/>
      <w:u w:val="single"/>
    </w:rPr>
  </w:style>
  <w:style w:type="paragraph" w:customStyle="1" w:styleId="ListHeader">
    <w:name w:val="List Header"/>
    <w:basedOn w:val="Normal"/>
    <w:pPr>
      <w:keepNext/>
      <w:spacing w:before="120" w:after="0"/>
      <w:ind w:right="720"/>
    </w:pPr>
    <w:rPr>
      <w:i/>
      <w:noProof/>
      <w:color w:val="auto"/>
      <w:sz w:val="18"/>
    </w:rPr>
  </w:style>
  <w:style w:type="paragraph" w:customStyle="1" w:styleId="MeetInfo">
    <w:name w:val="MeetInfo"/>
    <w:basedOn w:val="Normal"/>
    <w:next w:val="Normal"/>
    <w:pPr>
      <w:tabs>
        <w:tab w:val="left" w:pos="426"/>
      </w:tabs>
      <w:spacing w:before="60" w:after="0"/>
      <w:ind w:right="720"/>
    </w:pPr>
    <w:rPr>
      <w:i/>
      <w:noProof/>
      <w:color w:val="auto"/>
      <w:sz w:val="18"/>
    </w:rPr>
  </w:style>
  <w:style w:type="paragraph" w:customStyle="1" w:styleId="SpacePara">
    <w:name w:val="SpacePara"/>
    <w:basedOn w:val="Normal"/>
    <w:next w:val="DocTitle"/>
    <w:pPr>
      <w:spacing w:before="100" w:after="0" w:line="480" w:lineRule="auto"/>
      <w:ind w:right="720"/>
    </w:pPr>
    <w:rPr>
      <w:i/>
      <w:noProof/>
      <w:color w:val="auto"/>
      <w:sz w:val="18"/>
    </w:rPr>
  </w:style>
  <w:style w:type="character" w:customStyle="1" w:styleId="NroPara">
    <w:name w:val="NroPara"/>
    <w:basedOn w:val="DefaultParagraphFont"/>
  </w:style>
  <w:style w:type="character" w:customStyle="1" w:styleId="NumBox">
    <w:name w:val="NumBox"/>
    <w:basedOn w:val="DefaultParagraphFont"/>
  </w:style>
  <w:style w:type="character" w:customStyle="1" w:styleId="NumFigure">
    <w:name w:val="NumFigure"/>
    <w:basedOn w:val="DefaultParagraphFont"/>
  </w:style>
  <w:style w:type="character" w:customStyle="1" w:styleId="NumTable">
    <w:name w:val="NumTable"/>
    <w:basedOn w:val="DefaultParagraphFont"/>
  </w:style>
  <w:style w:type="paragraph" w:customStyle="1" w:styleId="PgBrk">
    <w:name w:val="PgBrk"/>
    <w:basedOn w:val="Normal"/>
    <w:next w:val="Heading1"/>
    <w:pPr>
      <w:pageBreakBefore/>
      <w:spacing w:before="120" w:after="0" w:line="14" w:lineRule="exact"/>
      <w:ind w:right="720"/>
    </w:pPr>
    <w:rPr>
      <w:i/>
      <w:noProof/>
      <w:color w:val="auto"/>
      <w:sz w:val="18"/>
    </w:rPr>
  </w:style>
  <w:style w:type="paragraph" w:customStyle="1" w:styleId="StartBack">
    <w:name w:val="StartBack"/>
    <w:basedOn w:val="SpacePara"/>
    <w:next w:val="Normal"/>
  </w:style>
  <w:style w:type="paragraph" w:customStyle="1" w:styleId="StartBody">
    <w:name w:val="StartBody"/>
    <w:basedOn w:val="SpacePara"/>
    <w:next w:val="Normal"/>
  </w:style>
  <w:style w:type="paragraph" w:customStyle="1" w:styleId="TBL-COLMNhd">
    <w:name w:val="TBL-COLMNhd"/>
    <w:basedOn w:val="Normal"/>
    <w:pPr>
      <w:tabs>
        <w:tab w:val="left" w:pos="-720"/>
      </w:tabs>
      <w:suppressAutoHyphens/>
      <w:spacing w:before="60" w:after="20"/>
      <w:ind w:right="720"/>
      <w:jc w:val="center"/>
    </w:pPr>
    <w:rPr>
      <w:b/>
      <w:i/>
      <w:noProof/>
      <w:color w:val="auto"/>
      <w:sz w:val="18"/>
    </w:rPr>
  </w:style>
  <w:style w:type="character" w:customStyle="1" w:styleId="Term">
    <w:name w:val="Term"/>
    <w:rPr>
      <w:b/>
    </w:rPr>
  </w:style>
  <w:style w:type="character" w:customStyle="1" w:styleId="TermHeading">
    <w:name w:val="Term Heading"/>
    <w:rPr>
      <w:b/>
    </w:rPr>
  </w:style>
  <w:style w:type="paragraph" w:customStyle="1" w:styleId="TOCRef">
    <w:name w:val="TOCRef"/>
    <w:basedOn w:val="Normal"/>
    <w:next w:val="TOC1"/>
    <w:pPr>
      <w:spacing w:before="120" w:after="0" w:line="200" w:lineRule="exact"/>
      <w:ind w:right="720"/>
      <w:jc w:val="right"/>
    </w:pPr>
    <w:rPr>
      <w:i/>
      <w:noProof/>
      <w:color w:val="auto"/>
      <w:sz w:val="18"/>
    </w:rPr>
  </w:style>
  <w:style w:type="paragraph" w:customStyle="1" w:styleId="TOCTitle">
    <w:name w:val="TOCTitle"/>
    <w:basedOn w:val="Normal"/>
    <w:next w:val="TOCRef"/>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Pr>
      <w:u w:val="single"/>
    </w:rPr>
  </w:style>
  <w:style w:type="character" w:customStyle="1" w:styleId="XReference">
    <w:name w:val="XReference"/>
    <w:rPr>
      <w:color w:val="0000FF"/>
    </w:rPr>
  </w:style>
  <w:style w:type="paragraph" w:customStyle="1" w:styleId="Format1">
    <w:name w:val="Format1"/>
    <w:basedOn w:val="Normal"/>
    <w:pPr>
      <w:spacing w:before="60" w:after="0"/>
      <w:ind w:right="720"/>
    </w:pPr>
    <w:rPr>
      <w:rFonts w:ascii="Courier New" w:hAnsi="Courier New"/>
      <w:i/>
      <w:noProof/>
      <w:color w:val="auto"/>
      <w:sz w:val="18"/>
    </w:rPr>
  </w:style>
  <w:style w:type="paragraph" w:customStyle="1" w:styleId="Format2">
    <w:name w:val="Format2"/>
    <w:basedOn w:val="Normal"/>
    <w:pPr>
      <w:spacing w:before="60" w:after="0"/>
      <w:ind w:right="720"/>
    </w:pPr>
    <w:rPr>
      <w:rFonts w:ascii="Courier New" w:hAnsi="Courier New"/>
      <w:i/>
      <w:noProof/>
      <w:color w:val="auto"/>
      <w:sz w:val="16"/>
    </w:rPr>
  </w:style>
  <w:style w:type="paragraph" w:customStyle="1" w:styleId="RightJust">
    <w:name w:val="RightJust"/>
    <w:basedOn w:val="Normal"/>
    <w:pPr>
      <w:spacing w:before="120" w:after="0"/>
      <w:ind w:right="720"/>
      <w:jc w:val="right"/>
    </w:pPr>
    <w:rPr>
      <w:i/>
      <w:noProof/>
      <w:color w:val="auto"/>
      <w:sz w:val="18"/>
    </w:rPr>
  </w:style>
  <w:style w:type="paragraph" w:customStyle="1" w:styleId="BlockQuote">
    <w:name w:val="BlockQuote"/>
    <w:basedOn w:val="Normal"/>
    <w:pPr>
      <w:spacing w:before="60" w:after="0"/>
      <w:ind w:left="284" w:right="284"/>
    </w:pPr>
    <w:rPr>
      <w:noProof/>
      <w:color w:val="auto"/>
      <w:sz w:val="18"/>
    </w:rPr>
  </w:style>
  <w:style w:type="paragraph" w:customStyle="1" w:styleId="BoxBlankLine">
    <w:name w:val="Box BlankLine"/>
    <w:basedOn w:val="BlankLine"/>
    <w:next w:val="Normal"/>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pPr>
      <w:shd w:val="pct10" w:color="auto" w:fill="auto"/>
      <w:spacing w:before="100" w:after="0"/>
      <w:ind w:right="720"/>
      <w:jc w:val="both"/>
    </w:pPr>
    <w:rPr>
      <w:noProof/>
      <w:color w:val="auto"/>
      <w:sz w:val="20"/>
    </w:rPr>
  </w:style>
  <w:style w:type="paragraph" w:customStyle="1" w:styleId="BoxTableTitle">
    <w:name w:val="Box Table Title"/>
    <w:basedOn w:val="Normal"/>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pPr>
      <w:shd w:val="pct10" w:color="auto" w:fill="auto"/>
      <w:spacing w:before="120" w:after="0"/>
      <w:ind w:right="720"/>
      <w:jc w:val="both"/>
    </w:pPr>
    <w:rPr>
      <w:i/>
      <w:noProof/>
      <w:color w:val="auto"/>
      <w:sz w:val="20"/>
    </w:rPr>
  </w:style>
  <w:style w:type="character" w:customStyle="1" w:styleId="BoxFigInfo-C">
    <w:name w:val="BoxFigInfo-C"/>
    <w:basedOn w:val="DefaultParagraphFont"/>
  </w:style>
  <w:style w:type="paragraph" w:customStyle="1" w:styleId="BoxFigInfo-P">
    <w:name w:val="BoxFigInfo-P"/>
    <w:basedOn w:val="BoxText"/>
  </w:style>
  <w:style w:type="paragraph" w:customStyle="1" w:styleId="BoxFigTitle">
    <w:name w:val="BoxFigTitle"/>
    <w:basedOn w:val="BoxFigCaption"/>
    <w:pPr>
      <w:keepNext/>
    </w:pPr>
    <w:rPr>
      <w:b/>
      <w:i/>
    </w:rPr>
  </w:style>
  <w:style w:type="paragraph" w:customStyle="1" w:styleId="BoxTblColHd">
    <w:name w:val="BoxTblColHd"/>
    <w:basedOn w:val="BoxTblEntry"/>
    <w:rPr>
      <w:b/>
    </w:rPr>
  </w:style>
  <w:style w:type="paragraph" w:customStyle="1" w:styleId="DashListLev1">
    <w:name w:val="Dash List Lev1"/>
    <w:basedOn w:val="Normal"/>
    <w:pPr>
      <w:tabs>
        <w:tab w:val="num" w:pos="720"/>
      </w:tabs>
      <w:spacing w:before="100" w:after="0"/>
      <w:ind w:left="720" w:right="720" w:hanging="360"/>
    </w:pPr>
    <w:rPr>
      <w:i/>
      <w:noProof/>
      <w:color w:val="auto"/>
      <w:sz w:val="18"/>
    </w:rPr>
  </w:style>
  <w:style w:type="paragraph" w:customStyle="1" w:styleId="DashListLev2">
    <w:name w:val="Dash List Lev2"/>
    <w:basedOn w:val="DashListLev1"/>
    <w:pPr>
      <w:numPr>
        <w:numId w:val="17"/>
      </w:numPr>
      <w:tabs>
        <w:tab w:val="num" w:pos="2892"/>
      </w:tabs>
      <w:ind w:left="981" w:hanging="357"/>
    </w:pPr>
  </w:style>
  <w:style w:type="paragraph" w:customStyle="1" w:styleId="DashListLev3">
    <w:name w:val="Dash List Lev3"/>
    <w:basedOn w:val="DashListLev2"/>
    <w:pPr>
      <w:numPr>
        <w:numId w:val="16"/>
      </w:numPr>
      <w:ind w:left="1208" w:hanging="357"/>
    </w:pPr>
  </w:style>
  <w:style w:type="paragraph" w:customStyle="1" w:styleId="DashListLev4">
    <w:name w:val="Dash List Lev4"/>
    <w:basedOn w:val="DashListLev3"/>
    <w:pPr>
      <w:numPr>
        <w:numId w:val="38"/>
      </w:numPr>
      <w:ind w:left="1434" w:hanging="357"/>
    </w:pPr>
  </w:style>
  <w:style w:type="paragraph" w:styleId="EndnoteText">
    <w:name w:val="endnote text"/>
    <w:basedOn w:val="Normal"/>
    <w:semiHidden/>
    <w:pPr>
      <w:numPr>
        <w:numId w:val="37"/>
      </w:numPr>
      <w:spacing w:before="120" w:after="0"/>
      <w:ind w:left="0" w:right="720" w:firstLine="0"/>
    </w:pPr>
    <w:rPr>
      <w:i/>
      <w:noProof/>
      <w:color w:val="auto"/>
      <w:sz w:val="18"/>
    </w:rPr>
  </w:style>
  <w:style w:type="character" w:customStyle="1" w:styleId="EndnoteTextChar">
    <w:name w:val="Endnote Text Char"/>
    <w:semiHidden/>
    <w:rPr>
      <w:rFonts w:ascii="Times New Roman" w:eastAsia="Times New Roman" w:hAnsi="Times New Roman" w:cs="Times New Roman"/>
      <w:noProof/>
      <w:szCs w:val="20"/>
    </w:rPr>
  </w:style>
  <w:style w:type="character" w:customStyle="1" w:styleId="FigInfo-C">
    <w:name w:val="FigInfo-C"/>
    <w:basedOn w:val="DefaultParagraphFont"/>
  </w:style>
  <w:style w:type="paragraph" w:customStyle="1" w:styleId="ParaNote">
    <w:name w:val="Para Note"/>
    <w:basedOn w:val="Note"/>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rFonts w:eastAsia="Times New Roman"/>
      <w:b/>
      <w:noProof/>
      <w:sz w:val="18"/>
    </w:rPr>
  </w:style>
  <w:style w:type="character" w:customStyle="1" w:styleId="Picture">
    <w:name w:val="Picture"/>
    <w:basedOn w:val="DefaultParagraphFont"/>
  </w:style>
  <w:style w:type="paragraph" w:customStyle="1" w:styleId="PlainList1">
    <w:name w:val="PlainList 1"/>
    <w:basedOn w:val="Normal"/>
    <w:pPr>
      <w:spacing w:before="100" w:after="0"/>
      <w:ind w:right="720"/>
    </w:pPr>
    <w:rPr>
      <w:i/>
      <w:noProof/>
      <w:color w:val="auto"/>
      <w:sz w:val="18"/>
    </w:rPr>
  </w:style>
  <w:style w:type="paragraph" w:customStyle="1" w:styleId="PlainList2">
    <w:name w:val="PlainList 2"/>
    <w:basedOn w:val="PlainList1"/>
    <w:pPr>
      <w:ind w:left="567"/>
    </w:pPr>
  </w:style>
  <w:style w:type="paragraph" w:customStyle="1" w:styleId="PlainList3">
    <w:name w:val="PlainList 3"/>
    <w:basedOn w:val="PlainList2"/>
    <w:pPr>
      <w:ind w:left="1134"/>
    </w:pPr>
  </w:style>
  <w:style w:type="paragraph" w:customStyle="1" w:styleId="PlainList4">
    <w:name w:val="PlainList 4"/>
    <w:basedOn w:val="PlainList3"/>
    <w:pPr>
      <w:ind w:left="1701"/>
    </w:pPr>
  </w:style>
  <w:style w:type="character" w:customStyle="1" w:styleId="Quote1">
    <w:name w:val="Quote1"/>
    <w:rPr>
      <w:rFonts w:ascii="Times New Roman" w:hAnsi="Times New Roman"/>
      <w:i/>
      <w:sz w:val="20"/>
    </w:rPr>
  </w:style>
  <w:style w:type="character" w:customStyle="1" w:styleId="NroSeq">
    <w:name w:val="NroSeq"/>
    <w:rPr>
      <w:color w:val="0000FF"/>
    </w:rPr>
  </w:style>
  <w:style w:type="character" w:customStyle="1" w:styleId="NroTOC">
    <w:name w:val="NroTOC"/>
    <w:rPr>
      <w:color w:val="auto"/>
      <w:sz w:val="22"/>
      <w:u w:val="none"/>
      <w:vertAlign w:val="baseline"/>
    </w:rPr>
  </w:style>
  <w:style w:type="paragraph" w:customStyle="1" w:styleId="PrelimNote">
    <w:name w:val="PrelimNote"/>
    <w:basedOn w:val="Normal"/>
    <w:next w:val="Normal"/>
    <w:pPr>
      <w:spacing w:before="120" w:after="0"/>
      <w:ind w:left="709" w:right="709"/>
    </w:pPr>
    <w:rPr>
      <w:i/>
      <w:noProof/>
      <w:color w:val="auto"/>
      <w:sz w:val="18"/>
    </w:rPr>
  </w:style>
  <w:style w:type="paragraph" w:customStyle="1" w:styleId="CentredJust">
    <w:name w:val="CentredJust"/>
    <w:basedOn w:val="Normal"/>
    <w:pPr>
      <w:spacing w:before="120" w:after="0"/>
      <w:ind w:right="720"/>
      <w:jc w:val="center"/>
    </w:pPr>
    <w:rPr>
      <w:i/>
      <w:noProof/>
      <w:color w:val="auto"/>
      <w:sz w:val="18"/>
    </w:rPr>
  </w:style>
  <w:style w:type="character" w:customStyle="1" w:styleId="Subscript">
    <w:name w:val="Subscript"/>
    <w:rPr>
      <w:noProof w:val="0"/>
      <w:vertAlign w:val="subscript"/>
      <w:lang w:val="en-GB"/>
    </w:rPr>
  </w:style>
  <w:style w:type="character" w:customStyle="1" w:styleId="Superscript">
    <w:name w:val="Superscript"/>
    <w:rPr>
      <w:noProof w:val="0"/>
      <w:vertAlign w:val="superscript"/>
      <w:lang w:val="en-GB"/>
    </w:rPr>
  </w:style>
  <w:style w:type="paragraph" w:customStyle="1" w:styleId="ListDel">
    <w:name w:val="ListDel"/>
    <w:basedOn w:val="Normal"/>
    <w:next w:val="Country"/>
    <w:pPr>
      <w:spacing w:before="120" w:after="0"/>
      <w:ind w:right="720"/>
      <w:jc w:val="center"/>
    </w:pPr>
    <w:rPr>
      <w:b/>
      <w:i/>
      <w:noProof/>
      <w:color w:val="auto"/>
      <w:sz w:val="18"/>
    </w:rPr>
  </w:style>
  <w:style w:type="paragraph" w:customStyle="1" w:styleId="Country">
    <w:name w:val="Country"/>
    <w:basedOn w:val="Normal"/>
    <w:next w:val="Role"/>
    <w:pPr>
      <w:keepNext/>
      <w:spacing w:before="120" w:after="0"/>
      <w:ind w:right="720"/>
    </w:pPr>
    <w:rPr>
      <w:b/>
      <w:i/>
      <w:caps/>
      <w:noProof/>
      <w:color w:val="auto"/>
      <w:sz w:val="18"/>
    </w:rPr>
  </w:style>
  <w:style w:type="paragraph" w:customStyle="1" w:styleId="Role">
    <w:name w:val="Role"/>
    <w:basedOn w:val="Normal"/>
    <w:next w:val="Name"/>
    <w:pPr>
      <w:keepNext/>
      <w:spacing w:before="120" w:after="0"/>
      <w:ind w:right="720"/>
    </w:pPr>
    <w:rPr>
      <w:i/>
      <w:noProof/>
      <w:color w:val="auto"/>
      <w:sz w:val="18"/>
    </w:rPr>
  </w:style>
  <w:style w:type="paragraph" w:customStyle="1" w:styleId="Name">
    <w:name w:val="Name"/>
    <w:basedOn w:val="Normal"/>
    <w:pPr>
      <w:keepLines/>
      <w:spacing w:before="120" w:after="0"/>
      <w:ind w:left="284" w:right="720"/>
    </w:pPr>
    <w:rPr>
      <w:i/>
      <w:noProof/>
      <w:color w:val="auto"/>
      <w:sz w:val="18"/>
    </w:rPr>
  </w:style>
  <w:style w:type="paragraph" w:customStyle="1" w:styleId="ColumnBreak">
    <w:name w:val="ColumnBreak"/>
    <w:basedOn w:val="Normal"/>
    <w:next w:val="Normal"/>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pPr>
      <w:numPr>
        <w:ilvl w:val="1"/>
        <w:numId w:val="13"/>
      </w:numPr>
      <w:spacing w:before="100" w:after="0"/>
      <w:ind w:right="720"/>
    </w:pPr>
    <w:rPr>
      <w:i/>
      <w:noProof/>
      <w:color w:val="auto"/>
      <w:sz w:val="18"/>
    </w:rPr>
  </w:style>
  <w:style w:type="paragraph" w:customStyle="1" w:styleId="SeqListLev2">
    <w:name w:val="Seq List Lev2"/>
    <w:basedOn w:val="SeqListLev1"/>
    <w:pPr>
      <w:numPr>
        <w:ilvl w:val="2"/>
      </w:numPr>
    </w:pPr>
  </w:style>
  <w:style w:type="paragraph" w:customStyle="1" w:styleId="SeqListLev3">
    <w:name w:val="Seq List Lev3"/>
    <w:basedOn w:val="SeqListLev2"/>
    <w:pPr>
      <w:numPr>
        <w:ilvl w:val="3"/>
      </w:numPr>
    </w:pPr>
  </w:style>
  <w:style w:type="paragraph" w:customStyle="1" w:styleId="SeqListLev4">
    <w:name w:val="Seq List Lev4"/>
    <w:basedOn w:val="SeqListLev3"/>
    <w:pPr>
      <w:numPr>
        <w:ilvl w:val="0"/>
        <w:numId w:val="0"/>
      </w:numPr>
      <w:tabs>
        <w:tab w:val="num" w:pos="567"/>
        <w:tab w:val="num" w:pos="1440"/>
        <w:tab w:val="num" w:pos="2126"/>
      </w:tabs>
      <w:ind w:left="2126" w:hanging="425"/>
    </w:pPr>
  </w:style>
  <w:style w:type="paragraph" w:customStyle="1" w:styleId="CarCar">
    <w:name w:val="Car Car"/>
    <w:basedOn w:val="Normal"/>
    <w:pPr>
      <w:numPr>
        <w:ilvl w:val="2"/>
        <w:numId w:val="35"/>
      </w:numPr>
      <w:tabs>
        <w:tab w:val="num" w:pos="805"/>
      </w:tabs>
      <w:spacing w:before="100" w:after="160" w:line="240" w:lineRule="exact"/>
      <w:ind w:left="0" w:right="720" w:firstLine="0"/>
    </w:pPr>
    <w:rPr>
      <w:rFonts w:ascii="Tahoma" w:eastAsia="MS Mincho" w:hAnsi="Tahoma"/>
      <w:i/>
      <w:color w:val="auto"/>
      <w:sz w:val="20"/>
      <w:lang w:val="en-US"/>
    </w:rPr>
  </w:style>
  <w:style w:type="paragraph" w:customStyle="1" w:styleId="ListParagraph10">
    <w:name w:val="List Paragraph1"/>
    <w:basedOn w:val="Normal"/>
    <w:qFormat/>
    <w:pPr>
      <w:spacing w:before="100" w:after="100"/>
      <w:ind w:left="720" w:right="720"/>
    </w:pPr>
    <w:rPr>
      <w:rFonts w:eastAsia="Calibri"/>
      <w:i/>
      <w:color w:val="auto"/>
      <w:sz w:val="24"/>
    </w:rPr>
  </w:style>
  <w:style w:type="paragraph" w:customStyle="1" w:styleId="CharChar">
    <w:name w:val="(文字) (文字) Char (文字) (文字) Char"/>
    <w:basedOn w:val="Normal"/>
    <w:pPr>
      <w:tabs>
        <w:tab w:val="num" w:pos="2160"/>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qFormat/>
    <w:pPr>
      <w:numPr>
        <w:numId w:val="0"/>
      </w:numPr>
      <w:tabs>
        <w:tab w:val="left" w:pos="567"/>
      </w:tabs>
      <w:spacing w:after="60"/>
      <w:ind w:left="720" w:hanging="360"/>
    </w:pPr>
  </w:style>
  <w:style w:type="paragraph" w:customStyle="1" w:styleId="IPPNormal">
    <w:name w:val="IPP Normal"/>
    <w:basedOn w:val="Normal"/>
    <w:qFormat/>
    <w:pPr>
      <w:numPr>
        <w:numId w:val="39"/>
      </w:numPr>
      <w:spacing w:before="100" w:after="180"/>
      <w:ind w:left="0" w:right="720" w:firstLine="0"/>
      <w:jc w:val="both"/>
    </w:pPr>
    <w:rPr>
      <w:rFonts w:eastAsia="Times"/>
      <w:i/>
      <w:color w:val="auto"/>
      <w:sz w:val="18"/>
    </w:rPr>
  </w:style>
  <w:style w:type="paragraph" w:customStyle="1" w:styleId="IPPBullet1">
    <w:name w:val="IPP Bullet1"/>
    <w:basedOn w:val="Normal"/>
    <w:qFormat/>
    <w:pPr>
      <w:numPr>
        <w:numId w:val="22"/>
      </w:numPr>
      <w:spacing w:before="100" w:after="60"/>
      <w:ind w:right="720"/>
      <w:jc w:val="both"/>
    </w:pPr>
    <w:rPr>
      <w:rFonts w:eastAsia="Times"/>
      <w:i/>
      <w:color w:val="auto"/>
      <w:sz w:val="18"/>
    </w:rPr>
  </w:style>
  <w:style w:type="paragraph" w:customStyle="1" w:styleId="IPPTitle16ptIndent">
    <w:name w:val="IPP Title16pt Indent"/>
    <w:basedOn w:val="Normal"/>
    <w:qFormat/>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qFormat/>
    <w:pPr>
      <w:keepNext/>
      <w:numPr>
        <w:numId w:val="41"/>
      </w:numPr>
      <w:tabs>
        <w:tab w:val="left" w:pos="851"/>
      </w:tabs>
      <w:spacing w:before="360" w:after="120"/>
      <w:ind w:left="851" w:right="720" w:hanging="851"/>
      <w:jc w:val="both"/>
      <w:outlineLvl w:val="0"/>
    </w:pPr>
    <w:rPr>
      <w:rFonts w:eastAsia="Times"/>
      <w:b/>
      <w:i/>
      <w:caps/>
      <w:color w:val="auto"/>
      <w:sz w:val="24"/>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rPr>
  </w:style>
  <w:style w:type="paragraph" w:customStyle="1" w:styleId="IPPSubhead">
    <w:name w:val="IPP Subhead"/>
    <w:basedOn w:val="Normal"/>
    <w:qFormat/>
    <w:pPr>
      <w:keepNext/>
      <w:spacing w:before="100" w:after="0"/>
      <w:ind w:left="567" w:right="720" w:hanging="567"/>
    </w:pPr>
    <w:rPr>
      <w:b/>
      <w:i/>
      <w:color w:val="auto"/>
      <w:sz w:val="18"/>
    </w:rPr>
  </w:style>
  <w:style w:type="paragraph" w:customStyle="1" w:styleId="IPPBullet1Last">
    <w:name w:val="IPP Bullet1Last"/>
    <w:basedOn w:val="IPPNormal"/>
    <w:next w:val="IPPBullet1"/>
    <w:qFormat/>
    <w:pPr>
      <w:numPr>
        <w:numId w:val="20"/>
      </w:numPr>
      <w:tabs>
        <w:tab w:val="num" w:pos="360"/>
      </w:tabs>
      <w:ind w:left="360"/>
    </w:pPr>
    <w:rPr>
      <w:lang w:val="en-US"/>
    </w:rPr>
  </w:style>
  <w:style w:type="paragraph" w:customStyle="1" w:styleId="IPPTitle16pt">
    <w:name w:val="IPP Title16pt"/>
    <w:basedOn w:val="Normal"/>
    <w:qFormat/>
    <w:pPr>
      <w:spacing w:before="100" w:after="720"/>
      <w:ind w:left="1701" w:right="1701"/>
      <w:jc w:val="center"/>
    </w:pPr>
    <w:rPr>
      <w:rFonts w:ascii="Arial" w:hAnsi="Arial"/>
      <w:b/>
      <w:i/>
      <w:color w:val="auto"/>
      <w:sz w:val="32"/>
    </w:rPr>
  </w:style>
  <w:style w:type="paragraph" w:customStyle="1" w:styleId="IPPTitle18pt">
    <w:name w:val="IPP Title18pt"/>
    <w:basedOn w:val="Normal"/>
    <w:qFormat/>
    <w:pPr>
      <w:spacing w:before="100" w:after="360"/>
      <w:ind w:right="720"/>
      <w:jc w:val="center"/>
    </w:pPr>
    <w:rPr>
      <w:rFonts w:ascii="Arial" w:hAnsi="Arial"/>
      <w:b/>
      <w:i/>
      <w:color w:val="auto"/>
      <w:sz w:val="36"/>
    </w:rPr>
  </w:style>
  <w:style w:type="paragraph" w:customStyle="1" w:styleId="IPPAnnexHead">
    <w:name w:val="IPP AnnexHead"/>
    <w:basedOn w:val="IPPNormal"/>
    <w:next w:val="IPPNormal"/>
    <w:qFormat/>
    <w:pPr>
      <w:keepNext/>
      <w:numPr>
        <w:numId w:val="42"/>
      </w:numPr>
      <w:tabs>
        <w:tab w:val="left" w:pos="567"/>
      </w:tabs>
      <w:spacing w:before="120"/>
      <w:ind w:left="0" w:firstLine="0"/>
      <w:jc w:val="left"/>
      <w:outlineLvl w:val="1"/>
    </w:pPr>
    <w:rPr>
      <w:b/>
      <w:sz w:val="24"/>
    </w:rPr>
  </w:style>
  <w:style w:type="paragraph" w:customStyle="1" w:styleId="IPPNormalCloseSpace">
    <w:name w:val="IPP NormalCloseSpace"/>
    <w:basedOn w:val="Normal"/>
    <w:qFormat/>
    <w:pPr>
      <w:keepNext/>
      <w:numPr>
        <w:numId w:val="40"/>
      </w:numPr>
      <w:spacing w:before="100" w:after="60"/>
      <w:ind w:left="0" w:right="720" w:firstLine="0"/>
      <w:jc w:val="both"/>
    </w:pPr>
    <w:rPr>
      <w:i/>
      <w:color w:val="auto"/>
      <w:sz w:val="18"/>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rPr>
  </w:style>
  <w:style w:type="paragraph" w:customStyle="1" w:styleId="IPPArialTable">
    <w:name w:val="IPP Arial Table"/>
    <w:basedOn w:val="IPPArial"/>
    <w:qFormat/>
    <w:pPr>
      <w:spacing w:before="60" w:after="60"/>
      <w:jc w:val="left"/>
    </w:pPr>
  </w:style>
  <w:style w:type="paragraph" w:customStyle="1" w:styleId="IPPSubheadSpace">
    <w:name w:val="IPP Subhead Space"/>
    <w:basedOn w:val="IPPSubhead"/>
    <w:qFormat/>
    <w:pPr>
      <w:tabs>
        <w:tab w:val="left" w:pos="567"/>
      </w:tabs>
      <w:spacing w:before="60" w:after="60"/>
    </w:pPr>
  </w:style>
  <w:style w:type="paragraph" w:customStyle="1" w:styleId="IPPNumberedList">
    <w:name w:val="IPP NumberedList"/>
    <w:basedOn w:val="IPPBullet1"/>
    <w:qFormat/>
    <w:pPr>
      <w:numPr>
        <w:numId w:val="0"/>
      </w:numPr>
      <w:ind w:left="720" w:hanging="360"/>
    </w:pPr>
  </w:style>
  <w:style w:type="paragraph" w:customStyle="1" w:styleId="IPPNumberedListLast0">
    <w:name w:val="IPP NumberedListLast"/>
    <w:basedOn w:val="IPPNumberedList"/>
    <w:qFormat/>
    <w:pPr>
      <w:spacing w:after="180"/>
    </w:pPr>
  </w:style>
  <w:style w:type="paragraph" w:customStyle="1" w:styleId="IPPHdg1Num">
    <w:name w:val="IPP Hdg1Num"/>
    <w:basedOn w:val="IPPNormal"/>
    <w:next w:val="IPPNormal"/>
    <w:qFormat/>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qFormat/>
    <w:pPr>
      <w:numPr>
        <w:numId w:val="0"/>
      </w:numPr>
      <w:tabs>
        <w:tab w:val="num" w:pos="720"/>
      </w:tabs>
      <w:ind w:left="720" w:hanging="360"/>
    </w:pPr>
  </w:style>
  <w:style w:type="paragraph" w:customStyle="1" w:styleId="IPPLetterList">
    <w:name w:val="IPP LetterList"/>
    <w:basedOn w:val="IPPBullet2"/>
    <w:qFormat/>
    <w:pPr>
      <w:numPr>
        <w:numId w:val="24"/>
      </w:numPr>
      <w:jc w:val="left"/>
    </w:pPr>
  </w:style>
  <w:style w:type="paragraph" w:customStyle="1" w:styleId="IPPSubheadSpace3">
    <w:name w:val="IPP Subhead Space3"/>
    <w:basedOn w:val="IPPSubhead"/>
    <w:qFormat/>
    <w:pPr>
      <w:spacing w:before="60" w:after="60"/>
    </w:pPr>
  </w:style>
  <w:style w:type="paragraph" w:customStyle="1" w:styleId="font1">
    <w:name w:val="font1"/>
    <w:basedOn w:val="Normal"/>
    <w:pPr>
      <w:spacing w:before="100" w:after="100"/>
      <w:ind w:right="720"/>
    </w:pPr>
    <w:rPr>
      <w:rFonts w:ascii="Arial" w:hAnsi="Arial"/>
      <w:i/>
      <w:color w:val="auto"/>
      <w:sz w:val="20"/>
      <w:lang w:val="en-US"/>
    </w:rPr>
  </w:style>
  <w:style w:type="paragraph" w:customStyle="1" w:styleId="Contents">
    <w:name w:val="Contents"/>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qFormat/>
    <w:pPr>
      <w:ind w:left="851" w:right="851"/>
    </w:pPr>
    <w:rPr>
      <w:sz w:val="19"/>
    </w:rPr>
  </w:style>
  <w:style w:type="character" w:customStyle="1" w:styleId="NewParaChar">
    <w:name w:val="NewPara Char"/>
    <w:rPr>
      <w:rFonts w:ascii="Times New Roman" w:eastAsia="Times New Roman" w:hAnsi="Times New Roman" w:cs="Times New Roman"/>
      <w:noProof/>
      <w:szCs w:val="20"/>
    </w:rPr>
  </w:style>
  <w:style w:type="paragraph" w:customStyle="1" w:styleId="IPPHeading1Appendix">
    <w:name w:val="IPP Heading1 Appendix"/>
    <w:basedOn w:val="IPPHeading1"/>
    <w:qFormat/>
    <w:pPr>
      <w:ind w:left="720" w:hanging="360"/>
      <w:outlineLvl w:val="9"/>
    </w:pPr>
  </w:style>
  <w:style w:type="paragraph" w:customStyle="1" w:styleId="IPPHeadSectionAppendix">
    <w:name w:val="IPP HeadSection Appendix"/>
    <w:basedOn w:val="IPPHeadSection"/>
    <w:qFormat/>
    <w:pPr>
      <w:ind w:left="720" w:hanging="360"/>
      <w:outlineLvl w:val="9"/>
    </w:pPr>
  </w:style>
  <w:style w:type="paragraph" w:customStyle="1" w:styleId="IPPHeading2Appendix">
    <w:name w:val="IPP Heading2 Appendix"/>
    <w:basedOn w:val="IPPHeading2"/>
    <w:qFormat/>
    <w:pPr>
      <w:tabs>
        <w:tab w:val="left" w:pos="851"/>
        <w:tab w:val="left" w:pos="1134"/>
      </w:tabs>
      <w:ind w:left="720" w:hanging="360"/>
      <w:outlineLvl w:val="9"/>
    </w:pPr>
  </w:style>
  <w:style w:type="paragraph" w:customStyle="1" w:styleId="IPPAnnexHeadAppendix">
    <w:name w:val="IPP AnnexHead Appendix"/>
    <w:basedOn w:val="IPPAnnexHead"/>
    <w:qFormat/>
    <w:pPr>
      <w:numPr>
        <w:numId w:val="25"/>
      </w:numPr>
      <w:tabs>
        <w:tab w:val="clear" w:pos="567"/>
        <w:tab w:val="num" w:pos="1440"/>
      </w:tabs>
      <w:ind w:left="1440"/>
      <w:outlineLvl w:val="9"/>
    </w:pPr>
  </w:style>
  <w:style w:type="paragraph" w:customStyle="1" w:styleId="IPPIndent">
    <w:name w:val="IPP Indent"/>
    <w:basedOn w:val="Normal"/>
    <w:qFormat/>
    <w:pPr>
      <w:tabs>
        <w:tab w:val="left" w:pos="2835"/>
      </w:tabs>
      <w:spacing w:before="100" w:after="180"/>
      <w:ind w:left="567" w:right="720"/>
      <w:jc w:val="both"/>
    </w:pPr>
    <w:rPr>
      <w:rFonts w:eastAsia="Times"/>
      <w:i/>
      <w:color w:val="auto"/>
      <w:sz w:val="18"/>
    </w:rPr>
  </w:style>
  <w:style w:type="paragraph" w:customStyle="1" w:styleId="FooterLandscape">
    <w:name w:val="FooterLandscape"/>
    <w:basedOn w:val="Footer"/>
    <w:qFormat/>
    <w:pPr>
      <w:tabs>
        <w:tab w:val="clear" w:pos="4320"/>
        <w:tab w:val="clear" w:pos="8640"/>
        <w:tab w:val="right" w:pos="13892"/>
      </w:tabs>
      <w:spacing w:before="100" w:after="0"/>
      <w:ind w:right="720"/>
    </w:pPr>
    <w:rPr>
      <w:rFonts w:ascii="Arial" w:eastAsia="Times" w:hAnsi="Arial"/>
      <w:i/>
      <w:color w:val="auto"/>
      <w:sz w:val="18"/>
    </w:rPr>
  </w:style>
  <w:style w:type="paragraph" w:customStyle="1" w:styleId="IPPNumberClose">
    <w:name w:val="IPP NumberClose"/>
    <w:basedOn w:val="IPPNumber"/>
    <w:qFormat/>
    <w:pPr>
      <w:keepNext/>
      <w:spacing w:after="60"/>
    </w:pPr>
  </w:style>
  <w:style w:type="paragraph" w:customStyle="1" w:styleId="IPPNumber">
    <w:name w:val="IPP Number"/>
    <w:basedOn w:val="IPPNormal"/>
    <w:qFormat/>
    <w:pPr>
      <w:numPr>
        <w:numId w:val="0"/>
      </w:numPr>
      <w:tabs>
        <w:tab w:val="num" w:pos="720"/>
        <w:tab w:val="num" w:pos="2892"/>
      </w:tabs>
      <w:ind w:left="2892" w:hanging="579"/>
    </w:pPr>
  </w:style>
  <w:style w:type="paragraph" w:customStyle="1" w:styleId="IPPNumberedListLast">
    <w:name w:val="IPPNumberedListLast"/>
    <w:basedOn w:val="IPPNumberedList0"/>
    <w:qFormat/>
    <w:pPr>
      <w:numPr>
        <w:numId w:val="43"/>
      </w:numPr>
      <w:tabs>
        <w:tab w:val="num" w:pos="680"/>
      </w:tabs>
      <w:spacing w:after="180"/>
      <w:ind w:left="680" w:hanging="680"/>
    </w:pPr>
  </w:style>
  <w:style w:type="paragraph" w:customStyle="1" w:styleId="Comments">
    <w:name w:val="Comments"/>
    <w:basedOn w:val="Normal"/>
    <w:pPr>
      <w:spacing w:before="100" w:after="0"/>
      <w:ind w:left="284" w:right="720" w:hanging="284"/>
      <w:jc w:val="both"/>
    </w:pPr>
    <w:rPr>
      <w:i/>
      <w:color w:val="auto"/>
      <w:sz w:val="18"/>
    </w:rPr>
  </w:style>
  <w:style w:type="paragraph" w:customStyle="1" w:styleId="Indent1">
    <w:name w:val="Indent 1"/>
    <w:basedOn w:val="Normal"/>
    <w:qFormat/>
    <w:pPr>
      <w:spacing w:before="100" w:after="60"/>
      <w:ind w:left="567" w:right="720"/>
    </w:pPr>
    <w:rPr>
      <w:rFonts w:ascii="Georgia" w:eastAsia="Times" w:hAnsi="Georgia"/>
      <w:i/>
      <w:color w:val="auto"/>
      <w:sz w:val="18"/>
      <w:lang w:val="en-AU"/>
    </w:rPr>
  </w:style>
  <w:style w:type="paragraph" w:customStyle="1" w:styleId="Subhead">
    <w:name w:val="Subhead"/>
    <w:basedOn w:val="Normal"/>
    <w:qFormat/>
    <w:pPr>
      <w:keepNext/>
      <w:spacing w:before="120" w:after="60"/>
      <w:ind w:right="720"/>
    </w:pPr>
    <w:rPr>
      <w:rFonts w:ascii="Georgia" w:eastAsia="Times" w:hAnsi="Georgia"/>
      <w:b/>
      <w:i/>
      <w:color w:val="auto"/>
      <w:sz w:val="19"/>
      <w:lang w:val="en-AU"/>
    </w:rPr>
  </w:style>
  <w:style w:type="paragraph" w:customStyle="1" w:styleId="IPPNumberSubhead">
    <w:name w:val="IPP NumberSubhead"/>
    <w:basedOn w:val="IPPNumber"/>
    <w:qFormat/>
    <w:pPr>
      <w:keepNext/>
      <w:numPr>
        <w:numId w:val="44"/>
      </w:numPr>
      <w:tabs>
        <w:tab w:val="num" w:pos="567"/>
      </w:tabs>
      <w:spacing w:after="60"/>
      <w:ind w:firstLine="0"/>
    </w:pPr>
    <w:rPr>
      <w:b/>
    </w:rPr>
  </w:style>
  <w:style w:type="paragraph" w:customStyle="1" w:styleId="IPPSubheadNumber">
    <w:name w:val="IPP SubheadNumber"/>
    <w:basedOn w:val="IPPSubhead"/>
    <w:qFormat/>
    <w:pPr>
      <w:numPr>
        <w:numId w:val="27"/>
      </w:numPr>
      <w:tabs>
        <w:tab w:val="num" w:pos="720"/>
      </w:tabs>
      <w:ind w:left="720"/>
    </w:pPr>
  </w:style>
  <w:style w:type="paragraph" w:customStyle="1" w:styleId="IPPLetterListIndent">
    <w:name w:val="IPP LetterList Indent"/>
    <w:basedOn w:val="IPPLetterList"/>
    <w:qFormat/>
    <w:pPr>
      <w:numPr>
        <w:numId w:val="28"/>
      </w:numPr>
      <w:tabs>
        <w:tab w:val="clear" w:pos="567"/>
        <w:tab w:val="num" w:pos="720"/>
      </w:tabs>
      <w:ind w:left="720"/>
    </w:pPr>
  </w:style>
  <w:style w:type="paragraph" w:customStyle="1" w:styleId="IPPSubheadSpaceAfter">
    <w:name w:val="IPP Subhead SpaceAfter"/>
    <w:basedOn w:val="IPPSubhead"/>
    <w:qFormat/>
    <w:pPr>
      <w:spacing w:after="60"/>
    </w:pPr>
  </w:style>
  <w:style w:type="paragraph" w:customStyle="1" w:styleId="IPPArialFootnote">
    <w:name w:val="IPP Arial Footnote"/>
    <w:basedOn w:val="IPPArialTable"/>
    <w:qFormat/>
    <w:pPr>
      <w:tabs>
        <w:tab w:val="left" w:pos="567"/>
      </w:tabs>
      <w:ind w:left="567" w:hanging="567"/>
    </w:pPr>
    <w:rPr>
      <w:sz w:val="16"/>
    </w:rPr>
  </w:style>
  <w:style w:type="paragraph" w:customStyle="1" w:styleId="IPPContentsHead">
    <w:name w:val="IPP ContentsHead"/>
    <w:basedOn w:val="IPPSubhead"/>
    <w:next w:val="IPPNormal"/>
    <w:qFormat/>
    <w:pPr>
      <w:spacing w:after="240"/>
    </w:pPr>
    <w:rPr>
      <w:sz w:val="24"/>
    </w:rPr>
  </w:style>
  <w:style w:type="paragraph" w:customStyle="1" w:styleId="IPPNumberedListArial">
    <w:name w:val="IPP NumberedListArial"/>
    <w:basedOn w:val="IPPNumberedList"/>
    <w:qFormat/>
    <w:pPr>
      <w:numPr>
        <w:numId w:val="45"/>
      </w:numPr>
      <w:tabs>
        <w:tab w:val="num" w:pos="567"/>
      </w:tabs>
      <w:ind w:left="567" w:hanging="567"/>
    </w:pPr>
    <w:rPr>
      <w:rFonts w:ascii="Arial" w:hAnsi="Arial"/>
    </w:rPr>
  </w:style>
  <w:style w:type="paragraph" w:customStyle="1" w:styleId="IPPIndentClose">
    <w:name w:val="IPP Indent Close"/>
    <w:basedOn w:val="IPPNormal"/>
    <w:qFormat/>
    <w:pPr>
      <w:numPr>
        <w:numId w:val="46"/>
      </w:numPr>
      <w:tabs>
        <w:tab w:val="left" w:pos="2835"/>
      </w:tabs>
      <w:spacing w:after="60"/>
      <w:ind w:left="567" w:firstLine="0"/>
    </w:pPr>
  </w:style>
  <w:style w:type="paragraph" w:customStyle="1" w:styleId="IPPHdg2Num">
    <w:name w:val="IPP Hdg2Num"/>
    <w:basedOn w:val="IPPNormal"/>
    <w:next w:val="IPPNormal"/>
    <w:qFormat/>
    <w:pPr>
      <w:keepNext/>
      <w:tabs>
        <w:tab w:val="left" w:pos="567"/>
        <w:tab w:val="num" w:pos="680"/>
      </w:tabs>
      <w:spacing w:before="120" w:after="120"/>
      <w:ind w:left="680" w:hanging="680"/>
      <w:outlineLvl w:val="2"/>
    </w:pPr>
    <w:rPr>
      <w:b/>
      <w:sz w:val="24"/>
    </w:rPr>
  </w:style>
  <w:style w:type="character" w:customStyle="1" w:styleId="FollowedHyperlink1">
    <w:name w:val="FollowedHyperlink1"/>
    <w:rPr>
      <w:color w:val="800080"/>
      <w:u w:val="single"/>
    </w:rPr>
  </w:style>
  <w:style w:type="character" w:customStyle="1" w:styleId="txt">
    <w:name w:val="txt"/>
    <w:basedOn w:val="DefaultParagraphFont"/>
  </w:style>
  <w:style w:type="character" w:customStyle="1" w:styleId="highlight">
    <w:name w:val="highlight"/>
    <w:rPr>
      <w:rFonts w:cs="Times New Roman"/>
    </w:rPr>
  </w:style>
  <w:style w:type="paragraph" w:styleId="HTMLPreformatted">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i/>
      <w:color w:val="auto"/>
      <w:sz w:val="20"/>
    </w:rPr>
  </w:style>
  <w:style w:type="character" w:customStyle="1" w:styleId="txtboldonly">
    <w:name w:val="txtboldonly"/>
    <w:basedOn w:val="DefaultParagraphFont"/>
  </w:style>
  <w:style w:type="paragraph" w:styleId="BodyTextFirstIndent2">
    <w:name w:val="Body Text First Indent 2"/>
    <w:basedOn w:val="BodyTextIndent"/>
    <w:semiHidden/>
    <w:pPr>
      <w:spacing w:after="120" w:line="240" w:lineRule="auto"/>
      <w:ind w:left="283" w:firstLine="210"/>
    </w:pPr>
    <w:rPr>
      <w:i/>
      <w:color w:val="auto"/>
      <w:sz w:val="24"/>
      <w:lang w:val="en-US"/>
    </w:rPr>
  </w:style>
  <w:style w:type="character" w:customStyle="1" w:styleId="pagination">
    <w:name w:val="pagination"/>
    <w:basedOn w:val="DefaultParagraphFont"/>
  </w:style>
  <w:style w:type="character" w:customStyle="1" w:styleId="CarCar5">
    <w:name w:val="Car Car5"/>
    <w:rPr>
      <w:rFonts w:cs="Consolas"/>
      <w:noProof w:val="0"/>
      <w:szCs w:val="24"/>
      <w:u w:val="single"/>
      <w:lang w:val="en-US" w:eastAsia="ja-JP" w:bidi="he-IL"/>
    </w:rPr>
  </w:style>
  <w:style w:type="character" w:customStyle="1" w:styleId="CarCar4">
    <w:name w:val="Car Car4"/>
    <w:rPr>
      <w:rFonts w:eastAsia="MS Mincho" w:cs="Arial"/>
      <w:b/>
      <w:bCs/>
      <w:iCs/>
      <w:noProof w:val="0"/>
      <w:kern w:val="32"/>
      <w:sz w:val="24"/>
      <w:szCs w:val="24"/>
      <w:lang w:val="en-US" w:eastAsia="ja-JP" w:bidi="ar-SA"/>
    </w:rPr>
  </w:style>
  <w:style w:type="character" w:customStyle="1" w:styleId="CarCar3">
    <w:name w:val="Car Car3"/>
    <w:locked/>
    <w:rPr>
      <w:rFonts w:eastAsia="MS Mincho" w:cs="Arial"/>
      <w:b/>
      <w:bCs/>
      <w:i/>
      <w:iCs/>
      <w:noProof w:val="0"/>
      <w:kern w:val="32"/>
      <w:sz w:val="24"/>
      <w:szCs w:val="26"/>
      <w:lang w:val="it-IT" w:eastAsia="ja-JP" w:bidi="ar-SA"/>
    </w:rPr>
  </w:style>
  <w:style w:type="paragraph" w:customStyle="1" w:styleId="CM7">
    <w:name w:val="CM7"/>
    <w:basedOn w:val="Normal"/>
    <w:next w:val="Normal"/>
    <w:pPr>
      <w:autoSpaceDE w:val="0"/>
      <w:autoSpaceDN w:val="0"/>
      <w:adjustRightInd w:val="0"/>
      <w:spacing w:after="0" w:line="198" w:lineRule="atLeast"/>
    </w:pPr>
    <w:rPr>
      <w:rFonts w:ascii="OJFKL G+ Melior" w:eastAsia="Calibri" w:hAnsi="OJFKL G+ Melior"/>
      <w:i/>
      <w:color w:val="auto"/>
      <w:sz w:val="18"/>
      <w:lang w:val="fr-FR"/>
    </w:rPr>
  </w:style>
  <w:style w:type="paragraph" w:customStyle="1" w:styleId="mainheader">
    <w:name w:val="mainheader"/>
    <w:basedOn w:val="Normal"/>
    <w:pPr>
      <w:spacing w:before="100" w:after="100"/>
    </w:pPr>
    <w:rPr>
      <w:rFonts w:eastAsia="MS Mincho"/>
      <w:i/>
      <w:color w:val="auto"/>
      <w:sz w:val="18"/>
      <w:lang w:val="fr-FR" w:eastAsia="ja-JP"/>
    </w:rPr>
  </w:style>
  <w:style w:type="character" w:customStyle="1" w:styleId="surname">
    <w:name w:val="surname"/>
    <w:basedOn w:val="DefaultParagraphFont"/>
  </w:style>
  <w:style w:type="character" w:customStyle="1" w:styleId="CarCar0">
    <w:name w:val="Car Car"/>
    <w:locked/>
    <w:rPr>
      <w:rFonts w:eastAsia="MS Mincho"/>
      <w:noProof w:val="0"/>
      <w:sz w:val="24"/>
      <w:szCs w:val="24"/>
      <w:lang w:val="fr-FR" w:eastAsia="ja-JP" w:bidi="ar-SA"/>
    </w:rPr>
  </w:style>
  <w:style w:type="character" w:customStyle="1" w:styleId="name0">
    <w:name w:val="name"/>
    <w:basedOn w:val="DefaultParagraphFont"/>
  </w:style>
  <w:style w:type="character" w:customStyle="1" w:styleId="forenames">
    <w:name w:val="forenames"/>
    <w:basedOn w:val="DefaultParagraphFont"/>
  </w:style>
  <w:style w:type="character" w:customStyle="1" w:styleId="txtsmall">
    <w:name w:val="txtsmall"/>
    <w:basedOn w:val="DefaultParagraphFont"/>
  </w:style>
  <w:style w:type="character" w:customStyle="1" w:styleId="mw-formatted-date">
    <w:name w:val="mw-formatted-date"/>
    <w:basedOn w:val="DefaultParagraphFont"/>
  </w:style>
  <w:style w:type="paragraph" w:customStyle="1" w:styleId="MediumGrid1-Accent22">
    <w:name w:val="Medium Grid 1 - Accent 22"/>
    <w:basedOn w:val="Normal"/>
    <w:qFormat/>
    <w:pPr>
      <w:spacing w:after="200" w:line="276" w:lineRule="auto"/>
      <w:ind w:left="720"/>
    </w:pPr>
    <w:rPr>
      <w:rFonts w:ascii="Calibri" w:eastAsia="Calibri" w:hAnsi="Calibri"/>
      <w:i/>
      <w:color w:val="auto"/>
    </w:rPr>
  </w:style>
  <w:style w:type="character" w:customStyle="1" w:styleId="CharChar3">
    <w:name w:val="Char Char3"/>
    <w:rPr>
      <w:sz w:val="22"/>
      <w:szCs w:val="22"/>
    </w:rPr>
  </w:style>
  <w:style w:type="character" w:customStyle="1" w:styleId="fm-citation-ids-label1">
    <w:name w:val="fm-citation-ids-label1"/>
    <w:rPr>
      <w:color w:val="333333"/>
    </w:rPr>
  </w:style>
  <w:style w:type="character" w:customStyle="1" w:styleId="citation-abbreviation2">
    <w:name w:val="citation-abbreviation2"/>
    <w:basedOn w:val="DefaultParagraphFont"/>
  </w:style>
  <w:style w:type="character" w:customStyle="1" w:styleId="citation-publication-date">
    <w:name w:val="citation-publication-date"/>
    <w:basedOn w:val="DefaultParagraphFont"/>
  </w:style>
  <w:style w:type="character" w:customStyle="1" w:styleId="citation-volume">
    <w:name w:val="citation-volume"/>
    <w:basedOn w:val="DefaultParagraphFont"/>
  </w:style>
  <w:style w:type="character" w:customStyle="1" w:styleId="citation-issue">
    <w:name w:val="citation-issue"/>
    <w:basedOn w:val="DefaultParagraphFont"/>
  </w:style>
  <w:style w:type="character" w:customStyle="1" w:styleId="citation-flpages">
    <w:name w:val="citation-flpages"/>
    <w:basedOn w:val="DefaultParagraphFont"/>
  </w:style>
  <w:style w:type="paragraph" w:customStyle="1" w:styleId="citation">
    <w:name w:val="citation"/>
    <w:basedOn w:val="Normal"/>
    <w:pPr>
      <w:spacing w:before="100" w:after="100"/>
    </w:pPr>
    <w:rPr>
      <w:i/>
      <w:color w:val="auto"/>
      <w:sz w:val="18"/>
    </w:rPr>
  </w:style>
  <w:style w:type="paragraph" w:customStyle="1" w:styleId="authlist">
    <w:name w:val="auth_list"/>
    <w:basedOn w:val="Normal"/>
    <w:pPr>
      <w:spacing w:before="100" w:after="100"/>
    </w:pPr>
    <w:rPr>
      <w:i/>
      <w:color w:val="auto"/>
      <w:sz w:val="18"/>
    </w:rPr>
  </w:style>
  <w:style w:type="paragraph" w:customStyle="1" w:styleId="MDthesisHeading2">
    <w:name w:val="MD thesis Heading 2"/>
    <w:basedOn w:val="Heading2"/>
    <w:next w:val="Normal"/>
    <w:autoRedefine/>
    <w:pPr>
      <w:tabs>
        <w:tab w:val="clear" w:pos="720"/>
        <w:tab w:val="left" w:pos="709"/>
      </w:tabs>
      <w:spacing w:before="120" w:after="60" w:line="360" w:lineRule="auto"/>
      <w:ind w:left="709" w:firstLine="720"/>
    </w:pPr>
    <w:rPr>
      <w:b w:val="0"/>
      <w:i/>
      <w:snapToGrid/>
    </w:rPr>
  </w:style>
  <w:style w:type="paragraph" w:customStyle="1" w:styleId="title1">
    <w:name w:val="title1"/>
    <w:basedOn w:val="Normal"/>
    <w:pPr>
      <w:spacing w:after="0"/>
    </w:pPr>
    <w:rPr>
      <w:i/>
      <w:color w:val="auto"/>
      <w:sz w:val="29"/>
    </w:rPr>
  </w:style>
  <w:style w:type="paragraph" w:customStyle="1" w:styleId="rprtbody1">
    <w:name w:val="rprtbody1"/>
    <w:basedOn w:val="Normal"/>
    <w:pPr>
      <w:spacing w:before="34" w:after="34"/>
    </w:pPr>
    <w:rPr>
      <w:i/>
      <w:color w:val="auto"/>
      <w:sz w:val="28"/>
    </w:rPr>
  </w:style>
  <w:style w:type="paragraph" w:customStyle="1" w:styleId="aux1">
    <w:name w:val="aux1"/>
    <w:basedOn w:val="Normal"/>
    <w:pPr>
      <w:spacing w:after="0" w:line="320" w:lineRule="atLeast"/>
    </w:pPr>
    <w:rPr>
      <w:i/>
      <w:color w:val="auto"/>
      <w:sz w:val="18"/>
    </w:rPr>
  </w:style>
  <w:style w:type="character" w:customStyle="1" w:styleId="src1">
    <w:name w:val="src1"/>
    <w:rPr>
      <w:vanish w:val="0"/>
      <w:webHidden w:val="0"/>
      <w:specVanish w:val="0"/>
    </w:rPr>
  </w:style>
  <w:style w:type="character" w:customStyle="1" w:styleId="jrnl">
    <w:name w:val="jrnl"/>
    <w:basedOn w:val="DefaultParagraphFont"/>
  </w:style>
  <w:style w:type="character" w:customStyle="1" w:styleId="prevauthlinks1">
    <w:name w:val="prevauthlinks1"/>
    <w:rPr>
      <w:color w:val="C0C0C0"/>
      <w:u w:val="single"/>
    </w:rPr>
  </w:style>
  <w:style w:type="character" w:customStyle="1" w:styleId="nbapihighlight">
    <w:name w:val="nbapihighlight"/>
    <w:basedOn w:val="DefaultParagraphFont"/>
  </w:style>
  <w:style w:type="character" w:customStyle="1" w:styleId="bf">
    <w:name w:val="bf"/>
    <w:basedOn w:val="DefaultParagraphFont"/>
  </w:style>
  <w:style w:type="character" w:customStyle="1" w:styleId="it">
    <w:name w:val="it"/>
    <w:basedOn w:val="DefaultParagraphFont"/>
  </w:style>
  <w:style w:type="paragraph" w:customStyle="1" w:styleId="ptdocpara">
    <w:name w:val="ptdocpara"/>
    <w:basedOn w:val="Normal"/>
    <w:pPr>
      <w:spacing w:before="100" w:after="100"/>
    </w:pPr>
    <w:rPr>
      <w:i/>
      <w:color w:val="auto"/>
      <w:sz w:val="18"/>
    </w:rPr>
  </w:style>
  <w:style w:type="character" w:customStyle="1" w:styleId="ptdocpublication">
    <w:name w:val="ptdocpublication"/>
    <w:basedOn w:val="DefaultParagraphFont"/>
  </w:style>
  <w:style w:type="character" w:customStyle="1" w:styleId="ptdocissuevolume">
    <w:name w:val="ptdocissuevolume"/>
    <w:basedOn w:val="DefaultParagraphFont"/>
  </w:style>
  <w:style w:type="character" w:customStyle="1" w:styleId="ptdocissuedate">
    <w:name w:val="ptdocissuedate"/>
    <w:basedOn w:val="DefaultParagraphFont"/>
  </w:style>
  <w:style w:type="character" w:customStyle="1" w:styleId="ptdocissuepage">
    <w:name w:val="ptdocissuepage"/>
    <w:basedOn w:val="DefaultParagraphFont"/>
  </w:style>
  <w:style w:type="paragraph" w:customStyle="1" w:styleId="Referencetext121">
    <w:name w:val="סגנון Reference text + ‏12 נק מודגש1"/>
    <w:basedOn w:val="Normal"/>
    <w:autoRedefine/>
    <w:pPr>
      <w:spacing w:after="0" w:line="480" w:lineRule="auto"/>
      <w:jc w:val="both"/>
    </w:pPr>
    <w:rPr>
      <w:i/>
      <w:color w:val="auto"/>
      <w:sz w:val="18"/>
    </w:rPr>
  </w:style>
  <w:style w:type="paragraph" w:customStyle="1" w:styleId="12">
    <w:name w:val="סגנון כותרת 1 +"/>
    <w:basedOn w:val="Heading1"/>
    <w:pPr>
      <w:spacing w:before="240" w:after="60"/>
    </w:pPr>
    <w:rPr>
      <w:rFonts w:ascii="Arial" w:hAnsi="Arial"/>
      <w:i/>
      <w:color w:val="auto"/>
      <w:kern w:val="32"/>
      <w:sz w:val="32"/>
    </w:rPr>
  </w:style>
  <w:style w:type="paragraph" w:customStyle="1" w:styleId="14">
    <w:name w:val="אותיות גדולות 14"/>
    <w:basedOn w:val="12"/>
    <w:rPr>
      <w:b/>
    </w:rPr>
  </w:style>
  <w:style w:type="paragraph" w:customStyle="1" w:styleId="a1">
    <w:name w:val="טקסט מרכזי"/>
    <w:basedOn w:val="Normal"/>
    <w:pPr>
      <w:spacing w:after="0" w:line="480" w:lineRule="auto"/>
      <w:jc w:val="both"/>
    </w:pPr>
    <w:rPr>
      <w:rFonts w:ascii="Arial" w:hAnsi="Arial"/>
      <w:i/>
      <w:color w:val="auto"/>
      <w:sz w:val="18"/>
    </w:rPr>
  </w:style>
  <w:style w:type="character" w:customStyle="1" w:styleId="search1">
    <w:name w:val="search1"/>
    <w:rPr>
      <w:color w:val="228622"/>
    </w:rPr>
  </w:style>
  <w:style w:type="character" w:customStyle="1" w:styleId="style221">
    <w:name w:val="style221"/>
    <w:rPr>
      <w:color w:val="006633"/>
    </w:rPr>
  </w:style>
  <w:style w:type="character" w:customStyle="1" w:styleId="medium-normal1">
    <w:name w:val="medium-normal1"/>
    <w:rPr>
      <w:rFonts w:ascii="Arial" w:hAnsi="Arial" w:cs="Arial" w:hint="default"/>
      <w:b w:val="0"/>
      <w:bCs w:val="0"/>
      <w:i w:val="0"/>
      <w:iCs w:val="0"/>
      <w:sz w:val="20"/>
      <w:szCs w:val="20"/>
    </w:rPr>
  </w:style>
  <w:style w:type="character" w:styleId="HTMLVariable">
    <w:name w:val="HTML Variable"/>
    <w:rPr>
      <w:rFonts w:ascii="Verdana" w:hAnsi="Verdana" w:hint="default"/>
      <w:i w:val="0"/>
      <w:iCs w:val="0"/>
      <w:color w:val="000000"/>
      <w:sz w:val="20"/>
      <w:szCs w:val="20"/>
    </w:rPr>
  </w:style>
  <w:style w:type="paragraph" w:customStyle="1" w:styleId="last">
    <w:name w:val="last"/>
    <w:basedOn w:val="Normal"/>
    <w:pPr>
      <w:spacing w:before="100" w:after="100"/>
    </w:pPr>
    <w:rPr>
      <w:rFonts w:eastAsia="Calibri"/>
      <w:i/>
      <w:color w:val="auto"/>
      <w:sz w:val="18"/>
    </w:rPr>
  </w:style>
  <w:style w:type="paragraph" w:customStyle="1" w:styleId="firstlast">
    <w:name w:val="first last"/>
    <w:basedOn w:val="Normal"/>
    <w:pPr>
      <w:spacing w:before="100" w:after="100"/>
    </w:pPr>
    <w:rPr>
      <w:rFonts w:eastAsia="Calibri"/>
      <w:i/>
      <w:color w:val="auto"/>
      <w:sz w:val="18"/>
    </w:rPr>
  </w:style>
  <w:style w:type="character" w:customStyle="1" w:styleId="databold1">
    <w:name w:val="data_bold1"/>
    <w:rPr>
      <w:b/>
      <w:bCs/>
    </w:rPr>
  </w:style>
  <w:style w:type="paragraph" w:customStyle="1" w:styleId="normaltext">
    <w:name w:val="normaltext"/>
    <w:basedOn w:val="Normal"/>
    <w:pPr>
      <w:spacing w:before="120" w:after="60"/>
    </w:pPr>
    <w:rPr>
      <w:rFonts w:ascii="Arial" w:hAnsi="Arial"/>
      <w:i/>
      <w:sz w:val="20"/>
    </w:rPr>
  </w:style>
  <w:style w:type="paragraph" w:customStyle="1" w:styleId="heading10">
    <w:name w:val="heading1"/>
    <w:basedOn w:val="Normal"/>
    <w:next w:val="Normal"/>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Pr>
      <w:rFonts w:ascii="Times" w:hAnsi="Times"/>
      <w:b/>
      <w:noProof w:val="0"/>
      <w:sz w:val="24"/>
      <w:lang w:val="en-US" w:eastAsia="de-DE" w:bidi="ar-SA"/>
    </w:rPr>
  </w:style>
  <w:style w:type="paragraph" w:customStyle="1" w:styleId="literaturelist">
    <w:name w:val="literature list"/>
    <w:basedOn w:val="Normal"/>
    <w:pPr>
      <w:tabs>
        <w:tab w:val="num" w:pos="720"/>
        <w:tab w:val="left" w:pos="5760"/>
      </w:tabs>
      <w:spacing w:after="0" w:line="480" w:lineRule="auto"/>
      <w:ind w:left="720" w:right="170" w:hanging="360"/>
      <w:jc w:val="both"/>
      <w:outlineLvl w:val="0"/>
    </w:pPr>
    <w:rPr>
      <w:i/>
      <w:noProof/>
      <w:color w:val="auto"/>
      <w:sz w:val="18"/>
    </w:rPr>
  </w:style>
  <w:style w:type="character" w:customStyle="1" w:styleId="body1">
    <w:name w:val="body1"/>
    <w:rPr>
      <w:rFonts w:ascii="Verdana" w:hAnsi="Verdana" w:hint="default"/>
      <w:sz w:val="20"/>
      <w:szCs w:val="20"/>
    </w:rPr>
  </w:style>
  <w:style w:type="character" w:customStyle="1" w:styleId="bodybold1">
    <w:name w:val="bodybold1"/>
    <w:rPr>
      <w:rFonts w:ascii="Verdana" w:hAnsi="Verdana" w:hint="default"/>
      <w:b/>
      <w:bCs/>
      <w:sz w:val="20"/>
      <w:szCs w:val="20"/>
    </w:rPr>
  </w:style>
  <w:style w:type="paragraph" w:customStyle="1" w:styleId="CM1">
    <w:name w:val="CM1"/>
    <w:basedOn w:val="Default"/>
    <w:next w:val="Default"/>
    <w:pPr>
      <w:widowControl w:val="0"/>
    </w:pPr>
    <w:rPr>
      <w:color w:val="auto"/>
    </w:rPr>
  </w:style>
  <w:style w:type="paragraph" w:customStyle="1" w:styleId="CM2">
    <w:name w:val="CM2"/>
    <w:basedOn w:val="Default"/>
    <w:next w:val="Default"/>
    <w:pPr>
      <w:widowControl w:val="0"/>
      <w:spacing w:line="553" w:lineRule="atLeast"/>
    </w:pPr>
    <w:rPr>
      <w:color w:val="auto"/>
    </w:rPr>
  </w:style>
  <w:style w:type="paragraph" w:customStyle="1" w:styleId="CM27">
    <w:name w:val="CM27"/>
    <w:basedOn w:val="Default"/>
    <w:next w:val="Default"/>
    <w:pPr>
      <w:widowControl w:val="0"/>
      <w:spacing w:after="78"/>
    </w:pPr>
    <w:rPr>
      <w:color w:val="auto"/>
    </w:rPr>
  </w:style>
  <w:style w:type="paragraph" w:customStyle="1" w:styleId="CM3">
    <w:name w:val="CM3"/>
    <w:basedOn w:val="Default"/>
    <w:next w:val="Default"/>
    <w:pPr>
      <w:widowControl w:val="0"/>
      <w:numPr>
        <w:numId w:val="32"/>
      </w:numPr>
      <w:tabs>
        <w:tab w:val="clear" w:pos="720"/>
        <w:tab w:val="num" w:pos="680"/>
      </w:tabs>
      <w:spacing w:line="551" w:lineRule="atLeast"/>
      <w:ind w:left="0" w:firstLine="0"/>
    </w:pPr>
    <w:rPr>
      <w:color w:val="auto"/>
    </w:rPr>
  </w:style>
  <w:style w:type="paragraph" w:customStyle="1" w:styleId="CM28">
    <w:name w:val="CM28"/>
    <w:basedOn w:val="Default"/>
    <w:next w:val="Default"/>
    <w:pPr>
      <w:widowControl w:val="0"/>
      <w:spacing w:after="412"/>
    </w:pPr>
    <w:rPr>
      <w:color w:val="auto"/>
    </w:rPr>
  </w:style>
  <w:style w:type="paragraph" w:customStyle="1" w:styleId="CM30">
    <w:name w:val="CM30"/>
    <w:basedOn w:val="Default"/>
    <w:next w:val="Default"/>
    <w:pPr>
      <w:widowControl w:val="0"/>
      <w:spacing w:after="75"/>
    </w:pPr>
    <w:rPr>
      <w:color w:val="auto"/>
    </w:rPr>
  </w:style>
  <w:style w:type="paragraph" w:customStyle="1" w:styleId="CM10">
    <w:name w:val="CM10"/>
    <w:basedOn w:val="Default"/>
    <w:next w:val="Default"/>
    <w:pPr>
      <w:widowControl w:val="0"/>
      <w:spacing w:line="556" w:lineRule="atLeast"/>
    </w:pPr>
    <w:rPr>
      <w:color w:val="auto"/>
    </w:rPr>
  </w:style>
  <w:style w:type="paragraph" w:customStyle="1" w:styleId="CM32">
    <w:name w:val="CM32"/>
    <w:basedOn w:val="Default"/>
    <w:next w:val="Default"/>
    <w:pPr>
      <w:widowControl w:val="0"/>
      <w:spacing w:after="725"/>
    </w:pPr>
    <w:rPr>
      <w:color w:val="auto"/>
    </w:rPr>
  </w:style>
  <w:style w:type="paragraph" w:customStyle="1" w:styleId="CM33">
    <w:name w:val="CM33"/>
    <w:basedOn w:val="Default"/>
    <w:next w:val="Default"/>
    <w:pPr>
      <w:widowControl w:val="0"/>
      <w:numPr>
        <w:numId w:val="47"/>
      </w:numPr>
      <w:spacing w:after="538"/>
      <w:ind w:left="0" w:firstLine="0"/>
    </w:pPr>
    <w:rPr>
      <w:color w:val="auto"/>
    </w:rPr>
  </w:style>
  <w:style w:type="paragraph" w:customStyle="1" w:styleId="CM16">
    <w:name w:val="CM16"/>
    <w:basedOn w:val="Default"/>
    <w:next w:val="Default"/>
    <w:pPr>
      <w:widowControl w:val="0"/>
      <w:spacing w:line="553" w:lineRule="atLeast"/>
    </w:pPr>
    <w:rPr>
      <w:color w:val="auto"/>
    </w:rPr>
  </w:style>
  <w:style w:type="paragraph" w:customStyle="1" w:styleId="CM19">
    <w:name w:val="CM19"/>
    <w:basedOn w:val="Default"/>
    <w:next w:val="Default"/>
    <w:pPr>
      <w:widowControl w:val="0"/>
      <w:spacing w:line="268" w:lineRule="atLeast"/>
    </w:pPr>
    <w:rPr>
      <w:color w:val="auto"/>
    </w:rPr>
  </w:style>
  <w:style w:type="character" w:customStyle="1" w:styleId="ZchnZchn16">
    <w:name w:val="Zchn Zchn16"/>
    <w:rPr>
      <w:rFonts w:ascii="Arial" w:hAnsi="Arial" w:cs="Arial"/>
      <w:b/>
      <w:bCs/>
      <w:noProof w:val="0"/>
      <w:kern w:val="32"/>
      <w:sz w:val="32"/>
      <w:szCs w:val="32"/>
      <w:lang w:val="en-US" w:eastAsia="en-US" w:bidi="ar-SA"/>
    </w:rPr>
  </w:style>
  <w:style w:type="character" w:customStyle="1" w:styleId="ZchnZchn1">
    <w:name w:val="Zchn Zchn1"/>
    <w:rPr>
      <w:rFonts w:ascii="Cambria" w:hAnsi="Cambria"/>
      <w:b/>
      <w:bCs/>
      <w:noProof w:val="0"/>
      <w:kern w:val="28"/>
      <w:sz w:val="32"/>
      <w:szCs w:val="32"/>
      <w:lang w:val="ca-ES" w:eastAsia="en-US" w:bidi="ar-SA"/>
    </w:rPr>
  </w:style>
  <w:style w:type="paragraph" w:styleId="NoSpacing">
    <w:name w:val="No Spacing"/>
    <w:uiPriority w:val="1"/>
    <w:qFormat/>
    <w:rPr>
      <w:rFonts w:ascii="Times New Roman" w:hAnsi="Times New Roman"/>
      <w:sz w:val="24"/>
      <w:lang w:val="en-US" w:eastAsia="ko-KR"/>
    </w:rPr>
  </w:style>
  <w:style w:type="character" w:customStyle="1" w:styleId="ZchnZchn">
    <w:name w:val="Zchn Zchn"/>
    <w:rPr>
      <w:rFonts w:ascii="Calibri" w:hAnsi="Calibri"/>
      <w:noProof w:val="0"/>
      <w:lang w:val="ca-ES" w:eastAsia="en-US" w:bidi="ar-SA"/>
    </w:rPr>
  </w:style>
  <w:style w:type="paragraph" w:customStyle="1" w:styleId="references0">
    <w:name w:val="references"/>
    <w:basedOn w:val="Normal"/>
    <w:pPr>
      <w:spacing w:before="60" w:after="60"/>
      <w:ind w:left="1134" w:hanging="1134"/>
      <w:jc w:val="both"/>
    </w:pPr>
    <w:rPr>
      <w:rFonts w:ascii="Garamond" w:hAnsi="Garamond"/>
      <w:i/>
      <w:color w:val="auto"/>
      <w:sz w:val="20"/>
    </w:rPr>
  </w:style>
  <w:style w:type="paragraph" w:customStyle="1" w:styleId="refs">
    <w:name w:val="refs"/>
    <w:basedOn w:val="Normal"/>
    <w:pPr>
      <w:spacing w:before="100" w:after="100"/>
    </w:pPr>
    <w:rPr>
      <w:i/>
      <w:color w:val="auto"/>
      <w:sz w:val="18"/>
    </w:rPr>
  </w:style>
  <w:style w:type="character" w:customStyle="1" w:styleId="ital">
    <w:name w:val="ital"/>
    <w:basedOn w:val="DefaultParagraphFont"/>
  </w:style>
  <w:style w:type="paragraph" w:customStyle="1" w:styleId="Literaturverzeichnis">
    <w:name w:val="Literaturverzeichnis"/>
    <w:basedOn w:val="Normal"/>
    <w:next w:val="Normal"/>
    <w:unhideWhenUsed/>
    <w:pPr>
      <w:spacing w:after="200" w:line="276" w:lineRule="auto"/>
    </w:pPr>
    <w:rPr>
      <w:rFonts w:ascii="Calibri" w:hAnsi="Calibri"/>
      <w:i/>
      <w:color w:val="auto"/>
      <w:lang w:val="de-DE"/>
    </w:rPr>
  </w:style>
  <w:style w:type="character" w:customStyle="1" w:styleId="databold">
    <w:name w:val="data_bold"/>
    <w:basedOn w:val="DefaultParagraphFont"/>
  </w:style>
  <w:style w:type="character" w:customStyle="1" w:styleId="cmpparsedlocationcmpparsedstyle">
    <w:name w:val="cmp_parsed_location cmp_parsed_style"/>
    <w:basedOn w:val="DefaultParagraphFont"/>
  </w:style>
  <w:style w:type="paragraph" w:customStyle="1" w:styleId="MediumGrid1-Accent21">
    <w:name w:val="Medium Grid 1 - Accent 21"/>
    <w:basedOn w:val="Normal"/>
    <w:qFormat/>
    <w:pPr>
      <w:spacing w:after="200" w:line="276" w:lineRule="auto"/>
      <w:ind w:left="720"/>
    </w:pPr>
    <w:rPr>
      <w:rFonts w:ascii="Calibri" w:eastAsia="Calibri" w:hAnsi="Calibri"/>
      <w:b/>
      <w:i/>
      <w:color w:val="auto"/>
    </w:rPr>
  </w:style>
  <w:style w:type="paragraph" w:customStyle="1" w:styleId="ReferencesNIPIndia">
    <w:name w:val="References NIP India"/>
    <w:basedOn w:val="Normal"/>
    <w:qFormat/>
    <w:pPr>
      <w:spacing w:before="20" w:after="20"/>
      <w:ind w:left="709" w:right="720" w:hanging="709"/>
    </w:pPr>
    <w:rPr>
      <w:b/>
      <w:i/>
      <w:color w:val="auto"/>
      <w:sz w:val="18"/>
      <w:lang w:val="en-CA"/>
    </w:rPr>
  </w:style>
  <w:style w:type="character" w:customStyle="1" w:styleId="FootnoteTextChar">
    <w:name w:val="Footnote Text Char"/>
    <w:aliases w:val="Geneva 9 Char,Font: Geneva 9 Char,Boston 10 Char,f Char,Geneva 9 Char1,Font: Geneva 9 Char1,Boston 10 Char1,f Char1,Fußnotentextf Char1,-E Fußnotentext Char1,Fußnotentext Ursprung Char1,-E Fußnotentext1 Char1,-E Fußnotentext2 Char1"/>
    <w:uiPriority w:val="99"/>
    <w:rPr>
      <w:sz w:val="20"/>
      <w:szCs w:val="20"/>
    </w:rPr>
  </w:style>
  <w:style w:type="character" w:customStyle="1" w:styleId="BodyTextIndent2Char">
    <w:name w:val="Body Text Indent 2 Char"/>
    <w:basedOn w:val="DefaultParagraphFont"/>
    <w:semiHidden/>
  </w:style>
  <w:style w:type="paragraph" w:customStyle="1" w:styleId="Textedebulles">
    <w:name w:val="Texte de bulles"/>
    <w:basedOn w:val="Normal"/>
    <w:semiHidden/>
    <w:pPr>
      <w:spacing w:before="100" w:after="0"/>
      <w:ind w:right="720"/>
      <w:jc w:val="both"/>
    </w:pPr>
    <w:rPr>
      <w:rFonts w:ascii="Tahoma" w:hAnsi="Tahoma"/>
      <w:color w:val="auto"/>
      <w:sz w:val="16"/>
    </w:rPr>
  </w:style>
  <w:style w:type="character" w:customStyle="1" w:styleId="CarCar2">
    <w:name w:val="Car Car2"/>
    <w:semiHidden/>
    <w:locked/>
    <w:rPr>
      <w:rFonts w:cs="MS Gothic"/>
      <w:noProof w:val="0"/>
      <w:lang w:val="en-US" w:eastAsia="ja-JP" w:bidi="he-IL"/>
    </w:rPr>
  </w:style>
  <w:style w:type="character" w:customStyle="1" w:styleId="CarCar1">
    <w:name w:val="Car Car1"/>
    <w:semiHidden/>
    <w:locked/>
    <w:rPr>
      <w:rFonts w:cs="MS Gothic"/>
      <w:noProof w:val="0"/>
      <w:lang w:val="en-US" w:eastAsia="ja-JP" w:bidi="he-IL"/>
    </w:rPr>
  </w:style>
  <w:style w:type="character" w:customStyle="1" w:styleId="CharChar4">
    <w:name w:val="Char Char4"/>
    <w:semiHidden/>
    <w:rPr>
      <w:sz w:val="22"/>
      <w:szCs w:val="22"/>
    </w:rPr>
  </w:style>
  <w:style w:type="character" w:customStyle="1" w:styleId="ZchnZchn15">
    <w:name w:val="Zchn Zchn15"/>
    <w:semiHidden/>
    <w:rPr>
      <w:rFonts w:ascii="Arial" w:hAnsi="Arial" w:cs="Arial"/>
      <w:b/>
      <w:bCs/>
      <w:i/>
      <w:iCs/>
      <w:noProof w:val="0"/>
      <w:sz w:val="28"/>
      <w:szCs w:val="28"/>
      <w:lang w:val="en-US" w:eastAsia="en-US" w:bidi="ar-SA"/>
    </w:rPr>
  </w:style>
  <w:style w:type="character" w:customStyle="1" w:styleId="ZchnZchn14">
    <w:name w:val="Zchn Zchn14"/>
    <w:semiHidden/>
    <w:rPr>
      <w:rFonts w:ascii="Arial" w:hAnsi="Arial" w:cs="Arial"/>
      <w:b/>
      <w:bCs/>
      <w:noProof w:val="0"/>
      <w:sz w:val="26"/>
      <w:szCs w:val="26"/>
      <w:lang w:val="en-US" w:eastAsia="en-US" w:bidi="ar-SA"/>
    </w:rPr>
  </w:style>
  <w:style w:type="character" w:customStyle="1" w:styleId="ZchnZchn13">
    <w:name w:val="Zchn Zchn13"/>
    <w:semiHidden/>
    <w:rPr>
      <w:rFonts w:ascii="Arial" w:hAnsi="Arial" w:cs="Arial"/>
      <w:b/>
      <w:bCs/>
      <w:noProof w:val="0"/>
      <w:sz w:val="24"/>
      <w:szCs w:val="24"/>
      <w:lang w:val="de-DE" w:eastAsia="de-DE" w:bidi="ar-SA"/>
    </w:rPr>
  </w:style>
  <w:style w:type="character" w:customStyle="1" w:styleId="ZchnZchn12">
    <w:name w:val="Zchn Zchn12"/>
    <w:semiHidden/>
    <w:rPr>
      <w:rFonts w:ascii="Arial" w:hAnsi="Arial" w:cs="Arial"/>
      <w:b/>
      <w:bCs/>
      <w:noProof w:val="0"/>
      <w:sz w:val="24"/>
      <w:szCs w:val="24"/>
      <w:lang w:val="de-DE" w:eastAsia="de-DE" w:bidi="ar-SA"/>
    </w:rPr>
  </w:style>
  <w:style w:type="character" w:customStyle="1" w:styleId="ZchnZchn11">
    <w:name w:val="Zchn Zchn11"/>
    <w:semiHidden/>
    <w:rPr>
      <w:rFonts w:ascii="Arial" w:hAnsi="Arial" w:cs="Arial"/>
      <w:b/>
      <w:bCs/>
      <w:noProof w:val="0"/>
      <w:lang w:val="de-DE" w:eastAsia="de-DE" w:bidi="ar-SA"/>
    </w:rPr>
  </w:style>
  <w:style w:type="character" w:customStyle="1" w:styleId="ZchnZchn10">
    <w:name w:val="Zchn Zchn10"/>
    <w:semiHidden/>
    <w:rPr>
      <w:rFonts w:ascii="Arial" w:hAnsi="Arial" w:cs="Arial"/>
      <w:b/>
      <w:bCs/>
      <w:noProof w:val="0"/>
      <w:sz w:val="28"/>
      <w:szCs w:val="28"/>
      <w:lang w:val="de-DE" w:eastAsia="de-DE" w:bidi="ar-SA"/>
    </w:rPr>
  </w:style>
  <w:style w:type="character" w:customStyle="1" w:styleId="ZchnZchn9">
    <w:name w:val="Zchn Zchn9"/>
    <w:semiHidden/>
    <w:rPr>
      <w:rFonts w:ascii="Arial" w:hAnsi="Arial" w:cs="Arial"/>
      <w:b/>
      <w:bCs/>
      <w:noProof w:val="0"/>
      <w:lang w:val="de-DE" w:eastAsia="de-DE" w:bidi="ar-SA"/>
    </w:rPr>
  </w:style>
  <w:style w:type="character" w:customStyle="1" w:styleId="ZchnZchn8">
    <w:name w:val="Zchn Zchn8"/>
    <w:semiHidden/>
    <w:rPr>
      <w:rFonts w:ascii="Arial" w:hAnsi="Arial" w:cs="Arial"/>
      <w:noProof w:val="0"/>
      <w:sz w:val="24"/>
      <w:szCs w:val="24"/>
      <w:lang w:val="de-DE" w:eastAsia="de-DE" w:bidi="ar-SA"/>
    </w:rPr>
  </w:style>
  <w:style w:type="character" w:customStyle="1" w:styleId="CharCharZchn">
    <w:name w:val="Char Char Zchn"/>
    <w:aliases w:val="Body Text Char Char Char Char Char Zchn,Body Text Char Char Char Char Zchn Zchn"/>
    <w:semiHidden/>
    <w:locked/>
    <w:rPr>
      <w:rFonts w:eastAsia="MS Mincho"/>
      <w:noProof w:val="0"/>
      <w:color w:val="000000"/>
      <w:sz w:val="24"/>
      <w:lang w:val="en-GB" w:eastAsia="zh-CN" w:bidi="ar-SA"/>
    </w:rPr>
  </w:style>
  <w:style w:type="character" w:customStyle="1" w:styleId="ZchnZchn4">
    <w:name w:val="Zchn Zchn4"/>
    <w:semiHidden/>
    <w:rPr>
      <w:noProof w:val="0"/>
      <w:sz w:val="24"/>
      <w:szCs w:val="24"/>
      <w:lang w:val="en-US" w:eastAsia="en-US" w:bidi="ar-SA"/>
    </w:rPr>
  </w:style>
  <w:style w:type="character" w:customStyle="1" w:styleId="ZchnZchn7">
    <w:name w:val="Zchn Zchn7"/>
    <w:semiHidden/>
    <w:rPr>
      <w:noProof w:val="0"/>
      <w:sz w:val="24"/>
      <w:szCs w:val="24"/>
      <w:lang w:val="en-US" w:eastAsia="en-US" w:bidi="ar-SA"/>
    </w:rPr>
  </w:style>
  <w:style w:type="character" w:customStyle="1" w:styleId="ZchnZchn6">
    <w:name w:val="Zchn Zchn6"/>
    <w:semiHidden/>
    <w:rPr>
      <w:rFonts w:ascii="Courier New" w:hAnsi="Courier New" w:cs="MS Gothic"/>
      <w:noProof w:val="0"/>
      <w:lang w:val="de-DE" w:eastAsia="de-DE" w:bidi="ar-SA"/>
    </w:rPr>
  </w:style>
  <w:style w:type="character" w:customStyle="1" w:styleId="ZchnZchn5">
    <w:name w:val="Zchn Zchn5"/>
    <w:semiHidden/>
    <w:rPr>
      <w:rFonts w:ascii="Arial" w:hAnsi="Arial" w:cs="Arial"/>
      <w:noProof w:val="0"/>
      <w:sz w:val="24"/>
      <w:szCs w:val="24"/>
      <w:lang w:val="de-DE" w:eastAsia="de-DE" w:bidi="ar-SA"/>
    </w:rPr>
  </w:style>
  <w:style w:type="character" w:customStyle="1" w:styleId="ZchnZchn3">
    <w:name w:val="Zchn Zchn3"/>
    <w:semiHidden/>
    <w:rPr>
      <w:rFonts w:ascii="Arial" w:hAnsi="Arial" w:cs="Arial"/>
      <w:noProof w:val="0"/>
      <w:sz w:val="24"/>
      <w:szCs w:val="24"/>
      <w:lang w:val="de-DE" w:eastAsia="de-DE" w:bidi="ar-SA"/>
    </w:rPr>
  </w:style>
  <w:style w:type="paragraph" w:customStyle="1" w:styleId="13">
    <w:name w:val="コメント内容1"/>
    <w:basedOn w:val="CommentText"/>
    <w:next w:val="CommentText"/>
    <w:semiHidden/>
    <w:pPr>
      <w:spacing w:after="0"/>
    </w:pPr>
    <w:rPr>
      <w:rFonts w:ascii="Century" w:eastAsia="MS Mincho" w:hAnsi="Century"/>
      <w:b/>
      <w:bCs/>
      <w:kern w:val="2"/>
      <w:sz w:val="24"/>
      <w:szCs w:val="24"/>
      <w:lang w:val="en-US" w:eastAsia="ja-JP"/>
    </w:rPr>
  </w:style>
  <w:style w:type="paragraph" w:customStyle="1" w:styleId="15">
    <w:name w:val="吹き出し1"/>
    <w:basedOn w:val="Normal"/>
    <w:semiHidden/>
    <w:pPr>
      <w:widowControl w:val="0"/>
      <w:spacing w:after="0"/>
      <w:jc w:val="both"/>
    </w:pPr>
    <w:rPr>
      <w:rFonts w:ascii="Arial" w:eastAsia="MS Gothic" w:hAnsi="Arial"/>
      <w:color w:val="auto"/>
      <w:kern w:val="2"/>
      <w:sz w:val="18"/>
      <w:szCs w:val="18"/>
      <w:lang w:val="en-US" w:eastAsia="ja-JP"/>
    </w:rPr>
  </w:style>
  <w:style w:type="paragraph" w:customStyle="1" w:styleId="16">
    <w:name w:val="批注框文本1"/>
    <w:basedOn w:val="Normal"/>
    <w:semiHidden/>
    <w:pPr>
      <w:widowControl w:val="0"/>
      <w:spacing w:after="0"/>
      <w:jc w:val="both"/>
    </w:pPr>
    <w:rPr>
      <w:rFonts w:eastAsia="MS Mincho"/>
      <w:color w:val="auto"/>
      <w:kern w:val="2"/>
      <w:sz w:val="18"/>
      <w:szCs w:val="18"/>
      <w:lang w:val="en-US" w:eastAsia="ja-JP"/>
    </w:rPr>
  </w:style>
  <w:style w:type="paragraph" w:customStyle="1" w:styleId="17">
    <w:name w:val="批注主题1"/>
    <w:basedOn w:val="CommentText"/>
    <w:next w:val="CommentText"/>
    <w:semiHidden/>
    <w:pPr>
      <w:spacing w:after="0"/>
    </w:pPr>
    <w:rPr>
      <w:rFonts w:ascii="Century" w:eastAsia="MS Mincho" w:hAnsi="Century"/>
      <w:b/>
      <w:bCs/>
      <w:kern w:val="2"/>
      <w:sz w:val="24"/>
      <w:szCs w:val="24"/>
      <w:lang w:val="en-US" w:eastAsia="ja-JP"/>
    </w:rPr>
  </w:style>
  <w:style w:type="paragraph" w:customStyle="1" w:styleId="Textodeglobo1">
    <w:name w:val="Texto de globo1"/>
    <w:basedOn w:val="Normal"/>
    <w:semiHidden/>
    <w:pPr>
      <w:widowControl w:val="0"/>
      <w:spacing w:after="0"/>
      <w:jc w:val="both"/>
    </w:pPr>
    <w:rPr>
      <w:rFonts w:ascii="Tahoma" w:eastAsia="MS Mincho" w:hAnsi="Tahoma" w:cs="Times New Roman Bold"/>
      <w:color w:val="auto"/>
      <w:kern w:val="2"/>
      <w:sz w:val="16"/>
      <w:szCs w:val="16"/>
      <w:lang w:val="en-US" w:eastAsia="ja-JP"/>
    </w:rPr>
  </w:style>
  <w:style w:type="paragraph" w:customStyle="1" w:styleId="a2">
    <w:name w:val="スタイル"/>
    <w:pPr>
      <w:widowControl w:val="0"/>
      <w:autoSpaceDE w:val="0"/>
      <w:autoSpaceDN w:val="0"/>
      <w:adjustRightInd w:val="0"/>
    </w:pPr>
    <w:rPr>
      <w:rFonts w:ascii="Times New Roman" w:eastAsia="MS Mincho" w:hAnsi="Times New Roman"/>
      <w:sz w:val="24"/>
      <w:szCs w:val="24"/>
      <w:lang w:val="en-US" w:eastAsia="ja-JP"/>
    </w:rPr>
  </w:style>
  <w:style w:type="paragraph" w:customStyle="1" w:styleId="BodyText10">
    <w:name w:val="Body Text1"/>
    <w:basedOn w:val="Normal"/>
    <w:rPr>
      <w:szCs w:val="24"/>
    </w:rPr>
  </w:style>
  <w:style w:type="paragraph" w:customStyle="1" w:styleId="Tableandfigureheaders">
    <w:name w:val="Table and figure headers"/>
    <w:basedOn w:val="Caption"/>
    <w:autoRedefine/>
    <w:rsid w:val="00DA0F78"/>
    <w:pPr>
      <w:keepNext/>
      <w:spacing w:after="200" w:line="240" w:lineRule="auto"/>
      <w:ind w:left="1417" w:hanging="992"/>
      <w:jc w:val="both"/>
    </w:pPr>
    <w:rPr>
      <w:b/>
      <w:bCs/>
      <w:color w:val="auto"/>
      <w:sz w:val="24"/>
      <w:szCs w:val="24"/>
      <w:lang w:eastAsia="en-US"/>
    </w:rPr>
  </w:style>
  <w:style w:type="paragraph" w:customStyle="1" w:styleId="Tableandfigfooter">
    <w:name w:val="Table and fig footer"/>
    <w:basedOn w:val="Paraindent"/>
    <w:pPr>
      <w:spacing w:before="0" w:after="0"/>
      <w:ind w:left="425" w:right="0"/>
    </w:pPr>
    <w:rPr>
      <w:rFonts w:ascii="Calibri" w:hAnsi="Calibri"/>
      <w:i w:val="0"/>
      <w:noProof/>
      <w:color w:val="auto"/>
      <w:sz w:val="18"/>
      <w:szCs w:val="22"/>
      <w:lang w:eastAsia="en-GB"/>
    </w:rPr>
  </w:style>
  <w:style w:type="character" w:customStyle="1" w:styleId="CharChar20">
    <w:name w:val="Char Char2"/>
    <w:locked/>
    <w:rPr>
      <w:b/>
      <w:bCs w:val="0"/>
      <w:noProof w:val="0"/>
      <w:color w:val="000000"/>
      <w:sz w:val="28"/>
      <w:lang w:val="en-GB" w:eastAsia="zh-CN" w:bidi="ar-SA"/>
    </w:rPr>
  </w:style>
  <w:style w:type="character" w:customStyle="1" w:styleId="CharChar10">
    <w:name w:val="Char Char1"/>
    <w:rPr>
      <w:rFonts w:ascii="Arial" w:hAnsi="Arial" w:cs="Arial" w:hint="default"/>
      <w:noProof w:val="0"/>
      <w:lang w:val="en-GB" w:eastAsia="zh-CN" w:bidi="ar-SA"/>
    </w:rPr>
  </w:style>
  <w:style w:type="character" w:customStyle="1" w:styleId="18">
    <w:name w:val="(文字) (文字)1"/>
    <w:rPr>
      <w:rFonts w:ascii="SimSun" w:eastAsia="SimSun" w:hint="eastAsia"/>
      <w:noProof w:val="0"/>
      <w:sz w:val="24"/>
      <w:szCs w:val="24"/>
      <w:lang w:val="en-US" w:eastAsia="zh-CN" w:bidi="ar-SA"/>
    </w:rPr>
  </w:style>
  <w:style w:type="character" w:customStyle="1" w:styleId="a3">
    <w:name w:val="(文字) (文字)"/>
    <w:rPr>
      <w:rFonts w:ascii="SimSun" w:eastAsia="SimSun" w:hint="eastAsia"/>
      <w:b/>
      <w:bCs/>
      <w:noProof w:val="0"/>
      <w:sz w:val="24"/>
      <w:szCs w:val="24"/>
      <w:lang w:val="en-US" w:eastAsia="en-US" w:bidi="ar-SA"/>
    </w:rPr>
  </w:style>
  <w:style w:type="character" w:customStyle="1" w:styleId="CarCar190">
    <w:name w:val="Car Car19"/>
    <w:locked/>
    <w:rPr>
      <w:rFonts w:ascii="MS Mincho" w:eastAsia="MS Mincho" w:hint="eastAsia"/>
      <w:noProof w:val="0"/>
      <w:color w:val="000000"/>
      <w:sz w:val="24"/>
      <w:szCs w:val="24"/>
      <w:lang w:val="en-GB" w:eastAsia="zh-CN" w:bidi="ar-SA"/>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F95F7D"/>
    <w:rPr>
      <w:sz w:val="28"/>
      <w:lang w:eastAsia="en-US"/>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rPr>
      <w:b/>
      <w:bCs w:val="0"/>
      <w:i/>
      <w:iCs w:val="0"/>
      <w:noProof w:val="0"/>
      <w:color w:val="000000"/>
      <w:sz w:val="24"/>
      <w:lang w:val="en-GB" w:eastAsia="en-US"/>
    </w:rPr>
  </w:style>
  <w:style w:type="character" w:customStyle="1" w:styleId="Heading4Char1">
    <w:name w:val="Heading 4 Char1"/>
    <w:rPr>
      <w:b/>
      <w:bCs w:val="0"/>
      <w:i/>
      <w:iCs w:val="0"/>
      <w:noProof w:val="0"/>
      <w:snapToGrid w:val="0"/>
      <w:color w:val="000000"/>
      <w:sz w:val="24"/>
      <w:lang w:val="en-GB" w:eastAsia="zh-CN"/>
    </w:rPr>
  </w:style>
  <w:style w:type="character" w:customStyle="1" w:styleId="Heading311ptBoldChar">
    <w:name w:val="Heading 3 + 11 pt Bold Char"/>
    <w:rPr>
      <w:b/>
      <w:sz w:val="24"/>
    </w:rPr>
  </w:style>
  <w:style w:type="character" w:customStyle="1" w:styleId="A20">
    <w:name w:val="A2"/>
    <w:uiPriority w:val="99"/>
    <w:rPr>
      <w:b/>
      <w:bCs w:val="0"/>
      <w:color w:val="000000"/>
      <w:sz w:val="12"/>
    </w:rPr>
  </w:style>
  <w:style w:type="character" w:customStyle="1" w:styleId="StyleHeading4Left0Firstline0Char">
    <w:name w:val="Style Heading 4 + Left:  0&quot; First line:  0&quot; Char"/>
    <w:rPr>
      <w:b/>
      <w:bCs w:val="0"/>
      <w:i/>
      <w:iCs w:val="0"/>
      <w:noProof w:val="0"/>
      <w:snapToGrid w:val="0"/>
      <w:color w:val="000000"/>
      <w:sz w:val="24"/>
      <w:lang w:val="en-GB" w:eastAsia="zh-CN"/>
    </w:rPr>
  </w:style>
  <w:style w:type="character" w:customStyle="1" w:styleId="ECMStableheaderChar">
    <w:name w:val="ECMS table header Char"/>
    <w:rPr>
      <w:b/>
      <w:bCs w:val="0"/>
      <w:noProof w:val="0"/>
      <w:sz w:val="24"/>
      <w:lang w:val="en-GB" w:eastAsia="en-GB"/>
    </w:rPr>
  </w:style>
  <w:style w:type="character" w:customStyle="1" w:styleId="maintext1">
    <w:name w:val="maintext1"/>
    <w:rPr>
      <w:rFonts w:ascii="Verdana" w:hAnsi="Verdana" w:hint="default"/>
      <w:sz w:val="20"/>
    </w:rPr>
  </w:style>
  <w:style w:type="character" w:customStyle="1" w:styleId="CharChar40">
    <w:name w:val="Char Char4"/>
    <w:locked/>
    <w:rPr>
      <w:noProof w:val="0"/>
      <w:sz w:val="24"/>
      <w:lang w:val="en-US" w:eastAsia="en-AU"/>
    </w:rPr>
  </w:style>
  <w:style w:type="character" w:customStyle="1" w:styleId="apple-style-span">
    <w:name w:val="apple-style-span"/>
    <w:rPr>
      <w:rFonts w:ascii="Times New Roman" w:hAnsi="Times New Roman" w:cs="Times New Roman" w:hint="default"/>
    </w:rPr>
  </w:style>
  <w:style w:type="character" w:customStyle="1" w:styleId="CharChar5">
    <w:name w:val="Char Char5"/>
    <w:locked/>
    <w:rPr>
      <w:rFonts w:ascii="Tahoma" w:hAnsi="Tahoma" w:cs="Times New Roman Bold" w:hint="default"/>
      <w:noProof w:val="0"/>
      <w:sz w:val="16"/>
      <w:lang w:val="en-US" w:eastAsia="en-US"/>
    </w:rPr>
  </w:style>
  <w:style w:type="character" w:customStyle="1" w:styleId="apple-converted-space">
    <w:name w:val="apple-converted-space"/>
    <w:rPr>
      <w:rFonts w:ascii="Times New Roman" w:hAnsi="Times New Roman" w:cs="Times New Roman" w:hint="default"/>
    </w:rPr>
  </w:style>
  <w:style w:type="character" w:customStyle="1" w:styleId="CharChar30">
    <w:name w:val="Char Char3"/>
    <w:locked/>
    <w:rPr>
      <w:noProof w:val="0"/>
      <w:color w:val="000000"/>
      <w:sz w:val="24"/>
      <w:lang w:val="en-GB" w:eastAsia="en-US"/>
    </w:rPr>
  </w:style>
  <w:style w:type="paragraph" w:customStyle="1" w:styleId="listparagraphcxspmiddle">
    <w:name w:val="listparagraphcxspmiddle"/>
    <w:basedOn w:val="Normal"/>
    <w:pPr>
      <w:spacing w:before="100" w:after="100"/>
    </w:pPr>
    <w:rPr>
      <w:color w:val="auto"/>
      <w:lang w:val="en-US"/>
    </w:rPr>
  </w:style>
  <w:style w:type="paragraph" w:customStyle="1" w:styleId="StyleBodyText1After6pt">
    <w:name w:val="Style Body Text1 + After:  6 pt"/>
    <w:basedOn w:val="BodyText10"/>
    <w:rPr>
      <w:szCs w:val="20"/>
    </w:rPr>
  </w:style>
  <w:style w:type="character" w:customStyle="1" w:styleId="DocumentMapChar">
    <w:name w:val="Document Map Char"/>
    <w:uiPriority w:val="99"/>
    <w:semiHidden/>
    <w:rPr>
      <w:rFonts w:ascii="Times New Roman" w:hAnsi="Times New Roman" w:cs="Times New Roman"/>
      <w:color w:val="000000"/>
      <w:sz w:val="0"/>
      <w:szCs w:val="0"/>
    </w:rPr>
  </w:style>
  <w:style w:type="character" w:customStyle="1" w:styleId="SubtitleChar">
    <w:name w:val="Subtitle Char"/>
    <w:uiPriority w:val="11"/>
    <w:rPr>
      <w:rFonts w:ascii="Cambria" w:eastAsia="Times New Roman" w:hAnsi="Cambria" w:cs="Times New Roman"/>
      <w:color w:val="000000"/>
      <w:sz w:val="24"/>
      <w:szCs w:val="24"/>
    </w:rPr>
  </w:style>
  <w:style w:type="character" w:customStyle="1" w:styleId="QuoteChar">
    <w:name w:val="Quote Char"/>
    <w:rPr>
      <w:rFonts w:ascii="Times New Roman" w:hAnsi="Times New Roman"/>
      <w:i/>
      <w:iCs/>
      <w:color w:val="000000"/>
      <w:sz w:val="24"/>
      <w:szCs w:val="24"/>
    </w:rPr>
  </w:style>
  <w:style w:type="character" w:customStyle="1" w:styleId="IntenseQuoteChar">
    <w:name w:val="Intense Quote Char"/>
    <w:rPr>
      <w:rFonts w:ascii="Times New Roman" w:hAnsi="Times New Roman"/>
      <w:b/>
      <w:bCs/>
      <w:i/>
      <w:iCs/>
      <w:color w:val="4F81BD"/>
      <w:sz w:val="24"/>
      <w:szCs w:val="24"/>
    </w:rPr>
  </w:style>
  <w:style w:type="character" w:customStyle="1" w:styleId="A00">
    <w:name w:val="A0"/>
    <w:rPr>
      <w:rFonts w:cs="Arial Unicode MS"/>
      <w:color w:val="000000"/>
      <w:sz w:val="22"/>
      <w:szCs w:val="22"/>
    </w:rPr>
  </w:style>
  <w:style w:type="character" w:customStyle="1" w:styleId="HTMLPreformattedChar">
    <w:name w:val="HTML Preformatted Char"/>
    <w:rPr>
      <w:rFonts w:ascii="Courier New" w:eastAsia="Times New Roman" w:hAnsi="Courier New" w:cs="Times"/>
    </w:rPr>
  </w:style>
  <w:style w:type="character" w:customStyle="1" w:styleId="srch-url21">
    <w:name w:val="srch-url21"/>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Pr>
      <w:rFonts w:ascii="Cambria" w:hAnsi="Cambria" w:cs="Times New Roman"/>
      <w:b/>
      <w:bCs/>
      <w:i/>
      <w:iCs/>
      <w:noProof w:val="0"/>
      <w:sz w:val="28"/>
      <w:szCs w:val="28"/>
      <w:lang w:val="en-AU" w:eastAsia="en-AU"/>
    </w:rPr>
  </w:style>
  <w:style w:type="character" w:customStyle="1" w:styleId="Titre3Car">
    <w:name w:val="Titre 3 Car"/>
    <w:aliases w:val="Heading 3 Char1 Char Car,Heading 3 Char Char Char Car,Char Char Char Char Car,Char Char1 Char Car,Sec Car"/>
    <w:locked/>
    <w:rPr>
      <w:rFonts w:cs="Times New Roman"/>
      <w:b/>
      <w:i/>
      <w:iCs/>
      <w:noProof w:val="0"/>
      <w:color w:val="000000"/>
      <w:sz w:val="24"/>
      <w:szCs w:val="24"/>
      <w:lang w:val="en-GB" w:eastAsia="en-US"/>
    </w:rPr>
  </w:style>
  <w:style w:type="character" w:customStyle="1" w:styleId="Titre4Car">
    <w:name w:val="Titre 4 Car"/>
    <w:aliases w:val="MainPara Car"/>
    <w:locked/>
    <w:rPr>
      <w:rFonts w:cs="Times New Roman"/>
      <w:bCs/>
      <w:i/>
      <w:noProof w:val="0"/>
      <w:sz w:val="28"/>
      <w:szCs w:val="28"/>
      <w:lang w:val="en-AU" w:eastAsia="en-AU"/>
    </w:rPr>
  </w:style>
  <w:style w:type="character" w:customStyle="1" w:styleId="Titre5Car">
    <w:name w:val="Titre 5 Car"/>
    <w:aliases w:val="Subpara 2 Car"/>
    <w:semiHidden/>
    <w:locked/>
    <w:rPr>
      <w:rFonts w:ascii="Calibri" w:hAnsi="Calibri" w:cs="Arial"/>
      <w:b/>
      <w:bCs/>
      <w:i/>
      <w:iCs/>
      <w:noProof w:val="0"/>
      <w:sz w:val="26"/>
      <w:szCs w:val="26"/>
      <w:lang w:val="en-AU" w:eastAsia="en-AU"/>
    </w:rPr>
  </w:style>
  <w:style w:type="character" w:customStyle="1" w:styleId="Titre6Car">
    <w:name w:val="Titre 6 Car"/>
    <w:semiHidden/>
    <w:locked/>
    <w:rPr>
      <w:rFonts w:ascii="Calibri" w:hAnsi="Calibri" w:cs="Arial"/>
      <w:b/>
      <w:bCs/>
      <w:noProof w:val="0"/>
      <w:lang w:val="en-AU" w:eastAsia="en-AU"/>
    </w:rPr>
  </w:style>
  <w:style w:type="character" w:customStyle="1" w:styleId="Titre7Car">
    <w:name w:val="Titre 7 Car"/>
    <w:aliases w:val="Subpara 4 Car"/>
    <w:semiHidden/>
    <w:locked/>
    <w:rPr>
      <w:rFonts w:ascii="Calibri" w:hAnsi="Calibri" w:cs="Arial"/>
      <w:noProof w:val="0"/>
      <w:sz w:val="24"/>
      <w:szCs w:val="24"/>
      <w:lang w:val="en-AU" w:eastAsia="en-AU"/>
    </w:rPr>
  </w:style>
  <w:style w:type="character" w:customStyle="1" w:styleId="Titre8Car">
    <w:name w:val="Titre 8 Car"/>
    <w:aliases w:val="Subpara 5 Car"/>
    <w:semiHidden/>
    <w:locked/>
    <w:rPr>
      <w:rFonts w:ascii="Calibri" w:hAnsi="Calibri" w:cs="Arial"/>
      <w:i/>
      <w:iCs/>
      <w:noProof w:val="0"/>
      <w:sz w:val="24"/>
      <w:szCs w:val="24"/>
      <w:lang w:val="en-AU" w:eastAsia="en-AU"/>
    </w:rPr>
  </w:style>
  <w:style w:type="character" w:customStyle="1" w:styleId="Titre9Car">
    <w:name w:val="Titre 9 Car"/>
    <w:aliases w:val="Subpara 6 Car"/>
    <w:semiHidden/>
    <w:locked/>
    <w:rPr>
      <w:rFonts w:ascii="Cambria" w:hAnsi="Cambria" w:cs="Times New Roman"/>
      <w:noProof w:val="0"/>
      <w:lang w:val="en-AU" w:eastAsia="en-AU"/>
    </w:rPr>
  </w:style>
  <w:style w:type="character" w:customStyle="1" w:styleId="TextedebullesCar">
    <w:name w:val="Texte de bulles Car"/>
    <w:semiHidden/>
    <w:locked/>
    <w:rPr>
      <w:rFonts w:cs="Times New Roman"/>
      <w:noProof w:val="0"/>
      <w:sz w:val="2"/>
      <w:lang w:val="en-AU" w:eastAsia="en-AU"/>
    </w:rPr>
  </w:style>
  <w:style w:type="character" w:customStyle="1" w:styleId="CorpsdetexteCar">
    <w:name w:val="Corps de texte Car"/>
    <w:aliases w:val="Char Char Car,Body Text Char Char Char Char Char Car,Body Text Char Char Char Char Car"/>
    <w:locked/>
    <w:rPr>
      <w:rFonts w:cs="Times New Roman"/>
      <w:noProof w:val="0"/>
      <w:sz w:val="24"/>
      <w:szCs w:val="24"/>
      <w:lang w:val="en-AU" w:eastAsia="en-AU"/>
    </w:rPr>
  </w:style>
  <w:style w:type="paragraph" w:customStyle="1" w:styleId="PrformatHTML">
    <w:name w:val="Préformaté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Pr>
      <w:rFonts w:ascii="Courier New" w:hAnsi="Courier New" w:cs="Chicago"/>
      <w:noProof w:val="0"/>
      <w:sz w:val="20"/>
      <w:szCs w:val="20"/>
      <w:lang w:val="en-AU" w:eastAsia="en-AU"/>
    </w:rPr>
  </w:style>
  <w:style w:type="character" w:customStyle="1" w:styleId="RetraitcorpsdetexteCar">
    <w:name w:val="Retrait corps de texte Car"/>
    <w:semiHidden/>
    <w:locked/>
    <w:rPr>
      <w:rFonts w:cs="Times New Roman"/>
      <w:noProof w:val="0"/>
      <w:sz w:val="24"/>
      <w:szCs w:val="24"/>
      <w:lang w:val="en-AU" w:eastAsia="en-AU"/>
    </w:rPr>
  </w:style>
  <w:style w:type="character" w:customStyle="1" w:styleId="Retraitcorpset1religCar">
    <w:name w:val="Retrait corps et 1re lig. Car"/>
    <w:basedOn w:val="RetraitcorpsdetexteCar"/>
    <w:semiHidden/>
    <w:locked/>
    <w:rPr>
      <w:rFonts w:cs="Times New Roman"/>
      <w:noProof w:val="0"/>
      <w:sz w:val="24"/>
      <w:szCs w:val="24"/>
      <w:lang w:val="en-AU" w:eastAsia="en-AU"/>
    </w:rPr>
  </w:style>
  <w:style w:type="character" w:customStyle="1" w:styleId="CommentaireCar">
    <w:name w:val="Commentaire Car"/>
    <w:locked/>
    <w:rPr>
      <w:rFonts w:eastAsia="Times New Roman"/>
      <w:noProof w:val="0"/>
      <w:lang w:val="en-AU" w:eastAsia="en-AU"/>
    </w:rPr>
  </w:style>
  <w:style w:type="paragraph" w:customStyle="1" w:styleId="Objetducommentaire">
    <w:name w:val="Objet du commentaire"/>
    <w:basedOn w:val="CommentText"/>
    <w:next w:val="CommentText"/>
    <w:semiHidden/>
    <w:pPr>
      <w:widowControl/>
      <w:spacing w:after="0"/>
    </w:pPr>
    <w:rPr>
      <w:rFonts w:ascii="Times New Roman" w:hAnsi="Times New Roman"/>
      <w:b/>
      <w:lang w:val="en-AU"/>
    </w:rPr>
  </w:style>
  <w:style w:type="character" w:customStyle="1" w:styleId="ObjetducommentaireCar">
    <w:name w:val="Objet du commentaire Car"/>
    <w:locked/>
    <w:rPr>
      <w:rFonts w:eastAsia="Times New Roman" w:cs="Times New Roman"/>
      <w:b/>
      <w:noProof w:val="0"/>
      <w:lang w:val="en-AU" w:eastAsia="en-AU"/>
    </w:rPr>
  </w:style>
  <w:style w:type="paragraph" w:customStyle="1" w:styleId="En-ttedetabledesmatires">
    <w:name w:val="En-tête de table des matières"/>
    <w:basedOn w:val="Heading1"/>
    <w:next w:val="Normal"/>
    <w:qFormat/>
    <w:pPr>
      <w:keepLines/>
      <w:spacing w:before="480" w:line="276" w:lineRule="auto"/>
      <w:outlineLvl w:val="9"/>
    </w:pPr>
    <w:rPr>
      <w:rFonts w:ascii="Cambria" w:eastAsia="MS Mincho" w:hAnsi="Cambria"/>
      <w:color w:val="808080"/>
      <w:lang w:val="fr-FR"/>
    </w:rPr>
  </w:style>
  <w:style w:type="paragraph" w:customStyle="1" w:styleId="Paragraphedeliste">
    <w:name w:val="Paragraphe de liste"/>
    <w:basedOn w:val="Normal"/>
    <w:qFormat/>
    <w:pPr>
      <w:spacing w:after="0"/>
    </w:pPr>
    <w:rPr>
      <w:rFonts w:eastAsia="MS Mincho"/>
      <w:color w:val="auto"/>
      <w:sz w:val="24"/>
      <w:lang w:val="en-AU"/>
    </w:rPr>
  </w:style>
  <w:style w:type="character" w:customStyle="1" w:styleId="bold0">
    <w:name w:val="bold"/>
    <w:rPr>
      <w:rFonts w:cs="Times New Roman"/>
    </w:rPr>
  </w:style>
  <w:style w:type="paragraph" w:customStyle="1" w:styleId="first">
    <w:name w:val="first"/>
    <w:basedOn w:val="Normal"/>
    <w:pPr>
      <w:spacing w:before="100" w:after="100"/>
    </w:pPr>
    <w:rPr>
      <w:rFonts w:eastAsia="MS Mincho"/>
      <w:color w:val="auto"/>
      <w:sz w:val="24"/>
      <w:lang w:val="fr-FR"/>
    </w:rPr>
  </w:style>
  <w:style w:type="character" w:customStyle="1" w:styleId="En-tteCar">
    <w:name w:val="En-tête Car"/>
    <w:locked/>
    <w:rPr>
      <w:rFonts w:cs="Times New Roman"/>
      <w:noProof w:val="0"/>
      <w:sz w:val="24"/>
      <w:szCs w:val="24"/>
      <w:lang w:val="en-AU" w:eastAsia="en-AU"/>
    </w:rPr>
  </w:style>
  <w:style w:type="character" w:customStyle="1" w:styleId="PieddepageCar">
    <w:name w:val="Pied de page Car"/>
    <w:locked/>
    <w:rPr>
      <w:rFonts w:cs="Times New Roman"/>
      <w:noProof w:val="0"/>
      <w:sz w:val="24"/>
      <w:szCs w:val="24"/>
      <w:lang w:val="en-AU" w:eastAsia="en-AU"/>
    </w:rPr>
  </w:style>
  <w:style w:type="character" w:customStyle="1" w:styleId="TitreCar">
    <w:name w:val="Titre Car"/>
    <w:locked/>
    <w:rPr>
      <w:rFonts w:ascii="Cambria" w:hAnsi="Cambria" w:cs="Times New Roman"/>
      <w:b/>
      <w:bCs/>
      <w:noProof w:val="0"/>
      <w:kern w:val="28"/>
      <w:sz w:val="32"/>
      <w:szCs w:val="32"/>
      <w:lang w:val="en-AU" w:eastAsia="en-AU"/>
    </w:rPr>
  </w:style>
  <w:style w:type="paragraph" w:customStyle="1" w:styleId="Sansinterligne">
    <w:name w:val="Sans interligne"/>
    <w:qFormat/>
    <w:rPr>
      <w:rFonts w:ascii="Times New Roman" w:eastAsia="MS Mincho" w:hAnsi="Times New Roman"/>
      <w:noProof/>
      <w:sz w:val="24"/>
      <w:lang w:val="nl-NL" w:eastAsia="nl-NL"/>
    </w:rPr>
  </w:style>
  <w:style w:type="character" w:customStyle="1" w:styleId="ExplorateurdedocumentsCar">
    <w:name w:val="Explorateur de documents Car"/>
    <w:semiHidden/>
    <w:locked/>
    <w:rPr>
      <w:rFonts w:ascii="Tahoma" w:hAnsi="Tahoma" w:cs="Times New Roman Bold"/>
      <w:noProof w:val="0"/>
      <w:sz w:val="16"/>
      <w:szCs w:val="16"/>
      <w:lang w:val="en-AU" w:eastAsia="en-AU"/>
    </w:rPr>
  </w:style>
  <w:style w:type="character" w:customStyle="1" w:styleId="hit">
    <w:name w:val="hit"/>
    <w:rPr>
      <w:rFonts w:cs="Times New Roman"/>
    </w:rPr>
  </w:style>
  <w:style w:type="character" w:customStyle="1" w:styleId="NotedebasdepageCar">
    <w:name w:val="Note de bas de page Car"/>
    <w:locked/>
    <w:rPr>
      <w:rFonts w:cs="Times New Roman"/>
      <w:noProof w:val="0"/>
      <w:sz w:val="24"/>
      <w:szCs w:val="24"/>
      <w:lang w:val="en-AU" w:eastAsia="en-AU"/>
    </w:rPr>
  </w:style>
  <w:style w:type="paragraph" w:customStyle="1" w:styleId="Rvision">
    <w:name w:val="Révision"/>
    <w:hidden/>
    <w:semiHidden/>
    <w:rPr>
      <w:rFonts w:ascii="Times New Roman" w:eastAsia="MS Mincho" w:hAnsi="Times New Roman"/>
      <w:sz w:val="24"/>
      <w:lang w:eastAsia="nl-NL"/>
    </w:rPr>
  </w:style>
  <w:style w:type="paragraph" w:customStyle="1" w:styleId="Ref">
    <w:name w:val="Ref"/>
    <w:basedOn w:val="Footnote"/>
    <w:pPr>
      <w:autoSpaceDE w:val="0"/>
      <w:autoSpaceDN w:val="0"/>
      <w:adjustRightInd w:val="0"/>
    </w:pPr>
    <w:rPr>
      <w:rFonts w:ascii="Calibri" w:eastAsia="MS Mincho" w:hAnsi="Calibri"/>
    </w:rPr>
  </w:style>
  <w:style w:type="character" w:customStyle="1" w:styleId="SansinterligneCar">
    <w:name w:val="Sans interligne Car"/>
    <w:rPr>
      <w:sz w:val="24"/>
      <w:szCs w:val="24"/>
      <w:lang w:bidi="ar-SA"/>
    </w:rPr>
  </w:style>
  <w:style w:type="paragraph" w:customStyle="1" w:styleId="Hea">
    <w:name w:val="Hea"/>
    <w:pPr>
      <w:autoSpaceDE w:val="0"/>
      <w:autoSpaceDN w:val="0"/>
    </w:pPr>
    <w:rPr>
      <w:rFonts w:ascii="Times New Roman" w:hAnsi="Times New Roman"/>
      <w:sz w:val="24"/>
      <w:lang w:val="en-US" w:eastAsia="nl-NL"/>
    </w:rPr>
  </w:style>
  <w:style w:type="paragraph" w:customStyle="1" w:styleId="PageImage">
    <w:name w:val="PageImage"/>
    <w:pPr>
      <w:autoSpaceDE w:val="0"/>
      <w:autoSpaceDN w:val="0"/>
      <w:spacing w:before="240"/>
      <w:jc w:val="center"/>
    </w:pPr>
    <w:rPr>
      <w:rFonts w:ascii="Times New Roman" w:hAnsi="Times New Roman"/>
      <w:lang w:eastAsia="nl-NL"/>
    </w:rPr>
  </w:style>
  <w:style w:type="paragraph" w:customStyle="1" w:styleId="Italicindent">
    <w:name w:val="Italic indent"/>
    <w:pPr>
      <w:autoSpaceDE w:val="0"/>
      <w:autoSpaceDN w:val="0"/>
      <w:spacing w:after="200" w:line="276" w:lineRule="auto"/>
      <w:ind w:left="1701" w:right="662"/>
    </w:pPr>
    <w:rPr>
      <w:rFonts w:ascii="Calibri" w:hAnsi="Calibri"/>
      <w:i/>
      <w:color w:val="000000"/>
      <w:lang w:val="en-GB" w:eastAsia="nl-NL"/>
    </w:rPr>
  </w:style>
  <w:style w:type="paragraph" w:customStyle="1" w:styleId="a4">
    <w:name w:val="("/>
    <w:pPr>
      <w:autoSpaceDE w:val="0"/>
      <w:autoSpaceDN w:val="0"/>
      <w:spacing w:after="160" w:line="240" w:lineRule="exact"/>
    </w:pPr>
    <w:rPr>
      <w:rFonts w:ascii="Times New Roman" w:hAnsi="Times New Roman"/>
      <w:lang w:val="en-US" w:eastAsia="nl-NL"/>
    </w:rPr>
  </w:style>
  <w:style w:type="character" w:customStyle="1" w:styleId="style61">
    <w:name w:val="style61"/>
    <w:rPr>
      <w:rFonts w:ascii="Verdana" w:hAnsi="Verdana" w:cs="Arial Narrow"/>
      <w:b/>
      <w:bCs/>
      <w:color w:val="808080"/>
      <w:sz w:val="24"/>
      <w:szCs w:val="24"/>
    </w:rPr>
  </w:style>
  <w:style w:type="paragraph" w:customStyle="1" w:styleId="Rvision1">
    <w:name w:val="Révision1"/>
    <w:hidden/>
    <w:semiHidden/>
    <w:rPr>
      <w:rFonts w:ascii="Times New Roman" w:eastAsia="MS Mincho" w:hAnsi="Times New Roman"/>
      <w:sz w:val="24"/>
      <w:szCs w:val="24"/>
      <w:lang w:val="en-US"/>
    </w:rPr>
  </w:style>
  <w:style w:type="paragraph" w:customStyle="1" w:styleId="Bibliographie1">
    <w:name w:val="Bibliographie1"/>
    <w:basedOn w:val="Normal"/>
    <w:next w:val="Normal"/>
    <w:pPr>
      <w:spacing w:before="120" w:after="120"/>
      <w:ind w:left="1134"/>
      <w:jc w:val="both"/>
    </w:pPr>
    <w:rPr>
      <w:rFonts w:ascii="Calibri" w:hAnsi="Calibri"/>
      <w:color w:val="auto"/>
      <w:szCs w:val="22"/>
    </w:rPr>
  </w:style>
  <w:style w:type="paragraph" w:customStyle="1" w:styleId="Sansinterligne1">
    <w:name w:val="Sans interligne1"/>
    <w:basedOn w:val="Normal"/>
    <w:locked/>
    <w:pPr>
      <w:spacing w:after="0"/>
    </w:pPr>
    <w:rPr>
      <w:rFonts w:ascii="Arial" w:hAnsi="Arial" w:cs="Century"/>
      <w:color w:val="auto"/>
      <w:szCs w:val="22"/>
      <w:lang w:eastAsia="en-US"/>
    </w:rPr>
  </w:style>
  <w:style w:type="paragraph" w:customStyle="1" w:styleId="Citation1">
    <w:name w:val="Citation1"/>
    <w:basedOn w:val="Normal"/>
    <w:next w:val="Normal"/>
    <w:locked/>
    <w:pPr>
      <w:spacing w:before="200" w:after="0"/>
      <w:ind w:left="360" w:right="360"/>
    </w:pPr>
    <w:rPr>
      <w:i/>
      <w:iCs/>
      <w:sz w:val="24"/>
      <w:szCs w:val="24"/>
      <w:lang w:val="en-US" w:eastAsia="en-US"/>
    </w:rPr>
  </w:style>
  <w:style w:type="paragraph" w:customStyle="1" w:styleId="Citationintense1">
    <w:name w:val="Citation intense1"/>
    <w:basedOn w:val="Normal"/>
    <w:next w:val="Normal"/>
    <w:locked/>
    <w:pPr>
      <w:pBdr>
        <w:bottom w:val="single" w:sz="4" w:space="1" w:color="auto"/>
      </w:pBdr>
      <w:spacing w:before="200" w:after="280"/>
      <w:ind w:left="1008" w:right="1152"/>
      <w:jc w:val="both"/>
    </w:pPr>
    <w:rPr>
      <w:b/>
      <w:bCs/>
      <w:i/>
      <w:iCs/>
      <w:color w:val="4F81BD"/>
      <w:sz w:val="24"/>
      <w:szCs w:val="24"/>
      <w:lang w:val="en-US" w:eastAsia="en-US"/>
    </w:rPr>
  </w:style>
  <w:style w:type="character" w:customStyle="1" w:styleId="Emphaseple1">
    <w:name w:val="Emphase pâle1"/>
    <w:locked/>
    <w:rPr>
      <w:i/>
    </w:rPr>
  </w:style>
  <w:style w:type="character" w:customStyle="1" w:styleId="Emphaseintense1">
    <w:name w:val="Emphase intense1"/>
    <w:locked/>
    <w:rPr>
      <w:b/>
    </w:rPr>
  </w:style>
  <w:style w:type="character" w:customStyle="1" w:styleId="Rfrenceple1">
    <w:name w:val="Référence pâle1"/>
    <w:locked/>
    <w:rPr>
      <w:smallCaps/>
    </w:rPr>
  </w:style>
  <w:style w:type="character" w:customStyle="1" w:styleId="Rfrenceintense1">
    <w:name w:val="Référence intense1"/>
    <w:locked/>
    <w:rPr>
      <w:smallCaps/>
      <w:spacing w:val="5"/>
      <w:u w:val="single"/>
    </w:rPr>
  </w:style>
  <w:style w:type="character" w:customStyle="1" w:styleId="Titredulivre1">
    <w:name w:val="Titre du livre1"/>
    <w:locked/>
    <w:rPr>
      <w:i/>
      <w:smallCaps/>
      <w:spacing w:val="5"/>
    </w:rPr>
  </w:style>
  <w:style w:type="paragraph" w:customStyle="1" w:styleId="En-ttedetabledesmatires1">
    <w:name w:val="En-tête de table des matières1"/>
    <w:basedOn w:val="Heading1"/>
    <w:next w:val="Normal"/>
    <w:locked/>
    <w:pPr>
      <w:keepLines/>
      <w:tabs>
        <w:tab w:val="left" w:pos="851"/>
      </w:tabs>
      <w:ind w:left="1100" w:hanging="660"/>
      <w:outlineLvl w:val="9"/>
    </w:pPr>
    <w:rPr>
      <w:rFonts w:ascii="Arial" w:hAnsi="Arial"/>
      <w:bCs/>
      <w:color w:val="auto"/>
      <w:sz w:val="32"/>
      <w:szCs w:val="28"/>
      <w:lang w:val="nb-NO" w:eastAsia="en-US"/>
    </w:rPr>
  </w:style>
  <w:style w:type="paragraph" w:customStyle="1" w:styleId="BodyText11">
    <w:name w:val="Body Text11"/>
    <w:basedOn w:val="Normal"/>
    <w:pPr>
      <w:spacing w:after="0"/>
    </w:pPr>
  </w:style>
  <w:style w:type="paragraph" w:customStyle="1" w:styleId="paraindentFootnoteQPS">
    <w:name w:val="para indent Footnote QPS"/>
    <w:basedOn w:val="FootnoteText"/>
    <w:pPr>
      <w:widowControl/>
      <w:spacing w:after="0"/>
      <w:ind w:left="426" w:hanging="284"/>
    </w:pPr>
    <w:rPr>
      <w:rFonts w:ascii="Calibri" w:hAnsi="Calibri"/>
      <w:color w:val="000000"/>
      <w:sz w:val="16"/>
      <w:lang w:val="en-NZ" w:eastAsia="en-US"/>
    </w:rPr>
  </w:style>
  <w:style w:type="paragraph" w:customStyle="1" w:styleId="Paragraphedeliste1">
    <w:name w:val="Paragraphe de liste1"/>
    <w:basedOn w:val="Normal"/>
    <w:pPr>
      <w:ind w:left="720"/>
      <w:contextualSpacing/>
    </w:pPr>
  </w:style>
  <w:style w:type="paragraph" w:customStyle="1" w:styleId="yiv587168716msonormal">
    <w:name w:val="yiv587168716msonormal"/>
    <w:basedOn w:val="Normal"/>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pPr>
      <w:ind w:left="720"/>
      <w:contextualSpacing/>
    </w:pPr>
  </w:style>
  <w:style w:type="character" w:customStyle="1" w:styleId="st1">
    <w:name w:val="st1"/>
  </w:style>
  <w:style w:type="character" w:customStyle="1" w:styleId="Heading1Char21">
    <w:name w:val="Heading 1 Char21"/>
    <w:aliases w:val="Para (1) Char3,Heading 1 Char1 Char Char11,Heading 1 Char Char Char Char2,Para (1) Char Char Char Char2,Para (1) Char1 Char Char2,Heading 1 Char1 Char11,Heading 1 Char Char Char11,Para (1) Char Char Char11,Para (1) Char1 Char11"/>
    <w:rPr>
      <w:b/>
      <w:bCs/>
      <w:noProof w:val="0"/>
      <w:color w:val="000000"/>
      <w:sz w:val="28"/>
      <w:szCs w:val="28"/>
      <w:lang w:val="en-GB"/>
    </w:rPr>
  </w:style>
  <w:style w:type="character" w:customStyle="1" w:styleId="CharChar8">
    <w:name w:val="Char Char8"/>
    <w:locked/>
    <w:rPr>
      <w:rFonts w:ascii="Times New Roman" w:hAnsi="Times New Roman"/>
      <w:noProof w:val="0"/>
      <w:sz w:val="24"/>
      <w:lang w:eastAsia="ja-JP"/>
    </w:rPr>
  </w:style>
  <w:style w:type="character" w:customStyle="1" w:styleId="CharChar100">
    <w:name w:val="Char Char10"/>
    <w:semiHidden/>
    <w:locked/>
    <w:rPr>
      <w:rFonts w:ascii="Times New Roman" w:hAnsi="Times New Roman"/>
      <w:noProof w:val="0"/>
      <w:color w:val="000000"/>
      <w:sz w:val="20"/>
      <w:lang w:val="en-GB" w:eastAsia="zh-CN"/>
    </w:rPr>
  </w:style>
  <w:style w:type="character" w:styleId="HTMLCite">
    <w:name w:val="HTML Cite"/>
    <w:uiPriority w:val="99"/>
    <w:semiHidden/>
    <w:rPr>
      <w:rFonts w:cs="Times New Roman"/>
      <w:i/>
      <w:iCs/>
    </w:rPr>
  </w:style>
  <w:style w:type="character" w:customStyle="1" w:styleId="st">
    <w:name w:val="st"/>
  </w:style>
  <w:style w:type="paragraph" w:customStyle="1" w:styleId="TitleofManuscript">
    <w:name w:val="Title of Manuscript"/>
    <w:basedOn w:val="Normal"/>
    <w:pPr>
      <w:spacing w:after="0"/>
    </w:pPr>
    <w:rPr>
      <w:b/>
      <w:bCs/>
      <w:spacing w:val="-4"/>
      <w:sz w:val="32"/>
      <w:szCs w:val="32"/>
      <w:lang w:val="en-CA" w:eastAsia="en-CA"/>
    </w:rPr>
  </w:style>
  <w:style w:type="character" w:customStyle="1" w:styleId="author2">
    <w:name w:val="author2"/>
    <w:rPr>
      <w:rFonts w:cs="Times New Roman"/>
    </w:rPr>
  </w:style>
  <w:style w:type="character" w:customStyle="1" w:styleId="al-hide">
    <w:name w:val="al-hide"/>
    <w:rPr>
      <w:rFonts w:cs="Times New Roman"/>
    </w:rPr>
  </w:style>
  <w:style w:type="character" w:customStyle="1" w:styleId="al-vis">
    <w:name w:val="al-vis"/>
    <w:rPr>
      <w:rFonts w:cs="Times New Roman"/>
    </w:rPr>
  </w:style>
  <w:style w:type="character" w:customStyle="1" w:styleId="container2">
    <w:name w:val="container2"/>
    <w:rPr>
      <w:rFonts w:cs="Times New Roman"/>
    </w:rPr>
  </w:style>
  <w:style w:type="character" w:customStyle="1" w:styleId="year">
    <w:name w:val="year"/>
    <w:rPr>
      <w:rFonts w:cs="Times New Roman"/>
    </w:rPr>
  </w:style>
  <w:style w:type="character" w:customStyle="1" w:styleId="Para10">
    <w:name w:val="Para (1) ("/>
    <w:rPr>
      <w:b/>
      <w:bCs/>
      <w:noProof w:val="0"/>
      <w:kern w:val="32"/>
      <w:sz w:val="32"/>
      <w:szCs w:val="32"/>
      <w:lang w:val="en-US"/>
    </w:rPr>
  </w:style>
  <w:style w:type="paragraph" w:customStyle="1" w:styleId="a5">
    <w:name w:val="文字)"/>
    <w:pPr>
      <w:widowControl w:val="0"/>
      <w:autoSpaceDE w:val="0"/>
      <w:autoSpaceDN w:val="0"/>
    </w:pPr>
    <w:rPr>
      <w:rFonts w:ascii="Times New Roman" w:hAnsi="Times New Roman"/>
      <w:b/>
      <w:spacing w:val="-1"/>
      <w:kern w:val="32"/>
      <w:position w:val="-1"/>
      <w:sz w:val="32"/>
      <w:lang w:val="en-US"/>
    </w:rPr>
  </w:style>
  <w:style w:type="character" w:customStyle="1" w:styleId="SubParaa0">
    <w:name w:val="SubPara (a) ("/>
    <w:rPr>
      <w:b/>
      <w:bCs/>
      <w:i/>
      <w:iCs/>
      <w:noProof w:val="0"/>
      <w:kern w:val="2"/>
      <w:sz w:val="28"/>
      <w:szCs w:val="28"/>
      <w:lang w:val="en-US"/>
    </w:rPr>
  </w:style>
  <w:style w:type="character" w:customStyle="1" w:styleId="5">
    <w:name w:val="(5"/>
    <w:rPr>
      <w:b/>
      <w:bCs/>
      <w:noProof w:val="0"/>
      <w:sz w:val="24"/>
      <w:szCs w:val="24"/>
      <w:lang w:val="en-US"/>
    </w:rPr>
  </w:style>
  <w:style w:type="paragraph" w:customStyle="1" w:styleId="ListParagraph11">
    <w:name w:val="List Paragraph11"/>
    <w:basedOn w:val="Normal"/>
    <w:pPr>
      <w:autoSpaceDE w:val="0"/>
      <w:autoSpaceDN w:val="0"/>
      <w:spacing w:before="100" w:after="100"/>
      <w:ind w:left="720" w:right="720"/>
    </w:pPr>
    <w:rPr>
      <w:i/>
      <w:color w:val="auto"/>
      <w:sz w:val="24"/>
    </w:rPr>
  </w:style>
  <w:style w:type="paragraph" w:customStyle="1" w:styleId="4">
    <w:name w:val="(4"/>
    <w:basedOn w:val="Normal"/>
    <w:pPr>
      <w:tabs>
        <w:tab w:val="num" w:pos="2160"/>
      </w:tabs>
      <w:autoSpaceDE w:val="0"/>
      <w:autoSpaceDN w:val="0"/>
      <w:spacing w:before="100" w:after="160" w:line="240" w:lineRule="exact"/>
      <w:ind w:left="2160" w:right="720" w:hanging="360"/>
    </w:pPr>
    <w:rPr>
      <w:i/>
      <w:color w:val="auto"/>
      <w:sz w:val="20"/>
      <w:lang w:val="en-US"/>
    </w:rPr>
  </w:style>
  <w:style w:type="character" w:customStyle="1" w:styleId="BodyTextIndentChar1">
    <w:name w:val="Body Text Indent Char1"/>
    <w:semiHidden/>
    <w:rPr>
      <w:rFonts w:ascii="Times New Roman" w:hAnsi="Times New Roman" w:cs="Times New Roman"/>
      <w:sz w:val="20"/>
      <w:szCs w:val="20"/>
    </w:rPr>
  </w:style>
  <w:style w:type="character" w:customStyle="1" w:styleId="BodyTextFirstIndent2Char">
    <w:name w:val="Body Text First Indent 2 Char"/>
    <w:basedOn w:val="BodyTextIndentChar1"/>
    <w:semiHidden/>
    <w:rPr>
      <w:rFonts w:ascii="Times New Roman" w:hAnsi="Times New Roman" w:cs="Times New Roman"/>
      <w:sz w:val="20"/>
      <w:szCs w:val="20"/>
    </w:rPr>
  </w:style>
  <w:style w:type="character" w:customStyle="1" w:styleId="CarCar50">
    <w:name w:val="Car Car5"/>
    <w:rPr>
      <w:noProof w:val="0"/>
      <w:sz w:val="24"/>
      <w:szCs w:val="24"/>
      <w:u w:val="single"/>
      <w:lang w:val="en-US"/>
    </w:rPr>
  </w:style>
  <w:style w:type="character" w:customStyle="1" w:styleId="CarCar40">
    <w:name w:val="Car Car4"/>
    <w:rPr>
      <w:b/>
      <w:bCs/>
      <w:noProof w:val="0"/>
      <w:kern w:val="32"/>
      <w:sz w:val="24"/>
      <w:szCs w:val="24"/>
      <w:lang w:val="en-US"/>
    </w:rPr>
  </w:style>
  <w:style w:type="character" w:customStyle="1" w:styleId="CarCar30">
    <w:name w:val="Car Car3"/>
    <w:rPr>
      <w:b/>
      <w:bCs/>
      <w:i/>
      <w:iCs/>
      <w:noProof w:val="0"/>
      <w:kern w:val="32"/>
      <w:sz w:val="26"/>
      <w:szCs w:val="26"/>
      <w:lang w:val="it-IT"/>
    </w:rPr>
  </w:style>
  <w:style w:type="character" w:customStyle="1" w:styleId="CarCar6">
    <w:name w:val="Car Car6"/>
    <w:rPr>
      <w:noProof w:val="0"/>
      <w:sz w:val="24"/>
      <w:szCs w:val="24"/>
      <w:lang w:val="fr-FR"/>
    </w:rPr>
  </w:style>
  <w:style w:type="character" w:customStyle="1" w:styleId="ZchnZchn160">
    <w:name w:val="Zchn Zchn16"/>
    <w:rPr>
      <w:rFonts w:ascii="Arial" w:hAnsi="Arial" w:cs="Arial"/>
      <w:b/>
      <w:bCs/>
      <w:noProof w:val="0"/>
      <w:kern w:val="32"/>
      <w:sz w:val="32"/>
      <w:szCs w:val="32"/>
      <w:lang w:val="en-US"/>
    </w:rPr>
  </w:style>
  <w:style w:type="character" w:customStyle="1" w:styleId="ZchnZchn17">
    <w:name w:val="Zchn Zchn1"/>
    <w:rPr>
      <w:rFonts w:ascii="Cambria" w:hAnsi="Cambria" w:cs="MS Mincho"/>
      <w:b/>
      <w:bCs/>
      <w:noProof w:val="0"/>
      <w:kern w:val="28"/>
      <w:sz w:val="32"/>
      <w:szCs w:val="32"/>
      <w:lang w:val="ca-ES"/>
    </w:rPr>
  </w:style>
  <w:style w:type="character" w:customStyle="1" w:styleId="ZchnZchn0">
    <w:name w:val="Zchn Zchn"/>
    <w:rPr>
      <w:rFonts w:ascii="Calibri" w:hAnsi="Calibri" w:cs="Calibri"/>
      <w:noProof w:val="0"/>
      <w:lang w:val="ca-ES"/>
    </w:rPr>
  </w:style>
  <w:style w:type="character" w:customStyle="1" w:styleId="CarCar20">
    <w:name w:val="Car Car2"/>
    <w:rPr>
      <w:noProof w:val="0"/>
      <w:lang w:val="en-US"/>
    </w:rPr>
  </w:style>
  <w:style w:type="character" w:customStyle="1" w:styleId="CarCar10">
    <w:name w:val="Car Car1"/>
    <w:rPr>
      <w:noProof w:val="0"/>
      <w:lang w:val="en-US"/>
    </w:rPr>
  </w:style>
  <w:style w:type="character" w:customStyle="1" w:styleId="ZchnZchn150">
    <w:name w:val="Zchn Zchn15"/>
    <w:rPr>
      <w:rFonts w:ascii="Arial" w:hAnsi="Arial" w:cs="Arial"/>
      <w:b/>
      <w:bCs/>
      <w:i/>
      <w:iCs/>
      <w:noProof w:val="0"/>
      <w:sz w:val="28"/>
      <w:szCs w:val="28"/>
      <w:lang w:val="en-US"/>
    </w:rPr>
  </w:style>
  <w:style w:type="character" w:customStyle="1" w:styleId="ZchnZchn140">
    <w:name w:val="Zchn Zchn14"/>
    <w:rPr>
      <w:rFonts w:ascii="Arial" w:hAnsi="Arial" w:cs="Arial"/>
      <w:b/>
      <w:bCs/>
      <w:noProof w:val="0"/>
      <w:sz w:val="26"/>
      <w:szCs w:val="26"/>
      <w:lang w:val="en-US"/>
    </w:rPr>
  </w:style>
  <w:style w:type="character" w:customStyle="1" w:styleId="ZchnZchn130">
    <w:name w:val="Zchn Zchn13"/>
    <w:rPr>
      <w:rFonts w:ascii="Arial" w:hAnsi="Arial" w:cs="Arial"/>
      <w:b/>
      <w:bCs/>
      <w:noProof w:val="0"/>
      <w:sz w:val="24"/>
      <w:szCs w:val="24"/>
      <w:lang w:val="de-DE"/>
    </w:rPr>
  </w:style>
  <w:style w:type="character" w:customStyle="1" w:styleId="ZchnZchn120">
    <w:name w:val="Zchn Zchn12"/>
    <w:rPr>
      <w:rFonts w:ascii="Arial" w:hAnsi="Arial" w:cs="Arial"/>
      <w:b/>
      <w:bCs/>
      <w:noProof w:val="0"/>
      <w:sz w:val="24"/>
      <w:szCs w:val="24"/>
      <w:lang w:val="de-DE"/>
    </w:rPr>
  </w:style>
  <w:style w:type="character" w:customStyle="1" w:styleId="ZchnZchn110">
    <w:name w:val="Zchn Zchn11"/>
    <w:rPr>
      <w:rFonts w:ascii="Arial" w:hAnsi="Arial" w:cs="Arial"/>
      <w:b/>
      <w:bCs/>
      <w:noProof w:val="0"/>
      <w:lang w:val="de-DE"/>
    </w:rPr>
  </w:style>
  <w:style w:type="character" w:customStyle="1" w:styleId="ZchnZchn100">
    <w:name w:val="Zchn Zchn10"/>
    <w:rPr>
      <w:rFonts w:ascii="Arial" w:hAnsi="Arial" w:cs="Arial"/>
      <w:b/>
      <w:bCs/>
      <w:noProof w:val="0"/>
      <w:sz w:val="28"/>
      <w:szCs w:val="28"/>
      <w:lang w:val="de-DE"/>
    </w:rPr>
  </w:style>
  <w:style w:type="character" w:customStyle="1" w:styleId="ZchnZchn90">
    <w:name w:val="Zchn Zchn9"/>
    <w:rPr>
      <w:rFonts w:ascii="Arial" w:hAnsi="Arial" w:cs="Arial"/>
      <w:b/>
      <w:bCs/>
      <w:noProof w:val="0"/>
      <w:lang w:val="de-DE"/>
    </w:rPr>
  </w:style>
  <w:style w:type="character" w:customStyle="1" w:styleId="ZchnZchn80">
    <w:name w:val="Zchn Zchn8"/>
    <w:rPr>
      <w:rFonts w:ascii="Arial" w:hAnsi="Arial" w:cs="Arial"/>
      <w:noProof w:val="0"/>
      <w:sz w:val="24"/>
      <w:szCs w:val="24"/>
      <w:lang w:val="de-DE"/>
    </w:rPr>
  </w:style>
  <w:style w:type="character" w:customStyle="1" w:styleId="ZchnZchn40">
    <w:name w:val="Zchn Zchn4"/>
    <w:rPr>
      <w:noProof w:val="0"/>
      <w:sz w:val="24"/>
      <w:szCs w:val="24"/>
      <w:lang w:val="en-US"/>
    </w:rPr>
  </w:style>
  <w:style w:type="character" w:customStyle="1" w:styleId="ZchnZchn70">
    <w:name w:val="Zchn Zchn7"/>
    <w:rPr>
      <w:noProof w:val="0"/>
      <w:sz w:val="24"/>
      <w:szCs w:val="24"/>
      <w:lang w:val="en-US"/>
    </w:rPr>
  </w:style>
  <w:style w:type="character" w:customStyle="1" w:styleId="ZchnZchn60">
    <w:name w:val="Zchn Zchn6"/>
    <w:rPr>
      <w:rFonts w:ascii="Courier New" w:hAnsi="Courier New" w:cs="FrutigerLTStd-Light"/>
      <w:noProof w:val="0"/>
      <w:lang w:val="de-DE"/>
    </w:rPr>
  </w:style>
  <w:style w:type="character" w:customStyle="1" w:styleId="ZchnZchn50">
    <w:name w:val="Zchn Zchn5"/>
    <w:rPr>
      <w:rFonts w:ascii="Arial" w:hAnsi="Arial" w:cs="Arial"/>
      <w:noProof w:val="0"/>
      <w:sz w:val="24"/>
      <w:szCs w:val="24"/>
      <w:lang w:val="de-DE"/>
    </w:rPr>
  </w:style>
  <w:style w:type="character" w:customStyle="1" w:styleId="ZchnZchn30">
    <w:name w:val="Zchn Zchn3"/>
    <w:rPr>
      <w:rFonts w:ascii="Arial" w:hAnsi="Arial" w:cs="Arial"/>
      <w:noProof w:val="0"/>
      <w:sz w:val="24"/>
      <w:szCs w:val="24"/>
      <w:lang w:val="de-DE"/>
    </w:rPr>
  </w:style>
  <w:style w:type="character" w:customStyle="1" w:styleId="CharChar21">
    <w:name w:val="Char Char21"/>
    <w:rPr>
      <w:b/>
      <w:bCs/>
      <w:noProof w:val="0"/>
      <w:color w:val="000000"/>
      <w:sz w:val="28"/>
      <w:szCs w:val="28"/>
      <w:lang w:val="en-GB"/>
    </w:rPr>
  </w:style>
  <w:style w:type="character" w:customStyle="1" w:styleId="CharChar11">
    <w:name w:val="Char Char11"/>
    <w:rPr>
      <w:rFonts w:ascii="Arial" w:hAnsi="Arial" w:cs="Arial"/>
      <w:noProof w:val="0"/>
      <w:lang w:val="en-GB"/>
    </w:rPr>
  </w:style>
  <w:style w:type="character" w:customStyle="1" w:styleId="3">
    <w:name w:val="(3"/>
    <w:rPr>
      <w:noProof w:val="0"/>
      <w:sz w:val="24"/>
      <w:szCs w:val="24"/>
      <w:lang w:val="en-US"/>
    </w:rPr>
  </w:style>
  <w:style w:type="character" w:customStyle="1" w:styleId="2">
    <w:name w:val="(2"/>
    <w:rPr>
      <w:b/>
      <w:bCs/>
      <w:noProof w:val="0"/>
      <w:sz w:val="24"/>
      <w:szCs w:val="24"/>
      <w:lang w:val="en-US"/>
    </w:rPr>
  </w:style>
  <w:style w:type="character" w:customStyle="1" w:styleId="CarCar191">
    <w:name w:val="Car Car191"/>
    <w:rPr>
      <w:noProof w:val="0"/>
      <w:color w:val="000000"/>
      <w:sz w:val="24"/>
      <w:szCs w:val="24"/>
      <w:lang w:val="en-GB"/>
    </w:rPr>
  </w:style>
  <w:style w:type="character" w:customStyle="1" w:styleId="CharChar41">
    <w:name w:val="Char Char41"/>
    <w:rPr>
      <w:noProof w:val="0"/>
      <w:sz w:val="24"/>
      <w:szCs w:val="24"/>
      <w:lang w:val="en-US"/>
    </w:rPr>
  </w:style>
  <w:style w:type="character" w:customStyle="1" w:styleId="CharChar31">
    <w:name w:val="Char Char31"/>
    <w:rPr>
      <w:noProof w:val="0"/>
      <w:color w:val="000000"/>
      <w:sz w:val="24"/>
      <w:szCs w:val="24"/>
      <w:lang w:val="en-GB"/>
    </w:rPr>
  </w:style>
  <w:style w:type="paragraph" w:customStyle="1" w:styleId="19">
    <w:name w:val="(1"/>
    <w:pPr>
      <w:autoSpaceDE w:val="0"/>
      <w:autoSpaceDN w:val="0"/>
      <w:spacing w:after="160" w:line="240" w:lineRule="exact"/>
    </w:pPr>
    <w:rPr>
      <w:rFonts w:ascii="Times New Roman" w:hAnsi="Times New Roman"/>
      <w:sz w:val="24"/>
      <w:lang w:val="en-US"/>
    </w:rPr>
  </w:style>
  <w:style w:type="character" w:customStyle="1" w:styleId="scopustermhighlight">
    <w:name w:val="scopustermhighlight"/>
    <w:rPr>
      <w:rFonts w:ascii="Times New Roman" w:hAnsi="Times New Roman" w:cs="Times New Roman"/>
    </w:rPr>
  </w:style>
  <w:style w:type="paragraph" w:customStyle="1" w:styleId="marginb3">
    <w:name w:val="marginb3"/>
    <w:basedOn w:val="Normal"/>
    <w:pPr>
      <w:autoSpaceDE w:val="0"/>
      <w:autoSpaceDN w:val="0"/>
      <w:spacing w:before="100" w:after="100"/>
      <w:jc w:val="both"/>
    </w:pPr>
    <w:rPr>
      <w:color w:val="auto"/>
      <w:sz w:val="24"/>
      <w:lang w:val="fr-FR"/>
    </w:rPr>
  </w:style>
  <w:style w:type="character" w:customStyle="1" w:styleId="region">
    <w:name w:val="region"/>
    <w:rPr>
      <w:rFonts w:ascii="Times New Roman" w:hAnsi="Times New Roman" w:cs="Times New Roman"/>
    </w:rPr>
  </w:style>
  <w:style w:type="character" w:customStyle="1" w:styleId="documenttype">
    <w:name w:val="documenttype"/>
    <w:rPr>
      <w:rFonts w:ascii="Times New Roman" w:hAnsi="Times New Roman" w:cs="Times New Roman"/>
    </w:rPr>
  </w:style>
  <w:style w:type="paragraph" w:customStyle="1" w:styleId="HTOCReport">
    <w:name w:val="HTOC Report"/>
    <w:basedOn w:val="Normal"/>
    <w:pPr>
      <w:spacing w:after="0"/>
    </w:pPr>
    <w:rPr>
      <w:rFonts w:ascii="Times" w:hAnsi="Times"/>
      <w:color w:val="auto"/>
      <w:lang w:eastAsia="ja-JP"/>
    </w:rPr>
  </w:style>
  <w:style w:type="character" w:customStyle="1" w:styleId="authorname">
    <w:name w:val="authorname"/>
    <w:basedOn w:val="DefaultParagraphFont"/>
  </w:style>
  <w:style w:type="character" w:customStyle="1" w:styleId="nlmx">
    <w:name w:val="nlm_x"/>
    <w:basedOn w:val="DefaultParagraphFont"/>
  </w:style>
  <w:style w:type="paragraph" w:customStyle="1" w:styleId="MediumGrid21">
    <w:name w:val="Medium Grid 21"/>
    <w:qFormat/>
    <w:pPr>
      <w:jc w:val="both"/>
    </w:pPr>
    <w:rPr>
      <w:rFonts w:ascii="Times New Roman" w:eastAsia="MS Mincho" w:hAnsi="Times New Roman"/>
      <w:sz w:val="24"/>
    </w:rPr>
  </w:style>
  <w:style w:type="paragraph" w:styleId="ListParagraph">
    <w:name w:val="List Paragraph"/>
    <w:basedOn w:val="Normal"/>
    <w:autoRedefine/>
    <w:uiPriority w:val="34"/>
    <w:qFormat/>
    <w:rsid w:val="00BF4C57"/>
    <w:pPr>
      <w:keepNext/>
      <w:keepLines/>
      <w:widowControl w:val="0"/>
      <w:numPr>
        <w:numId w:val="93"/>
      </w:numPr>
      <w:tabs>
        <w:tab w:val="left" w:pos="0"/>
        <w:tab w:val="left" w:pos="220"/>
        <w:tab w:val="left" w:pos="270"/>
        <w:tab w:val="left" w:pos="720"/>
        <w:tab w:val="left" w:pos="990"/>
      </w:tabs>
      <w:autoSpaceDE w:val="0"/>
      <w:autoSpaceDN w:val="0"/>
      <w:adjustRightInd w:val="0"/>
      <w:spacing w:after="0"/>
      <w:ind w:right="29"/>
      <w:contextualSpacing/>
      <w:outlineLvl w:val="2"/>
    </w:pPr>
    <w:rPr>
      <w:color w:val="262626"/>
      <w:kern w:val="2"/>
      <w:szCs w:val="22"/>
    </w:rPr>
  </w:style>
  <w:style w:type="character" w:customStyle="1" w:styleId="articletypelabel">
    <w:name w:val="articletypelabel"/>
    <w:basedOn w:val="DefaultParagraphFont"/>
    <w:rsid w:val="00CA5E9C"/>
  </w:style>
  <w:style w:type="paragraph" w:customStyle="1" w:styleId="Refs0">
    <w:name w:val="Refs"/>
    <w:basedOn w:val="BodyText"/>
    <w:rsid w:val="00CA5E9C"/>
    <w:pPr>
      <w:spacing w:before="120" w:after="0" w:line="264" w:lineRule="auto"/>
      <w:ind w:left="567" w:hanging="567"/>
    </w:pPr>
    <w:rPr>
      <w:rFonts w:ascii="Arial" w:eastAsia="Calibri" w:hAnsi="Arial"/>
      <w:color w:val="auto"/>
      <w:sz w:val="20"/>
      <w:lang w:val="en-AU" w:eastAsia="en-NZ"/>
    </w:rPr>
  </w:style>
  <w:style w:type="character" w:customStyle="1" w:styleId="slug-pub-date3">
    <w:name w:val="slug-pub-date3"/>
    <w:basedOn w:val="DefaultParagraphFont"/>
    <w:rsid w:val="00CA5E9C"/>
  </w:style>
  <w:style w:type="character" w:customStyle="1" w:styleId="slug-vol">
    <w:name w:val="slug-vol"/>
    <w:basedOn w:val="DefaultParagraphFont"/>
    <w:rsid w:val="00CA5E9C"/>
  </w:style>
  <w:style w:type="character" w:customStyle="1" w:styleId="slug-issue">
    <w:name w:val="slug-issue"/>
    <w:basedOn w:val="DefaultParagraphFont"/>
    <w:rsid w:val="00CA5E9C"/>
  </w:style>
  <w:style w:type="character" w:customStyle="1" w:styleId="slug-pages3">
    <w:name w:val="slug-pages3"/>
    <w:basedOn w:val="DefaultParagraphFont"/>
    <w:rsid w:val="00CA5E9C"/>
  </w:style>
  <w:style w:type="table" w:styleId="TableGrid">
    <w:name w:val="Table Grid"/>
    <w:basedOn w:val="TableNormal"/>
    <w:uiPriority w:val="39"/>
    <w:rsid w:val="005B1FC8"/>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link w:val="Style1"/>
    <w:rsid w:val="005B1FC8"/>
    <w:rPr>
      <w:rFonts w:ascii="Garamond" w:hAnsi="Garamond"/>
      <w:sz w:val="22"/>
      <w:lang w:eastAsia="zh-CN"/>
    </w:rPr>
  </w:style>
  <w:style w:type="character" w:customStyle="1" w:styleId="Style2Char">
    <w:name w:val="Style2 Char"/>
    <w:basedOn w:val="DefaultParagraphFont"/>
    <w:link w:val="Style2"/>
    <w:rsid w:val="005B1FC8"/>
    <w:rPr>
      <w:rFonts w:ascii="Times New Roman" w:hAnsi="Times New Roman"/>
      <w:sz w:val="22"/>
      <w:lang w:val="en-GB" w:eastAsia="en-GB"/>
    </w:rPr>
  </w:style>
  <w:style w:type="paragraph" w:customStyle="1" w:styleId="TableText1">
    <w:name w:val="Table Text"/>
    <w:basedOn w:val="Normal"/>
    <w:qFormat/>
    <w:rsid w:val="00841BDE"/>
    <w:pPr>
      <w:spacing w:after="0"/>
    </w:pPr>
    <w:rPr>
      <w:kern w:val="2"/>
      <w:sz w:val="24"/>
      <w:szCs w:val="24"/>
      <w:lang w:val="en-US" w:eastAsia="en-US"/>
    </w:rPr>
  </w:style>
  <w:style w:type="paragraph" w:customStyle="1" w:styleId="TableHeadings">
    <w:name w:val="Table Headings"/>
    <w:basedOn w:val="TableText1"/>
    <w:qFormat/>
    <w:rsid w:val="00841BDE"/>
    <w:pPr>
      <w:jc w:val="center"/>
    </w:pPr>
    <w:rPr>
      <w:rFonts w:ascii="Times New Roman Bold"/>
      <w:b/>
    </w:rPr>
  </w:style>
  <w:style w:type="paragraph" w:customStyle="1" w:styleId="Tablenote">
    <w:name w:val="Table note"/>
    <w:basedOn w:val="Normal"/>
    <w:qFormat/>
    <w:rsid w:val="00841BDE"/>
    <w:pPr>
      <w:spacing w:after="0"/>
      <w:ind w:left="720" w:hanging="720"/>
      <w:contextualSpacing/>
    </w:pPr>
    <w:rPr>
      <w:rFonts w:eastAsia="MS Mincho"/>
      <w:snapToGrid w:val="0"/>
      <w:color w:val="auto"/>
      <w:kern w:val="2"/>
      <w:sz w:val="20"/>
      <w:szCs w:val="18"/>
      <w:lang w:val="en-US" w:eastAsia="en-US"/>
    </w:rPr>
  </w:style>
  <w:style w:type="character" w:customStyle="1" w:styleId="TitleChar1">
    <w:name w:val="Title Char1"/>
    <w:link w:val="Title"/>
    <w:rsid w:val="00942E2A"/>
    <w:rPr>
      <w:rFonts w:ascii="Times New Roman" w:hAnsi="Times New Roman"/>
      <w:b/>
      <w:color w:val="000000"/>
      <w:sz w:val="32"/>
      <w:lang w:val="en-GB" w:eastAsia="zh-CN"/>
    </w:rPr>
  </w:style>
  <w:style w:type="character" w:customStyle="1" w:styleId="HeaderChar1">
    <w:name w:val="Header Char1"/>
    <w:aliases w:val="EthylHeader Char1"/>
    <w:link w:val="Header"/>
    <w:uiPriority w:val="99"/>
    <w:rsid w:val="00942E2A"/>
    <w:rPr>
      <w:rFonts w:ascii="Times New Roman" w:hAnsi="Times New Roman"/>
      <w:color w:val="000000"/>
      <w:sz w:val="22"/>
      <w:lang w:val="en-GB" w:eastAsia="zh-CN"/>
    </w:rPr>
  </w:style>
  <w:style w:type="table" w:styleId="LightShading">
    <w:name w:val="Light Shading"/>
    <w:basedOn w:val="TableNormal"/>
    <w:uiPriority w:val="60"/>
    <w:rsid w:val="00A66F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B66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p486">
    <w:name w:val="gp486"/>
    <w:basedOn w:val="DefaultParagraphFont"/>
    <w:rsid w:val="00C915BD"/>
  </w:style>
  <w:style w:type="table" w:styleId="MediumShading1-Accent5">
    <w:name w:val="Medium Shading 1 Accent 5"/>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F01A0"/>
    <w:rPr>
      <w:rFonts w:asciiTheme="minorHAnsi" w:eastAsiaTheme="minorEastAsia" w:hAnsiTheme="minorHAnsi" w:cstheme="minorBidi"/>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p4">
    <w:name w:val="p4"/>
    <w:basedOn w:val="Normal"/>
    <w:rsid w:val="00F73340"/>
    <w:pPr>
      <w:spacing w:before="100" w:beforeAutospacing="1" w:after="100" w:afterAutospacing="1"/>
    </w:pPr>
    <w:rPr>
      <w:color w:val="auto"/>
      <w:sz w:val="24"/>
      <w:szCs w:val="24"/>
      <w:lang w:val="de-DE" w:eastAsia="de-DE"/>
    </w:rPr>
  </w:style>
  <w:style w:type="character" w:customStyle="1" w:styleId="s1">
    <w:name w:val="s1"/>
    <w:basedOn w:val="DefaultParagraphFont"/>
    <w:rsid w:val="00F73340"/>
  </w:style>
  <w:style w:type="paragraph" w:customStyle="1" w:styleId="p5">
    <w:name w:val="p5"/>
    <w:basedOn w:val="Normal"/>
    <w:rsid w:val="00F73340"/>
    <w:pPr>
      <w:spacing w:before="100" w:beforeAutospacing="1" w:after="100" w:afterAutospacing="1"/>
    </w:pPr>
    <w:rPr>
      <w:color w:val="auto"/>
      <w:sz w:val="24"/>
      <w:szCs w:val="24"/>
      <w:lang w:val="de-DE" w:eastAsia="de-DE"/>
    </w:rPr>
  </w:style>
  <w:style w:type="character" w:customStyle="1" w:styleId="cmpparsedlocation">
    <w:name w:val="cmp_parsed_location"/>
    <w:basedOn w:val="DefaultParagraphFont"/>
    <w:rsid w:val="00F73340"/>
  </w:style>
  <w:style w:type="paragraph" w:customStyle="1" w:styleId="Style8">
    <w:name w:val="Style8"/>
    <w:basedOn w:val="Heading4"/>
    <w:autoRedefine/>
    <w:qFormat/>
    <w:rsid w:val="007C3005"/>
    <w:pPr>
      <w:ind w:left="1571"/>
    </w:pPr>
    <w:rPr>
      <w:i w:val="0"/>
    </w:rPr>
  </w:style>
  <w:style w:type="paragraph" w:customStyle="1" w:styleId="Style9">
    <w:name w:val="Style9"/>
    <w:basedOn w:val="Heading4"/>
    <w:next w:val="StyleHeading4Left0Firstline0"/>
    <w:autoRedefine/>
    <w:qFormat/>
    <w:rsid w:val="007C3005"/>
    <w:pPr>
      <w:ind w:left="1571"/>
    </w:pPr>
    <w:rPr>
      <w:i w:val="0"/>
    </w:rPr>
  </w:style>
  <w:style w:type="character" w:customStyle="1" w:styleId="UnresolvedMention1">
    <w:name w:val="Unresolved Mention1"/>
    <w:basedOn w:val="DefaultParagraphFont"/>
    <w:uiPriority w:val="99"/>
    <w:semiHidden/>
    <w:unhideWhenUsed/>
    <w:rsid w:val="009D6E18"/>
    <w:rPr>
      <w:color w:val="808080"/>
      <w:shd w:val="clear" w:color="auto" w:fill="E6E6E6"/>
    </w:rPr>
  </w:style>
  <w:style w:type="character" w:customStyle="1" w:styleId="xmsofootnotereference">
    <w:name w:val="x_msofootnotereference"/>
    <w:basedOn w:val="DefaultParagraphFont"/>
    <w:rsid w:val="00966473"/>
  </w:style>
  <w:style w:type="character" w:customStyle="1" w:styleId="Mention1">
    <w:name w:val="Mention1"/>
    <w:basedOn w:val="DefaultParagraphFont"/>
    <w:uiPriority w:val="99"/>
    <w:semiHidden/>
    <w:unhideWhenUsed/>
    <w:rsid w:val="0006302E"/>
    <w:rPr>
      <w:color w:val="2B579A"/>
      <w:shd w:val="clear" w:color="auto" w:fill="E6E6E6"/>
    </w:rPr>
  </w:style>
  <w:style w:type="character" w:customStyle="1" w:styleId="UnresolvedMention2">
    <w:name w:val="Unresolved Mention2"/>
    <w:basedOn w:val="DefaultParagraphFont"/>
    <w:uiPriority w:val="99"/>
    <w:semiHidden/>
    <w:unhideWhenUsed/>
    <w:rsid w:val="0098504E"/>
    <w:rPr>
      <w:color w:val="808080"/>
      <w:shd w:val="clear" w:color="auto" w:fill="E6E6E6"/>
    </w:rPr>
  </w:style>
  <w:style w:type="paragraph" w:customStyle="1" w:styleId="StylereferencesTimesNewRoman">
    <w:name w:val="Style references + Times New Roman"/>
    <w:basedOn w:val="references0"/>
    <w:rsid w:val="006F5393"/>
    <w:pPr>
      <w:widowControl w:val="0"/>
      <w:tabs>
        <w:tab w:val="left" w:pos="1134"/>
      </w:tabs>
      <w:spacing w:before="120" w:after="0"/>
      <w:ind w:left="567" w:hanging="567"/>
    </w:pPr>
    <w:rPr>
      <w:rFonts w:ascii="Times New Roman" w:eastAsia="Times New Roman" w:hAnsi="Times New Roman"/>
      <w:i w:val="0"/>
      <w:lang w:val="en-US" w:eastAsia="fr-FR"/>
    </w:rPr>
  </w:style>
  <w:style w:type="character" w:customStyle="1" w:styleId="il">
    <w:name w:val="il"/>
    <w:basedOn w:val="DefaultParagraphFont"/>
    <w:rsid w:val="00CD7A7B"/>
  </w:style>
  <w:style w:type="numbering" w:customStyle="1" w:styleId="NoList1">
    <w:name w:val="No List1"/>
    <w:next w:val="NoList"/>
    <w:uiPriority w:val="99"/>
    <w:semiHidden/>
    <w:unhideWhenUsed/>
    <w:rsid w:val="00DF69A9"/>
  </w:style>
  <w:style w:type="table" w:customStyle="1" w:styleId="TableGrid1">
    <w:name w:val="Table Grid1"/>
    <w:basedOn w:val="TableNormal"/>
    <w:next w:val="TableGrid"/>
    <w:uiPriority w:val="39"/>
    <w:rsid w:val="00DF69A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DF69A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next w:val="LightList"/>
    <w:uiPriority w:val="61"/>
    <w:rsid w:val="00DF69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Accent51">
    <w:name w:val="Medium Shading 1 - Accent 51"/>
    <w:basedOn w:val="TableNormal"/>
    <w:next w:val="MediumShading1-Accent5"/>
    <w:uiPriority w:val="63"/>
    <w:rsid w:val="00DF69A9"/>
    <w:rPr>
      <w:rFonts w:asciiTheme="minorHAnsi" w:eastAsiaTheme="minorEastAsia" w:hAnsiTheme="minorHAnsi" w:cstheme="minorBidi"/>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F69A9"/>
    <w:rPr>
      <w:rFonts w:asciiTheme="minorHAnsi" w:eastAsiaTheme="minorEastAsia" w:hAnsiTheme="minorHAnsi" w:cstheme="minorBidi"/>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F69A9"/>
    <w:rPr>
      <w:rFonts w:asciiTheme="minorHAnsi" w:eastAsiaTheme="minorEastAsia" w:hAnsiTheme="minorHAnsi" w:cstheme="minorBidi"/>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DF69A9"/>
    <w:rPr>
      <w:rFonts w:asciiTheme="minorHAnsi" w:eastAsiaTheme="minorEastAsia" w:hAnsiTheme="minorHAnsi" w:cstheme="minorBidi"/>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UnresolvedMention20">
    <w:name w:val="Unresolved Mention2"/>
    <w:basedOn w:val="DefaultParagraphFont"/>
    <w:uiPriority w:val="99"/>
    <w:semiHidden/>
    <w:unhideWhenUsed/>
    <w:rsid w:val="00DF69A9"/>
    <w:rPr>
      <w:color w:val="808080"/>
      <w:shd w:val="clear" w:color="auto" w:fill="E6E6E6"/>
    </w:rPr>
  </w:style>
  <w:style w:type="character" w:customStyle="1" w:styleId="CommentTextChar2">
    <w:name w:val="Comment Text Char2"/>
    <w:basedOn w:val="DefaultParagraphFont"/>
    <w:link w:val="CommentText"/>
    <w:uiPriority w:val="99"/>
    <w:semiHidden/>
    <w:rsid w:val="00DF69A9"/>
    <w:rPr>
      <w:rFonts w:ascii="Arial" w:hAnsi="Arial"/>
      <w:lang w:val="en-GB" w:eastAsia="zh-CN"/>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4B5B91"/>
    <w:pPr>
      <w:spacing w:after="160" w:line="240" w:lineRule="exact"/>
      <w:jc w:val="both"/>
    </w:pPr>
    <w:rPr>
      <w:rFonts w:ascii="Times" w:hAnsi="Times"/>
      <w:color w:val="auto"/>
      <w:sz w:val="20"/>
      <w:vertAlign w:val="superscript"/>
      <w:lang w:val="en-AU" w:eastAsia="en-US"/>
    </w:rPr>
  </w:style>
  <w:style w:type="table" w:customStyle="1" w:styleId="TableGrid11">
    <w:name w:val="Table Grid11"/>
    <w:basedOn w:val="TableNormal"/>
    <w:uiPriority w:val="39"/>
    <w:rsid w:val="00206987"/>
    <w:rPr>
      <w:rFonts w:ascii="Cambria" w:eastAsia="Cambria" w:hAnsi="Cambr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206987"/>
    <w:rPr>
      <w:rFonts w:ascii="Cambria" w:eastAsia="Cambria" w:hAnsi="Cambr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0698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Geneva 9 Char2,Font: Geneva 9 Char2,Boston 10 Char2,f Char2,Fußnotentextf Char,-E Fußnotentext Char,Fußnotentext Ursprung Char,-E Fußnotentext1 Char,-E Fußnotentext2 Char,-E Fußnotentext3 Char,Fußnotentext Char1 Char"/>
    <w:basedOn w:val="DefaultParagraphFont"/>
    <w:link w:val="FootnoteText"/>
    <w:uiPriority w:val="99"/>
    <w:rsid w:val="00A663AA"/>
    <w:rPr>
      <w:rFonts w:ascii="Times New Roman" w:hAnsi="Times New Roman"/>
      <w:sz w:val="18"/>
      <w:szCs w:val="18"/>
      <w:lang w:val="en-GB" w:eastAsia="zh-CN"/>
    </w:rPr>
  </w:style>
  <w:style w:type="character" w:customStyle="1" w:styleId="Hyperlink1">
    <w:name w:val="Hyperlink1"/>
    <w:basedOn w:val="DefaultParagraphFont"/>
    <w:uiPriority w:val="99"/>
    <w:unhideWhenUsed/>
    <w:rsid w:val="00A663AA"/>
    <w:rPr>
      <w:color w:val="0563C1"/>
      <w:u w:val="single"/>
    </w:rPr>
  </w:style>
  <w:style w:type="paragraph" w:customStyle="1" w:styleId="Normalpool">
    <w:name w:val="Normal_pool"/>
    <w:link w:val="NormalpoolChar"/>
    <w:rsid w:val="00A663AA"/>
    <w:pPr>
      <w:tabs>
        <w:tab w:val="left" w:pos="1247"/>
        <w:tab w:val="left" w:pos="1814"/>
        <w:tab w:val="left" w:pos="2381"/>
        <w:tab w:val="left" w:pos="2948"/>
        <w:tab w:val="left" w:pos="3515"/>
        <w:tab w:val="left" w:pos="4082"/>
      </w:tabs>
    </w:pPr>
    <w:rPr>
      <w:rFonts w:ascii="Times New Roman" w:eastAsia="Times New Roman" w:hAnsi="Times New Roman"/>
      <w:lang w:val="fr-FR"/>
    </w:rPr>
  </w:style>
  <w:style w:type="character" w:customStyle="1" w:styleId="NormalnumberChar">
    <w:name w:val="Normal_number Char"/>
    <w:link w:val="Normalnumber"/>
    <w:locked/>
    <w:rsid w:val="00A663AA"/>
  </w:style>
  <w:style w:type="character" w:customStyle="1" w:styleId="NormalpoolChar">
    <w:name w:val="Normal_pool Char"/>
    <w:link w:val="Normalpool"/>
    <w:locked/>
    <w:rsid w:val="00A663AA"/>
    <w:rPr>
      <w:rFonts w:ascii="Times New Roman" w:eastAsia="Times New Roman" w:hAnsi="Times New Roman"/>
      <w:lang w:val="fr-FR"/>
    </w:rPr>
  </w:style>
  <w:style w:type="numbering" w:customStyle="1" w:styleId="Normallist">
    <w:name w:val="Normal_list"/>
    <w:basedOn w:val="NoList"/>
    <w:rsid w:val="00A663AA"/>
    <w:pPr>
      <w:numPr>
        <w:numId w:val="69"/>
      </w:numPr>
    </w:pPr>
  </w:style>
  <w:style w:type="paragraph" w:customStyle="1" w:styleId="Normalnumber">
    <w:name w:val="Normal_number"/>
    <w:basedOn w:val="Normalpool"/>
    <w:link w:val="NormalnumberChar"/>
    <w:autoRedefine/>
    <w:rsid w:val="00A663AA"/>
    <w:pPr>
      <w:keepNext/>
      <w:numPr>
        <w:numId w:val="70"/>
      </w:numPr>
      <w:tabs>
        <w:tab w:val="clear" w:pos="1247"/>
        <w:tab w:val="clear" w:pos="1814"/>
        <w:tab w:val="clear" w:pos="2381"/>
        <w:tab w:val="clear" w:pos="2948"/>
        <w:tab w:val="clear" w:pos="3515"/>
        <w:tab w:val="clear" w:pos="4082"/>
        <w:tab w:val="left" w:pos="624"/>
      </w:tabs>
      <w:spacing w:after="120"/>
      <w:ind w:left="1247" w:firstLine="0"/>
    </w:pPr>
    <w:rPr>
      <w:rFonts w:ascii="Times" w:eastAsia="SimSun" w:hAnsi="Times"/>
      <w:lang w:val="en-AU"/>
    </w:rPr>
  </w:style>
  <w:style w:type="character" w:customStyle="1" w:styleId="UnresolvedMention3">
    <w:name w:val="Unresolved Mention3"/>
    <w:basedOn w:val="DefaultParagraphFont"/>
    <w:uiPriority w:val="99"/>
    <w:semiHidden/>
    <w:unhideWhenUsed/>
    <w:rsid w:val="00D176B8"/>
    <w:rPr>
      <w:color w:val="808080"/>
      <w:shd w:val="clear" w:color="auto" w:fill="E6E6E6"/>
    </w:rPr>
  </w:style>
  <w:style w:type="table" w:customStyle="1" w:styleId="TableGrid3">
    <w:name w:val="Table Grid3"/>
    <w:basedOn w:val="TableNormal"/>
    <w:next w:val="TableGrid"/>
    <w:uiPriority w:val="39"/>
    <w:rsid w:val="00B81ECB"/>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92D43"/>
    <w:pPr>
      <w:spacing w:after="0"/>
    </w:pPr>
    <w:rPr>
      <w:rFonts w:ascii="Calibri" w:eastAsiaTheme="minorHAnsi" w:hAnsi="Calibri" w:cs="Calibri"/>
      <w:color w:val="auto"/>
      <w:szCs w:val="22"/>
      <w:lang w:val="en-US" w:eastAsia="en-US"/>
    </w:rPr>
  </w:style>
  <w:style w:type="paragraph" w:customStyle="1" w:styleId="xmsolistparagraph">
    <w:name w:val="x_msolistparagraph"/>
    <w:basedOn w:val="Normal"/>
    <w:rsid w:val="00692D43"/>
    <w:pPr>
      <w:spacing w:after="0"/>
    </w:pPr>
    <w:rPr>
      <w:rFonts w:ascii="Calibri" w:eastAsiaTheme="minorHAnsi" w:hAnsi="Calibri" w:cs="Calibri"/>
      <w:color w:val="auto"/>
      <w:szCs w:val="22"/>
      <w:lang w:val="en-US" w:eastAsia="en-US"/>
    </w:rPr>
  </w:style>
  <w:style w:type="character" w:customStyle="1" w:styleId="UnresolvedMention4">
    <w:name w:val="Unresolved Mention4"/>
    <w:basedOn w:val="DefaultParagraphFont"/>
    <w:uiPriority w:val="99"/>
    <w:semiHidden/>
    <w:unhideWhenUsed/>
    <w:rsid w:val="005C3547"/>
    <w:rPr>
      <w:color w:val="808080"/>
      <w:shd w:val="clear" w:color="auto" w:fill="E6E6E6"/>
    </w:rPr>
  </w:style>
  <w:style w:type="table" w:customStyle="1" w:styleId="TableGrid31">
    <w:name w:val="Table Grid31"/>
    <w:basedOn w:val="TableNormal"/>
    <w:next w:val="TableGrid"/>
    <w:uiPriority w:val="39"/>
    <w:rsid w:val="001D6A45"/>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9D5977"/>
  </w:style>
  <w:style w:type="character" w:customStyle="1" w:styleId="UnresolvedMention5">
    <w:name w:val="Unresolved Mention5"/>
    <w:basedOn w:val="DefaultParagraphFont"/>
    <w:uiPriority w:val="99"/>
    <w:semiHidden/>
    <w:unhideWhenUsed/>
    <w:rsid w:val="00A90547"/>
    <w:rPr>
      <w:color w:val="808080"/>
      <w:shd w:val="clear" w:color="auto" w:fill="E6E6E6"/>
    </w:rPr>
  </w:style>
  <w:style w:type="character" w:customStyle="1" w:styleId="UnresolvedMention6">
    <w:name w:val="Unresolved Mention6"/>
    <w:basedOn w:val="DefaultParagraphFont"/>
    <w:uiPriority w:val="99"/>
    <w:semiHidden/>
    <w:unhideWhenUsed/>
    <w:rsid w:val="00E077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998">
      <w:bodyDiv w:val="1"/>
      <w:marLeft w:val="0"/>
      <w:marRight w:val="0"/>
      <w:marTop w:val="0"/>
      <w:marBottom w:val="0"/>
      <w:divBdr>
        <w:top w:val="none" w:sz="0" w:space="0" w:color="auto"/>
        <w:left w:val="none" w:sz="0" w:space="0" w:color="auto"/>
        <w:bottom w:val="none" w:sz="0" w:space="0" w:color="auto"/>
        <w:right w:val="none" w:sz="0" w:space="0" w:color="auto"/>
      </w:divBdr>
    </w:div>
    <w:div w:id="16583327">
      <w:bodyDiv w:val="1"/>
      <w:marLeft w:val="0"/>
      <w:marRight w:val="0"/>
      <w:marTop w:val="0"/>
      <w:marBottom w:val="0"/>
      <w:divBdr>
        <w:top w:val="none" w:sz="0" w:space="0" w:color="auto"/>
        <w:left w:val="none" w:sz="0" w:space="0" w:color="auto"/>
        <w:bottom w:val="none" w:sz="0" w:space="0" w:color="auto"/>
        <w:right w:val="none" w:sz="0" w:space="0" w:color="auto"/>
      </w:divBdr>
      <w:divsChild>
        <w:div w:id="1164121980">
          <w:marLeft w:val="0"/>
          <w:marRight w:val="0"/>
          <w:marTop w:val="0"/>
          <w:marBottom w:val="0"/>
          <w:divBdr>
            <w:top w:val="none" w:sz="0" w:space="0" w:color="auto"/>
            <w:left w:val="none" w:sz="0" w:space="0" w:color="auto"/>
            <w:bottom w:val="none" w:sz="0" w:space="0" w:color="auto"/>
            <w:right w:val="none" w:sz="0" w:space="0" w:color="auto"/>
          </w:divBdr>
        </w:div>
        <w:div w:id="1843466615">
          <w:marLeft w:val="0"/>
          <w:marRight w:val="0"/>
          <w:marTop w:val="0"/>
          <w:marBottom w:val="0"/>
          <w:divBdr>
            <w:top w:val="none" w:sz="0" w:space="0" w:color="auto"/>
            <w:left w:val="none" w:sz="0" w:space="0" w:color="auto"/>
            <w:bottom w:val="none" w:sz="0" w:space="0" w:color="auto"/>
            <w:right w:val="none" w:sz="0" w:space="0" w:color="auto"/>
          </w:divBdr>
        </w:div>
        <w:div w:id="242035296">
          <w:marLeft w:val="0"/>
          <w:marRight w:val="0"/>
          <w:marTop w:val="0"/>
          <w:marBottom w:val="0"/>
          <w:divBdr>
            <w:top w:val="none" w:sz="0" w:space="0" w:color="auto"/>
            <w:left w:val="none" w:sz="0" w:space="0" w:color="auto"/>
            <w:bottom w:val="none" w:sz="0" w:space="0" w:color="auto"/>
            <w:right w:val="none" w:sz="0" w:space="0" w:color="auto"/>
          </w:divBdr>
        </w:div>
        <w:div w:id="1050349291">
          <w:marLeft w:val="0"/>
          <w:marRight w:val="0"/>
          <w:marTop w:val="0"/>
          <w:marBottom w:val="0"/>
          <w:divBdr>
            <w:top w:val="none" w:sz="0" w:space="0" w:color="auto"/>
            <w:left w:val="none" w:sz="0" w:space="0" w:color="auto"/>
            <w:bottom w:val="none" w:sz="0" w:space="0" w:color="auto"/>
            <w:right w:val="none" w:sz="0" w:space="0" w:color="auto"/>
          </w:divBdr>
        </w:div>
        <w:div w:id="1384795911">
          <w:marLeft w:val="0"/>
          <w:marRight w:val="0"/>
          <w:marTop w:val="0"/>
          <w:marBottom w:val="0"/>
          <w:divBdr>
            <w:top w:val="none" w:sz="0" w:space="0" w:color="auto"/>
            <w:left w:val="none" w:sz="0" w:space="0" w:color="auto"/>
            <w:bottom w:val="none" w:sz="0" w:space="0" w:color="auto"/>
            <w:right w:val="none" w:sz="0" w:space="0" w:color="auto"/>
          </w:divBdr>
        </w:div>
        <w:div w:id="1806972265">
          <w:marLeft w:val="0"/>
          <w:marRight w:val="0"/>
          <w:marTop w:val="0"/>
          <w:marBottom w:val="0"/>
          <w:divBdr>
            <w:top w:val="none" w:sz="0" w:space="0" w:color="auto"/>
            <w:left w:val="none" w:sz="0" w:space="0" w:color="auto"/>
            <w:bottom w:val="none" w:sz="0" w:space="0" w:color="auto"/>
            <w:right w:val="none" w:sz="0" w:space="0" w:color="auto"/>
          </w:divBdr>
        </w:div>
        <w:div w:id="428699814">
          <w:marLeft w:val="0"/>
          <w:marRight w:val="0"/>
          <w:marTop w:val="0"/>
          <w:marBottom w:val="0"/>
          <w:divBdr>
            <w:top w:val="none" w:sz="0" w:space="0" w:color="auto"/>
            <w:left w:val="none" w:sz="0" w:space="0" w:color="auto"/>
            <w:bottom w:val="none" w:sz="0" w:space="0" w:color="auto"/>
            <w:right w:val="none" w:sz="0" w:space="0" w:color="auto"/>
          </w:divBdr>
        </w:div>
        <w:div w:id="908148857">
          <w:marLeft w:val="0"/>
          <w:marRight w:val="0"/>
          <w:marTop w:val="0"/>
          <w:marBottom w:val="0"/>
          <w:divBdr>
            <w:top w:val="none" w:sz="0" w:space="0" w:color="auto"/>
            <w:left w:val="none" w:sz="0" w:space="0" w:color="auto"/>
            <w:bottom w:val="none" w:sz="0" w:space="0" w:color="auto"/>
            <w:right w:val="none" w:sz="0" w:space="0" w:color="auto"/>
          </w:divBdr>
        </w:div>
      </w:divsChild>
    </w:div>
    <w:div w:id="230121746">
      <w:bodyDiv w:val="1"/>
      <w:marLeft w:val="0"/>
      <w:marRight w:val="0"/>
      <w:marTop w:val="0"/>
      <w:marBottom w:val="0"/>
      <w:divBdr>
        <w:top w:val="none" w:sz="0" w:space="0" w:color="auto"/>
        <w:left w:val="none" w:sz="0" w:space="0" w:color="auto"/>
        <w:bottom w:val="none" w:sz="0" w:space="0" w:color="auto"/>
        <w:right w:val="none" w:sz="0" w:space="0" w:color="auto"/>
      </w:divBdr>
      <w:divsChild>
        <w:div w:id="604194367">
          <w:marLeft w:val="0"/>
          <w:marRight w:val="0"/>
          <w:marTop w:val="0"/>
          <w:marBottom w:val="0"/>
          <w:divBdr>
            <w:top w:val="none" w:sz="0" w:space="0" w:color="auto"/>
            <w:left w:val="none" w:sz="0" w:space="0" w:color="auto"/>
            <w:bottom w:val="none" w:sz="0" w:space="0" w:color="auto"/>
            <w:right w:val="none" w:sz="0" w:space="0" w:color="auto"/>
          </w:divBdr>
          <w:divsChild>
            <w:div w:id="172842655">
              <w:marLeft w:val="0"/>
              <w:marRight w:val="0"/>
              <w:marTop w:val="0"/>
              <w:marBottom w:val="0"/>
              <w:divBdr>
                <w:top w:val="none" w:sz="0" w:space="0" w:color="auto"/>
                <w:left w:val="none" w:sz="0" w:space="0" w:color="auto"/>
                <w:bottom w:val="none" w:sz="0" w:space="0" w:color="auto"/>
                <w:right w:val="none" w:sz="0" w:space="0" w:color="auto"/>
              </w:divBdr>
              <w:divsChild>
                <w:div w:id="821822324">
                  <w:marLeft w:val="0"/>
                  <w:marRight w:val="0"/>
                  <w:marTop w:val="0"/>
                  <w:marBottom w:val="0"/>
                  <w:divBdr>
                    <w:top w:val="none" w:sz="0" w:space="0" w:color="auto"/>
                    <w:left w:val="none" w:sz="0" w:space="0" w:color="auto"/>
                    <w:bottom w:val="none" w:sz="0" w:space="0" w:color="auto"/>
                    <w:right w:val="none" w:sz="0" w:space="0" w:color="auto"/>
                  </w:divBdr>
                  <w:divsChild>
                    <w:div w:id="902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7009">
      <w:bodyDiv w:val="1"/>
      <w:marLeft w:val="0"/>
      <w:marRight w:val="0"/>
      <w:marTop w:val="0"/>
      <w:marBottom w:val="0"/>
      <w:divBdr>
        <w:top w:val="none" w:sz="0" w:space="0" w:color="auto"/>
        <w:left w:val="none" w:sz="0" w:space="0" w:color="auto"/>
        <w:bottom w:val="none" w:sz="0" w:space="0" w:color="auto"/>
        <w:right w:val="none" w:sz="0" w:space="0" w:color="auto"/>
      </w:divBdr>
    </w:div>
    <w:div w:id="297029724">
      <w:bodyDiv w:val="1"/>
      <w:marLeft w:val="0"/>
      <w:marRight w:val="0"/>
      <w:marTop w:val="0"/>
      <w:marBottom w:val="0"/>
      <w:divBdr>
        <w:top w:val="none" w:sz="0" w:space="0" w:color="auto"/>
        <w:left w:val="none" w:sz="0" w:space="0" w:color="auto"/>
        <w:bottom w:val="none" w:sz="0" w:space="0" w:color="auto"/>
        <w:right w:val="none" w:sz="0" w:space="0" w:color="auto"/>
      </w:divBdr>
    </w:div>
    <w:div w:id="317076503">
      <w:bodyDiv w:val="1"/>
      <w:marLeft w:val="0"/>
      <w:marRight w:val="0"/>
      <w:marTop w:val="0"/>
      <w:marBottom w:val="0"/>
      <w:divBdr>
        <w:top w:val="none" w:sz="0" w:space="0" w:color="auto"/>
        <w:left w:val="none" w:sz="0" w:space="0" w:color="auto"/>
        <w:bottom w:val="none" w:sz="0" w:space="0" w:color="auto"/>
        <w:right w:val="none" w:sz="0" w:space="0" w:color="auto"/>
      </w:divBdr>
      <w:divsChild>
        <w:div w:id="1265307119">
          <w:marLeft w:val="0"/>
          <w:marRight w:val="0"/>
          <w:marTop w:val="0"/>
          <w:marBottom w:val="0"/>
          <w:divBdr>
            <w:top w:val="none" w:sz="0" w:space="0" w:color="auto"/>
            <w:left w:val="none" w:sz="0" w:space="0" w:color="auto"/>
            <w:bottom w:val="none" w:sz="0" w:space="0" w:color="auto"/>
            <w:right w:val="none" w:sz="0" w:space="0" w:color="auto"/>
          </w:divBdr>
          <w:divsChild>
            <w:div w:id="2083595832">
              <w:marLeft w:val="0"/>
              <w:marRight w:val="0"/>
              <w:marTop w:val="0"/>
              <w:marBottom w:val="0"/>
              <w:divBdr>
                <w:top w:val="none" w:sz="0" w:space="0" w:color="auto"/>
                <w:left w:val="none" w:sz="0" w:space="0" w:color="auto"/>
                <w:bottom w:val="none" w:sz="0" w:space="0" w:color="auto"/>
                <w:right w:val="none" w:sz="0" w:space="0" w:color="auto"/>
              </w:divBdr>
              <w:divsChild>
                <w:div w:id="1121613982">
                  <w:marLeft w:val="0"/>
                  <w:marRight w:val="0"/>
                  <w:marTop w:val="0"/>
                  <w:marBottom w:val="0"/>
                  <w:divBdr>
                    <w:top w:val="none" w:sz="0" w:space="0" w:color="auto"/>
                    <w:left w:val="none" w:sz="0" w:space="0" w:color="auto"/>
                    <w:bottom w:val="none" w:sz="0" w:space="0" w:color="auto"/>
                    <w:right w:val="none" w:sz="0" w:space="0" w:color="auto"/>
                  </w:divBdr>
                  <w:divsChild>
                    <w:div w:id="2093117489">
                      <w:marLeft w:val="-150"/>
                      <w:marRight w:val="-150"/>
                      <w:marTop w:val="0"/>
                      <w:marBottom w:val="0"/>
                      <w:divBdr>
                        <w:top w:val="single" w:sz="2" w:space="0" w:color="auto"/>
                        <w:left w:val="single" w:sz="2" w:space="0" w:color="auto"/>
                        <w:bottom w:val="single" w:sz="2" w:space="0" w:color="auto"/>
                        <w:right w:val="single" w:sz="2" w:space="0" w:color="auto"/>
                      </w:divBdr>
                      <w:divsChild>
                        <w:div w:id="1966889103">
                          <w:marLeft w:val="0"/>
                          <w:marRight w:val="0"/>
                          <w:marTop w:val="0"/>
                          <w:marBottom w:val="0"/>
                          <w:divBdr>
                            <w:top w:val="single" w:sz="2" w:space="0" w:color="auto"/>
                            <w:left w:val="single" w:sz="2" w:space="0" w:color="auto"/>
                            <w:bottom w:val="single" w:sz="2" w:space="0" w:color="auto"/>
                            <w:right w:val="single" w:sz="2" w:space="0" w:color="auto"/>
                          </w:divBdr>
                          <w:divsChild>
                            <w:div w:id="1438207898">
                              <w:marLeft w:val="0"/>
                              <w:marRight w:val="0"/>
                              <w:marTop w:val="0"/>
                              <w:marBottom w:val="0"/>
                              <w:divBdr>
                                <w:top w:val="none" w:sz="0" w:space="0" w:color="auto"/>
                                <w:left w:val="none" w:sz="0" w:space="0" w:color="auto"/>
                                <w:bottom w:val="none" w:sz="0" w:space="0" w:color="auto"/>
                                <w:right w:val="none" w:sz="0" w:space="0" w:color="auto"/>
                              </w:divBdr>
                              <w:divsChild>
                                <w:div w:id="330836840">
                                  <w:marLeft w:val="0"/>
                                  <w:marRight w:val="0"/>
                                  <w:marTop w:val="0"/>
                                  <w:marBottom w:val="0"/>
                                  <w:divBdr>
                                    <w:top w:val="none" w:sz="0" w:space="0" w:color="auto"/>
                                    <w:left w:val="none" w:sz="0" w:space="0" w:color="auto"/>
                                    <w:bottom w:val="none" w:sz="0" w:space="0" w:color="auto"/>
                                    <w:right w:val="none" w:sz="0" w:space="0" w:color="auto"/>
                                  </w:divBdr>
                                  <w:divsChild>
                                    <w:div w:id="1421027168">
                                      <w:marLeft w:val="0"/>
                                      <w:marRight w:val="0"/>
                                      <w:marTop w:val="0"/>
                                      <w:marBottom w:val="0"/>
                                      <w:divBdr>
                                        <w:top w:val="none" w:sz="0" w:space="0" w:color="auto"/>
                                        <w:left w:val="none" w:sz="0" w:space="0" w:color="auto"/>
                                        <w:bottom w:val="none" w:sz="0" w:space="0" w:color="auto"/>
                                        <w:right w:val="none" w:sz="0" w:space="0" w:color="auto"/>
                                      </w:divBdr>
                                      <w:divsChild>
                                        <w:div w:id="722677539">
                                          <w:marLeft w:val="0"/>
                                          <w:marRight w:val="0"/>
                                          <w:marTop w:val="0"/>
                                          <w:marBottom w:val="0"/>
                                          <w:divBdr>
                                            <w:top w:val="none" w:sz="0" w:space="0" w:color="auto"/>
                                            <w:left w:val="none" w:sz="0" w:space="0" w:color="auto"/>
                                            <w:bottom w:val="none" w:sz="0" w:space="0" w:color="auto"/>
                                            <w:right w:val="none" w:sz="0" w:space="0" w:color="auto"/>
                                          </w:divBdr>
                                          <w:divsChild>
                                            <w:div w:id="873661741">
                                              <w:marLeft w:val="-150"/>
                                              <w:marRight w:val="-150"/>
                                              <w:marTop w:val="0"/>
                                              <w:marBottom w:val="0"/>
                                              <w:divBdr>
                                                <w:top w:val="single" w:sz="2" w:space="0" w:color="auto"/>
                                                <w:left w:val="single" w:sz="2" w:space="0" w:color="auto"/>
                                                <w:bottom w:val="single" w:sz="2" w:space="0" w:color="auto"/>
                                                <w:right w:val="single" w:sz="2" w:space="0" w:color="auto"/>
                                              </w:divBdr>
                                              <w:divsChild>
                                                <w:div w:id="503856374">
                                                  <w:marLeft w:val="0"/>
                                                  <w:marRight w:val="0"/>
                                                  <w:marTop w:val="0"/>
                                                  <w:marBottom w:val="0"/>
                                                  <w:divBdr>
                                                    <w:top w:val="single" w:sz="2" w:space="0" w:color="auto"/>
                                                    <w:left w:val="single" w:sz="2" w:space="0" w:color="auto"/>
                                                    <w:bottom w:val="single" w:sz="2" w:space="0" w:color="auto"/>
                                                    <w:right w:val="single" w:sz="2" w:space="0" w:color="auto"/>
                                                  </w:divBdr>
                                                  <w:divsChild>
                                                    <w:div w:id="862206007">
                                                      <w:marLeft w:val="0"/>
                                                      <w:marRight w:val="0"/>
                                                      <w:marTop w:val="0"/>
                                                      <w:marBottom w:val="0"/>
                                                      <w:divBdr>
                                                        <w:top w:val="none" w:sz="0" w:space="0" w:color="auto"/>
                                                        <w:left w:val="none" w:sz="0" w:space="0" w:color="auto"/>
                                                        <w:bottom w:val="none" w:sz="0" w:space="0" w:color="auto"/>
                                                        <w:right w:val="none" w:sz="0" w:space="0" w:color="auto"/>
                                                      </w:divBdr>
                                                      <w:divsChild>
                                                        <w:div w:id="1705867857">
                                                          <w:marLeft w:val="0"/>
                                                          <w:marRight w:val="0"/>
                                                          <w:marTop w:val="0"/>
                                                          <w:marBottom w:val="0"/>
                                                          <w:divBdr>
                                                            <w:top w:val="none" w:sz="0" w:space="0" w:color="auto"/>
                                                            <w:left w:val="none" w:sz="0" w:space="0" w:color="auto"/>
                                                            <w:bottom w:val="none" w:sz="0" w:space="0" w:color="auto"/>
                                                            <w:right w:val="none" w:sz="0" w:space="0" w:color="auto"/>
                                                          </w:divBdr>
                                                          <w:divsChild>
                                                            <w:div w:id="1165245477">
                                                              <w:marLeft w:val="0"/>
                                                              <w:marRight w:val="0"/>
                                                              <w:marTop w:val="0"/>
                                                              <w:marBottom w:val="0"/>
                                                              <w:divBdr>
                                                                <w:top w:val="none" w:sz="0" w:space="0" w:color="auto"/>
                                                                <w:left w:val="none" w:sz="0" w:space="0" w:color="auto"/>
                                                                <w:bottom w:val="none" w:sz="0" w:space="0" w:color="auto"/>
                                                                <w:right w:val="none" w:sz="0" w:space="0" w:color="auto"/>
                                                              </w:divBdr>
                                                              <w:divsChild>
                                                                <w:div w:id="2045521238">
                                                                  <w:marLeft w:val="0"/>
                                                                  <w:marRight w:val="0"/>
                                                                  <w:marTop w:val="0"/>
                                                                  <w:marBottom w:val="0"/>
                                                                  <w:divBdr>
                                                                    <w:top w:val="none" w:sz="0" w:space="0" w:color="auto"/>
                                                                    <w:left w:val="none" w:sz="0" w:space="0" w:color="auto"/>
                                                                    <w:bottom w:val="none" w:sz="0" w:space="0" w:color="auto"/>
                                                                    <w:right w:val="none" w:sz="0" w:space="0" w:color="auto"/>
                                                                  </w:divBdr>
                                                                  <w:divsChild>
                                                                    <w:div w:id="5231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5982140">
      <w:bodyDiv w:val="1"/>
      <w:marLeft w:val="0"/>
      <w:marRight w:val="0"/>
      <w:marTop w:val="0"/>
      <w:marBottom w:val="0"/>
      <w:divBdr>
        <w:top w:val="none" w:sz="0" w:space="0" w:color="auto"/>
        <w:left w:val="none" w:sz="0" w:space="0" w:color="auto"/>
        <w:bottom w:val="none" w:sz="0" w:space="0" w:color="auto"/>
        <w:right w:val="none" w:sz="0" w:space="0" w:color="auto"/>
      </w:divBdr>
    </w:div>
    <w:div w:id="386614183">
      <w:bodyDiv w:val="1"/>
      <w:marLeft w:val="0"/>
      <w:marRight w:val="0"/>
      <w:marTop w:val="0"/>
      <w:marBottom w:val="0"/>
      <w:divBdr>
        <w:top w:val="none" w:sz="0" w:space="0" w:color="auto"/>
        <w:left w:val="none" w:sz="0" w:space="0" w:color="auto"/>
        <w:bottom w:val="none" w:sz="0" w:space="0" w:color="auto"/>
        <w:right w:val="none" w:sz="0" w:space="0" w:color="auto"/>
      </w:divBdr>
    </w:div>
    <w:div w:id="460222205">
      <w:bodyDiv w:val="1"/>
      <w:marLeft w:val="0"/>
      <w:marRight w:val="0"/>
      <w:marTop w:val="0"/>
      <w:marBottom w:val="0"/>
      <w:divBdr>
        <w:top w:val="none" w:sz="0" w:space="0" w:color="auto"/>
        <w:left w:val="none" w:sz="0" w:space="0" w:color="auto"/>
        <w:bottom w:val="none" w:sz="0" w:space="0" w:color="auto"/>
        <w:right w:val="none" w:sz="0" w:space="0" w:color="auto"/>
      </w:divBdr>
    </w:div>
    <w:div w:id="519049830">
      <w:bodyDiv w:val="1"/>
      <w:marLeft w:val="0"/>
      <w:marRight w:val="0"/>
      <w:marTop w:val="0"/>
      <w:marBottom w:val="0"/>
      <w:divBdr>
        <w:top w:val="none" w:sz="0" w:space="0" w:color="auto"/>
        <w:left w:val="none" w:sz="0" w:space="0" w:color="auto"/>
        <w:bottom w:val="none" w:sz="0" w:space="0" w:color="auto"/>
        <w:right w:val="none" w:sz="0" w:space="0" w:color="auto"/>
      </w:divBdr>
      <w:divsChild>
        <w:div w:id="725103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869">
              <w:marLeft w:val="0"/>
              <w:marRight w:val="0"/>
              <w:marTop w:val="0"/>
              <w:marBottom w:val="0"/>
              <w:divBdr>
                <w:top w:val="none" w:sz="0" w:space="0" w:color="auto"/>
                <w:left w:val="none" w:sz="0" w:space="0" w:color="auto"/>
                <w:bottom w:val="none" w:sz="0" w:space="0" w:color="auto"/>
                <w:right w:val="none" w:sz="0" w:space="0" w:color="auto"/>
              </w:divBdr>
              <w:divsChild>
                <w:div w:id="541939603">
                  <w:marLeft w:val="0"/>
                  <w:marRight w:val="0"/>
                  <w:marTop w:val="0"/>
                  <w:marBottom w:val="0"/>
                  <w:divBdr>
                    <w:top w:val="none" w:sz="0" w:space="0" w:color="auto"/>
                    <w:left w:val="none" w:sz="0" w:space="0" w:color="auto"/>
                    <w:bottom w:val="none" w:sz="0" w:space="0" w:color="auto"/>
                    <w:right w:val="none" w:sz="0" w:space="0" w:color="auto"/>
                  </w:divBdr>
                  <w:divsChild>
                    <w:div w:id="1890922787">
                      <w:marLeft w:val="0"/>
                      <w:marRight w:val="0"/>
                      <w:marTop w:val="0"/>
                      <w:marBottom w:val="0"/>
                      <w:divBdr>
                        <w:top w:val="none" w:sz="0" w:space="0" w:color="auto"/>
                        <w:left w:val="none" w:sz="0" w:space="0" w:color="auto"/>
                        <w:bottom w:val="none" w:sz="0" w:space="0" w:color="auto"/>
                        <w:right w:val="none" w:sz="0" w:space="0" w:color="auto"/>
                      </w:divBdr>
                      <w:divsChild>
                        <w:div w:id="19278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16810">
      <w:bodyDiv w:val="1"/>
      <w:marLeft w:val="0"/>
      <w:marRight w:val="0"/>
      <w:marTop w:val="0"/>
      <w:marBottom w:val="0"/>
      <w:divBdr>
        <w:top w:val="none" w:sz="0" w:space="0" w:color="auto"/>
        <w:left w:val="none" w:sz="0" w:space="0" w:color="auto"/>
        <w:bottom w:val="none" w:sz="0" w:space="0" w:color="auto"/>
        <w:right w:val="none" w:sz="0" w:space="0" w:color="auto"/>
      </w:divBdr>
      <w:divsChild>
        <w:div w:id="1248032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7572">
              <w:marLeft w:val="0"/>
              <w:marRight w:val="0"/>
              <w:marTop w:val="0"/>
              <w:marBottom w:val="0"/>
              <w:divBdr>
                <w:top w:val="none" w:sz="0" w:space="0" w:color="auto"/>
                <w:left w:val="none" w:sz="0" w:space="0" w:color="auto"/>
                <w:bottom w:val="none" w:sz="0" w:space="0" w:color="auto"/>
                <w:right w:val="none" w:sz="0" w:space="0" w:color="auto"/>
              </w:divBdr>
              <w:divsChild>
                <w:div w:id="130024695">
                  <w:marLeft w:val="0"/>
                  <w:marRight w:val="0"/>
                  <w:marTop w:val="0"/>
                  <w:marBottom w:val="0"/>
                  <w:divBdr>
                    <w:top w:val="none" w:sz="0" w:space="0" w:color="auto"/>
                    <w:left w:val="none" w:sz="0" w:space="0" w:color="auto"/>
                    <w:bottom w:val="none" w:sz="0" w:space="0" w:color="auto"/>
                    <w:right w:val="none" w:sz="0" w:space="0" w:color="auto"/>
                  </w:divBdr>
                  <w:divsChild>
                    <w:div w:id="1631934984">
                      <w:marLeft w:val="0"/>
                      <w:marRight w:val="0"/>
                      <w:marTop w:val="0"/>
                      <w:marBottom w:val="0"/>
                      <w:divBdr>
                        <w:top w:val="none" w:sz="0" w:space="0" w:color="auto"/>
                        <w:left w:val="none" w:sz="0" w:space="0" w:color="auto"/>
                        <w:bottom w:val="none" w:sz="0" w:space="0" w:color="auto"/>
                        <w:right w:val="none" w:sz="0" w:space="0" w:color="auto"/>
                      </w:divBdr>
                      <w:divsChild>
                        <w:div w:id="6696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937148">
      <w:bodyDiv w:val="1"/>
      <w:marLeft w:val="0"/>
      <w:marRight w:val="0"/>
      <w:marTop w:val="0"/>
      <w:marBottom w:val="0"/>
      <w:divBdr>
        <w:top w:val="none" w:sz="0" w:space="0" w:color="auto"/>
        <w:left w:val="none" w:sz="0" w:space="0" w:color="auto"/>
        <w:bottom w:val="none" w:sz="0" w:space="0" w:color="auto"/>
        <w:right w:val="none" w:sz="0" w:space="0" w:color="auto"/>
      </w:divBdr>
      <w:divsChild>
        <w:div w:id="806162964">
          <w:marLeft w:val="0"/>
          <w:marRight w:val="0"/>
          <w:marTop w:val="0"/>
          <w:marBottom w:val="0"/>
          <w:divBdr>
            <w:top w:val="none" w:sz="0" w:space="0" w:color="auto"/>
            <w:left w:val="none" w:sz="0" w:space="0" w:color="auto"/>
            <w:bottom w:val="none" w:sz="0" w:space="0" w:color="auto"/>
            <w:right w:val="none" w:sz="0" w:space="0" w:color="auto"/>
          </w:divBdr>
        </w:div>
        <w:div w:id="444619628">
          <w:marLeft w:val="0"/>
          <w:marRight w:val="0"/>
          <w:marTop w:val="0"/>
          <w:marBottom w:val="0"/>
          <w:divBdr>
            <w:top w:val="none" w:sz="0" w:space="0" w:color="auto"/>
            <w:left w:val="none" w:sz="0" w:space="0" w:color="auto"/>
            <w:bottom w:val="none" w:sz="0" w:space="0" w:color="auto"/>
            <w:right w:val="none" w:sz="0" w:space="0" w:color="auto"/>
          </w:divBdr>
        </w:div>
        <w:div w:id="1324311975">
          <w:marLeft w:val="0"/>
          <w:marRight w:val="0"/>
          <w:marTop w:val="0"/>
          <w:marBottom w:val="0"/>
          <w:divBdr>
            <w:top w:val="none" w:sz="0" w:space="0" w:color="auto"/>
            <w:left w:val="none" w:sz="0" w:space="0" w:color="auto"/>
            <w:bottom w:val="none" w:sz="0" w:space="0" w:color="auto"/>
            <w:right w:val="none" w:sz="0" w:space="0" w:color="auto"/>
          </w:divBdr>
        </w:div>
      </w:divsChild>
    </w:div>
    <w:div w:id="815533455">
      <w:bodyDiv w:val="1"/>
      <w:marLeft w:val="0"/>
      <w:marRight w:val="0"/>
      <w:marTop w:val="0"/>
      <w:marBottom w:val="0"/>
      <w:divBdr>
        <w:top w:val="none" w:sz="0" w:space="0" w:color="auto"/>
        <w:left w:val="none" w:sz="0" w:space="0" w:color="auto"/>
        <w:bottom w:val="none" w:sz="0" w:space="0" w:color="auto"/>
        <w:right w:val="none" w:sz="0" w:space="0" w:color="auto"/>
      </w:divBdr>
    </w:div>
    <w:div w:id="902132421">
      <w:bodyDiv w:val="1"/>
      <w:marLeft w:val="0"/>
      <w:marRight w:val="0"/>
      <w:marTop w:val="0"/>
      <w:marBottom w:val="0"/>
      <w:divBdr>
        <w:top w:val="none" w:sz="0" w:space="0" w:color="auto"/>
        <w:left w:val="none" w:sz="0" w:space="0" w:color="auto"/>
        <w:bottom w:val="none" w:sz="0" w:space="0" w:color="auto"/>
        <w:right w:val="none" w:sz="0" w:space="0" w:color="auto"/>
      </w:divBdr>
    </w:div>
    <w:div w:id="930430401">
      <w:bodyDiv w:val="1"/>
      <w:marLeft w:val="0"/>
      <w:marRight w:val="0"/>
      <w:marTop w:val="0"/>
      <w:marBottom w:val="0"/>
      <w:divBdr>
        <w:top w:val="none" w:sz="0" w:space="0" w:color="auto"/>
        <w:left w:val="none" w:sz="0" w:space="0" w:color="auto"/>
        <w:bottom w:val="none" w:sz="0" w:space="0" w:color="auto"/>
        <w:right w:val="none" w:sz="0" w:space="0" w:color="auto"/>
      </w:divBdr>
    </w:div>
    <w:div w:id="942373223">
      <w:bodyDiv w:val="1"/>
      <w:marLeft w:val="0"/>
      <w:marRight w:val="0"/>
      <w:marTop w:val="0"/>
      <w:marBottom w:val="0"/>
      <w:divBdr>
        <w:top w:val="none" w:sz="0" w:space="0" w:color="auto"/>
        <w:left w:val="none" w:sz="0" w:space="0" w:color="auto"/>
        <w:bottom w:val="none" w:sz="0" w:space="0" w:color="auto"/>
        <w:right w:val="none" w:sz="0" w:space="0" w:color="auto"/>
      </w:divBdr>
    </w:div>
    <w:div w:id="948970877">
      <w:bodyDiv w:val="1"/>
      <w:marLeft w:val="0"/>
      <w:marRight w:val="0"/>
      <w:marTop w:val="0"/>
      <w:marBottom w:val="0"/>
      <w:divBdr>
        <w:top w:val="none" w:sz="0" w:space="0" w:color="auto"/>
        <w:left w:val="none" w:sz="0" w:space="0" w:color="auto"/>
        <w:bottom w:val="none" w:sz="0" w:space="0" w:color="auto"/>
        <w:right w:val="none" w:sz="0" w:space="0" w:color="auto"/>
      </w:divBdr>
    </w:div>
    <w:div w:id="1006521102">
      <w:bodyDiv w:val="1"/>
      <w:marLeft w:val="0"/>
      <w:marRight w:val="0"/>
      <w:marTop w:val="0"/>
      <w:marBottom w:val="0"/>
      <w:divBdr>
        <w:top w:val="none" w:sz="0" w:space="0" w:color="auto"/>
        <w:left w:val="none" w:sz="0" w:space="0" w:color="auto"/>
        <w:bottom w:val="none" w:sz="0" w:space="0" w:color="auto"/>
        <w:right w:val="none" w:sz="0" w:space="0" w:color="auto"/>
      </w:divBdr>
    </w:div>
    <w:div w:id="1081567445">
      <w:bodyDiv w:val="1"/>
      <w:marLeft w:val="0"/>
      <w:marRight w:val="0"/>
      <w:marTop w:val="0"/>
      <w:marBottom w:val="0"/>
      <w:divBdr>
        <w:top w:val="none" w:sz="0" w:space="0" w:color="auto"/>
        <w:left w:val="none" w:sz="0" w:space="0" w:color="auto"/>
        <w:bottom w:val="none" w:sz="0" w:space="0" w:color="auto"/>
        <w:right w:val="none" w:sz="0" w:space="0" w:color="auto"/>
      </w:divBdr>
      <w:divsChild>
        <w:div w:id="235824183">
          <w:marLeft w:val="0"/>
          <w:marRight w:val="0"/>
          <w:marTop w:val="0"/>
          <w:marBottom w:val="0"/>
          <w:divBdr>
            <w:top w:val="none" w:sz="0" w:space="0" w:color="auto"/>
            <w:left w:val="none" w:sz="0" w:space="0" w:color="auto"/>
            <w:bottom w:val="none" w:sz="0" w:space="0" w:color="auto"/>
            <w:right w:val="none" w:sz="0" w:space="0" w:color="auto"/>
          </w:divBdr>
        </w:div>
        <w:div w:id="890112152">
          <w:marLeft w:val="0"/>
          <w:marRight w:val="0"/>
          <w:marTop w:val="0"/>
          <w:marBottom w:val="0"/>
          <w:divBdr>
            <w:top w:val="none" w:sz="0" w:space="0" w:color="auto"/>
            <w:left w:val="none" w:sz="0" w:space="0" w:color="auto"/>
            <w:bottom w:val="none" w:sz="0" w:space="0" w:color="auto"/>
            <w:right w:val="none" w:sz="0" w:space="0" w:color="auto"/>
          </w:divBdr>
        </w:div>
        <w:div w:id="710688281">
          <w:marLeft w:val="0"/>
          <w:marRight w:val="0"/>
          <w:marTop w:val="0"/>
          <w:marBottom w:val="0"/>
          <w:divBdr>
            <w:top w:val="none" w:sz="0" w:space="0" w:color="auto"/>
            <w:left w:val="none" w:sz="0" w:space="0" w:color="auto"/>
            <w:bottom w:val="none" w:sz="0" w:space="0" w:color="auto"/>
            <w:right w:val="none" w:sz="0" w:space="0" w:color="auto"/>
          </w:divBdr>
        </w:div>
        <w:div w:id="1342971499">
          <w:marLeft w:val="0"/>
          <w:marRight w:val="0"/>
          <w:marTop w:val="0"/>
          <w:marBottom w:val="0"/>
          <w:divBdr>
            <w:top w:val="none" w:sz="0" w:space="0" w:color="auto"/>
            <w:left w:val="none" w:sz="0" w:space="0" w:color="auto"/>
            <w:bottom w:val="none" w:sz="0" w:space="0" w:color="auto"/>
            <w:right w:val="none" w:sz="0" w:space="0" w:color="auto"/>
          </w:divBdr>
        </w:div>
        <w:div w:id="2076781222">
          <w:marLeft w:val="0"/>
          <w:marRight w:val="0"/>
          <w:marTop w:val="0"/>
          <w:marBottom w:val="0"/>
          <w:divBdr>
            <w:top w:val="none" w:sz="0" w:space="0" w:color="auto"/>
            <w:left w:val="none" w:sz="0" w:space="0" w:color="auto"/>
            <w:bottom w:val="none" w:sz="0" w:space="0" w:color="auto"/>
            <w:right w:val="none" w:sz="0" w:space="0" w:color="auto"/>
          </w:divBdr>
        </w:div>
        <w:div w:id="974332615">
          <w:marLeft w:val="0"/>
          <w:marRight w:val="0"/>
          <w:marTop w:val="0"/>
          <w:marBottom w:val="0"/>
          <w:divBdr>
            <w:top w:val="none" w:sz="0" w:space="0" w:color="auto"/>
            <w:left w:val="none" w:sz="0" w:space="0" w:color="auto"/>
            <w:bottom w:val="none" w:sz="0" w:space="0" w:color="auto"/>
            <w:right w:val="none" w:sz="0" w:space="0" w:color="auto"/>
          </w:divBdr>
        </w:div>
        <w:div w:id="973026674">
          <w:marLeft w:val="0"/>
          <w:marRight w:val="0"/>
          <w:marTop w:val="0"/>
          <w:marBottom w:val="0"/>
          <w:divBdr>
            <w:top w:val="none" w:sz="0" w:space="0" w:color="auto"/>
            <w:left w:val="none" w:sz="0" w:space="0" w:color="auto"/>
            <w:bottom w:val="none" w:sz="0" w:space="0" w:color="auto"/>
            <w:right w:val="none" w:sz="0" w:space="0" w:color="auto"/>
          </w:divBdr>
        </w:div>
        <w:div w:id="1572306698">
          <w:marLeft w:val="0"/>
          <w:marRight w:val="0"/>
          <w:marTop w:val="0"/>
          <w:marBottom w:val="0"/>
          <w:divBdr>
            <w:top w:val="none" w:sz="0" w:space="0" w:color="auto"/>
            <w:left w:val="none" w:sz="0" w:space="0" w:color="auto"/>
            <w:bottom w:val="none" w:sz="0" w:space="0" w:color="auto"/>
            <w:right w:val="none" w:sz="0" w:space="0" w:color="auto"/>
          </w:divBdr>
        </w:div>
        <w:div w:id="1133138191">
          <w:marLeft w:val="0"/>
          <w:marRight w:val="0"/>
          <w:marTop w:val="0"/>
          <w:marBottom w:val="0"/>
          <w:divBdr>
            <w:top w:val="none" w:sz="0" w:space="0" w:color="auto"/>
            <w:left w:val="none" w:sz="0" w:space="0" w:color="auto"/>
            <w:bottom w:val="none" w:sz="0" w:space="0" w:color="auto"/>
            <w:right w:val="none" w:sz="0" w:space="0" w:color="auto"/>
          </w:divBdr>
        </w:div>
        <w:div w:id="1133407958">
          <w:marLeft w:val="0"/>
          <w:marRight w:val="0"/>
          <w:marTop w:val="0"/>
          <w:marBottom w:val="0"/>
          <w:divBdr>
            <w:top w:val="none" w:sz="0" w:space="0" w:color="auto"/>
            <w:left w:val="none" w:sz="0" w:space="0" w:color="auto"/>
            <w:bottom w:val="none" w:sz="0" w:space="0" w:color="auto"/>
            <w:right w:val="none" w:sz="0" w:space="0" w:color="auto"/>
          </w:divBdr>
        </w:div>
        <w:div w:id="808742911">
          <w:marLeft w:val="0"/>
          <w:marRight w:val="0"/>
          <w:marTop w:val="0"/>
          <w:marBottom w:val="0"/>
          <w:divBdr>
            <w:top w:val="none" w:sz="0" w:space="0" w:color="auto"/>
            <w:left w:val="none" w:sz="0" w:space="0" w:color="auto"/>
            <w:bottom w:val="none" w:sz="0" w:space="0" w:color="auto"/>
            <w:right w:val="none" w:sz="0" w:space="0" w:color="auto"/>
          </w:divBdr>
        </w:div>
      </w:divsChild>
    </w:div>
    <w:div w:id="1117680849">
      <w:bodyDiv w:val="1"/>
      <w:marLeft w:val="0"/>
      <w:marRight w:val="0"/>
      <w:marTop w:val="0"/>
      <w:marBottom w:val="0"/>
      <w:divBdr>
        <w:top w:val="none" w:sz="0" w:space="0" w:color="auto"/>
        <w:left w:val="none" w:sz="0" w:space="0" w:color="auto"/>
        <w:bottom w:val="none" w:sz="0" w:space="0" w:color="auto"/>
        <w:right w:val="none" w:sz="0" w:space="0" w:color="auto"/>
      </w:divBdr>
      <w:divsChild>
        <w:div w:id="1848248769">
          <w:marLeft w:val="0"/>
          <w:marRight w:val="0"/>
          <w:marTop w:val="0"/>
          <w:marBottom w:val="0"/>
          <w:divBdr>
            <w:top w:val="none" w:sz="0" w:space="0" w:color="auto"/>
            <w:left w:val="none" w:sz="0" w:space="0" w:color="auto"/>
            <w:bottom w:val="none" w:sz="0" w:space="0" w:color="auto"/>
            <w:right w:val="none" w:sz="0" w:space="0" w:color="auto"/>
          </w:divBdr>
          <w:divsChild>
            <w:div w:id="1498497185">
              <w:marLeft w:val="0"/>
              <w:marRight w:val="0"/>
              <w:marTop w:val="0"/>
              <w:marBottom w:val="0"/>
              <w:divBdr>
                <w:top w:val="none" w:sz="0" w:space="0" w:color="auto"/>
                <w:left w:val="none" w:sz="0" w:space="0" w:color="auto"/>
                <w:bottom w:val="none" w:sz="0" w:space="0" w:color="auto"/>
                <w:right w:val="none" w:sz="0" w:space="0" w:color="auto"/>
              </w:divBdr>
              <w:divsChild>
                <w:div w:id="1044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91237">
      <w:bodyDiv w:val="1"/>
      <w:marLeft w:val="0"/>
      <w:marRight w:val="0"/>
      <w:marTop w:val="0"/>
      <w:marBottom w:val="0"/>
      <w:divBdr>
        <w:top w:val="none" w:sz="0" w:space="0" w:color="auto"/>
        <w:left w:val="none" w:sz="0" w:space="0" w:color="auto"/>
        <w:bottom w:val="none" w:sz="0" w:space="0" w:color="auto"/>
        <w:right w:val="none" w:sz="0" w:space="0" w:color="auto"/>
      </w:divBdr>
      <w:divsChild>
        <w:div w:id="1813601087">
          <w:marLeft w:val="0"/>
          <w:marRight w:val="0"/>
          <w:marTop w:val="0"/>
          <w:marBottom w:val="0"/>
          <w:divBdr>
            <w:top w:val="none" w:sz="0" w:space="0" w:color="auto"/>
            <w:left w:val="none" w:sz="0" w:space="0" w:color="auto"/>
            <w:bottom w:val="none" w:sz="0" w:space="0" w:color="auto"/>
            <w:right w:val="none" w:sz="0" w:space="0" w:color="auto"/>
          </w:divBdr>
        </w:div>
        <w:div w:id="723680402">
          <w:marLeft w:val="0"/>
          <w:marRight w:val="0"/>
          <w:marTop w:val="0"/>
          <w:marBottom w:val="0"/>
          <w:divBdr>
            <w:top w:val="none" w:sz="0" w:space="0" w:color="auto"/>
            <w:left w:val="none" w:sz="0" w:space="0" w:color="auto"/>
            <w:bottom w:val="none" w:sz="0" w:space="0" w:color="auto"/>
            <w:right w:val="none" w:sz="0" w:space="0" w:color="auto"/>
          </w:divBdr>
        </w:div>
        <w:div w:id="450443566">
          <w:marLeft w:val="0"/>
          <w:marRight w:val="0"/>
          <w:marTop w:val="0"/>
          <w:marBottom w:val="0"/>
          <w:divBdr>
            <w:top w:val="none" w:sz="0" w:space="0" w:color="auto"/>
            <w:left w:val="none" w:sz="0" w:space="0" w:color="auto"/>
            <w:bottom w:val="none" w:sz="0" w:space="0" w:color="auto"/>
            <w:right w:val="none" w:sz="0" w:space="0" w:color="auto"/>
          </w:divBdr>
        </w:div>
        <w:div w:id="959606977">
          <w:marLeft w:val="0"/>
          <w:marRight w:val="0"/>
          <w:marTop w:val="0"/>
          <w:marBottom w:val="0"/>
          <w:divBdr>
            <w:top w:val="none" w:sz="0" w:space="0" w:color="auto"/>
            <w:left w:val="none" w:sz="0" w:space="0" w:color="auto"/>
            <w:bottom w:val="none" w:sz="0" w:space="0" w:color="auto"/>
            <w:right w:val="none" w:sz="0" w:space="0" w:color="auto"/>
          </w:divBdr>
        </w:div>
        <w:div w:id="1362586136">
          <w:marLeft w:val="0"/>
          <w:marRight w:val="0"/>
          <w:marTop w:val="0"/>
          <w:marBottom w:val="0"/>
          <w:divBdr>
            <w:top w:val="none" w:sz="0" w:space="0" w:color="auto"/>
            <w:left w:val="none" w:sz="0" w:space="0" w:color="auto"/>
            <w:bottom w:val="none" w:sz="0" w:space="0" w:color="auto"/>
            <w:right w:val="none" w:sz="0" w:space="0" w:color="auto"/>
          </w:divBdr>
        </w:div>
      </w:divsChild>
    </w:div>
    <w:div w:id="1452166058">
      <w:bodyDiv w:val="1"/>
      <w:marLeft w:val="0"/>
      <w:marRight w:val="0"/>
      <w:marTop w:val="0"/>
      <w:marBottom w:val="0"/>
      <w:divBdr>
        <w:top w:val="none" w:sz="0" w:space="0" w:color="auto"/>
        <w:left w:val="none" w:sz="0" w:space="0" w:color="auto"/>
        <w:bottom w:val="none" w:sz="0" w:space="0" w:color="auto"/>
        <w:right w:val="none" w:sz="0" w:space="0" w:color="auto"/>
      </w:divBdr>
    </w:div>
    <w:div w:id="1501309873">
      <w:bodyDiv w:val="1"/>
      <w:marLeft w:val="0"/>
      <w:marRight w:val="0"/>
      <w:marTop w:val="0"/>
      <w:marBottom w:val="0"/>
      <w:divBdr>
        <w:top w:val="none" w:sz="0" w:space="0" w:color="auto"/>
        <w:left w:val="none" w:sz="0" w:space="0" w:color="auto"/>
        <w:bottom w:val="none" w:sz="0" w:space="0" w:color="auto"/>
        <w:right w:val="none" w:sz="0" w:space="0" w:color="auto"/>
      </w:divBdr>
    </w:div>
    <w:div w:id="1739597261">
      <w:bodyDiv w:val="1"/>
      <w:marLeft w:val="0"/>
      <w:marRight w:val="0"/>
      <w:marTop w:val="0"/>
      <w:marBottom w:val="0"/>
      <w:divBdr>
        <w:top w:val="none" w:sz="0" w:space="0" w:color="auto"/>
        <w:left w:val="none" w:sz="0" w:space="0" w:color="auto"/>
        <w:bottom w:val="none" w:sz="0" w:space="0" w:color="auto"/>
        <w:right w:val="none" w:sz="0" w:space="0" w:color="auto"/>
      </w:divBdr>
    </w:div>
    <w:div w:id="1786849416">
      <w:bodyDiv w:val="1"/>
      <w:marLeft w:val="0"/>
      <w:marRight w:val="0"/>
      <w:marTop w:val="0"/>
      <w:marBottom w:val="0"/>
      <w:divBdr>
        <w:top w:val="none" w:sz="0" w:space="0" w:color="auto"/>
        <w:left w:val="none" w:sz="0" w:space="0" w:color="auto"/>
        <w:bottom w:val="none" w:sz="0" w:space="0" w:color="auto"/>
        <w:right w:val="none" w:sz="0" w:space="0" w:color="auto"/>
      </w:divBdr>
    </w:div>
    <w:div w:id="1867911903">
      <w:bodyDiv w:val="1"/>
      <w:marLeft w:val="0"/>
      <w:marRight w:val="0"/>
      <w:marTop w:val="0"/>
      <w:marBottom w:val="0"/>
      <w:divBdr>
        <w:top w:val="none" w:sz="0" w:space="0" w:color="auto"/>
        <w:left w:val="none" w:sz="0" w:space="0" w:color="auto"/>
        <w:bottom w:val="none" w:sz="0" w:space="0" w:color="auto"/>
        <w:right w:val="none" w:sz="0" w:space="0" w:color="auto"/>
      </w:divBdr>
    </w:div>
    <w:div w:id="1926105908">
      <w:bodyDiv w:val="1"/>
      <w:marLeft w:val="0"/>
      <w:marRight w:val="0"/>
      <w:marTop w:val="0"/>
      <w:marBottom w:val="0"/>
      <w:divBdr>
        <w:top w:val="none" w:sz="0" w:space="0" w:color="auto"/>
        <w:left w:val="none" w:sz="0" w:space="0" w:color="auto"/>
        <w:bottom w:val="none" w:sz="0" w:space="0" w:color="auto"/>
        <w:right w:val="none" w:sz="0" w:space="0" w:color="auto"/>
      </w:divBdr>
    </w:div>
    <w:div w:id="1953315084">
      <w:bodyDiv w:val="1"/>
      <w:marLeft w:val="0"/>
      <w:marRight w:val="0"/>
      <w:marTop w:val="0"/>
      <w:marBottom w:val="0"/>
      <w:divBdr>
        <w:top w:val="none" w:sz="0" w:space="0" w:color="auto"/>
        <w:left w:val="none" w:sz="0" w:space="0" w:color="auto"/>
        <w:bottom w:val="none" w:sz="0" w:space="0" w:color="auto"/>
        <w:right w:val="none" w:sz="0" w:space="0" w:color="auto"/>
      </w:divBdr>
      <w:divsChild>
        <w:div w:id="155539262">
          <w:marLeft w:val="0"/>
          <w:marRight w:val="0"/>
          <w:marTop w:val="0"/>
          <w:marBottom w:val="0"/>
          <w:divBdr>
            <w:top w:val="none" w:sz="0" w:space="0" w:color="auto"/>
            <w:left w:val="none" w:sz="0" w:space="0" w:color="auto"/>
            <w:bottom w:val="none" w:sz="0" w:space="0" w:color="auto"/>
            <w:right w:val="none" w:sz="0" w:space="0" w:color="auto"/>
          </w:divBdr>
          <w:divsChild>
            <w:div w:id="711731246">
              <w:marLeft w:val="0"/>
              <w:marRight w:val="0"/>
              <w:marTop w:val="0"/>
              <w:marBottom w:val="0"/>
              <w:divBdr>
                <w:top w:val="none" w:sz="0" w:space="0" w:color="auto"/>
                <w:left w:val="none" w:sz="0" w:space="0" w:color="auto"/>
                <w:bottom w:val="none" w:sz="0" w:space="0" w:color="auto"/>
                <w:right w:val="none" w:sz="0" w:space="0" w:color="auto"/>
              </w:divBdr>
              <w:divsChild>
                <w:div w:id="797727982">
                  <w:marLeft w:val="0"/>
                  <w:marRight w:val="0"/>
                  <w:marTop w:val="0"/>
                  <w:marBottom w:val="0"/>
                  <w:divBdr>
                    <w:top w:val="none" w:sz="0" w:space="0" w:color="auto"/>
                    <w:left w:val="none" w:sz="0" w:space="0" w:color="auto"/>
                    <w:bottom w:val="none" w:sz="0" w:space="0" w:color="auto"/>
                    <w:right w:val="none" w:sz="0" w:space="0" w:color="auto"/>
                  </w:divBdr>
                  <w:divsChild>
                    <w:div w:id="6688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80279">
      <w:bodyDiv w:val="1"/>
      <w:marLeft w:val="0"/>
      <w:marRight w:val="0"/>
      <w:marTop w:val="0"/>
      <w:marBottom w:val="0"/>
      <w:divBdr>
        <w:top w:val="none" w:sz="0" w:space="0" w:color="auto"/>
        <w:left w:val="none" w:sz="0" w:space="0" w:color="auto"/>
        <w:bottom w:val="none" w:sz="0" w:space="0" w:color="auto"/>
        <w:right w:val="none" w:sz="0" w:space="0" w:color="auto"/>
      </w:divBdr>
    </w:div>
    <w:div w:id="2077777479">
      <w:bodyDiv w:val="1"/>
      <w:marLeft w:val="0"/>
      <w:marRight w:val="0"/>
      <w:marTop w:val="0"/>
      <w:marBottom w:val="0"/>
      <w:divBdr>
        <w:top w:val="none" w:sz="0" w:space="0" w:color="auto"/>
        <w:left w:val="none" w:sz="0" w:space="0" w:color="auto"/>
        <w:bottom w:val="none" w:sz="0" w:space="0" w:color="auto"/>
        <w:right w:val="none" w:sz="0" w:space="0" w:color="auto"/>
      </w:divBdr>
    </w:div>
    <w:div w:id="2090806254">
      <w:bodyDiv w:val="1"/>
      <w:marLeft w:val="0"/>
      <w:marRight w:val="0"/>
      <w:marTop w:val="0"/>
      <w:marBottom w:val="0"/>
      <w:divBdr>
        <w:top w:val="none" w:sz="0" w:space="0" w:color="auto"/>
        <w:left w:val="none" w:sz="0" w:space="0" w:color="auto"/>
        <w:bottom w:val="none" w:sz="0" w:space="0" w:color="auto"/>
        <w:right w:val="none" w:sz="0" w:space="0" w:color="auto"/>
      </w:divBdr>
    </w:div>
    <w:div w:id="2093745279">
      <w:bodyDiv w:val="1"/>
      <w:marLeft w:val="0"/>
      <w:marRight w:val="0"/>
      <w:marTop w:val="0"/>
      <w:marBottom w:val="0"/>
      <w:divBdr>
        <w:top w:val="none" w:sz="0" w:space="0" w:color="auto"/>
        <w:left w:val="none" w:sz="0" w:space="0" w:color="auto"/>
        <w:bottom w:val="none" w:sz="0" w:space="0" w:color="auto"/>
        <w:right w:val="none" w:sz="0" w:space="0" w:color="auto"/>
      </w:divBdr>
    </w:div>
    <w:div w:id="212009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6.xml"/><Relationship Id="rId42" Type="http://schemas.openxmlformats.org/officeDocument/2006/relationships/header" Target="header13.xml"/><Relationship Id="rId47" Type="http://schemas.openxmlformats.org/officeDocument/2006/relationships/hyperlink" Target="https://www.k-cep.org/windows/finance/" TargetMode="External"/><Relationship Id="rId63" Type="http://schemas.openxmlformats.org/officeDocument/2006/relationships/hyperlink" Target="http://ec.europa.eu/smart-regulation/guidelines/docs/br_toolbox_en.pdf" TargetMode="External"/><Relationship Id="rId68" Type="http://schemas.openxmlformats.org/officeDocument/2006/relationships/hyperlink" Target="https://cloudfront.escholarship.org/dist/prd/content/qt9cw020f8/qt9cw020f8.pdf?t=lnqwo1" TargetMode="External"/><Relationship Id="rId84" Type="http://schemas.openxmlformats.org/officeDocument/2006/relationships/hyperlink" Target="https://doi.org/10.1016/j.rser.2017.05.216.%20Accessed%2019%20May%202018" TargetMode="External"/><Relationship Id="rId89" Type="http://schemas.openxmlformats.org/officeDocument/2006/relationships/hyperlink" Target="https://cloudfront.escholarship.org/dist/prd/content/qt01h8g7zb/qt01h8g7zb.pdf?t=ozde3a" TargetMode="External"/><Relationship Id="rId7" Type="http://schemas.openxmlformats.org/officeDocument/2006/relationships/settings" Target="settings.xml"/><Relationship Id="rId71" Type="http://schemas.openxmlformats.org/officeDocument/2006/relationships/hyperlink" Target="https://gulfnews.com/news/uae/general/district-cooling-cool-discomfort-1.796929" TargetMode="External"/><Relationship Id="rId92" Type="http://schemas.openxmlformats.org/officeDocument/2006/relationships/hyperlink" Target="http://www.grimsby.ac.uk/documents/defra/catr-casestudy.pdf"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2.emf"/><Relationship Id="rId11" Type="http://schemas.openxmlformats.org/officeDocument/2006/relationships/image" Target="media/image1.wmf"/><Relationship Id="rId24" Type="http://schemas.openxmlformats.org/officeDocument/2006/relationships/header" Target="header8.xml"/><Relationship Id="rId32" Type="http://schemas.openxmlformats.org/officeDocument/2006/relationships/image" Target="media/image5.png"/><Relationship Id="rId37" Type="http://schemas.openxmlformats.org/officeDocument/2006/relationships/chart" Target="charts/chart2.xml"/><Relationship Id="rId40" Type="http://schemas.openxmlformats.org/officeDocument/2006/relationships/chart" Target="charts/chart3.xml"/><Relationship Id="rId45" Type="http://schemas.openxmlformats.org/officeDocument/2006/relationships/hyperlink" Target="http://www.k-cep.org/" TargetMode="External"/><Relationship Id="rId53" Type="http://schemas.openxmlformats.org/officeDocument/2006/relationships/hyperlink" Target="http://ec.europa.eu/research/participants/data/ref/h2020/grants_manual/pse/h2020-guide-pse_en.pdf" TargetMode="External"/><Relationship Id="rId58" Type="http://schemas.openxmlformats.org/officeDocument/2006/relationships/hyperlink" Target="https://www.carbontrust.com/resources/guides/energy-efficiency/refrigeration/" TargetMode="External"/><Relationship Id="rId66" Type="http://schemas.openxmlformats.org/officeDocument/2006/relationships/hyperlink" Target="https://web.ornl.gov/~doehpdm/hpdm/814817.pdf" TargetMode="External"/><Relationship Id="rId74" Type="http://schemas.openxmlformats.org/officeDocument/2006/relationships/hyperlink" Target="http://www.iifiir.org/userfiles/file/publications/notes/NoteTech_29_EN.pdf" TargetMode="External"/><Relationship Id="rId79" Type="http://schemas.openxmlformats.org/officeDocument/2006/relationships/hyperlink" Target="http://seedengr.com/Seven%20Steps%20to%20Maximize%20Central%20Plant%20Efficiency.pdf" TargetMode="External"/><Relationship Id="rId87" Type="http://schemas.openxmlformats.org/officeDocument/2006/relationships/hyperlink" Target="https://www.unido.org/sites/default/files/2017-07/UNIDO_leaflet_10_Praha_170228-2_0.pdf.%20Accessed%2019%20May%202018" TargetMode="External"/><Relationship Id="rId102" Type="http://schemas.openxmlformats.org/officeDocument/2006/relationships/hyperlink" Target="http://clasp.ngo/en/Resources/Resources/PublicationLibrary/2005/SL-Guidebook-English" TargetMode="External"/><Relationship Id="rId5" Type="http://schemas.openxmlformats.org/officeDocument/2006/relationships/numbering" Target="numbering.xml"/><Relationship Id="rId61" Type="http://schemas.openxmlformats.org/officeDocument/2006/relationships/hyperlink" Target="https://www.regulations.gov/document?D=EERE-2014-BT-STD-0048-0098" TargetMode="External"/><Relationship Id="rId82" Type="http://schemas.openxmlformats.org/officeDocument/2006/relationships/hyperlink" Target="https://doi.org/10.1016/j.enpol.2007.11.019.%20Accessed%2012%20May%202018" TargetMode="External"/><Relationship Id="rId90" Type="http://schemas.openxmlformats.org/officeDocument/2006/relationships/hyperlink" Target="https://cloudfront.escholarship.org/dist/prd/content/qt253583c5/qt253583c5.pdf" TargetMode="External"/><Relationship Id="rId95" Type="http://schemas.openxmlformats.org/officeDocument/2006/relationships/hyperlink" Target="http://ozone.unep.org/sites/ozone/files/documents/RTOC-Assessment-Report-2014.pdf" TargetMode="Externa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image" Target="media/image3.emf"/><Relationship Id="rId35" Type="http://schemas.openxmlformats.org/officeDocument/2006/relationships/image" Target="media/image7.png"/><Relationship Id="rId43" Type="http://schemas.openxmlformats.org/officeDocument/2006/relationships/footer" Target="footer7.xml"/><Relationship Id="rId48" Type="http://schemas.openxmlformats.org/officeDocument/2006/relationships/hyperlink" Target="https://www.thegef.org/documents/gef-6-programming-directions" TargetMode="External"/><Relationship Id="rId56" Type="http://schemas.openxmlformats.org/officeDocument/2006/relationships/hyperlink" Target="https://refcx.ashrae.org/" TargetMode="External"/><Relationship Id="rId64" Type="http://schemas.openxmlformats.org/officeDocument/2006/relationships/hyperlink" Target="http://www.eup-network.de/product-groups/preparatory-studies/completed/" TargetMode="External"/><Relationship Id="rId69" Type="http://schemas.openxmlformats.org/officeDocument/2006/relationships/hyperlink" Target="https://www.energy.gov/sites/prod/files/2017/09/f36/DOE-EERE-BTO-HVAC_Water%20Heating_Appliances%202017%20Impact%20Evaluation%20Final.pdf" TargetMode="External"/><Relationship Id="rId77" Type="http://schemas.openxmlformats.org/officeDocument/2006/relationships/hyperlink" Target="http://www.jordantimes.com/news/local/first-energy-efficient-refrigeration-system-unveiled-military-supermarket" TargetMode="External"/><Relationship Id="rId100" Type="http://schemas.openxmlformats.org/officeDocument/2006/relationships/hyperlink" Target="http://docs.lib.purdue.edu/iracc/1416"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iz.de/de/weltweit/16863.html" TargetMode="External"/><Relationship Id="rId72" Type="http://schemas.openxmlformats.org/officeDocument/2006/relationships/hyperlink" Target="https://www.nist.gov/publications/iea-hpp-annex-36-quality-installation-quality-maintenance-sensitivity-analysis" TargetMode="External"/><Relationship Id="rId80" Type="http://schemas.openxmlformats.org/officeDocument/2006/relationships/hyperlink" Target="https://10.18462/iir.gl.2018.1369" TargetMode="External"/><Relationship Id="rId85" Type="http://schemas.openxmlformats.org/officeDocument/2006/relationships/hyperlink" Target="https://web.ornl.gov/~doehpdm/hpdm/MarkV_95D_Input_Data_Guide.pdf" TargetMode="External"/><Relationship Id="rId93" Type="http://schemas.openxmlformats.org/officeDocument/2006/relationships/hyperlink" Target="http://conf.montreal-protocol.org/meeting/oewg/oewg-39/events-publications/Observer%20Publications/EE-MPside-event_WB-TERI_Jul17_Final.pdf" TargetMode="External"/><Relationship Id="rId98" Type="http://schemas.openxmlformats.org/officeDocument/2006/relationships/hyperlink" Target="http://conf.montreal-protocol.org/meeting/oewg/oewg-39/presession/Background-Documents/TEAP-XXVIII_4-TF-Report-May%202017.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image" Target="media/image6.png"/><Relationship Id="rId38" Type="http://schemas.openxmlformats.org/officeDocument/2006/relationships/image" Target="media/image9.png"/><Relationship Id="rId46" Type="http://schemas.openxmlformats.org/officeDocument/2006/relationships/hyperlink" Target="http://www.iea.org/exchange/cooling/" TargetMode="External"/><Relationship Id="rId59" Type="http://schemas.openxmlformats.org/officeDocument/2006/relationships/hyperlink" Target="http://www.ccacoalition.org/sites/default/files/resources/2016-2017_CCAC-Annual-Report_web.pdf" TargetMode="External"/><Relationship Id="rId67" Type="http://schemas.openxmlformats.org/officeDocument/2006/relationships/hyperlink" Target="http://adsabs.harvard.edu/abs/1988STIN...8826607F" TargetMode="External"/><Relationship Id="rId103" Type="http://schemas.openxmlformats.org/officeDocument/2006/relationships/hyperlink" Target="https://cloudfront.escholarship.org/dist/prd/content/qt01d3r8jg/qt01d3r8jg.pdf" TargetMode="External"/><Relationship Id="rId20" Type="http://schemas.openxmlformats.org/officeDocument/2006/relationships/header" Target="header5.xml"/><Relationship Id="rId41" Type="http://schemas.openxmlformats.org/officeDocument/2006/relationships/header" Target="header12.xml"/><Relationship Id="rId54" Type="http://schemas.openxmlformats.org/officeDocument/2006/relationships/hyperlink" Target="https://www.energy.gov/sites/prod/files/2016/09/f33/ORNL%20High%20Ambient%20RTU%20Testing%20Report.pdf" TargetMode="External"/><Relationship Id="rId62" Type="http://schemas.openxmlformats.org/officeDocument/2006/relationships/hyperlink" Target="https://docs.lib.purdue.edu/cgi/viewcontent.cgi?article=1463&amp;context=iracc" TargetMode="External"/><Relationship Id="rId70" Type="http://schemas.openxmlformats.org/officeDocument/2006/relationships/hyperlink" Target="https://www.energy.gov/sites/prod/files/2016/07/f33/The%20Future%20of%20AC%20Report%20-%20Full%20Report_0.pdf" TargetMode="External"/><Relationship Id="rId75" Type="http://schemas.openxmlformats.org/officeDocument/2006/relationships/hyperlink" Target="http://iifiir.org/userfiles/file/publications/notes/NoteTech_32_EN.pdf" TargetMode="External"/><Relationship Id="rId83" Type="http://schemas.openxmlformats.org/officeDocument/2006/relationships/hyperlink" Target="https://www.techstreet.com/standards/lv-17-c086-chemical-stability-assessments-of-r-514a-and-r-1233zd-e?product_id=1944988" TargetMode="External"/><Relationship Id="rId88" Type="http://schemas.openxmlformats.org/officeDocument/2006/relationships/hyperlink" Target="https://cloudfront.escholarship.org/dist/prd/content/qt2v6646cf/qt2v6646cf.pdf" TargetMode="External"/><Relationship Id="rId91" Type="http://schemas.openxmlformats.org/officeDocument/2006/relationships/hyperlink" Target="https://doi.org/10.1016/j.ijrefrig.2017.10.028" TargetMode="External"/><Relationship Id="rId96" Type="http://schemas.openxmlformats.org/officeDocument/2006/relationships/hyperlink" Target="http://conf.montreal-protocol.org/meeting/mop/mop-28/presession/Background%20Documents%20are%20available%20in%20English%20only/TEAP_TFXXVII-4_Report_September2016.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image" Target="media/image8.png"/><Relationship Id="rId49" Type="http://schemas.openxmlformats.org/officeDocument/2006/relationships/hyperlink" Target="https://www.thegef.org/topics/technology-transfer" TargetMode="External"/><Relationship Id="rId57" Type="http://schemas.openxmlformats.org/officeDocument/2006/relationships/hyperlink" Target="http://cold.org.gr/library/downloads/Docs/Refrigerated-Transportation-Best-Practices-Guide-2016.pdf"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4.png"/><Relationship Id="rId44" Type="http://schemas.openxmlformats.org/officeDocument/2006/relationships/header" Target="header14.xml"/><Relationship Id="rId52" Type="http://schemas.openxmlformats.org/officeDocument/2006/relationships/hyperlink" Target="https://www.giz.de/fachexpertise/downloads/giz2012-0103-en-proklima-keeping-cool.pdf" TargetMode="External"/><Relationship Id="rId60" Type="http://schemas.openxmlformats.org/officeDocument/2006/relationships/hyperlink" Target="http://dx.doi.org/10.1016/j.apenergy.2015.08.055" TargetMode="External"/><Relationship Id="rId65" Type="http://schemas.openxmlformats.org/officeDocument/2006/relationships/hyperlink" Target="https://10.18462/iir.gl.2016.1167" TargetMode="External"/><Relationship Id="rId73" Type="http://schemas.openxmlformats.org/officeDocument/2006/relationships/hyperlink" Target="https://www.osti.gov/servlets/purl/1185921" TargetMode="External"/><Relationship Id="rId78" Type="http://schemas.openxmlformats.org/officeDocument/2006/relationships/hyperlink" Target="http://k-cep.org/wp-content/uploads/2018/03/Optimization-Monitoring-Maintenance-of-Cooling-Technology-v2-subhead....pdf" TargetMode="External"/><Relationship Id="rId81" Type="http://schemas.openxmlformats.org/officeDocument/2006/relationships/hyperlink" Target="http://news.kuwaittimes.net/website/air-conditioners-consume-bulk-power-kuwait-minister/" TargetMode="External"/><Relationship Id="rId86" Type="http://schemas.openxmlformats.org/officeDocument/2006/relationships/hyperlink" Target="http://multilateralfund.org/Our%20Work/DemonProject/Document%20Library/7610p2%20-%20PRAHA.pdf" TargetMode="External"/><Relationship Id="rId94" Type="http://schemas.openxmlformats.org/officeDocument/2006/relationships/hyperlink" Target="http://united4efficiency.org/wp-content/uploads/2017/06/U4E-ACGuide-201705-Final.pdf" TargetMode="External"/><Relationship Id="rId99" Type="http://schemas.openxmlformats.org/officeDocument/2006/relationships/hyperlink" Target="http://www.sviva.gov.il/English/env_topics/climatechange/Mitigation/Documents/Energy-Efficiency-in-the-RAC-Sector-June-2016.pdf" TargetMode="External"/><Relationship Id="rId101" Type="http://schemas.openxmlformats.org/officeDocument/2006/relationships/hyperlink" Target="http://docs.lib.purdue.edu/iracc/1416"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s://appliance-standards.org/sites/default/files/refrigerator_graph_Nov_2016.pdf" TargetMode="External"/><Relationship Id="rId109" Type="http://schemas.microsoft.com/office/2016/09/relationships/commentsIds" Target="commentsIds.xml"/><Relationship Id="rId34" Type="http://schemas.openxmlformats.org/officeDocument/2006/relationships/chart" Target="charts/chart1.xml"/><Relationship Id="rId50" Type="http://schemas.openxmlformats.org/officeDocument/2006/relationships/hyperlink" Target="https://www.greenclimate.fund/documents/20182/473770/Decision_B.07_04.pdf/18935cf4-4a98-47ee-b9df-0168c5083814" TargetMode="External"/><Relationship Id="rId55" Type="http://schemas.openxmlformats.org/officeDocument/2006/relationships/hyperlink" Target="http://www.aseanshine.org/asean-shine-task-force/d/asean-standards-for-the-testing-methods-harmonized-to-iso5151-2010" TargetMode="External"/><Relationship Id="rId76" Type="http://schemas.openxmlformats.org/officeDocument/2006/relationships/hyperlink" Target="http://ipcc.ch/report/ar5/wg1/" TargetMode="External"/><Relationship Id="rId97" Type="http://schemas.openxmlformats.org/officeDocument/2006/relationships/hyperlink" Target="http://conf.montreal-protocol.org/meeting/mop/cop11-mop29/presession/Background-Documents/TEAP-EEWG-Report-october2017.pdf" TargetMode="External"/><Relationship Id="rId104" Type="http://schemas.openxmlformats.org/officeDocument/2006/relationships/hyperlink" Target="https://www.theicct.org/sites/default/files/publications/2017-Global-LDV-Standards-Update_ICCT-Report_23062017_vF.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orldbank.org/en/news/feature/2016/10/17/staying-cool-without-heating-up" TargetMode="External"/><Relationship Id="rId3" Type="http://schemas.openxmlformats.org/officeDocument/2006/relationships/hyperlink" Target="http://web.unep.org/ozonaction/partnership/k-cep" TargetMode="External"/><Relationship Id="rId7" Type="http://schemas.openxmlformats.org/officeDocument/2006/relationships/hyperlink" Target="https://openknowledge.worldbank.org/handle/10986/24451" TargetMode="External"/><Relationship Id="rId12" Type="http://schemas.openxmlformats.org/officeDocument/2006/relationships/hyperlink" Target="http://www.iea.org/about/glossary/" TargetMode="External"/><Relationship Id="rId2" Type="http://schemas.openxmlformats.org/officeDocument/2006/relationships/hyperlink" Target="http://www.clasp.ngo/Tools/Tools/SLSearch" TargetMode="External"/><Relationship Id="rId1" Type="http://schemas.openxmlformats.org/officeDocument/2006/relationships/hyperlink" Target="http://www.iea.org/topics/energyefficiency/" TargetMode="External"/><Relationship Id="rId6" Type="http://schemas.openxmlformats.org/officeDocument/2006/relationships/hyperlink" Target="http://www.thegef.org" TargetMode="External"/><Relationship Id="rId11" Type="http://schemas.openxmlformats.org/officeDocument/2006/relationships/hyperlink" Target="https://www.iea.org/statistics/resources/unitconverter/" TargetMode="External"/><Relationship Id="rId5" Type="http://schemas.openxmlformats.org/officeDocument/2006/relationships/hyperlink" Target="https://www.regulations.gov/document?D=EERE-2014-BT-STD-0048-0098" TargetMode="External"/><Relationship Id="rId10" Type="http://schemas.openxmlformats.org/officeDocument/2006/relationships/hyperlink" Target="https://www.eia.gov/tools/glossary/?id=electricity" TargetMode="External"/><Relationship Id="rId4" Type="http://schemas.openxmlformats.org/officeDocument/2006/relationships/hyperlink" Target="https://ec.europa.eu/energy/en/topics/energy-efficiency/energy-efficient-products" TargetMode="External"/><Relationship Id="rId9" Type="http://schemas.openxmlformats.org/officeDocument/2006/relationships/hyperlink" Target="https://www.nerc.com/files/Glossary_of_Term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nkshah\Desktop\TEAP%20EE%20report\Fig22_Price%20vs%20APF.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Omar%20Abdelaziz\Documents\IGSD\TEAP\XXIX_10Decision_TaskForce\ExampleForRefrigerator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Omar%20Abdelaziz\Documents\IGSD\TEAP\XXIX_10Decision_TaskForce\Example8Cost_Abdelaziz_Bhambure582018.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29689671144099"/>
          <c:y val="5.9096405084195898E-2"/>
          <c:w val="0.81063483731200303"/>
          <c:h val="0.792487593047559"/>
        </c:manualLayout>
      </c:layout>
      <c:scatterChart>
        <c:scatterStyle val="lineMarker"/>
        <c:varyColors val="0"/>
        <c:ser>
          <c:idx val="1"/>
          <c:order val="0"/>
          <c:tx>
            <c:strRef>
              <c:f>'Task 4_Fig22'!$B$1</c:f>
              <c:strCache>
                <c:ptCount val="1"/>
                <c:pt idx="0">
                  <c:v>1RT R410A variable-speed ACs in China</c:v>
                </c:pt>
              </c:strCache>
            </c:strRef>
          </c:tx>
          <c:spPr>
            <a:ln w="25400" cap="rnd">
              <a:noFill/>
              <a:round/>
            </a:ln>
            <a:effectLst/>
          </c:spPr>
          <c:marker>
            <c:symbol val="circle"/>
            <c:size val="6"/>
            <c:spPr>
              <a:solidFill>
                <a:schemeClr val="accent2"/>
              </a:solidFill>
              <a:ln w="9525">
                <a:solidFill>
                  <a:srgbClr val="C00000"/>
                </a:solidFill>
              </a:ln>
              <a:effectLst/>
            </c:spPr>
          </c:marker>
          <c:xVal>
            <c:numRef>
              <c:f>'Task 4_Fig22'!$C$3:$C$210</c:f>
              <c:numCache>
                <c:formatCode>0.00</c:formatCode>
                <c:ptCount val="208"/>
                <c:pt idx="0">
                  <c:v>4.9093850000000003</c:v>
                </c:pt>
                <c:pt idx="1">
                  <c:v>4.4856369999999997</c:v>
                </c:pt>
                <c:pt idx="2">
                  <c:v>4.4856369999999997</c:v>
                </c:pt>
                <c:pt idx="3">
                  <c:v>4.9175339999999927</c:v>
                </c:pt>
                <c:pt idx="4">
                  <c:v>4.5834250000000001</c:v>
                </c:pt>
                <c:pt idx="5">
                  <c:v>4.5834250000000001</c:v>
                </c:pt>
                <c:pt idx="6">
                  <c:v>4.7219579999999928</c:v>
                </c:pt>
                <c:pt idx="7">
                  <c:v>4.5915739999999996</c:v>
                </c:pt>
                <c:pt idx="8">
                  <c:v>4.6404680000000003</c:v>
                </c:pt>
                <c:pt idx="9">
                  <c:v>4.6649149999999793</c:v>
                </c:pt>
                <c:pt idx="10">
                  <c:v>4.7545539999999917</c:v>
                </c:pt>
                <c:pt idx="11">
                  <c:v>4.7545539999999917</c:v>
                </c:pt>
                <c:pt idx="12">
                  <c:v>4.7545539999999917</c:v>
                </c:pt>
                <c:pt idx="13">
                  <c:v>4.7138090000000004</c:v>
                </c:pt>
                <c:pt idx="14">
                  <c:v>4.6160209999999946</c:v>
                </c:pt>
                <c:pt idx="15">
                  <c:v>4.7138090000000004</c:v>
                </c:pt>
                <c:pt idx="16">
                  <c:v>4.6241699999999897</c:v>
                </c:pt>
                <c:pt idx="17">
                  <c:v>4.6241699999999897</c:v>
                </c:pt>
                <c:pt idx="18">
                  <c:v>4.8441929999999918</c:v>
                </c:pt>
                <c:pt idx="19">
                  <c:v>4.6812129999999996</c:v>
                </c:pt>
                <c:pt idx="20">
                  <c:v>4.6323189999999927</c:v>
                </c:pt>
                <c:pt idx="21">
                  <c:v>4.5100839999999964</c:v>
                </c:pt>
                <c:pt idx="22">
                  <c:v>4.5100839999999964</c:v>
                </c:pt>
                <c:pt idx="23">
                  <c:v>4.5100839999999964</c:v>
                </c:pt>
                <c:pt idx="24">
                  <c:v>4.5100839999999964</c:v>
                </c:pt>
                <c:pt idx="25">
                  <c:v>4.5263819999999946</c:v>
                </c:pt>
                <c:pt idx="26">
                  <c:v>4.8686399999999956</c:v>
                </c:pt>
                <c:pt idx="27">
                  <c:v>4.5263819999999946</c:v>
                </c:pt>
                <c:pt idx="28">
                  <c:v>4.5752759999999997</c:v>
                </c:pt>
                <c:pt idx="29">
                  <c:v>4.8034479999999986</c:v>
                </c:pt>
                <c:pt idx="30">
                  <c:v>4.5752759999999997</c:v>
                </c:pt>
                <c:pt idx="31">
                  <c:v>4.599723</c:v>
                </c:pt>
                <c:pt idx="32">
                  <c:v>4.501934999999996</c:v>
                </c:pt>
                <c:pt idx="33">
                  <c:v>4.501934999999996</c:v>
                </c:pt>
                <c:pt idx="34">
                  <c:v>4.3691062999999906</c:v>
                </c:pt>
                <c:pt idx="35">
                  <c:v>4.1987921999999998</c:v>
                </c:pt>
                <c:pt idx="36">
                  <c:v>4.1987921999999998</c:v>
                </c:pt>
                <c:pt idx="37">
                  <c:v>4.1987921999999998</c:v>
                </c:pt>
                <c:pt idx="38">
                  <c:v>4.1987921999999998</c:v>
                </c:pt>
                <c:pt idx="39">
                  <c:v>4.1987921999999998</c:v>
                </c:pt>
                <c:pt idx="40">
                  <c:v>4.1987921999999998</c:v>
                </c:pt>
                <c:pt idx="41">
                  <c:v>4.1987921999999998</c:v>
                </c:pt>
                <c:pt idx="42">
                  <c:v>4.1979772999999856</c:v>
                </c:pt>
                <c:pt idx="43">
                  <c:v>4.1979772999999856</c:v>
                </c:pt>
                <c:pt idx="44">
                  <c:v>4.1979772999999856</c:v>
                </c:pt>
                <c:pt idx="45">
                  <c:v>4.1979772999999856</c:v>
                </c:pt>
                <c:pt idx="46">
                  <c:v>4.3063589999999996</c:v>
                </c:pt>
                <c:pt idx="47">
                  <c:v>4.3063589999999996</c:v>
                </c:pt>
                <c:pt idx="48">
                  <c:v>4.3063589999999996</c:v>
                </c:pt>
                <c:pt idx="49">
                  <c:v>4.6160209999999946</c:v>
                </c:pt>
                <c:pt idx="50">
                  <c:v>4.2819119999999966</c:v>
                </c:pt>
                <c:pt idx="51">
                  <c:v>4.2411669999999999</c:v>
                </c:pt>
                <c:pt idx="52">
                  <c:v>4.2493159999999994</c:v>
                </c:pt>
                <c:pt idx="53">
                  <c:v>4.1759749999999896</c:v>
                </c:pt>
                <c:pt idx="54">
                  <c:v>4.3063589999999996</c:v>
                </c:pt>
                <c:pt idx="55">
                  <c:v>4.5671269999999886</c:v>
                </c:pt>
                <c:pt idx="56">
                  <c:v>4.0863359999999984</c:v>
                </c:pt>
                <c:pt idx="57">
                  <c:v>4.3796999999999997</c:v>
                </c:pt>
                <c:pt idx="58">
                  <c:v>4.3308059999999946</c:v>
                </c:pt>
                <c:pt idx="59">
                  <c:v>4.1189319999999867</c:v>
                </c:pt>
                <c:pt idx="60">
                  <c:v>4.2493159999999994</c:v>
                </c:pt>
                <c:pt idx="61">
                  <c:v>4.0781869999999927</c:v>
                </c:pt>
                <c:pt idx="62">
                  <c:v>4.1759749999999896</c:v>
                </c:pt>
                <c:pt idx="63">
                  <c:v>4.6241699999999897</c:v>
                </c:pt>
                <c:pt idx="64">
                  <c:v>4.1759749999999896</c:v>
                </c:pt>
                <c:pt idx="65">
                  <c:v>4.1678259999999856</c:v>
                </c:pt>
                <c:pt idx="66">
                  <c:v>4.1759749999999896</c:v>
                </c:pt>
                <c:pt idx="67">
                  <c:v>4.1759749999999896</c:v>
                </c:pt>
                <c:pt idx="68">
                  <c:v>4.0781869999999927</c:v>
                </c:pt>
                <c:pt idx="69">
                  <c:v>4.2256838999999946</c:v>
                </c:pt>
                <c:pt idx="70">
                  <c:v>4.2256838999999946</c:v>
                </c:pt>
                <c:pt idx="71">
                  <c:v>4.2256838999999946</c:v>
                </c:pt>
                <c:pt idx="72">
                  <c:v>4.2256838999999946</c:v>
                </c:pt>
                <c:pt idx="73">
                  <c:v>4.2256838999999946</c:v>
                </c:pt>
                <c:pt idx="74">
                  <c:v>4.4367429999999999</c:v>
                </c:pt>
                <c:pt idx="75">
                  <c:v>4.1515279999999946</c:v>
                </c:pt>
                <c:pt idx="76">
                  <c:v>4.0700379999999976</c:v>
                </c:pt>
                <c:pt idx="77">
                  <c:v>4.3389549999999906</c:v>
                </c:pt>
                <c:pt idx="78">
                  <c:v>4.3389549999999906</c:v>
                </c:pt>
                <c:pt idx="79">
                  <c:v>4.0455909999999946</c:v>
                </c:pt>
                <c:pt idx="80">
                  <c:v>4.2819119999999966</c:v>
                </c:pt>
                <c:pt idx="81">
                  <c:v>4.3389549999999906</c:v>
                </c:pt>
                <c:pt idx="82">
                  <c:v>4.3389549999999906</c:v>
                </c:pt>
                <c:pt idx="83">
                  <c:v>4.3389549999999906</c:v>
                </c:pt>
                <c:pt idx="84">
                  <c:v>4.3389549999999906</c:v>
                </c:pt>
                <c:pt idx="85">
                  <c:v>4.1596770000000003</c:v>
                </c:pt>
                <c:pt idx="86">
                  <c:v>4.1596770000000003</c:v>
                </c:pt>
                <c:pt idx="87">
                  <c:v>4.1515279999999946</c:v>
                </c:pt>
                <c:pt idx="88">
                  <c:v>4.1596770000000003</c:v>
                </c:pt>
                <c:pt idx="89">
                  <c:v>3.955951999999999</c:v>
                </c:pt>
                <c:pt idx="90">
                  <c:v>3.9885480000000002</c:v>
                </c:pt>
                <c:pt idx="91">
                  <c:v>4.404147</c:v>
                </c:pt>
                <c:pt idx="92">
                  <c:v>4.1922729999999966</c:v>
                </c:pt>
                <c:pt idx="93">
                  <c:v>4.0944849999999846</c:v>
                </c:pt>
                <c:pt idx="94">
                  <c:v>4.2737629999999998</c:v>
                </c:pt>
                <c:pt idx="95">
                  <c:v>4.2167199999999996</c:v>
                </c:pt>
                <c:pt idx="96">
                  <c:v>4.1026339999999966</c:v>
                </c:pt>
                <c:pt idx="97">
                  <c:v>4.3063589999999996</c:v>
                </c:pt>
                <c:pt idx="98">
                  <c:v>4.2248689999999964</c:v>
                </c:pt>
                <c:pt idx="99">
                  <c:v>3.6788859999999981</c:v>
                </c:pt>
                <c:pt idx="100">
                  <c:v>3.6788859999999981</c:v>
                </c:pt>
                <c:pt idx="101">
                  <c:v>3.6788859999999981</c:v>
                </c:pt>
                <c:pt idx="102">
                  <c:v>3.6788859999999981</c:v>
                </c:pt>
                <c:pt idx="103">
                  <c:v>3.6788859999999981</c:v>
                </c:pt>
                <c:pt idx="104">
                  <c:v>3.6788859999999981</c:v>
                </c:pt>
                <c:pt idx="105">
                  <c:v>3.9070580000000001</c:v>
                </c:pt>
                <c:pt idx="106">
                  <c:v>3.9070580000000001</c:v>
                </c:pt>
                <c:pt idx="107">
                  <c:v>3.9070580000000001</c:v>
                </c:pt>
                <c:pt idx="108">
                  <c:v>3.858163999999999</c:v>
                </c:pt>
                <c:pt idx="109">
                  <c:v>3.9070580000000001</c:v>
                </c:pt>
                <c:pt idx="110">
                  <c:v>3.9070580000000001</c:v>
                </c:pt>
                <c:pt idx="111">
                  <c:v>3.9070580000000001</c:v>
                </c:pt>
                <c:pt idx="112">
                  <c:v>3.9070580000000001</c:v>
                </c:pt>
                <c:pt idx="113">
                  <c:v>3.9070580000000001</c:v>
                </c:pt>
                <c:pt idx="114">
                  <c:v>3.9070580000000001</c:v>
                </c:pt>
                <c:pt idx="115">
                  <c:v>3.7774888999999998</c:v>
                </c:pt>
                <c:pt idx="116">
                  <c:v>3.7603759999999999</c:v>
                </c:pt>
                <c:pt idx="117">
                  <c:v>3.7171863000000012</c:v>
                </c:pt>
                <c:pt idx="118">
                  <c:v>3.7171863000000012</c:v>
                </c:pt>
                <c:pt idx="119">
                  <c:v>3.7171863000000012</c:v>
                </c:pt>
                <c:pt idx="120">
                  <c:v>3.7171863000000012</c:v>
                </c:pt>
                <c:pt idx="121">
                  <c:v>3.7171863000000012</c:v>
                </c:pt>
                <c:pt idx="122">
                  <c:v>3.7171863000000012</c:v>
                </c:pt>
                <c:pt idx="123">
                  <c:v>3.7171863000000012</c:v>
                </c:pt>
                <c:pt idx="124">
                  <c:v>3.7171863000000012</c:v>
                </c:pt>
                <c:pt idx="125">
                  <c:v>3.7171863000000012</c:v>
                </c:pt>
                <c:pt idx="126">
                  <c:v>3.7171863000000012</c:v>
                </c:pt>
                <c:pt idx="127">
                  <c:v>3.7171863000000012</c:v>
                </c:pt>
                <c:pt idx="128">
                  <c:v>3.6218430000000001</c:v>
                </c:pt>
                <c:pt idx="129">
                  <c:v>3.6218430000000001</c:v>
                </c:pt>
                <c:pt idx="130">
                  <c:v>3.7114820000000002</c:v>
                </c:pt>
                <c:pt idx="131">
                  <c:v>3.7114820000000002</c:v>
                </c:pt>
                <c:pt idx="132">
                  <c:v>3.7114820000000002</c:v>
                </c:pt>
                <c:pt idx="133">
                  <c:v>3.7766739999999981</c:v>
                </c:pt>
                <c:pt idx="134">
                  <c:v>3.7766739999999981</c:v>
                </c:pt>
                <c:pt idx="135">
                  <c:v>3.858163999999999</c:v>
                </c:pt>
                <c:pt idx="136">
                  <c:v>3.939654</c:v>
                </c:pt>
                <c:pt idx="137">
                  <c:v>3.858163999999999</c:v>
                </c:pt>
                <c:pt idx="138">
                  <c:v>3.6462899999999991</c:v>
                </c:pt>
                <c:pt idx="139">
                  <c:v>3.882610999999998</c:v>
                </c:pt>
                <c:pt idx="140">
                  <c:v>3.7277800000000001</c:v>
                </c:pt>
                <c:pt idx="141">
                  <c:v>3.882610999999998</c:v>
                </c:pt>
                <c:pt idx="142">
                  <c:v>3.5778384000000001</c:v>
                </c:pt>
                <c:pt idx="143">
                  <c:v>3.7114820000000002</c:v>
                </c:pt>
                <c:pt idx="144">
                  <c:v>3.7685249999999999</c:v>
                </c:pt>
                <c:pt idx="145">
                  <c:v>3.841866</c:v>
                </c:pt>
                <c:pt idx="146">
                  <c:v>3.841866</c:v>
                </c:pt>
                <c:pt idx="147">
                  <c:v>3.6381410000000001</c:v>
                </c:pt>
                <c:pt idx="148">
                  <c:v>3.6381410000000001</c:v>
                </c:pt>
                <c:pt idx="149">
                  <c:v>3.752227</c:v>
                </c:pt>
                <c:pt idx="150">
                  <c:v>3.752227</c:v>
                </c:pt>
                <c:pt idx="151">
                  <c:v>3.7196310000000001</c:v>
                </c:pt>
                <c:pt idx="152">
                  <c:v>3.7196310000000001</c:v>
                </c:pt>
                <c:pt idx="153">
                  <c:v>3.6870350000000012</c:v>
                </c:pt>
                <c:pt idx="154">
                  <c:v>3.809269999999997</c:v>
                </c:pt>
                <c:pt idx="155">
                  <c:v>3.7359290000000001</c:v>
                </c:pt>
                <c:pt idx="156">
                  <c:v>3.6788859999999981</c:v>
                </c:pt>
                <c:pt idx="157">
                  <c:v>3.8744619999999981</c:v>
                </c:pt>
                <c:pt idx="158">
                  <c:v>3.6299920000000001</c:v>
                </c:pt>
                <c:pt idx="159">
                  <c:v>3.5973959999999998</c:v>
                </c:pt>
                <c:pt idx="160">
                  <c:v>3.5973959999999998</c:v>
                </c:pt>
                <c:pt idx="161">
                  <c:v>3.6381410000000001</c:v>
                </c:pt>
                <c:pt idx="162">
                  <c:v>3.7277800000000001</c:v>
                </c:pt>
                <c:pt idx="163">
                  <c:v>3.7033330000000002</c:v>
                </c:pt>
                <c:pt idx="164">
                  <c:v>3.6951839999999998</c:v>
                </c:pt>
                <c:pt idx="165">
                  <c:v>3.654439</c:v>
                </c:pt>
                <c:pt idx="166">
                  <c:v>3.7033330000000002</c:v>
                </c:pt>
                <c:pt idx="167">
                  <c:v>3.841866</c:v>
                </c:pt>
                <c:pt idx="168">
                  <c:v>3.556651</c:v>
                </c:pt>
                <c:pt idx="169">
                  <c:v>3.7277800000000001</c:v>
                </c:pt>
                <c:pt idx="170">
                  <c:v>3.7359290000000001</c:v>
                </c:pt>
                <c:pt idx="171">
                  <c:v>3.7359290000000001</c:v>
                </c:pt>
                <c:pt idx="172">
                  <c:v>3.7766739999999981</c:v>
                </c:pt>
                <c:pt idx="173">
                  <c:v>3.6788859999999981</c:v>
                </c:pt>
                <c:pt idx="174">
                  <c:v>3.7766739999999981</c:v>
                </c:pt>
                <c:pt idx="175">
                  <c:v>3.556651</c:v>
                </c:pt>
                <c:pt idx="176">
                  <c:v>3.7359290000000001</c:v>
                </c:pt>
                <c:pt idx="177">
                  <c:v>3.556651</c:v>
                </c:pt>
                <c:pt idx="178">
                  <c:v>3.7359290000000001</c:v>
                </c:pt>
                <c:pt idx="179">
                  <c:v>3.7033330000000002</c:v>
                </c:pt>
                <c:pt idx="180">
                  <c:v>3.5648</c:v>
                </c:pt>
                <c:pt idx="181">
                  <c:v>3.841866</c:v>
                </c:pt>
                <c:pt idx="182">
                  <c:v>3.6951839999999998</c:v>
                </c:pt>
                <c:pt idx="183">
                  <c:v>3.654439</c:v>
                </c:pt>
                <c:pt idx="184">
                  <c:v>3.6951839999999998</c:v>
                </c:pt>
                <c:pt idx="185">
                  <c:v>3.6951839999999998</c:v>
                </c:pt>
                <c:pt idx="186">
                  <c:v>3.6951839999999998</c:v>
                </c:pt>
                <c:pt idx="187">
                  <c:v>3.6951839999999998</c:v>
                </c:pt>
                <c:pt idx="188">
                  <c:v>3.6870350000000012</c:v>
                </c:pt>
                <c:pt idx="189">
                  <c:v>3.6951839999999998</c:v>
                </c:pt>
                <c:pt idx="190">
                  <c:v>3.6951839999999998</c:v>
                </c:pt>
                <c:pt idx="191">
                  <c:v>3.581097999999999</c:v>
                </c:pt>
                <c:pt idx="192">
                  <c:v>3.662588</c:v>
                </c:pt>
                <c:pt idx="193">
                  <c:v>3.5240550000000002</c:v>
                </c:pt>
                <c:pt idx="194">
                  <c:v>3.5240550000000002</c:v>
                </c:pt>
                <c:pt idx="195">
                  <c:v>3.7033330000000002</c:v>
                </c:pt>
                <c:pt idx="196">
                  <c:v>3.6707369999999999</c:v>
                </c:pt>
                <c:pt idx="197">
                  <c:v>3.589246999999999</c:v>
                </c:pt>
                <c:pt idx="198">
                  <c:v>3.6951839999999998</c:v>
                </c:pt>
                <c:pt idx="199">
                  <c:v>3.581097999999999</c:v>
                </c:pt>
                <c:pt idx="200">
                  <c:v>3.6381410000000001</c:v>
                </c:pt>
                <c:pt idx="201">
                  <c:v>3.6951839999999998</c:v>
                </c:pt>
                <c:pt idx="202">
                  <c:v>3.5403530000000001</c:v>
                </c:pt>
                <c:pt idx="203">
                  <c:v>3.6381410000000001</c:v>
                </c:pt>
                <c:pt idx="204">
                  <c:v>3.6381410000000001</c:v>
                </c:pt>
                <c:pt idx="205">
                  <c:v>3.6299920000000001</c:v>
                </c:pt>
                <c:pt idx="206">
                  <c:v>3.6136940000000002</c:v>
                </c:pt>
                <c:pt idx="207">
                  <c:v>3.7277800000000001</c:v>
                </c:pt>
              </c:numCache>
            </c:numRef>
          </c:xVal>
          <c:yVal>
            <c:numRef>
              <c:f>'Task 4_Fig22'!$E$3:$E$210</c:f>
              <c:numCache>
                <c:formatCode>0</c:formatCode>
                <c:ptCount val="208"/>
                <c:pt idx="0">
                  <c:v>629.84999999999911</c:v>
                </c:pt>
                <c:pt idx="1">
                  <c:v>1425</c:v>
                </c:pt>
                <c:pt idx="2">
                  <c:v>1320</c:v>
                </c:pt>
                <c:pt idx="3">
                  <c:v>644.84999999999911</c:v>
                </c:pt>
                <c:pt idx="4">
                  <c:v>1185</c:v>
                </c:pt>
                <c:pt idx="5">
                  <c:v>1080</c:v>
                </c:pt>
                <c:pt idx="6">
                  <c:v>899.84999999999911</c:v>
                </c:pt>
                <c:pt idx="7">
                  <c:v>1033.2</c:v>
                </c:pt>
                <c:pt idx="8">
                  <c:v>1100.8499999999999</c:v>
                </c:pt>
                <c:pt idx="9">
                  <c:v>494.85</c:v>
                </c:pt>
                <c:pt idx="10">
                  <c:v>765</c:v>
                </c:pt>
                <c:pt idx="11">
                  <c:v>857.1</c:v>
                </c:pt>
                <c:pt idx="12">
                  <c:v>794.84999999999911</c:v>
                </c:pt>
                <c:pt idx="13">
                  <c:v>1304.8499999999999</c:v>
                </c:pt>
                <c:pt idx="14">
                  <c:v>749.84999999999911</c:v>
                </c:pt>
                <c:pt idx="15">
                  <c:v>1650</c:v>
                </c:pt>
                <c:pt idx="16">
                  <c:v>1005.15</c:v>
                </c:pt>
                <c:pt idx="17">
                  <c:v>1050</c:v>
                </c:pt>
                <c:pt idx="18">
                  <c:v>839.84999999999911</c:v>
                </c:pt>
                <c:pt idx="19">
                  <c:v>899.84999999999911</c:v>
                </c:pt>
                <c:pt idx="20">
                  <c:v>659.84999999999911</c:v>
                </c:pt>
                <c:pt idx="21">
                  <c:v>732</c:v>
                </c:pt>
                <c:pt idx="22">
                  <c:v>775.5</c:v>
                </c:pt>
                <c:pt idx="23">
                  <c:v>1950</c:v>
                </c:pt>
                <c:pt idx="24">
                  <c:v>779.84999999999911</c:v>
                </c:pt>
                <c:pt idx="25">
                  <c:v>554.84999999999911</c:v>
                </c:pt>
                <c:pt idx="26">
                  <c:v>574.04999999999939</c:v>
                </c:pt>
                <c:pt idx="27">
                  <c:v>582</c:v>
                </c:pt>
                <c:pt idx="28">
                  <c:v>629.84999999999911</c:v>
                </c:pt>
                <c:pt idx="29">
                  <c:v>556.04999999999939</c:v>
                </c:pt>
                <c:pt idx="30">
                  <c:v>839.84999999999911</c:v>
                </c:pt>
                <c:pt idx="31">
                  <c:v>989.849999999999</c:v>
                </c:pt>
                <c:pt idx="32">
                  <c:v>599.84999999999911</c:v>
                </c:pt>
                <c:pt idx="33">
                  <c:v>539.84999999999911</c:v>
                </c:pt>
                <c:pt idx="34">
                  <c:v>787.2</c:v>
                </c:pt>
                <c:pt idx="35">
                  <c:v>855</c:v>
                </c:pt>
                <c:pt idx="36">
                  <c:v>855</c:v>
                </c:pt>
                <c:pt idx="37">
                  <c:v>837.15</c:v>
                </c:pt>
                <c:pt idx="38">
                  <c:v>899.84999999999911</c:v>
                </c:pt>
                <c:pt idx="39">
                  <c:v>899.84999999999911</c:v>
                </c:pt>
                <c:pt idx="40">
                  <c:v>899.84999999999911</c:v>
                </c:pt>
                <c:pt idx="41">
                  <c:v>899.84999999999911</c:v>
                </c:pt>
                <c:pt idx="42">
                  <c:v>912</c:v>
                </c:pt>
                <c:pt idx="43">
                  <c:v>912</c:v>
                </c:pt>
                <c:pt idx="44">
                  <c:v>897</c:v>
                </c:pt>
                <c:pt idx="45">
                  <c:v>897</c:v>
                </c:pt>
                <c:pt idx="46">
                  <c:v>659.84999999999911</c:v>
                </c:pt>
                <c:pt idx="47">
                  <c:v>479.85</c:v>
                </c:pt>
                <c:pt idx="48">
                  <c:v>552.75</c:v>
                </c:pt>
                <c:pt idx="49">
                  <c:v>600</c:v>
                </c:pt>
                <c:pt idx="50">
                  <c:v>389.85</c:v>
                </c:pt>
                <c:pt idx="51">
                  <c:v>839.84999999999911</c:v>
                </c:pt>
                <c:pt idx="52">
                  <c:v>584.84999999999911</c:v>
                </c:pt>
                <c:pt idx="53">
                  <c:v>674.84999999999911</c:v>
                </c:pt>
                <c:pt idx="54">
                  <c:v>464.85</c:v>
                </c:pt>
                <c:pt idx="55">
                  <c:v>584.84999999999911</c:v>
                </c:pt>
                <c:pt idx="56">
                  <c:v>897</c:v>
                </c:pt>
                <c:pt idx="57">
                  <c:v>479.85</c:v>
                </c:pt>
                <c:pt idx="58">
                  <c:v>532.5</c:v>
                </c:pt>
                <c:pt idx="59">
                  <c:v>899.84999999999911</c:v>
                </c:pt>
                <c:pt idx="60">
                  <c:v>464.85</c:v>
                </c:pt>
                <c:pt idx="61">
                  <c:v>847.5</c:v>
                </c:pt>
                <c:pt idx="62">
                  <c:v>554.84999999999911</c:v>
                </c:pt>
                <c:pt idx="63">
                  <c:v>1237.5</c:v>
                </c:pt>
                <c:pt idx="64">
                  <c:v>1156.05</c:v>
                </c:pt>
                <c:pt idx="65">
                  <c:v>494.85</c:v>
                </c:pt>
                <c:pt idx="66">
                  <c:v>1156.05</c:v>
                </c:pt>
                <c:pt idx="67">
                  <c:v>1156.05</c:v>
                </c:pt>
                <c:pt idx="68">
                  <c:v>644.84999999999911</c:v>
                </c:pt>
                <c:pt idx="69">
                  <c:v>882</c:v>
                </c:pt>
                <c:pt idx="70">
                  <c:v>882</c:v>
                </c:pt>
                <c:pt idx="71">
                  <c:v>792</c:v>
                </c:pt>
                <c:pt idx="72">
                  <c:v>867</c:v>
                </c:pt>
                <c:pt idx="73">
                  <c:v>867</c:v>
                </c:pt>
                <c:pt idx="74">
                  <c:v>862.94999999999936</c:v>
                </c:pt>
                <c:pt idx="75">
                  <c:v>599.84999999999911</c:v>
                </c:pt>
                <c:pt idx="76">
                  <c:v>847.65</c:v>
                </c:pt>
                <c:pt idx="77">
                  <c:v>432</c:v>
                </c:pt>
                <c:pt idx="78">
                  <c:v>449.85</c:v>
                </c:pt>
                <c:pt idx="79">
                  <c:v>591.29999999999995</c:v>
                </c:pt>
                <c:pt idx="80">
                  <c:v>492</c:v>
                </c:pt>
                <c:pt idx="81">
                  <c:v>404.85</c:v>
                </c:pt>
                <c:pt idx="82">
                  <c:v>464.85</c:v>
                </c:pt>
                <c:pt idx="83">
                  <c:v>599.84999999999911</c:v>
                </c:pt>
                <c:pt idx="84">
                  <c:v>764.84999999999911</c:v>
                </c:pt>
                <c:pt idx="85">
                  <c:v>494.85</c:v>
                </c:pt>
                <c:pt idx="86">
                  <c:v>434.85</c:v>
                </c:pt>
                <c:pt idx="87">
                  <c:v>582</c:v>
                </c:pt>
                <c:pt idx="88">
                  <c:v>554.84999999999911</c:v>
                </c:pt>
                <c:pt idx="89">
                  <c:v>569.84999999999911</c:v>
                </c:pt>
                <c:pt idx="90">
                  <c:v>719.84999999999911</c:v>
                </c:pt>
                <c:pt idx="91">
                  <c:v>539.84999999999911</c:v>
                </c:pt>
                <c:pt idx="92">
                  <c:v>451.5</c:v>
                </c:pt>
                <c:pt idx="93">
                  <c:v>418.5</c:v>
                </c:pt>
                <c:pt idx="94">
                  <c:v>689.84999999999911</c:v>
                </c:pt>
                <c:pt idx="95">
                  <c:v>570</c:v>
                </c:pt>
                <c:pt idx="96">
                  <c:v>479.85</c:v>
                </c:pt>
                <c:pt idx="97">
                  <c:v>689.84999999999911</c:v>
                </c:pt>
                <c:pt idx="98">
                  <c:v>483.45</c:v>
                </c:pt>
                <c:pt idx="99">
                  <c:v>644.84999999999911</c:v>
                </c:pt>
                <c:pt idx="100">
                  <c:v>416.55</c:v>
                </c:pt>
                <c:pt idx="101">
                  <c:v>442.8</c:v>
                </c:pt>
                <c:pt idx="102">
                  <c:v>419.85</c:v>
                </c:pt>
                <c:pt idx="103">
                  <c:v>468</c:v>
                </c:pt>
                <c:pt idx="104">
                  <c:v>539.84999999999911</c:v>
                </c:pt>
                <c:pt idx="105">
                  <c:v>419.85</c:v>
                </c:pt>
                <c:pt idx="106">
                  <c:v>464.85</c:v>
                </c:pt>
                <c:pt idx="107">
                  <c:v>479.85</c:v>
                </c:pt>
                <c:pt idx="108">
                  <c:v>446.25</c:v>
                </c:pt>
                <c:pt idx="109">
                  <c:v>434.85</c:v>
                </c:pt>
                <c:pt idx="110">
                  <c:v>404.85</c:v>
                </c:pt>
                <c:pt idx="111">
                  <c:v>418.2</c:v>
                </c:pt>
                <c:pt idx="112">
                  <c:v>434.85</c:v>
                </c:pt>
                <c:pt idx="113">
                  <c:v>464.85</c:v>
                </c:pt>
                <c:pt idx="114">
                  <c:v>410.85</c:v>
                </c:pt>
                <c:pt idx="115">
                  <c:v>734.84999999999911</c:v>
                </c:pt>
                <c:pt idx="116">
                  <c:v>584.84999999999911</c:v>
                </c:pt>
                <c:pt idx="117">
                  <c:v>747</c:v>
                </c:pt>
                <c:pt idx="118">
                  <c:v>747</c:v>
                </c:pt>
                <c:pt idx="119">
                  <c:v>762</c:v>
                </c:pt>
                <c:pt idx="120">
                  <c:v>762</c:v>
                </c:pt>
                <c:pt idx="121">
                  <c:v>731.84999999999911</c:v>
                </c:pt>
                <c:pt idx="122">
                  <c:v>733.2</c:v>
                </c:pt>
                <c:pt idx="123">
                  <c:v>665.84999999999911</c:v>
                </c:pt>
                <c:pt idx="124">
                  <c:v>747</c:v>
                </c:pt>
                <c:pt idx="125">
                  <c:v>747</c:v>
                </c:pt>
                <c:pt idx="126">
                  <c:v>731.84999999999911</c:v>
                </c:pt>
                <c:pt idx="127">
                  <c:v>762</c:v>
                </c:pt>
                <c:pt idx="128">
                  <c:v>569.84999999999911</c:v>
                </c:pt>
                <c:pt idx="129">
                  <c:v>760.34999999999911</c:v>
                </c:pt>
                <c:pt idx="130">
                  <c:v>509.85</c:v>
                </c:pt>
                <c:pt idx="131">
                  <c:v>599.84999999999911</c:v>
                </c:pt>
                <c:pt idx="132">
                  <c:v>494.85</c:v>
                </c:pt>
                <c:pt idx="133">
                  <c:v>479.85</c:v>
                </c:pt>
                <c:pt idx="134">
                  <c:v>479.85</c:v>
                </c:pt>
                <c:pt idx="135">
                  <c:v>322.35000000000002</c:v>
                </c:pt>
                <c:pt idx="136">
                  <c:v>719.84999999999911</c:v>
                </c:pt>
                <c:pt idx="137">
                  <c:v>554.84999999999911</c:v>
                </c:pt>
                <c:pt idx="138">
                  <c:v>374.85</c:v>
                </c:pt>
                <c:pt idx="139">
                  <c:v>389.85</c:v>
                </c:pt>
                <c:pt idx="140">
                  <c:v>389.85</c:v>
                </c:pt>
                <c:pt idx="141">
                  <c:v>404.85</c:v>
                </c:pt>
                <c:pt idx="142">
                  <c:v>573.44999999999936</c:v>
                </c:pt>
                <c:pt idx="143">
                  <c:v>382.5</c:v>
                </c:pt>
                <c:pt idx="144">
                  <c:v>404.85</c:v>
                </c:pt>
                <c:pt idx="145">
                  <c:v>479.85</c:v>
                </c:pt>
                <c:pt idx="146">
                  <c:v>697.94999999999936</c:v>
                </c:pt>
                <c:pt idx="147">
                  <c:v>779.84999999999911</c:v>
                </c:pt>
                <c:pt idx="148">
                  <c:v>794.84999999999911</c:v>
                </c:pt>
                <c:pt idx="149">
                  <c:v>539.84999999999911</c:v>
                </c:pt>
                <c:pt idx="150">
                  <c:v>464.85</c:v>
                </c:pt>
                <c:pt idx="151">
                  <c:v>434.85</c:v>
                </c:pt>
                <c:pt idx="152">
                  <c:v>449.85</c:v>
                </c:pt>
                <c:pt idx="153">
                  <c:v>614.84999999999911</c:v>
                </c:pt>
                <c:pt idx="154">
                  <c:v>434.85</c:v>
                </c:pt>
                <c:pt idx="155">
                  <c:v>419.85</c:v>
                </c:pt>
                <c:pt idx="156">
                  <c:v>326.85000000000002</c:v>
                </c:pt>
                <c:pt idx="157">
                  <c:v>509.85</c:v>
                </c:pt>
                <c:pt idx="158">
                  <c:v>494.85</c:v>
                </c:pt>
                <c:pt idx="159">
                  <c:v>329.85</c:v>
                </c:pt>
                <c:pt idx="160">
                  <c:v>403.5</c:v>
                </c:pt>
                <c:pt idx="161">
                  <c:v>537.9</c:v>
                </c:pt>
                <c:pt idx="162">
                  <c:v>434.85</c:v>
                </c:pt>
                <c:pt idx="163">
                  <c:v>419.85</c:v>
                </c:pt>
                <c:pt idx="164">
                  <c:v>517.5</c:v>
                </c:pt>
                <c:pt idx="165">
                  <c:v>659.84999999999911</c:v>
                </c:pt>
                <c:pt idx="166">
                  <c:v>419.85</c:v>
                </c:pt>
                <c:pt idx="167">
                  <c:v>404.85</c:v>
                </c:pt>
                <c:pt idx="168">
                  <c:v>765.15</c:v>
                </c:pt>
                <c:pt idx="169">
                  <c:v>599.84999999999911</c:v>
                </c:pt>
                <c:pt idx="170">
                  <c:v>559.5</c:v>
                </c:pt>
                <c:pt idx="171">
                  <c:v>479.85</c:v>
                </c:pt>
                <c:pt idx="172">
                  <c:v>554.84999999999911</c:v>
                </c:pt>
                <c:pt idx="173">
                  <c:v>494.85</c:v>
                </c:pt>
                <c:pt idx="174">
                  <c:v>524.84999999999911</c:v>
                </c:pt>
                <c:pt idx="175">
                  <c:v>419.85</c:v>
                </c:pt>
                <c:pt idx="176">
                  <c:v>569.84999999999911</c:v>
                </c:pt>
                <c:pt idx="177">
                  <c:v>465.59999999999991</c:v>
                </c:pt>
                <c:pt idx="178">
                  <c:v>464.85</c:v>
                </c:pt>
                <c:pt idx="179">
                  <c:v>374.85</c:v>
                </c:pt>
                <c:pt idx="180">
                  <c:v>403.5</c:v>
                </c:pt>
                <c:pt idx="181">
                  <c:v>434.85</c:v>
                </c:pt>
                <c:pt idx="182">
                  <c:v>598.5</c:v>
                </c:pt>
                <c:pt idx="183">
                  <c:v>674.84999999999911</c:v>
                </c:pt>
                <c:pt idx="184">
                  <c:v>434.85</c:v>
                </c:pt>
                <c:pt idx="185">
                  <c:v>464.85</c:v>
                </c:pt>
                <c:pt idx="186">
                  <c:v>448.5</c:v>
                </c:pt>
                <c:pt idx="187">
                  <c:v>374.85</c:v>
                </c:pt>
                <c:pt idx="188">
                  <c:v>449.85</c:v>
                </c:pt>
                <c:pt idx="189">
                  <c:v>449.85</c:v>
                </c:pt>
                <c:pt idx="190">
                  <c:v>509.85</c:v>
                </c:pt>
                <c:pt idx="191">
                  <c:v>659.84999999999911</c:v>
                </c:pt>
                <c:pt idx="192">
                  <c:v>554.84999999999911</c:v>
                </c:pt>
                <c:pt idx="193">
                  <c:v>449.85</c:v>
                </c:pt>
                <c:pt idx="194">
                  <c:v>404.85</c:v>
                </c:pt>
                <c:pt idx="195">
                  <c:v>598.5</c:v>
                </c:pt>
                <c:pt idx="196">
                  <c:v>689.84999999999911</c:v>
                </c:pt>
                <c:pt idx="197">
                  <c:v>389.85</c:v>
                </c:pt>
                <c:pt idx="198">
                  <c:v>538.5</c:v>
                </c:pt>
                <c:pt idx="199">
                  <c:v>449.85</c:v>
                </c:pt>
                <c:pt idx="200">
                  <c:v>449.85</c:v>
                </c:pt>
                <c:pt idx="201">
                  <c:v>389.85</c:v>
                </c:pt>
                <c:pt idx="202">
                  <c:v>357</c:v>
                </c:pt>
                <c:pt idx="203">
                  <c:v>419.85</c:v>
                </c:pt>
                <c:pt idx="204">
                  <c:v>359.85</c:v>
                </c:pt>
                <c:pt idx="205">
                  <c:v>449.85</c:v>
                </c:pt>
                <c:pt idx="206">
                  <c:v>449.85</c:v>
                </c:pt>
                <c:pt idx="207">
                  <c:v>460.35</c:v>
                </c:pt>
              </c:numCache>
            </c:numRef>
          </c:yVal>
          <c:smooth val="0"/>
          <c:extLst>
            <c:ext xmlns:c16="http://schemas.microsoft.com/office/drawing/2014/chart" uri="{C3380CC4-5D6E-409C-BE32-E72D297353CC}">
              <c16:uniqueId val="{00000000-D31C-44D4-8A98-9D5A0B50ABB4}"/>
            </c:ext>
          </c:extLst>
        </c:ser>
        <c:dLbls>
          <c:showLegendKey val="0"/>
          <c:showVal val="0"/>
          <c:showCatName val="0"/>
          <c:showSerName val="0"/>
          <c:showPercent val="0"/>
          <c:showBubbleSize val="0"/>
        </c:dLbls>
        <c:axId val="404275584"/>
        <c:axId val="404277888"/>
      </c:scatterChart>
      <c:valAx>
        <c:axId val="404275584"/>
        <c:scaling>
          <c:orientation val="minMax"/>
          <c:min val="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ja-JP" sz="1100" b="1" i="0" u="none" strike="noStrike" kern="1200" baseline="0">
                    <a:solidFill>
                      <a:schemeClr val="tx1"/>
                    </a:solidFill>
                    <a:latin typeface="+mn-lt"/>
                    <a:ea typeface="+mn-ea"/>
                    <a:cs typeface="+mn-cs"/>
                  </a:defRPr>
                </a:pPr>
                <a:r>
                  <a:rPr lang="en-US" sz="1100" b="1">
                    <a:solidFill>
                      <a:schemeClr val="tx1"/>
                    </a:solidFill>
                  </a:rPr>
                  <a:t>Annual</a:t>
                </a:r>
                <a:r>
                  <a:rPr lang="en-US" sz="1100" b="1" baseline="0">
                    <a:solidFill>
                      <a:schemeClr val="tx1"/>
                    </a:solidFill>
                  </a:rPr>
                  <a:t> </a:t>
                </a:r>
                <a:r>
                  <a:rPr lang="en-US" sz="1100" b="1">
                    <a:solidFill>
                      <a:schemeClr val="tx1"/>
                    </a:solidFill>
                  </a:rPr>
                  <a:t>Performance Factor (APF)</a:t>
                </a:r>
              </a:p>
            </c:rich>
          </c:tx>
          <c:layout>
            <c:manualLayout>
              <c:xMode val="edge"/>
              <c:yMode val="edge"/>
              <c:x val="0.51671474399033401"/>
              <c:y val="0.92907522465732095"/>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1200" b="0" i="0" u="none" strike="noStrike" kern="1200" baseline="0">
                <a:solidFill>
                  <a:schemeClr val="tx1"/>
                </a:solidFill>
                <a:latin typeface="+mn-lt"/>
                <a:ea typeface="+mn-ea"/>
                <a:cs typeface="+mn-cs"/>
              </a:defRPr>
            </a:pPr>
            <a:endParaRPr lang="en-US"/>
          </a:p>
        </c:txPr>
        <c:crossAx val="404277888"/>
        <c:crosses val="autoZero"/>
        <c:crossBetween val="midCat"/>
      </c:valAx>
      <c:valAx>
        <c:axId val="404277888"/>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200" b="1" i="0" u="none" strike="noStrike" kern="1200" baseline="0">
                    <a:solidFill>
                      <a:schemeClr val="tx1"/>
                    </a:solidFill>
                    <a:latin typeface="+mn-lt"/>
                    <a:ea typeface="+mn-ea"/>
                    <a:cs typeface="+mn-cs"/>
                  </a:defRPr>
                </a:pPr>
                <a:r>
                  <a:rPr lang="en-US" sz="1200" b="1">
                    <a:solidFill>
                      <a:schemeClr val="tx1"/>
                    </a:solidFill>
                  </a:rPr>
                  <a:t>Retail Price (USD)</a:t>
                </a:r>
              </a:p>
            </c:rich>
          </c:tx>
          <c:layout>
            <c:manualLayout>
              <c:xMode val="edge"/>
              <c:yMode val="edge"/>
              <c:x val="1.1617881098196101E-2"/>
              <c:y val="0.33947900945835302"/>
            </c:manualLayout>
          </c:layout>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1200" b="0" i="0" u="none" strike="noStrike" kern="1200" baseline="0">
                <a:solidFill>
                  <a:schemeClr val="tx1"/>
                </a:solidFill>
                <a:latin typeface="+mn-lt"/>
                <a:ea typeface="+mn-ea"/>
                <a:cs typeface="+mn-cs"/>
              </a:defRPr>
            </a:pPr>
            <a:endParaRPr lang="en-US"/>
          </a:p>
        </c:txPr>
        <c:crossAx val="4042755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Sheet2!$A$4</c:f>
              <c:strCache>
                <c:ptCount val="1"/>
                <c:pt idx="0">
                  <c:v>Energy use</c:v>
                </c:pt>
              </c:strCache>
            </c:strRef>
          </c:tx>
          <c:spPr>
            <a:solidFill>
              <a:srgbClr val="00B050"/>
            </a:solidFill>
            <a:ln>
              <a:noFill/>
            </a:ln>
            <a:effectLst/>
          </c:spPr>
          <c:invertIfNegative val="0"/>
          <c:cat>
            <c:strRef>
              <c:f>Sheet2!$B$3:$D$3</c:f>
              <c:strCache>
                <c:ptCount val="3"/>
                <c:pt idx="0">
                  <c:v>Typical of 1980 
(Develoed Country)</c:v>
                </c:pt>
                <c:pt idx="1">
                  <c:v>Typical of 2000 
(Developed Country)</c:v>
                </c:pt>
                <c:pt idx="2">
                  <c:v>Global Best Practice 2015</c:v>
                </c:pt>
              </c:strCache>
            </c:strRef>
          </c:cat>
          <c:val>
            <c:numRef>
              <c:f>Sheet2!$B$4:$D$4</c:f>
              <c:numCache>
                <c:formatCode>General</c:formatCode>
                <c:ptCount val="3"/>
                <c:pt idx="0">
                  <c:v>5830</c:v>
                </c:pt>
                <c:pt idx="1">
                  <c:v>3500</c:v>
                </c:pt>
                <c:pt idx="2">
                  <c:v>1240</c:v>
                </c:pt>
              </c:numCache>
            </c:numRef>
          </c:val>
          <c:extLst>
            <c:ext xmlns:c16="http://schemas.microsoft.com/office/drawing/2014/chart" uri="{C3380CC4-5D6E-409C-BE32-E72D297353CC}">
              <c16:uniqueId val="{00000000-A757-48DF-BD9F-75ABA97655FC}"/>
            </c:ext>
          </c:extLst>
        </c:ser>
        <c:ser>
          <c:idx val="1"/>
          <c:order val="1"/>
          <c:tx>
            <c:strRef>
              <c:f>Sheet2!$A$5</c:f>
              <c:strCache>
                <c:ptCount val="1"/>
                <c:pt idx="0">
                  <c:v>Direct impact from refrigerant</c:v>
                </c:pt>
              </c:strCache>
            </c:strRef>
          </c:tx>
          <c:spPr>
            <a:solidFill>
              <a:srgbClr val="FFFF00"/>
            </a:solidFill>
            <a:ln>
              <a:noFill/>
            </a:ln>
            <a:effectLst/>
          </c:spPr>
          <c:invertIfNegative val="0"/>
          <c:cat>
            <c:strRef>
              <c:f>Sheet2!$B$3:$D$3</c:f>
              <c:strCache>
                <c:ptCount val="3"/>
                <c:pt idx="0">
                  <c:v>Typical of 1980 
(Develoed Country)</c:v>
                </c:pt>
                <c:pt idx="1">
                  <c:v>Typical of 2000 
(Developed Country)</c:v>
                </c:pt>
                <c:pt idx="2">
                  <c:v>Global Best Practice 2015</c:v>
                </c:pt>
              </c:strCache>
            </c:strRef>
          </c:cat>
          <c:val>
            <c:numRef>
              <c:f>Sheet2!$B$5:$D$5</c:f>
              <c:numCache>
                <c:formatCode>General</c:formatCode>
                <c:ptCount val="3"/>
                <c:pt idx="0">
                  <c:v>1530</c:v>
                </c:pt>
                <c:pt idx="1">
                  <c:v>156</c:v>
                </c:pt>
                <c:pt idx="2">
                  <c:v>0.16500000000000001</c:v>
                </c:pt>
              </c:numCache>
            </c:numRef>
          </c:val>
          <c:extLst>
            <c:ext xmlns:c16="http://schemas.microsoft.com/office/drawing/2014/chart" uri="{C3380CC4-5D6E-409C-BE32-E72D297353CC}">
              <c16:uniqueId val="{00000001-A757-48DF-BD9F-75ABA97655FC}"/>
            </c:ext>
          </c:extLst>
        </c:ser>
        <c:ser>
          <c:idx val="2"/>
          <c:order val="2"/>
          <c:tx>
            <c:strRef>
              <c:f>Sheet2!$A$6</c:f>
              <c:strCache>
                <c:ptCount val="1"/>
                <c:pt idx="0">
                  <c:v>Direct impact from foam blowing agent</c:v>
                </c:pt>
              </c:strCache>
            </c:strRef>
          </c:tx>
          <c:spPr>
            <a:solidFill>
              <a:srgbClr val="FF0000"/>
            </a:solidFill>
            <a:ln>
              <a:noFill/>
            </a:ln>
            <a:effectLst/>
          </c:spPr>
          <c:invertIfNegative val="0"/>
          <c:cat>
            <c:strRef>
              <c:f>Sheet2!$B$3:$D$3</c:f>
              <c:strCache>
                <c:ptCount val="3"/>
                <c:pt idx="0">
                  <c:v>Typical of 1980 
(Develoed Country)</c:v>
                </c:pt>
                <c:pt idx="1">
                  <c:v>Typical of 2000 
(Developed Country)</c:v>
                </c:pt>
                <c:pt idx="2">
                  <c:v>Global Best Practice 2015</c:v>
                </c:pt>
              </c:strCache>
            </c:strRef>
          </c:cat>
          <c:val>
            <c:numRef>
              <c:f>Sheet2!$B$6:$D$6</c:f>
              <c:numCache>
                <c:formatCode>General</c:formatCode>
                <c:ptCount val="3"/>
                <c:pt idx="0">
                  <c:v>2469.8000000000002</c:v>
                </c:pt>
                <c:pt idx="1">
                  <c:v>700</c:v>
                </c:pt>
                <c:pt idx="2">
                  <c:v>6</c:v>
                </c:pt>
              </c:numCache>
            </c:numRef>
          </c:val>
          <c:extLst>
            <c:ext xmlns:c16="http://schemas.microsoft.com/office/drawing/2014/chart" uri="{C3380CC4-5D6E-409C-BE32-E72D297353CC}">
              <c16:uniqueId val="{00000002-A757-48DF-BD9F-75ABA97655FC}"/>
            </c:ext>
          </c:extLst>
        </c:ser>
        <c:dLbls>
          <c:showLegendKey val="0"/>
          <c:showVal val="0"/>
          <c:showCatName val="0"/>
          <c:showSerName val="0"/>
          <c:showPercent val="0"/>
          <c:showBubbleSize val="0"/>
        </c:dLbls>
        <c:gapWidth val="150"/>
        <c:overlap val="100"/>
        <c:axId val="404354176"/>
        <c:axId val="404355712"/>
      </c:barChart>
      <c:scatterChart>
        <c:scatterStyle val="lineMarker"/>
        <c:varyColors val="0"/>
        <c:ser>
          <c:idx val="3"/>
          <c:order val="3"/>
          <c:tx>
            <c:strRef>
              <c:f>Sheet2!$A$8</c:f>
              <c:strCache>
                <c:ptCount val="1"/>
                <c:pt idx="0">
                  <c:v>Annual energy consumption (kWh/year)</c:v>
                </c:pt>
              </c:strCache>
            </c:strRef>
          </c:tx>
          <c:spPr>
            <a:ln w="25400" cap="rnd">
              <a:no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ja-JP"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Sheet2!$B$8:$D$8</c:f>
              <c:numCache>
                <c:formatCode>General</c:formatCode>
                <c:ptCount val="3"/>
                <c:pt idx="0">
                  <c:v>750</c:v>
                </c:pt>
                <c:pt idx="1">
                  <c:v>350</c:v>
                </c:pt>
                <c:pt idx="2">
                  <c:v>160</c:v>
                </c:pt>
              </c:numCache>
            </c:numRef>
          </c:yVal>
          <c:smooth val="0"/>
          <c:extLst>
            <c:ext xmlns:c16="http://schemas.microsoft.com/office/drawing/2014/chart" uri="{C3380CC4-5D6E-409C-BE32-E72D297353CC}">
              <c16:uniqueId val="{00000003-A757-48DF-BD9F-75ABA97655FC}"/>
            </c:ext>
          </c:extLst>
        </c:ser>
        <c:dLbls>
          <c:showLegendKey val="0"/>
          <c:showVal val="0"/>
          <c:showCatName val="0"/>
          <c:showSerName val="0"/>
          <c:showPercent val="0"/>
          <c:showBubbleSize val="0"/>
        </c:dLbls>
        <c:axId val="404495360"/>
        <c:axId val="404493440"/>
      </c:scatterChart>
      <c:catAx>
        <c:axId val="40435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404355712"/>
        <c:crosses val="autoZero"/>
        <c:auto val="1"/>
        <c:lblAlgn val="ctr"/>
        <c:lblOffset val="100"/>
        <c:noMultiLvlLbl val="0"/>
      </c:catAx>
      <c:valAx>
        <c:axId val="404355712"/>
        <c:scaling>
          <c:orientation val="minMax"/>
          <c:max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US"/>
                  <a:t>CO</a:t>
                </a:r>
                <a:r>
                  <a:rPr lang="en-US" baseline="-25000"/>
                  <a:t>2</a:t>
                </a:r>
                <a:r>
                  <a:rPr lang="en-US"/>
                  <a:t>eq Emissions,</a:t>
                </a:r>
                <a:r>
                  <a:rPr lang="en-US" baseline="0"/>
                  <a:t> TCO</a:t>
                </a:r>
                <a:r>
                  <a:rPr lang="en-US" baseline="-25000"/>
                  <a:t>2</a:t>
                </a:r>
                <a:r>
                  <a:rPr lang="en-US" baseline="0"/>
                  <a:t>eq</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404354176"/>
        <c:crosses val="autoZero"/>
        <c:crossBetween val="between"/>
        <c:majorUnit val="2000"/>
        <c:dispUnits>
          <c:builtInUnit val="thousands"/>
        </c:dispUnits>
      </c:valAx>
      <c:valAx>
        <c:axId val="404493440"/>
        <c:scaling>
          <c:orientation val="minMax"/>
        </c:scaling>
        <c:delete val="0"/>
        <c:axPos val="r"/>
        <c:title>
          <c:tx>
            <c:rich>
              <a:bodyPr rot="-5400000" spcFirstLastPara="1" vertOverflow="ellipsis" vert="horz" wrap="square" anchor="ctr" anchorCtr="1"/>
              <a:lstStyle/>
              <a:p>
                <a:pPr>
                  <a:defRPr lang="ja-JP" sz="1050" b="0" i="0" u="none" strike="noStrike" kern="1200" baseline="0">
                    <a:solidFill>
                      <a:schemeClr val="tx1">
                        <a:lumMod val="65000"/>
                        <a:lumOff val="35000"/>
                      </a:schemeClr>
                    </a:solidFill>
                    <a:latin typeface="+mn-lt"/>
                    <a:ea typeface="+mn-ea"/>
                    <a:cs typeface="+mn-cs"/>
                  </a:defRPr>
                </a:pPr>
                <a:r>
                  <a:rPr lang="en-US" sz="1050"/>
                  <a:t>Annual energy consumption (kWh/year)</a:t>
                </a:r>
              </a:p>
            </c:rich>
          </c:tx>
          <c:layout>
            <c:manualLayout>
              <c:xMode val="edge"/>
              <c:yMode val="edge"/>
              <c:x val="0.90220822397200295"/>
              <c:y val="0.348197335205711"/>
            </c:manualLayout>
          </c:layout>
          <c:overlay val="0"/>
          <c:spPr>
            <a:solidFill>
              <a:sysClr val="window" lastClr="FFFFFF"/>
            </a:solid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404495360"/>
        <c:crosses val="max"/>
        <c:crossBetween val="midCat"/>
        <c:majorUnit val="200"/>
      </c:valAx>
      <c:valAx>
        <c:axId val="404495360"/>
        <c:scaling>
          <c:orientation val="minMax"/>
        </c:scaling>
        <c:delete val="1"/>
        <c:axPos val="b"/>
        <c:majorTickMark val="out"/>
        <c:minorTickMark val="none"/>
        <c:tickLblPos val="nextTo"/>
        <c:crossAx val="404493440"/>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835954028109398E-2"/>
          <c:y val="0.15664167108140001"/>
          <c:w val="0.53589108512031902"/>
          <c:h val="0.63898146175930304"/>
        </c:manualLayout>
      </c:layout>
      <c:barChart>
        <c:barDir val="bar"/>
        <c:grouping val="stacked"/>
        <c:varyColors val="0"/>
        <c:ser>
          <c:idx val="0"/>
          <c:order val="0"/>
          <c:tx>
            <c:strRef>
              <c:f>Sheet1!$B$26</c:f>
              <c:strCache>
                <c:ptCount val="1"/>
                <c:pt idx="0">
                  <c:v>System price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Sheet1!$A$27:$A$32</c:f>
              <c:strCache>
                <c:ptCount val="6"/>
                <c:pt idx="1">
                  <c:v>2 Star</c:v>
                </c:pt>
                <c:pt idx="3">
                  <c:v>3 Star</c:v>
                </c:pt>
                <c:pt idx="5">
                  <c:v>5 Star</c:v>
                </c:pt>
              </c:strCache>
            </c:strRef>
          </c:cat>
          <c:val>
            <c:numRef>
              <c:f>Sheet1!$B$27:$B$32</c:f>
              <c:numCache>
                <c:formatCode>0.0%</c:formatCode>
                <c:ptCount val="6"/>
                <c:pt idx="1">
                  <c:v>0.25942832764505103</c:v>
                </c:pt>
                <c:pt idx="3">
                  <c:v>0.30882845188284502</c:v>
                </c:pt>
                <c:pt idx="5">
                  <c:v>0.42805555555555602</c:v>
                </c:pt>
              </c:numCache>
            </c:numRef>
          </c:val>
          <c:extLst>
            <c:ext xmlns:c16="http://schemas.microsoft.com/office/drawing/2014/chart" uri="{C3380CC4-5D6E-409C-BE32-E72D297353CC}">
              <c16:uniqueId val="{00000000-20B2-4322-AA11-FECE91FA7E9A}"/>
            </c:ext>
          </c:extLst>
        </c:ser>
        <c:ser>
          <c:idx val="1"/>
          <c:order val="1"/>
          <c:tx>
            <c:strRef>
              <c:f>Sheet1!$C$26</c:f>
              <c:strCache>
                <c:ptCount val="1"/>
                <c:pt idx="0">
                  <c:v>Refrigerant price</c:v>
                </c:pt>
              </c:strCache>
            </c:strRef>
          </c:tx>
          <c:spPr>
            <a:solidFill>
              <a:schemeClr val="accent2"/>
            </a:solidFill>
            <a:ln>
              <a:noFill/>
            </a:ln>
            <a:effectLst/>
          </c:spPr>
          <c:invertIfNegative val="0"/>
          <c:dLbls>
            <c:dLbl>
              <c:idx val="1"/>
              <c:layout>
                <c:manualLayout>
                  <c:x val="-3.1083546842668501E-2"/>
                  <c:y val="-7.64207974334993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B2-4322-AA11-FECE91FA7E9A}"/>
                </c:ext>
              </c:extLst>
            </c:dLbl>
            <c:dLbl>
              <c:idx val="3"/>
              <c:layout>
                <c:manualLayout>
                  <c:x val="-3.2063083122193699E-2"/>
                  <c:y val="-8.2031882710082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B2-4322-AA11-FECE91FA7E9A}"/>
                </c:ext>
              </c:extLst>
            </c:dLbl>
            <c:dLbl>
              <c:idx val="5"/>
              <c:layout>
                <c:manualLayout>
                  <c:x val="-2.5349650524128998E-2"/>
                  <c:y val="-6.9361383732297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B2-4322-AA11-FECE91FA7E9A}"/>
                </c:ext>
              </c:extLst>
            </c:dLbl>
            <c:spPr>
              <a:noFill/>
              <a:ln>
                <a:noFill/>
              </a:ln>
              <a:effectLst/>
            </c:spPr>
            <c:txPr>
              <a:bodyPr rot="0" spcFirstLastPara="1" vertOverflow="ellipsis" vert="horz" wrap="square" lIns="38100" tIns="19050" rIns="38100" bIns="19050" anchor="ctr" anchorCtr="1">
                <a:spAutoFit/>
              </a:bodyPr>
              <a:lstStyle/>
              <a:p>
                <a:pPr>
                  <a:defRPr lang="ja-JP"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Sheet1!$A$27:$A$32</c:f>
              <c:strCache>
                <c:ptCount val="6"/>
                <c:pt idx="1">
                  <c:v>2 Star</c:v>
                </c:pt>
                <c:pt idx="3">
                  <c:v>3 Star</c:v>
                </c:pt>
                <c:pt idx="5">
                  <c:v>5 Star</c:v>
                </c:pt>
              </c:strCache>
            </c:strRef>
          </c:cat>
          <c:val>
            <c:numRef>
              <c:f>Sheet1!$C$27:$C$32</c:f>
              <c:numCache>
                <c:formatCode>0.0%</c:formatCode>
                <c:ptCount val="6"/>
                <c:pt idx="1">
                  <c:v>5.0767918088737204E-3</c:v>
                </c:pt>
                <c:pt idx="3">
                  <c:v>4.9790794979079501E-3</c:v>
                </c:pt>
                <c:pt idx="5">
                  <c:v>7.1296296296296299E-3</c:v>
                </c:pt>
              </c:numCache>
            </c:numRef>
          </c:val>
          <c:extLst>
            <c:ext xmlns:c16="http://schemas.microsoft.com/office/drawing/2014/chart" uri="{C3380CC4-5D6E-409C-BE32-E72D297353CC}">
              <c16:uniqueId val="{00000004-20B2-4322-AA11-FECE91FA7E9A}"/>
            </c:ext>
          </c:extLst>
        </c:ser>
        <c:ser>
          <c:idx val="2"/>
          <c:order val="2"/>
          <c:tx>
            <c:strRef>
              <c:f>Sheet1!$D$26</c:f>
              <c:strCache>
                <c:ptCount val="1"/>
                <c:pt idx="0">
                  <c:v>Installation cost</c:v>
                </c:pt>
              </c:strCache>
            </c:strRef>
          </c:tx>
          <c:spPr>
            <a:solidFill>
              <a:schemeClr val="accent3"/>
            </a:solidFill>
            <a:ln>
              <a:noFill/>
            </a:ln>
            <a:effectLst/>
          </c:spPr>
          <c:invertIfNegative val="0"/>
          <c:dLbls>
            <c:dLbl>
              <c:idx val="1"/>
              <c:layout>
                <c:manualLayout>
                  <c:x val="5.3126051551248402E-2"/>
                  <c:y val="-7.368370178014420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0B2-4322-AA11-FECE91FA7E9A}"/>
                </c:ext>
              </c:extLst>
            </c:dLbl>
            <c:dLbl>
              <c:idx val="3"/>
              <c:layout>
                <c:manualLayout>
                  <c:x val="4.8886765644001899E-2"/>
                  <c:y val="-8.333812288062529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0B2-4322-AA11-FECE91FA7E9A}"/>
                </c:ext>
              </c:extLst>
            </c:dLbl>
            <c:dLbl>
              <c:idx val="5"/>
              <c:layout>
                <c:manualLayout>
                  <c:x val="5.2898181876777799E-2"/>
                  <c:y val="-6.936135305581829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0B2-4322-AA11-FECE91FA7E9A}"/>
                </c:ext>
              </c:extLst>
            </c:dLbl>
            <c:spPr>
              <a:noFill/>
              <a:ln>
                <a:noFill/>
              </a:ln>
              <a:effectLst/>
            </c:spPr>
            <c:txPr>
              <a:bodyPr rot="0" spcFirstLastPara="1" vertOverflow="ellipsis" vert="horz" wrap="square" lIns="38100" tIns="19050" rIns="38100" bIns="19050" anchor="ctr" anchorCtr="1">
                <a:spAutoFit/>
              </a:bodyPr>
              <a:lstStyle/>
              <a:p>
                <a:pPr>
                  <a:defRPr lang="ja-JP" sz="12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Sheet1!$A$27:$A$32</c:f>
              <c:strCache>
                <c:ptCount val="6"/>
                <c:pt idx="1">
                  <c:v>2 Star</c:v>
                </c:pt>
                <c:pt idx="3">
                  <c:v>3 Star</c:v>
                </c:pt>
                <c:pt idx="5">
                  <c:v>5 Star</c:v>
                </c:pt>
              </c:strCache>
            </c:strRef>
          </c:cat>
          <c:val>
            <c:numRef>
              <c:f>Sheet1!$D$27:$D$32</c:f>
              <c:numCache>
                <c:formatCode>0.0%</c:formatCode>
                <c:ptCount val="6"/>
                <c:pt idx="1">
                  <c:v>1.2798634812286699E-2</c:v>
                </c:pt>
                <c:pt idx="3">
                  <c:v>1.2552301255230099E-2</c:v>
                </c:pt>
                <c:pt idx="5">
                  <c:v>1.38888888888889E-2</c:v>
                </c:pt>
              </c:numCache>
            </c:numRef>
          </c:val>
          <c:extLst>
            <c:ext xmlns:c16="http://schemas.microsoft.com/office/drawing/2014/chart" uri="{C3380CC4-5D6E-409C-BE32-E72D297353CC}">
              <c16:uniqueId val="{00000008-20B2-4322-AA11-FECE91FA7E9A}"/>
            </c:ext>
          </c:extLst>
        </c:ser>
        <c:ser>
          <c:idx val="3"/>
          <c:order val="3"/>
          <c:tx>
            <c:strRef>
              <c:f>Sheet1!$E$26</c:f>
              <c:strCache>
                <c:ptCount val="1"/>
                <c:pt idx="0">
                  <c:v>Lifetime energy cost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ja-JP"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Sheet1!$A$27:$A$32</c:f>
              <c:strCache>
                <c:ptCount val="6"/>
                <c:pt idx="1">
                  <c:v>2 Star</c:v>
                </c:pt>
                <c:pt idx="3">
                  <c:v>3 Star</c:v>
                </c:pt>
                <c:pt idx="5">
                  <c:v>5 Star</c:v>
                </c:pt>
              </c:strCache>
            </c:strRef>
          </c:cat>
          <c:val>
            <c:numRef>
              <c:f>Sheet1!$E$27:$E$32</c:f>
              <c:numCache>
                <c:formatCode>0.0%</c:formatCode>
                <c:ptCount val="6"/>
                <c:pt idx="1">
                  <c:v>0.72269624573378799</c:v>
                </c:pt>
                <c:pt idx="3">
                  <c:v>0.673640167364017</c:v>
                </c:pt>
                <c:pt idx="5">
                  <c:v>0.55092592592592604</c:v>
                </c:pt>
              </c:numCache>
            </c:numRef>
          </c:val>
          <c:extLst>
            <c:ext xmlns:c16="http://schemas.microsoft.com/office/drawing/2014/chart" uri="{C3380CC4-5D6E-409C-BE32-E72D297353CC}">
              <c16:uniqueId val="{00000009-20B2-4322-AA11-FECE91FA7E9A}"/>
            </c:ext>
          </c:extLst>
        </c:ser>
        <c:dLbls>
          <c:showLegendKey val="0"/>
          <c:showVal val="0"/>
          <c:showCatName val="0"/>
          <c:showSerName val="0"/>
          <c:showPercent val="0"/>
          <c:showBubbleSize val="0"/>
        </c:dLbls>
        <c:gapWidth val="150"/>
        <c:overlap val="100"/>
        <c:axId val="404695296"/>
        <c:axId val="404717568"/>
      </c:barChart>
      <c:catAx>
        <c:axId val="404695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endParaRPr lang="en-US"/>
          </a:p>
        </c:txPr>
        <c:crossAx val="404717568"/>
        <c:crosses val="autoZero"/>
        <c:auto val="1"/>
        <c:lblAlgn val="ctr"/>
        <c:lblOffset val="100"/>
        <c:noMultiLvlLbl val="0"/>
      </c:catAx>
      <c:valAx>
        <c:axId val="404717568"/>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r>
                  <a:rPr lang="en-US"/>
                  <a:t>Lifecycle cost for 5 kW R-410A AC in India</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endParaRPr lang="en-US"/>
          </a:p>
        </c:txPr>
        <c:crossAx val="4046952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ja-JP"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C36EACD1D17B4C9F2DA5605241D5B6" ma:contentTypeVersion="" ma:contentTypeDescription="Create a new document." ma:contentTypeScope="" ma:versionID="f39f91158b9c9f9fad1eb31c08dd0fc3">
  <xsd:schema xmlns:xsd="http://www.w3.org/2001/XMLSchema" xmlns:xs="http://www.w3.org/2001/XMLSchema" xmlns:p="http://schemas.microsoft.com/office/2006/metadata/properties" xmlns:ns2="DBC0C6ED-672E-4F59-92F0-298F3B48AFF3" targetNamespace="http://schemas.microsoft.com/office/2006/metadata/properties" ma:root="true" ma:fieldsID="cac638d57ab9d632eeb9dcc1a4a0f702" ns2:_="">
    <xsd:import namespace="DBC0C6ED-672E-4F59-92F0-298F3B48AFF3"/>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0C6ED-672E-4F59-92F0-298F3B48AFF3"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ymbol xmlns="DBC0C6ED-672E-4F59-92F0-298F3B48AFF3">05</Document_x0020_Symbo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2D882-B90F-4F76-A89C-2762FF285872}"/>
</file>

<file path=customXml/itemProps2.xml><?xml version="1.0" encoding="utf-8"?>
<ds:datastoreItem xmlns:ds="http://schemas.openxmlformats.org/officeDocument/2006/customXml" ds:itemID="{E3B34E25-926A-497C-BE6F-0A2FE27BFF00}"/>
</file>

<file path=customXml/itemProps3.xml><?xml version="1.0" encoding="utf-8"?>
<ds:datastoreItem xmlns:ds="http://schemas.openxmlformats.org/officeDocument/2006/customXml" ds:itemID="{DC4B5543-3956-4F55-A057-41227DC1D503}"/>
</file>

<file path=customXml/itemProps4.xml><?xml version="1.0" encoding="utf-8"?>
<ds:datastoreItem xmlns:ds="http://schemas.openxmlformats.org/officeDocument/2006/customXml" ds:itemID="{8ED3EE43-86C5-4F7E-9D07-B61654A31B6A}"/>
</file>

<file path=docProps/app.xml><?xml version="1.0" encoding="utf-8"?>
<Properties xmlns="http://schemas.openxmlformats.org/officeDocument/2006/extended-properties" xmlns:vt="http://schemas.openxmlformats.org/officeDocument/2006/docPropsVTypes">
  <Template>Teap Style.dot</Template>
  <TotalTime>1</TotalTime>
  <Pages>1</Pages>
  <Words>35396</Words>
  <Characters>201760</Characters>
  <Application>Microsoft Office Word</Application>
  <DocSecurity>0</DocSecurity>
  <Lines>1681</Lines>
  <Paragraphs>473</Paragraphs>
  <ScaleCrop>false</ScaleCrop>
  <HeadingPairs>
    <vt:vector size="6" baseType="variant">
      <vt:variant>
        <vt:lpstr>Title</vt:lpstr>
      </vt:variant>
      <vt:variant>
        <vt:i4>1</vt:i4>
      </vt:variant>
      <vt:variant>
        <vt:lpstr>Titolo</vt:lpstr>
      </vt:variant>
      <vt:variant>
        <vt:i4>1</vt:i4>
      </vt:variant>
      <vt:variant>
        <vt:lpstr>タイトル</vt:lpstr>
      </vt:variant>
      <vt:variant>
        <vt:i4>1</vt:i4>
      </vt:variant>
    </vt:vector>
  </HeadingPairs>
  <TitlesOfParts>
    <vt:vector size="3" baseType="lpstr">
      <vt:lpstr>TEAP May 2018: Decision XXIX/10 Task Force Report on issues related to energy efficiency while phasing down hydrofluorocarbons (Volume 5) - Advance</vt:lpstr>
      <vt:lpstr>TEAP May 2018: Decision XXIX/10 Task Force Report on issues related to energy efficiency while phasing down hydrofluorocarbons (Volume 5) - Advance</vt:lpstr>
      <vt:lpstr>TEAP May 2017: Progress Report (Volume 1)</vt:lpstr>
    </vt:vector>
  </TitlesOfParts>
  <Company>HP</Company>
  <LinksUpToDate>false</LinksUpToDate>
  <CharactersWithSpaces>236683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May 2018: Decision XXIX/10 Task Force Report on issues related to energy efficiency while phasing down hydrofluorocarbons (Volume 5)</dc:title>
  <dc:creator>Walter Brunner</dc:creator>
  <cp:lastModifiedBy>Martha Mulumba</cp:lastModifiedBy>
  <cp:revision>4</cp:revision>
  <cp:lastPrinted>2018-05-31T08:28:00Z</cp:lastPrinted>
  <dcterms:created xsi:type="dcterms:W3CDTF">2018-05-31T08:28:00Z</dcterms:created>
  <dcterms:modified xsi:type="dcterms:W3CDTF">2018-05-31T08:29:00Z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0x010100DCC36EACD1D17B4C9F2DA5605241D5B6</vt:lpwstr>
  </property>
</Properties>
</file>